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40" w:lineRule="auto"/>
        <w:ind w:firstLine="0" w:firstLineChars="0"/>
        <w:jc w:val="center"/>
        <w:textAlignment w:val="auto"/>
        <w:outlineLvl w:val="0"/>
        <w:rPr>
          <w:rFonts w:ascii="方正小标宋_GBK" w:eastAsia="方正小标宋_GBK" w:cs="Times New Roman"/>
          <w:bCs/>
          <w:color w:val="000000" w:themeColor="text1"/>
          <w:sz w:val="72"/>
          <w:szCs w:val="72"/>
          <w14:textFill>
            <w14:solidFill>
              <w14:schemeClr w14:val="tx1"/>
            </w14:solidFill>
          </w14:textFill>
        </w:rPr>
      </w:pPr>
      <w:bookmarkStart w:id="0" w:name="_Hlk230365179"/>
      <w:bookmarkStart w:id="1" w:name="_Hlk215836209"/>
    </w:p>
    <w:p>
      <w:pPr>
        <w:adjustRightInd w:val="0"/>
        <w:snapToGrid w:val="0"/>
        <w:spacing w:line="240" w:lineRule="auto"/>
        <w:ind w:firstLine="0" w:firstLineChars="0"/>
        <w:jc w:val="center"/>
        <w:textAlignment w:val="auto"/>
        <w:outlineLvl w:val="0"/>
        <w:rPr>
          <w:rFonts w:ascii="宋体" w:hAnsi="宋体" w:cs="Times New Roman"/>
          <w:bCs/>
          <w:color w:val="000000" w:themeColor="text1"/>
          <w:sz w:val="72"/>
          <w:szCs w:val="72"/>
          <w14:textFill>
            <w14:solidFill>
              <w14:schemeClr w14:val="tx1"/>
            </w14:solidFill>
          </w14:textFill>
        </w:rPr>
      </w:pPr>
      <w:r>
        <w:rPr>
          <w:rFonts w:hint="eastAsia" w:ascii="宋体" w:hAnsi="宋体" w:cs="Times New Roman"/>
          <w:bCs/>
          <w:color w:val="000000" w:themeColor="text1"/>
          <w:sz w:val="72"/>
          <w:szCs w:val="72"/>
          <w14:textFill>
            <w14:solidFill>
              <w14:schemeClr w14:val="tx1"/>
            </w14:solidFill>
          </w14:textFill>
        </w:rPr>
        <w:t>建设项目环境影响报告表</w:t>
      </w:r>
    </w:p>
    <w:p>
      <w:pPr>
        <w:adjustRightInd w:val="0"/>
        <w:snapToGrid w:val="0"/>
        <w:spacing w:before="260" w:beforeLines="80" w:line="240" w:lineRule="auto"/>
        <w:ind w:firstLine="0" w:firstLineChars="0"/>
        <w:jc w:val="center"/>
        <w:textAlignment w:val="auto"/>
        <w:rPr>
          <w:rFonts w:ascii="宋体" w:hAnsi="宋体" w:cs="Times New Roman"/>
          <w:bCs/>
          <w:color w:val="000000" w:themeColor="text1"/>
          <w:sz w:val="48"/>
          <w:szCs w:val="48"/>
          <w14:textFill>
            <w14:solidFill>
              <w14:schemeClr w14:val="tx1"/>
            </w14:solidFill>
          </w14:textFill>
        </w:rPr>
      </w:pPr>
      <w:r>
        <w:rPr>
          <w:rFonts w:hint="eastAsia" w:ascii="宋体" w:hAnsi="宋体" w:cs="Times New Roman"/>
          <w:bCs/>
          <w:color w:val="000000" w:themeColor="text1"/>
          <w:sz w:val="48"/>
          <w:szCs w:val="48"/>
          <w14:textFill>
            <w14:solidFill>
              <w14:schemeClr w14:val="tx1"/>
            </w14:solidFill>
          </w14:textFill>
        </w:rPr>
        <w:t>（污染影响类）</w:t>
      </w:r>
    </w:p>
    <w:p>
      <w:pPr>
        <w:adjustRightInd w:val="0"/>
        <w:snapToGrid w:val="0"/>
        <w:spacing w:line="288" w:lineRule="auto"/>
        <w:ind w:firstLine="1040" w:firstLineChars="0"/>
        <w:textAlignment w:val="auto"/>
        <w:rPr>
          <w:rFonts w:ascii="宋体" w:hAnsi="宋体"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宋体" w:hAnsi="宋体"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宋体" w:hAnsi="宋体"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宋体" w:hAnsi="宋体" w:cs="Times New Roman"/>
          <w:color w:val="000000" w:themeColor="text1"/>
          <w:sz w:val="36"/>
          <w:szCs w:val="36"/>
          <w14:textFill>
            <w14:solidFill>
              <w14:schemeClr w14:val="tx1"/>
            </w14:solidFill>
          </w14:textFill>
        </w:rPr>
      </w:pPr>
    </w:p>
    <w:p>
      <w:pPr>
        <w:adjustRightInd w:val="0"/>
        <w:spacing w:after="240"/>
        <w:ind w:left="1800" w:hanging="1800" w:hangingChars="500"/>
        <w:jc w:val="left"/>
        <w:textAlignment w:val="auto"/>
        <w:rPr>
          <w:rFonts w:cs="Times New Roman"/>
          <w:color w:val="000000" w:themeColor="text1"/>
          <w:sz w:val="36"/>
          <w:szCs w:val="36"/>
          <w:u w:val="single"/>
          <w14:textFill>
            <w14:solidFill>
              <w14:schemeClr w14:val="tx1"/>
            </w14:solidFill>
          </w14:textFill>
        </w:rPr>
      </w:pPr>
      <w:bookmarkStart w:id="2" w:name="_Hlk215836157"/>
      <w:r>
        <w:rPr>
          <w:rFonts w:cs="Times New Roman"/>
          <w:color w:val="000000" w:themeColor="text1"/>
          <w:sz w:val="36"/>
          <w:szCs w:val="36"/>
          <w14:textFill>
            <w14:solidFill>
              <w14:schemeClr w14:val="tx1"/>
            </w14:solidFill>
          </w14:textFill>
        </w:rPr>
        <w:t>项目名称：</w:t>
      </w:r>
      <w:bookmarkStart w:id="3" w:name="_Hlk230365167"/>
      <w:r>
        <w:rPr>
          <w:rFonts w:hint="eastAsia" w:cs="Times New Roman"/>
          <w:color w:val="000000" w:themeColor="text1"/>
          <w:sz w:val="36"/>
          <w:szCs w:val="36"/>
          <w:u w:val="single"/>
          <w14:textFill>
            <w14:solidFill>
              <w14:schemeClr w14:val="tx1"/>
            </w14:solidFill>
          </w14:textFill>
        </w:rPr>
        <w:t>新疆三艾斯交通科技有限公司年产1万吨道路养护材料建设项目、5万吨道路标线材料建设项目</w:t>
      </w:r>
      <w:bookmarkEnd w:id="3"/>
      <w:r>
        <w:rPr>
          <w:rFonts w:hint="eastAsia" w:cs="Times New Roman"/>
          <w:color w:val="000000" w:themeColor="text1"/>
          <w:sz w:val="36"/>
          <w:szCs w:val="36"/>
          <w:u w:val="single"/>
          <w14:textFill>
            <w14:solidFill>
              <w14:schemeClr w14:val="tx1"/>
            </w14:solidFill>
          </w14:textFill>
        </w:rPr>
        <w:t xml:space="preserve"> </w:t>
      </w:r>
      <w:r>
        <w:rPr>
          <w:rFonts w:cs="Times New Roman"/>
          <w:color w:val="000000" w:themeColor="text1"/>
          <w:sz w:val="36"/>
          <w:szCs w:val="36"/>
          <w:u w:val="single"/>
          <w14:textFill>
            <w14:solidFill>
              <w14:schemeClr w14:val="tx1"/>
            </w14:solidFill>
          </w14:textFill>
        </w:rPr>
        <w:t xml:space="preserve">              </w:t>
      </w:r>
      <w:r>
        <w:rPr>
          <w:rFonts w:hint="eastAsia" w:cs="Times New Roman"/>
          <w:color w:val="000000" w:themeColor="text1"/>
          <w:sz w:val="36"/>
          <w:szCs w:val="36"/>
          <w:u w:val="single"/>
          <w14:textFill>
            <w14:solidFill>
              <w14:schemeClr w14:val="tx1"/>
            </w14:solidFill>
          </w14:textFill>
        </w:rPr>
        <w:t xml:space="preserve">         </w:t>
      </w:r>
      <w:r>
        <w:rPr>
          <w:rFonts w:cs="Times New Roman"/>
          <w:color w:val="000000" w:themeColor="text1"/>
          <w:sz w:val="36"/>
          <w:szCs w:val="36"/>
          <w:u w:val="single"/>
          <w14:textFill>
            <w14:solidFill>
              <w14:schemeClr w14:val="tx1"/>
            </w14:solidFill>
          </w14:textFill>
        </w:rPr>
        <w:t xml:space="preserve">            </w:t>
      </w:r>
    </w:p>
    <w:p>
      <w:pPr>
        <w:adjustRightInd w:val="0"/>
        <w:snapToGrid w:val="0"/>
        <w:ind w:firstLine="0" w:firstLineChars="0"/>
        <w:textAlignment w:val="auto"/>
        <w:rPr>
          <w:rFonts w:cs="Times New Roman"/>
          <w:color w:val="000000" w:themeColor="text1"/>
          <w:sz w:val="36"/>
          <w:szCs w:val="36"/>
          <w:u w:val="single"/>
          <w14:textFill>
            <w14:solidFill>
              <w14:schemeClr w14:val="tx1"/>
            </w14:solidFill>
          </w14:textFill>
        </w:rPr>
      </w:pPr>
      <w:r>
        <w:rPr>
          <w:rFonts w:cs="Times New Roman"/>
          <w:color w:val="000000" w:themeColor="text1"/>
          <w:sz w:val="36"/>
          <w:szCs w:val="36"/>
          <w14:textFill>
            <w14:solidFill>
              <w14:schemeClr w14:val="tx1"/>
            </w14:solidFill>
          </w14:textFill>
        </w:rPr>
        <w:t>建设单位（盖章）：</w:t>
      </w:r>
      <w:r>
        <w:rPr>
          <w:rFonts w:hint="eastAsia" w:cs="Times New Roman"/>
          <w:color w:val="000000" w:themeColor="text1"/>
          <w:sz w:val="36"/>
          <w:szCs w:val="36"/>
          <w:u w:val="single"/>
          <w14:textFill>
            <w14:solidFill>
              <w14:schemeClr w14:val="tx1"/>
            </w14:solidFill>
          </w14:textFill>
        </w:rPr>
        <w:t>新疆三艾斯交通科技有限公司</w:t>
      </w:r>
      <w:r>
        <w:rPr>
          <w:rFonts w:cs="Times New Roman"/>
          <w:color w:val="000000" w:themeColor="text1"/>
          <w:sz w:val="36"/>
          <w:szCs w:val="36"/>
          <w:u w:val="single"/>
          <w14:textFill>
            <w14:solidFill>
              <w14:schemeClr w14:val="tx1"/>
            </w14:solidFill>
          </w14:textFill>
        </w:rPr>
        <w:t xml:space="preserve">      </w:t>
      </w:r>
    </w:p>
    <w:p>
      <w:pPr>
        <w:adjustRightInd w:val="0"/>
        <w:snapToGrid w:val="0"/>
        <w:ind w:firstLine="0" w:firstLineChars="0"/>
        <w:textAlignment w:val="auto"/>
        <w:rPr>
          <w:rFonts w:ascii="宋体" w:hAnsi="宋体" w:cs="Times New Roman"/>
          <w:color w:val="000000" w:themeColor="text1"/>
          <w:sz w:val="36"/>
          <w:szCs w:val="36"/>
          <w:u w:val="single"/>
          <w14:textFill>
            <w14:solidFill>
              <w14:schemeClr w14:val="tx1"/>
            </w14:solidFill>
          </w14:textFill>
        </w:rPr>
      </w:pPr>
      <w:r>
        <w:rPr>
          <w:rFonts w:cs="Times New Roman"/>
          <w:color w:val="000000" w:themeColor="text1"/>
          <w:sz w:val="36"/>
          <w:szCs w:val="36"/>
          <w14:textFill>
            <w14:solidFill>
              <w14:schemeClr w14:val="tx1"/>
            </w14:solidFill>
          </w14:textFill>
        </w:rPr>
        <w:t>编制日期：</w:t>
      </w:r>
      <w:r>
        <w:rPr>
          <w:rFonts w:cs="Times New Roman"/>
          <w:color w:val="000000" w:themeColor="text1"/>
          <w:sz w:val="36"/>
          <w:szCs w:val="36"/>
          <w:u w:val="single"/>
          <w14:textFill>
            <w14:solidFill>
              <w14:schemeClr w14:val="tx1"/>
            </w14:solidFill>
          </w14:textFill>
        </w:rPr>
        <w:t>2026年</w:t>
      </w:r>
      <w:r>
        <w:rPr>
          <w:rFonts w:hint="eastAsia" w:cs="Times New Roman"/>
          <w:color w:val="000000" w:themeColor="text1"/>
          <w:sz w:val="36"/>
          <w:szCs w:val="36"/>
          <w:u w:val="single"/>
          <w14:textFill>
            <w14:solidFill>
              <w14:schemeClr w14:val="tx1"/>
            </w14:solidFill>
          </w14:textFill>
        </w:rPr>
        <w:t>6</w:t>
      </w:r>
      <w:r>
        <w:rPr>
          <w:rFonts w:cs="Times New Roman"/>
          <w:color w:val="000000" w:themeColor="text1"/>
          <w:sz w:val="36"/>
          <w:szCs w:val="36"/>
          <w:u w:val="single"/>
          <w14:textFill>
            <w14:solidFill>
              <w14:schemeClr w14:val="tx1"/>
            </w14:solidFill>
          </w14:textFill>
        </w:rPr>
        <w:t xml:space="preserve">月  </w:t>
      </w:r>
      <w:r>
        <w:rPr>
          <w:rFonts w:ascii="宋体" w:hAnsi="宋体" w:cs="Times New Roman"/>
          <w:color w:val="000000" w:themeColor="text1"/>
          <w:sz w:val="36"/>
          <w:szCs w:val="36"/>
          <w:u w:val="single"/>
          <w14:textFill>
            <w14:solidFill>
              <w14:schemeClr w14:val="tx1"/>
            </w14:solidFill>
          </w14:textFill>
        </w:rPr>
        <w:t xml:space="preserve">                           </w:t>
      </w:r>
    </w:p>
    <w:bookmarkEnd w:id="0"/>
    <w:bookmarkEnd w:id="2"/>
    <w:p>
      <w:pPr>
        <w:adjustRightInd w:val="0"/>
        <w:snapToGrid w:val="0"/>
        <w:spacing w:line="288" w:lineRule="auto"/>
        <w:ind w:firstLine="1040" w:firstLineChars="0"/>
        <w:textAlignment w:val="auto"/>
        <w:rPr>
          <w:rFonts w:ascii="仿宋_GB2312" w:eastAsia="仿宋_GB2312" w:cs="Times New Roman"/>
          <w:color w:val="000000" w:themeColor="text1"/>
          <w:sz w:val="36"/>
          <w:szCs w:val="36"/>
          <w:u w:val="single"/>
          <w14:textFill>
            <w14:solidFill>
              <w14:schemeClr w14:val="tx1"/>
            </w14:solidFill>
          </w14:textFill>
        </w:rPr>
      </w:pPr>
      <w:bookmarkStart w:id="4" w:name="_Hlk57884087"/>
    </w:p>
    <w:p>
      <w:pPr>
        <w:adjustRightInd w:val="0"/>
        <w:snapToGrid w:val="0"/>
        <w:spacing w:line="288" w:lineRule="auto"/>
        <w:ind w:firstLine="1040" w:firstLineChars="0"/>
        <w:textAlignment w:val="auto"/>
        <w:rPr>
          <w:rFonts w:ascii="仿宋_GB2312"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仿宋_GB2312"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仿宋_GB2312"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firstLineChars="0"/>
        <w:textAlignment w:val="auto"/>
        <w:rPr>
          <w:rFonts w:ascii="仿宋_GB2312" w:eastAsia="仿宋_GB2312" w:cs="Times New Roman"/>
          <w:color w:val="000000" w:themeColor="text1"/>
          <w:sz w:val="36"/>
          <w:szCs w:val="36"/>
          <w14:textFill>
            <w14:solidFill>
              <w14:schemeClr w14:val="tx1"/>
            </w14:solidFill>
          </w14:textFill>
        </w:rPr>
      </w:pPr>
    </w:p>
    <w:bookmarkEnd w:id="4"/>
    <w:p>
      <w:pPr>
        <w:adjustRightInd w:val="0"/>
        <w:snapToGrid w:val="0"/>
        <w:spacing w:line="288" w:lineRule="auto"/>
        <w:ind w:firstLine="0" w:firstLineChars="0"/>
        <w:jc w:val="center"/>
        <w:textAlignment w:val="auto"/>
        <w:rPr>
          <w:rFonts w:ascii="楷体_GB2312" w:eastAsia="楷体_GB2312" w:cs="Times New Roman"/>
          <w:color w:val="000000" w:themeColor="text1"/>
          <w:sz w:val="36"/>
          <w:szCs w:val="36"/>
          <w14:textFill>
            <w14:solidFill>
              <w14:schemeClr w14:val="tx1"/>
            </w14:solidFill>
          </w14:textFill>
        </w:rPr>
      </w:pPr>
      <w:r>
        <w:rPr>
          <w:rFonts w:hint="eastAsia" w:ascii="楷体_GB2312" w:eastAsia="楷体_GB2312" w:cs="Times New Roman"/>
          <w:color w:val="000000" w:themeColor="text1"/>
          <w:sz w:val="36"/>
          <w:szCs w:val="36"/>
          <w14:textFill>
            <w14:solidFill>
              <w14:schemeClr w14:val="tx1"/>
            </w14:solidFill>
          </w14:textFill>
        </w:rPr>
        <w:t>中华人民共和国生态环境部制</w:t>
      </w:r>
    </w:p>
    <w:p>
      <w:pPr>
        <w:ind w:firstLine="480"/>
      </w:pPr>
    </w:p>
    <w:bookmarkEnd w:id="1"/>
    <w:p>
      <w:pPr>
        <w:ind w:firstLine="480"/>
      </w:pPr>
    </w:p>
    <w:p>
      <w:pPr>
        <w:ind w:firstLine="480"/>
      </w:pPr>
    </w:p>
    <w:p>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一、建设项目基本情况</w:t>
      </w:r>
    </w:p>
    <w:tbl>
      <w:tblPr>
        <w:tblStyle w:val="26"/>
        <w:tblW w:w="498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483"/>
        <w:gridCol w:w="1703"/>
        <w:gridCol w:w="2040"/>
        <w:gridCol w:w="1856"/>
        <w:gridCol w:w="29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5"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建设项目名称</w:t>
            </w:r>
          </w:p>
        </w:tc>
        <w:tc>
          <w:tcPr>
            <w:tcW w:w="3796" w:type="pct"/>
            <w:gridSpan w:val="3"/>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hint="eastAsia" w:cs="Times New Roman"/>
                <w:color w:val="000000" w:themeColor="text1"/>
                <w:szCs w:val="24"/>
                <w14:textFill>
                  <w14:solidFill>
                    <w14:schemeClr w14:val="tx1"/>
                  </w14:solidFill>
                </w14:textFill>
              </w:rPr>
              <w:t>新疆三艾斯交通科技有限公司年产1万吨道路养护材料建设项目、5万吨道路标线材料建设项目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2"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项目代码</w:t>
            </w:r>
          </w:p>
        </w:tc>
        <w:tc>
          <w:tcPr>
            <w:tcW w:w="3796" w:type="pct"/>
            <w:gridSpan w:val="3"/>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bookmarkStart w:id="32" w:name="_GoBack"/>
            <w:bookmarkEnd w:id="3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0"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建设单位联系人</w:t>
            </w:r>
          </w:p>
        </w:tc>
        <w:tc>
          <w:tcPr>
            <w:tcW w:w="1123"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p>
        </w:tc>
        <w:tc>
          <w:tcPr>
            <w:tcW w:w="1022"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p>
        </w:tc>
        <w:tc>
          <w:tcPr>
            <w:tcW w:w="1650"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建设地点</w:t>
            </w:r>
          </w:p>
        </w:tc>
        <w:tc>
          <w:tcPr>
            <w:tcW w:w="3796" w:type="pct"/>
            <w:gridSpan w:val="3"/>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地理坐标</w:t>
            </w:r>
          </w:p>
        </w:tc>
        <w:tc>
          <w:tcPr>
            <w:tcW w:w="3796" w:type="pct"/>
            <w:gridSpan w:val="3"/>
            <w:vAlign w:val="center"/>
          </w:tcPr>
          <w:p>
            <w:pPr>
              <w:spacing w:line="240" w:lineRule="auto"/>
              <w:ind w:firstLine="0" w:firstLineChars="0"/>
              <w:jc w:val="center"/>
              <w:textAlignment w:val="auto"/>
              <w:rPr>
                <w:rFonts w:cs="Times New Roman"/>
                <w:color w:val="000000" w:themeColor="text1"/>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6"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国民经济</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行业类别</w:t>
            </w:r>
          </w:p>
        </w:tc>
        <w:tc>
          <w:tcPr>
            <w:tcW w:w="1123"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ascii="TimesNewRomanPSMT" w:hAnsi="TimesNewRomanPSMT"/>
                <w:color w:val="000000"/>
              </w:rPr>
              <w:t>C3099</w:t>
            </w:r>
            <w:r>
              <w:rPr>
                <w:rFonts w:hint="eastAsia"/>
                <w:color w:val="000000"/>
              </w:rPr>
              <w:t>其他非金属矿物制品制造</w:t>
            </w:r>
          </w:p>
        </w:tc>
        <w:tc>
          <w:tcPr>
            <w:tcW w:w="1022"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bookmarkStart w:id="5" w:name="_Hlk49843745"/>
            <w:r>
              <w:rPr>
                <w:rFonts w:cs="Times New Roman"/>
                <w:color w:val="000000" w:themeColor="text1"/>
                <w:szCs w:val="24"/>
                <w14:textFill>
                  <w14:solidFill>
                    <w14:schemeClr w14:val="tx1"/>
                  </w14:solidFill>
                </w14:textFill>
              </w:rPr>
              <w:t>建设项目</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行业类别</w:t>
            </w:r>
            <w:bookmarkEnd w:id="5"/>
          </w:p>
        </w:tc>
        <w:tc>
          <w:tcPr>
            <w:tcW w:w="1650" w:type="pct"/>
            <w:vAlign w:val="center"/>
          </w:tcPr>
          <w:p>
            <w:pPr>
              <w:adjustRightInd w:val="0"/>
              <w:snapToGrid w:val="0"/>
              <w:spacing w:line="240" w:lineRule="auto"/>
              <w:ind w:firstLine="0" w:firstLineChars="0"/>
              <w:textAlignment w:val="auto"/>
            </w:pPr>
            <w:r>
              <w:rPr>
                <w:rFonts w:hint="eastAsia" w:cs="Times New Roman"/>
                <w:szCs w:val="24"/>
              </w:rPr>
              <w:t>二十七、非金属矿物制品业 30-60.耐火材料制品制造 308；石墨及其他非金属矿物制品制造309-其他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建设性质</w:t>
            </w:r>
          </w:p>
        </w:tc>
        <w:tc>
          <w:tcPr>
            <w:tcW w:w="1123" w:type="pct"/>
            <w:vAlign w:val="center"/>
          </w:tcPr>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52"/>
            </w:r>
            <w:r>
              <w:rPr>
                <w:rFonts w:cs="Times New Roman"/>
                <w:color w:val="000000" w:themeColor="text1"/>
                <w:szCs w:val="24"/>
                <w14:textFill>
                  <w14:solidFill>
                    <w14:schemeClr w14:val="tx1"/>
                  </w14:solidFill>
                </w14:textFill>
              </w:rPr>
              <w:t>新建（迁建）</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改建</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扩建</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技术改造</w:t>
            </w:r>
          </w:p>
        </w:tc>
        <w:tc>
          <w:tcPr>
            <w:tcW w:w="1022"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建设项目</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申报情形</w:t>
            </w:r>
          </w:p>
        </w:tc>
        <w:tc>
          <w:tcPr>
            <w:tcW w:w="1650" w:type="pct"/>
            <w:vAlign w:val="center"/>
          </w:tcPr>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52"/>
            </w:r>
            <w:r>
              <w:rPr>
                <w:rFonts w:cs="Times New Roman"/>
                <w:color w:val="000000" w:themeColor="text1"/>
                <w:szCs w:val="24"/>
                <w14:textFill>
                  <w14:solidFill>
                    <w14:schemeClr w14:val="tx1"/>
                  </w14:solidFill>
                </w14:textFill>
              </w:rPr>
              <w:t>首次申报项目</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不予批准后再次申报项目</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超五年重新审核项目</w:t>
            </w:r>
          </w:p>
          <w:p>
            <w:pPr>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A3"/>
            </w:r>
            <w:r>
              <w:rPr>
                <w:rFonts w:cs="Times New Roman"/>
                <w:color w:val="000000" w:themeColor="text1"/>
                <w:szCs w:val="24"/>
                <w14:textFill>
                  <w14:solidFill>
                    <w14:schemeClr w14:val="tx1"/>
                  </w14:solidFill>
                </w14:textFill>
              </w:rPr>
              <w:t>重大变动重新报批项目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64"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项目审批（核准/</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备案）部门（选填）</w:t>
            </w:r>
          </w:p>
        </w:tc>
        <w:tc>
          <w:tcPr>
            <w:tcW w:w="1123"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hint="eastAsia" w:cs="Times New Roman"/>
                <w:color w:val="000000" w:themeColor="text1"/>
                <w:szCs w:val="24"/>
                <w14:textFill>
                  <w14:solidFill>
                    <w14:schemeClr w14:val="tx1"/>
                  </w14:solidFill>
                </w14:textFill>
              </w:rPr>
              <w:t>和静县发展和改革委员会</w:t>
            </w:r>
          </w:p>
        </w:tc>
        <w:tc>
          <w:tcPr>
            <w:tcW w:w="1022"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项目审批（核准/</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备案）文号（选填）</w:t>
            </w:r>
          </w:p>
        </w:tc>
        <w:tc>
          <w:tcPr>
            <w:tcW w:w="1650"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2603311917652827000127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总投资（万元）</w:t>
            </w:r>
          </w:p>
        </w:tc>
        <w:tc>
          <w:tcPr>
            <w:tcW w:w="1123" w:type="pct"/>
            <w:vAlign w:val="center"/>
          </w:tcPr>
          <w:p>
            <w:pPr>
              <w:adjustRightInd w:val="0"/>
              <w:snapToGrid w:val="0"/>
              <w:spacing w:line="240" w:lineRule="auto"/>
              <w:ind w:firstLine="0" w:firstLineChars="0"/>
              <w:jc w:val="center"/>
              <w:textAlignment w:val="auto"/>
              <w:rPr>
                <w:rFonts w:cs="Times New Roman"/>
                <w:color w:val="000000" w:themeColor="text1"/>
                <w:szCs w:val="24"/>
                <w:highlight w:val="yellow"/>
                <w14:textFill>
                  <w14:solidFill>
                    <w14:schemeClr w14:val="tx1"/>
                  </w14:solidFill>
                </w14:textFill>
              </w:rPr>
            </w:pPr>
            <w:r>
              <w:rPr>
                <w:color w:val="000000" w:themeColor="text1"/>
                <w14:textFill>
                  <w14:solidFill>
                    <w14:schemeClr w14:val="tx1"/>
                  </w14:solidFill>
                </w14:textFill>
              </w:rPr>
              <w:t>5000</w:t>
            </w:r>
          </w:p>
        </w:tc>
        <w:tc>
          <w:tcPr>
            <w:tcW w:w="1022" w:type="pct"/>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highlight w:val="yellow"/>
                <w14:textFill>
                  <w14:solidFill>
                    <w14:schemeClr w14:val="tx1"/>
                  </w14:solidFill>
                </w14:textFill>
              </w:rPr>
            </w:pPr>
            <w:r>
              <w:rPr>
                <w:rFonts w:cs="Times New Roman"/>
                <w:color w:val="000000" w:themeColor="text1"/>
                <w:szCs w:val="24"/>
                <w14:textFill>
                  <w14:solidFill>
                    <w14:schemeClr w14:val="tx1"/>
                  </w14:solidFill>
                </w14:textFill>
              </w:rPr>
              <w:t>环保投资（万元）</w:t>
            </w:r>
          </w:p>
        </w:tc>
        <w:tc>
          <w:tcPr>
            <w:tcW w:w="1650" w:type="pct"/>
            <w:vAlign w:val="center"/>
          </w:tcPr>
          <w:p>
            <w:pPr>
              <w:adjustRightInd w:val="0"/>
              <w:snapToGrid w:val="0"/>
              <w:spacing w:line="240" w:lineRule="auto"/>
              <w:ind w:firstLine="0" w:firstLineChars="0"/>
              <w:jc w:val="center"/>
              <w:textAlignment w:val="auto"/>
              <w:rPr>
                <w:rFonts w:cs="Times New Roman"/>
                <w:color w:val="000000" w:themeColor="text1"/>
                <w:szCs w:val="24"/>
                <w:highlight w:val="yellow"/>
                <w14:textFill>
                  <w14:solidFill>
                    <w14:schemeClr w14:val="tx1"/>
                  </w14:solidFill>
                </w14:textFill>
              </w:rPr>
            </w:pPr>
            <w:r>
              <w:rPr>
                <w:rFonts w:cs="Times New Roman"/>
                <w:color w:val="000000" w:themeColor="text1"/>
                <w:szCs w:val="24"/>
                <w14:textFill>
                  <w14:solidFill>
                    <w14:schemeClr w14:val="tx1"/>
                  </w14:solidFill>
                </w14:textFill>
              </w:rPr>
              <w:t>59.5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5"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环保投资占比（%）</w:t>
            </w:r>
          </w:p>
        </w:tc>
        <w:tc>
          <w:tcPr>
            <w:tcW w:w="1123"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1.19</w:t>
            </w:r>
          </w:p>
        </w:tc>
        <w:tc>
          <w:tcPr>
            <w:tcW w:w="1022" w:type="pct"/>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施工工期</w:t>
            </w:r>
          </w:p>
        </w:tc>
        <w:tc>
          <w:tcPr>
            <w:tcW w:w="1650"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w:t>
            </w:r>
            <w:r>
              <w:rPr>
                <w:rFonts w:hint="eastAsia" w:cs="Times New Roman"/>
                <w:color w:val="000000" w:themeColor="text1"/>
                <w:szCs w:val="24"/>
                <w14:textFill>
                  <w14:solidFill>
                    <w14:schemeClr w14:val="tx1"/>
                  </w14:solidFill>
                </w14:textFill>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53" w:hRule="atLeast"/>
        </w:trPr>
        <w:tc>
          <w:tcPr>
            <w:tcW w:w="1203" w:type="pct"/>
            <w:gridSpan w:val="2"/>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是否开工建设</w:t>
            </w:r>
          </w:p>
        </w:tc>
        <w:tc>
          <w:tcPr>
            <w:tcW w:w="1123" w:type="pct"/>
            <w:vAlign w:val="center"/>
          </w:tcPr>
          <w:p>
            <w:pPr>
              <w:adjustRightInd w:val="0"/>
              <w:snapToGrid w:val="0"/>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F052"/>
            </w:r>
            <w:r>
              <w:rPr>
                <w:rFonts w:cs="Times New Roman"/>
                <w:color w:val="000000" w:themeColor="text1"/>
                <w:szCs w:val="24"/>
                <w14:textFill>
                  <w14:solidFill>
                    <w14:schemeClr w14:val="tx1"/>
                  </w14:solidFill>
                </w14:textFill>
              </w:rPr>
              <w:t>否</w:t>
            </w:r>
          </w:p>
          <w:p>
            <w:pPr>
              <w:adjustRightInd w:val="0"/>
              <w:snapToGrid w:val="0"/>
              <w:spacing w:line="240" w:lineRule="auto"/>
              <w:ind w:firstLine="0" w:firstLineChars="0"/>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sym w:font="Wingdings 2" w:char="00A3"/>
            </w:r>
            <w:r>
              <w:rPr>
                <w:rFonts w:cs="Times New Roman"/>
                <w:color w:val="000000" w:themeColor="text1"/>
                <w:szCs w:val="24"/>
                <w14:textFill>
                  <w14:solidFill>
                    <w14:schemeClr w14:val="tx1"/>
                  </w14:solidFill>
                </w14:textFill>
              </w:rPr>
              <w:t>是</w:t>
            </w:r>
          </w:p>
        </w:tc>
        <w:tc>
          <w:tcPr>
            <w:tcW w:w="1022" w:type="pct"/>
            <w:tcMar>
              <w:top w:w="16" w:type="dxa"/>
              <w:left w:w="16" w:type="dxa"/>
              <w:right w:w="16" w:type="dxa"/>
            </w:tcMar>
            <w:vAlign w:val="center"/>
          </w:tcPr>
          <w:p>
            <w:pPr>
              <w:adjustRightInd w:val="0"/>
              <w:snapToGrid w:val="0"/>
              <w:spacing w:line="240" w:lineRule="auto"/>
              <w:ind w:firstLine="0" w:firstLineChars="0"/>
              <w:jc w:val="center"/>
              <w:textAlignment w:val="auto"/>
              <w:rPr>
                <w:rFonts w:cs="Times New Roman"/>
                <w:color w:val="000000" w:themeColor="text1"/>
                <w:spacing w:val="-6"/>
                <w:szCs w:val="24"/>
                <w14:textFill>
                  <w14:solidFill>
                    <w14:schemeClr w14:val="tx1"/>
                  </w14:solidFill>
                </w14:textFill>
              </w:rPr>
            </w:pPr>
            <w:r>
              <w:rPr>
                <w:rFonts w:cs="Times New Roman"/>
                <w:color w:val="000000" w:themeColor="text1"/>
                <w:spacing w:val="-6"/>
                <w:szCs w:val="24"/>
                <w14:textFill>
                  <w14:solidFill>
                    <w14:schemeClr w14:val="tx1"/>
                  </w14:solidFill>
                </w14:textFill>
              </w:rPr>
              <w:t>用地（用海）</w:t>
            </w:r>
          </w:p>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pacing w:val="-6"/>
                <w:szCs w:val="24"/>
                <w14:textFill>
                  <w14:solidFill>
                    <w14:schemeClr w14:val="tx1"/>
                  </w14:solidFill>
                </w14:textFill>
              </w:rPr>
              <w:t>面积（m</w:t>
            </w:r>
            <w:r>
              <w:rPr>
                <w:rFonts w:cs="Times New Roman"/>
                <w:color w:val="000000" w:themeColor="text1"/>
                <w:spacing w:val="-6"/>
                <w:szCs w:val="24"/>
                <w:vertAlign w:val="superscript"/>
                <w14:textFill>
                  <w14:solidFill>
                    <w14:schemeClr w14:val="tx1"/>
                  </w14:solidFill>
                </w14:textFill>
              </w:rPr>
              <w:t>2</w:t>
            </w:r>
            <w:r>
              <w:rPr>
                <w:rFonts w:cs="Times New Roman"/>
                <w:color w:val="000000" w:themeColor="text1"/>
                <w:spacing w:val="-6"/>
                <w:szCs w:val="24"/>
                <w14:textFill>
                  <w14:solidFill>
                    <w14:schemeClr w14:val="tx1"/>
                  </w14:solidFill>
                </w14:textFill>
              </w:rPr>
              <w:t>）</w:t>
            </w:r>
          </w:p>
        </w:tc>
        <w:tc>
          <w:tcPr>
            <w:tcW w:w="1650" w:type="pct"/>
            <w:vAlign w:val="center"/>
          </w:tcPr>
          <w:p>
            <w:pPr>
              <w:adjustRightInd w:val="0"/>
              <w:snapToGrid w:val="0"/>
              <w:spacing w:line="240" w:lineRule="auto"/>
              <w:ind w:firstLine="0" w:firstLineChars="0"/>
              <w:jc w:val="center"/>
              <w:textAlignment w:val="auto"/>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12157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1203" w:type="pct"/>
            <w:gridSpan w:val="2"/>
            <w:vAlign w:val="center"/>
          </w:tcPr>
          <w:p>
            <w:pPr>
              <w:autoSpaceDE w:val="0"/>
              <w:autoSpaceDN w:val="0"/>
              <w:adjustRightInd w:val="0"/>
              <w:snapToGrid w:val="0"/>
              <w:spacing w:line="240" w:lineRule="auto"/>
              <w:ind w:firstLine="0" w:firstLineChars="0"/>
              <w:jc w:val="center"/>
              <w:textAlignment w:val="auto"/>
              <w:rPr>
                <w:rFonts w:cs="Times New Roman"/>
                <w:color w:val="000000" w:themeColor="text1"/>
                <w:kern w:val="0"/>
                <w:szCs w:val="24"/>
                <w14:textFill>
                  <w14:solidFill>
                    <w14:schemeClr w14:val="tx1"/>
                  </w14:solidFill>
                </w14:textFill>
              </w:rPr>
            </w:pPr>
            <w:r>
              <w:rPr>
                <w:rFonts w:cs="Times New Roman"/>
                <w:color w:val="000000" w:themeColor="text1"/>
                <w:kern w:val="0"/>
                <w:szCs w:val="24"/>
                <w14:textFill>
                  <w14:solidFill>
                    <w14:schemeClr w14:val="tx1"/>
                  </w14:solidFill>
                </w14:textFill>
              </w:rPr>
              <w:t>专项评价设置情况</w:t>
            </w:r>
          </w:p>
        </w:tc>
        <w:tc>
          <w:tcPr>
            <w:tcW w:w="3796" w:type="pct"/>
            <w:gridSpan w:val="3"/>
            <w:vAlign w:val="center"/>
          </w:tcPr>
          <w:p>
            <w:pPr>
              <w:ind w:firstLine="480"/>
              <w:rPr>
                <w:rFonts w:cs="Times New Roman"/>
                <w:color w:val="000000"/>
              </w:rPr>
            </w:pPr>
            <w:r>
              <w:rPr>
                <w:rFonts w:cs="Times New Roman"/>
                <w:color w:val="000000"/>
              </w:rPr>
              <w:t>结合《建设项目环境影响报告表编制技术指南（试行）》表1</w:t>
            </w:r>
            <w:r>
              <w:rPr>
                <w:rFonts w:hint="eastAsia" w:cs="Times New Roman"/>
                <w:color w:val="000000"/>
              </w:rPr>
              <w:t>“</w:t>
            </w:r>
            <w:r>
              <w:rPr>
                <w:rFonts w:cs="Times New Roman"/>
                <w:color w:val="000000"/>
              </w:rPr>
              <w:t>专项评价设置原则表</w:t>
            </w:r>
            <w:r>
              <w:rPr>
                <w:rFonts w:hint="eastAsia" w:cs="Times New Roman"/>
                <w:color w:val="000000"/>
              </w:rPr>
              <w:t>”</w:t>
            </w:r>
            <w:r>
              <w:rPr>
                <w:rFonts w:cs="Times New Roman"/>
                <w:color w:val="000000"/>
              </w:rPr>
              <w:t>，</w:t>
            </w:r>
            <w:r>
              <w:rPr>
                <w:rFonts w:hint="eastAsia" w:cs="Times New Roman"/>
                <w:color w:val="000000"/>
              </w:rPr>
              <w:t>排放废气含有毒有害污染物、二噁英、苯并[a]芘、氰化物、氯气且厂界外500米范围内有环境空气保护目标的建设项目</w:t>
            </w:r>
            <w:r>
              <w:rPr>
                <w:rFonts w:cs="Times New Roman"/>
                <w:color w:val="000000"/>
              </w:rPr>
              <w:t>，需设置大气专项评价。</w:t>
            </w:r>
            <w:r>
              <w:rPr>
                <w:rFonts w:hint="eastAsia" w:cs="Times New Roman"/>
                <w:color w:val="000000"/>
              </w:rPr>
              <w:t>本项目排放废气中含有苯并[a]芘，经调查项目厂界外500米范围内无自然保护区、居住区等环境空气保护目标，因此无须设置大气专项评价，符合相关技术指南要求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trPr>
        <w:tc>
          <w:tcPr>
            <w:tcW w:w="1203" w:type="pct"/>
            <w:gridSpan w:val="2"/>
            <w:vAlign w:val="center"/>
          </w:tcPr>
          <w:p>
            <w:pPr>
              <w:autoSpaceDE w:val="0"/>
              <w:autoSpaceDN w:val="0"/>
              <w:adjustRightInd w:val="0"/>
              <w:snapToGrid w:val="0"/>
              <w:spacing w:line="240" w:lineRule="auto"/>
              <w:ind w:firstLine="0" w:firstLineChars="0"/>
              <w:jc w:val="center"/>
              <w:textAlignment w:val="auto"/>
              <w:rPr>
                <w:rFonts w:cs="Times New Roman"/>
                <w:color w:val="000000" w:themeColor="text1"/>
                <w:kern w:val="0"/>
                <w:szCs w:val="24"/>
                <w14:textFill>
                  <w14:solidFill>
                    <w14:schemeClr w14:val="tx1"/>
                  </w14:solidFill>
                </w14:textFill>
              </w:rPr>
            </w:pPr>
            <w:r>
              <w:rPr>
                <w:rFonts w:cs="Times New Roman"/>
                <w:color w:val="000000" w:themeColor="text1"/>
                <w:szCs w:val="24"/>
                <w14:textFill>
                  <w14:solidFill>
                    <w14:schemeClr w14:val="tx1"/>
                  </w14:solidFill>
                </w14:textFill>
              </w:rPr>
              <w:t>规划情况</w:t>
            </w:r>
          </w:p>
        </w:tc>
        <w:tc>
          <w:tcPr>
            <w:tcW w:w="3796" w:type="pct"/>
            <w:gridSpan w:val="3"/>
            <w:vAlign w:val="center"/>
          </w:tcPr>
          <w:p>
            <w:pPr>
              <w:ind w:firstLine="0" w:firstLineChars="0"/>
            </w:pPr>
            <w:bookmarkStart w:id="6" w:name="OLE_LINK6"/>
            <w:r>
              <w:rPr>
                <w:rFonts w:hint="eastAsia"/>
                <w:color w:val="000000"/>
              </w:rPr>
              <w:t>规划名称：</w:t>
            </w:r>
            <w:r>
              <w:t>《和静县工业园区总体规划（20</w:t>
            </w:r>
            <w:r>
              <w:rPr>
                <w:rFonts w:hint="eastAsia"/>
              </w:rPr>
              <w:t>1</w:t>
            </w:r>
            <w:r>
              <w:t>6-2030）》</w:t>
            </w:r>
          </w:p>
          <w:p>
            <w:pPr>
              <w:ind w:firstLine="0" w:firstLineChars="0"/>
              <w:rPr>
                <w:color w:val="000000"/>
              </w:rPr>
            </w:pPr>
            <w:r>
              <w:rPr>
                <w:rFonts w:hint="eastAsia"/>
                <w:color w:val="000000"/>
              </w:rPr>
              <w:t>审批机关：新疆维吾尔自治区人民政府</w:t>
            </w:r>
          </w:p>
          <w:p>
            <w:pPr>
              <w:ind w:firstLine="0" w:firstLineChars="0"/>
            </w:pPr>
            <w:r>
              <w:rPr>
                <w:rFonts w:hint="eastAsia"/>
                <w:color w:val="000000"/>
              </w:rPr>
              <w:t>审批文件名称和文号：《关于和静工业园区总体规划2</w:t>
            </w:r>
            <w:r>
              <w:rPr>
                <w:color w:val="000000"/>
              </w:rPr>
              <w:t>016-2030</w:t>
            </w:r>
            <w:r>
              <w:rPr>
                <w:rFonts w:hint="eastAsia"/>
                <w:color w:val="000000"/>
              </w:rPr>
              <w:t>》年的复函（新政办函</w:t>
            </w:r>
            <w:r>
              <w:rPr>
                <w:rFonts w:hint="eastAsia"/>
              </w:rPr>
              <w:t>〔</w:t>
            </w:r>
            <w:r>
              <w:t>2017</w:t>
            </w:r>
            <w:r>
              <w:rPr>
                <w:rFonts w:hint="eastAsia"/>
              </w:rPr>
              <w:t>〕</w:t>
            </w:r>
            <w:r>
              <w:rPr>
                <w:rFonts w:hint="eastAsia"/>
                <w:color w:val="000000"/>
              </w:rPr>
              <w:t>2</w:t>
            </w:r>
            <w:r>
              <w:rPr>
                <w:color w:val="000000"/>
              </w:rPr>
              <w:t>67</w:t>
            </w:r>
            <w:r>
              <w:rPr>
                <w:rFonts w:hint="eastAsia"/>
                <w:color w:val="000000"/>
              </w:rPr>
              <w:t>号）</w:t>
            </w:r>
            <w:bookmarkEnd w:id="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0" w:hRule="atLeast"/>
        </w:trPr>
        <w:tc>
          <w:tcPr>
            <w:tcW w:w="1203" w:type="pct"/>
            <w:gridSpan w:val="2"/>
            <w:vAlign w:val="center"/>
          </w:tcPr>
          <w:p>
            <w:pPr>
              <w:adjustRightInd w:val="0"/>
              <w:snapToGrid w:val="0"/>
              <w:spacing w:line="240" w:lineRule="auto"/>
              <w:ind w:firstLine="0" w:firstLineChars="0"/>
              <w:jc w:val="center"/>
              <w:textAlignment w:val="auto"/>
              <w:rPr>
                <w:rFonts w:cs="Times New Roman"/>
                <w:color w:val="000000" w:themeColor="text1"/>
                <w:kern w:val="0"/>
                <w:szCs w:val="24"/>
                <w14:textFill>
                  <w14:solidFill>
                    <w14:schemeClr w14:val="tx1"/>
                  </w14:solidFill>
                </w14:textFill>
              </w:rPr>
            </w:pPr>
            <w:r>
              <w:rPr>
                <w:rFonts w:cs="Times New Roman"/>
                <w:color w:val="000000" w:themeColor="text1"/>
                <w:szCs w:val="24"/>
                <w14:textFill>
                  <w14:solidFill>
                    <w14:schemeClr w14:val="tx1"/>
                  </w14:solidFill>
                </w14:textFill>
              </w:rPr>
              <w:t>规划环境影响评价情况</w:t>
            </w:r>
          </w:p>
        </w:tc>
        <w:tc>
          <w:tcPr>
            <w:tcW w:w="3796" w:type="pct"/>
            <w:gridSpan w:val="3"/>
            <w:vAlign w:val="center"/>
          </w:tcPr>
          <w:p>
            <w:pPr>
              <w:ind w:firstLine="0" w:firstLineChars="0"/>
            </w:pPr>
            <w:bookmarkStart w:id="7" w:name="OLE_LINK12"/>
            <w:r>
              <w:rPr>
                <w:rFonts w:hint="eastAsia"/>
                <w:color w:val="000000"/>
              </w:rPr>
              <w:t>规划环境影响评价文件名称：</w:t>
            </w:r>
            <w:r>
              <w:rPr>
                <w:rFonts w:hint="eastAsia"/>
              </w:rPr>
              <w:t>《和静工业园区总体规划（</w:t>
            </w:r>
            <w:r>
              <w:t>2013-2030</w:t>
            </w:r>
            <w:r>
              <w:rPr>
                <w:rFonts w:hint="eastAsia"/>
              </w:rPr>
              <w:t>）环境影响报告书》</w:t>
            </w:r>
          </w:p>
          <w:p>
            <w:pPr>
              <w:ind w:firstLine="0" w:firstLineChars="0"/>
            </w:pPr>
            <w:r>
              <w:rPr>
                <w:rFonts w:hint="eastAsia"/>
                <w:color w:val="000000"/>
              </w:rPr>
              <w:t>审批机关：原新疆维吾尔自治区环境保护厅</w:t>
            </w:r>
          </w:p>
          <w:p>
            <w:pPr>
              <w:ind w:firstLine="0" w:firstLineChars="0"/>
            </w:pPr>
            <w:r>
              <w:rPr>
                <w:rFonts w:hint="eastAsia"/>
                <w:color w:val="000000"/>
              </w:rPr>
              <w:t>审查文件名称和文号：</w:t>
            </w:r>
            <w:r>
              <w:rPr>
                <w:rFonts w:hint="eastAsia"/>
              </w:rPr>
              <w:t>《关于和静工业园区总体规划（</w:t>
            </w:r>
            <w:r>
              <w:t>2013-2030</w:t>
            </w:r>
            <w:r>
              <w:rPr>
                <w:rFonts w:hint="eastAsia"/>
              </w:rPr>
              <w:t>）环境影响报告书的审查意见》（新环函〔</w:t>
            </w:r>
            <w:r>
              <w:t>2016</w:t>
            </w:r>
            <w:r>
              <w:rPr>
                <w:rFonts w:hint="eastAsia"/>
              </w:rPr>
              <w:t>〕</w:t>
            </w:r>
            <w:r>
              <w:t>1323</w:t>
            </w:r>
            <w:r>
              <w:rPr>
                <w:rFonts w:hint="eastAsia"/>
              </w:rPr>
              <w:t>号）</w:t>
            </w:r>
            <w:bookmarkEnd w:id="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03" w:type="pct"/>
            <w:gridSpan w:val="2"/>
            <w:vAlign w:val="center"/>
          </w:tcPr>
          <w:p>
            <w:pPr>
              <w:autoSpaceDE w:val="0"/>
              <w:autoSpaceDN w:val="0"/>
              <w:adjustRightInd w:val="0"/>
              <w:snapToGrid w:val="0"/>
              <w:spacing w:line="240" w:lineRule="auto"/>
              <w:ind w:firstLine="0" w:firstLineChars="0"/>
              <w:textAlignment w:val="auto"/>
              <w:rPr>
                <w:rFonts w:cs="Times New Roman"/>
                <w:color w:val="000000" w:themeColor="text1"/>
                <w:kern w:val="0"/>
                <w:szCs w:val="24"/>
                <w14:textFill>
                  <w14:solidFill>
                    <w14:schemeClr w14:val="tx1"/>
                  </w14:solidFill>
                </w14:textFill>
              </w:rPr>
            </w:pPr>
            <w:r>
              <w:rPr>
                <w:rFonts w:cs="Times New Roman"/>
                <w:color w:val="000000" w:themeColor="text1"/>
                <w:kern w:val="0"/>
                <w:szCs w:val="24"/>
                <w14:textFill>
                  <w14:solidFill>
                    <w14:schemeClr w14:val="tx1"/>
                  </w14:solidFill>
                </w14:textFill>
              </w:rPr>
              <w:t>规划及规划环境影响评价符合性分析</w:t>
            </w:r>
          </w:p>
        </w:tc>
        <w:tc>
          <w:tcPr>
            <w:tcW w:w="3796" w:type="pct"/>
            <w:gridSpan w:val="3"/>
            <w:vAlign w:val="center"/>
          </w:tcPr>
          <w:p>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1、与《和静县工业园区总体规划（2016-2030）》的符合性分析</w:t>
            </w:r>
          </w:p>
          <w:p>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.1</w:t>
            </w:r>
            <w:r>
              <w:rPr>
                <w:rFonts w:hint="eastAsia"/>
                <w:b/>
                <w:bCs/>
                <w:color w:val="000000" w:themeColor="text1"/>
                <w14:textFill>
                  <w14:solidFill>
                    <w14:schemeClr w14:val="tx1"/>
                  </w14:solidFill>
                </w14:textFill>
              </w:rPr>
              <w:t>规划基本情况</w:t>
            </w:r>
          </w:p>
          <w:p>
            <w:pPr>
              <w:ind w:firstLine="480"/>
            </w:pPr>
            <w:r>
              <w:t>（1）规划名称</w:t>
            </w:r>
          </w:p>
          <w:p>
            <w:pPr>
              <w:ind w:firstLine="480"/>
            </w:pPr>
            <w:r>
              <w:t>《和静县工业园区总体规划（20</w:t>
            </w:r>
            <w:r>
              <w:rPr>
                <w:rFonts w:hint="eastAsia"/>
              </w:rPr>
              <w:t>1</w:t>
            </w:r>
            <w:r>
              <w:t>6-2030）》</w:t>
            </w:r>
          </w:p>
          <w:p>
            <w:pPr>
              <w:ind w:firstLine="480"/>
            </w:pPr>
            <w:r>
              <w:t>（2）规划期限</w:t>
            </w:r>
          </w:p>
          <w:p>
            <w:pPr>
              <w:ind w:firstLine="480"/>
            </w:pPr>
            <w:r>
              <w:rPr>
                <w:rFonts w:hint="eastAsia"/>
              </w:rPr>
              <w:t>《和静县工业园区总体规划（2016-2030）》</w:t>
            </w:r>
            <w:r>
              <w:t>规划期限为20</w:t>
            </w:r>
            <w:r>
              <w:rPr>
                <w:rFonts w:hint="eastAsia"/>
              </w:rPr>
              <w:t>1</w:t>
            </w:r>
            <w:r>
              <w:t>6</w:t>
            </w:r>
            <w:r>
              <w:rPr>
                <w:rFonts w:hint="eastAsia"/>
              </w:rPr>
              <w:t>年-</w:t>
            </w:r>
            <w:r>
              <w:t>20</w:t>
            </w:r>
            <w:r>
              <w:rPr>
                <w:rFonts w:hint="eastAsia"/>
              </w:rPr>
              <w:t>30</w:t>
            </w:r>
            <w:r>
              <w:t>年。</w:t>
            </w:r>
            <w:r>
              <w:rPr>
                <w:rFonts w:hint="eastAsia"/>
              </w:rPr>
              <w:t>分为近期和远期两个阶段。其中，近期期限确定为2016年-2020年，远期期限为2021年-2030年</w:t>
            </w:r>
            <w:r>
              <w:t>。</w:t>
            </w:r>
          </w:p>
          <w:p>
            <w:pPr>
              <w:ind w:firstLine="482"/>
              <w:rPr>
                <w:b/>
                <w:bCs/>
              </w:rPr>
            </w:pPr>
            <w:r>
              <w:rPr>
                <w:b/>
                <w:bCs/>
              </w:rPr>
              <w:t>1.2园区发展定位</w:t>
            </w:r>
          </w:p>
          <w:p>
            <w:pPr>
              <w:ind w:firstLine="480"/>
            </w:pPr>
            <w:r>
              <w:rPr>
                <w:rFonts w:hint="eastAsia"/>
              </w:rPr>
              <w:t>以绿色农产品、铁矿等优势资源为基础，农副产品精深加工、机械设备、装备制造产业、钢铁、建材、矿产品精深加工为主导，集综合配套服务功能为一体的新兴工业化示范基地和商贸物流中心。</w:t>
            </w:r>
          </w:p>
          <w:p>
            <w:pPr>
              <w:ind w:firstLine="482"/>
              <w:rPr>
                <w:b/>
                <w:bCs/>
              </w:rPr>
            </w:pPr>
            <w:r>
              <w:rPr>
                <w:b/>
                <w:bCs/>
              </w:rPr>
              <w:t>1.3产业布局规划</w:t>
            </w:r>
          </w:p>
          <w:p>
            <w:pPr>
              <w:widowControl/>
              <w:ind w:firstLine="482"/>
              <w:jc w:val="left"/>
              <w:rPr>
                <w:b/>
                <w:bCs/>
              </w:rPr>
            </w:pPr>
            <w:r>
              <w:rPr>
                <w:rFonts w:hint="eastAsia" w:ascii="宋体" w:hAnsi="宋体" w:cs="宋体"/>
                <w:b/>
                <w:bCs/>
                <w:kern w:val="0"/>
                <w:lang w:bidi="ar"/>
              </w:rPr>
              <w:t>①</w:t>
            </w:r>
            <w:r>
              <w:rPr>
                <w:b/>
                <w:bCs/>
                <w:kern w:val="0"/>
                <w:lang w:bidi="ar"/>
              </w:rPr>
              <w:t>空间结构</w:t>
            </w:r>
          </w:p>
          <w:p>
            <w:pPr>
              <w:ind w:firstLine="480"/>
            </w:pPr>
            <w:r>
              <w:rPr>
                <w:rFonts w:hint="eastAsia"/>
              </w:rPr>
              <w:t>和静工业园区规划为“一区三园”的空间结构，分别为哈尔莫敦矿业片区、新兴产业区、额勒再特工业片区。其中：哈区在规划区域东侧布置片区综合服务中心，集聚商业、商务、员工宿舍、公园等功能用地，在东南布置物流仓储用地，其余地块以工业用地为主，配套相应的公用设施。</w:t>
            </w:r>
          </w:p>
          <w:p>
            <w:pPr>
              <w:ind w:firstLine="480"/>
            </w:pPr>
            <w:r>
              <w:rPr>
                <w:rFonts w:hint="eastAsia"/>
              </w:rPr>
              <w:t>新兴产业片区结合新兴铸管新疆有限公司的建设规划，在北侧布置门户景观公园和仓储物流用地，中部和南部结合现状用地布置工业和仓储物流用地，西南侧在现有办公用地和员工宿舍用地的基础上继续完善，新增南部的污水处理厂等公用设施用地。</w:t>
            </w:r>
          </w:p>
          <w:p>
            <w:pPr>
              <w:ind w:firstLine="480"/>
            </w:pPr>
            <w:r>
              <w:rPr>
                <w:rFonts w:hint="eastAsia"/>
              </w:rPr>
              <w:t>额区西南部靠近额勒再特乌鲁乡集镇处规划建设综合服务中心，包括居住、商业、商贸、会展、酒店、商务办公、研发培训等功能；中北部以物流仓储用地为主；其余地块以工业用地为主，按照服务半径配套相应的公用设施。</w:t>
            </w:r>
          </w:p>
          <w:p>
            <w:pPr>
              <w:widowControl/>
              <w:ind w:firstLine="482"/>
              <w:jc w:val="left"/>
              <w:rPr>
                <w:b/>
                <w:bCs/>
              </w:rPr>
            </w:pPr>
            <w:r>
              <w:rPr>
                <w:rFonts w:hint="eastAsia" w:ascii="宋体" w:hAnsi="宋体" w:cs="宋体"/>
                <w:b/>
                <w:bCs/>
                <w:kern w:val="0"/>
                <w:lang w:bidi="ar"/>
              </w:rPr>
              <w:t>②</w:t>
            </w:r>
            <w:r>
              <w:rPr>
                <w:b/>
                <w:bCs/>
                <w:kern w:val="0"/>
                <w:lang w:bidi="ar"/>
              </w:rPr>
              <w:t>功能区布局</w:t>
            </w:r>
          </w:p>
          <w:p>
            <w:pPr>
              <w:ind w:firstLine="480"/>
            </w:pPr>
            <w:r>
              <w:rPr>
                <w:rFonts w:hint="eastAsia"/>
              </w:rPr>
              <w:t>各片区规划用地结构基本都是“一心多区”类型。</w:t>
            </w:r>
          </w:p>
          <w:p>
            <w:pPr>
              <w:ind w:firstLine="480"/>
            </w:pPr>
            <w:r>
              <w:rPr>
                <w:rFonts w:hint="eastAsia"/>
              </w:rPr>
              <w:t>其中，规划哈区形成“一心三园”结构。“一心”为靠近哈区东侧原218国道的片区服务中心；“三园”包括钢铁产业园、矿产精深加工产业园和仓储物流园。</w:t>
            </w:r>
          </w:p>
          <w:p>
            <w:pPr>
              <w:ind w:firstLine="480"/>
            </w:pPr>
            <w:r>
              <w:rPr>
                <w:rFonts w:hint="eastAsia"/>
              </w:rPr>
              <w:t>新兴产业片区形成“一心三区”的用地结构。“一心”为片区西南角的片区服务中心；“三区”是指新兴铸管产业园、仓储物流园和北部的门户景观区。</w:t>
            </w:r>
          </w:p>
          <w:p>
            <w:pPr>
              <w:ind w:firstLine="480"/>
            </w:pPr>
            <w:r>
              <w:rPr>
                <w:rFonts w:hint="eastAsia"/>
              </w:rPr>
              <w:t>额区在规划范围内将形成“一心六园”的用地结构。其中“一心”指片区西南靠近额勒再特乌鲁乡集镇的综合服务中心；“六园”则指综合产业园、农副产品加工产业园、机械设备产业园、装备制造产业园、高端科技产业园和仓储物流园。</w:t>
            </w:r>
          </w:p>
          <w:p>
            <w:pPr>
              <w:ind w:firstLine="482"/>
              <w:rPr>
                <w:b/>
                <w:bCs/>
              </w:rPr>
            </w:pPr>
            <w:r>
              <w:rPr>
                <w:b/>
                <w:bCs/>
              </w:rPr>
              <w:fldChar w:fldCharType="begin"/>
            </w:r>
            <w:r>
              <w:rPr>
                <w:b/>
                <w:bCs/>
              </w:rPr>
              <w:instrText xml:space="preserve"> </w:instrText>
            </w:r>
            <w:r>
              <w:rPr>
                <w:rFonts w:hint="eastAsia"/>
                <w:b/>
                <w:bCs/>
              </w:rPr>
              <w:instrText xml:space="preserve">= 3 \* GB3</w:instrText>
            </w:r>
            <w:r>
              <w:rPr>
                <w:b/>
                <w:bCs/>
              </w:rPr>
              <w:instrText xml:space="preserve"> </w:instrText>
            </w:r>
            <w:r>
              <w:rPr>
                <w:b/>
                <w:bCs/>
              </w:rPr>
              <w:fldChar w:fldCharType="separate"/>
            </w:r>
            <w:r>
              <w:rPr>
                <w:rFonts w:hint="eastAsia"/>
                <w:b/>
                <w:bCs/>
              </w:rPr>
              <w:t>③</w:t>
            </w:r>
            <w:r>
              <w:rPr>
                <w:b/>
                <w:bCs/>
              </w:rPr>
              <w:fldChar w:fldCharType="end"/>
            </w:r>
            <w:r>
              <w:rPr>
                <w:rFonts w:hint="eastAsia"/>
                <w:b/>
                <w:bCs/>
              </w:rPr>
              <w:t>用地布局规划</w:t>
            </w:r>
          </w:p>
          <w:p>
            <w:pPr>
              <w:ind w:firstLine="480"/>
              <w:rPr>
                <w:color w:val="000000"/>
              </w:rPr>
            </w:pPr>
            <w:r>
              <w:rPr>
                <w:rFonts w:hint="eastAsia"/>
                <w:color w:val="000000"/>
              </w:rPr>
              <w:t>规划区域内规划工业用地总面积为2775.00公顷，其中一类工业用地面积186.09公顷，二类工业用地面积531.81公顷，三类工业用地面积2057.10公顷。</w:t>
            </w:r>
          </w:p>
          <w:p>
            <w:pPr>
              <w:ind w:firstLine="480"/>
              <w:rPr>
                <w:color w:val="000000"/>
              </w:rPr>
            </w:pPr>
            <w:r>
              <w:rPr>
                <w:rFonts w:hint="eastAsia"/>
                <w:color w:val="000000"/>
              </w:rPr>
              <w:t>在哈区的规划城市建设用地中，工业用地面积为687.57公顷，占片区城市建设用地的71.67%。其中一类工业用地面积为186.09公顷，三类工业用地为501.48公顷。</w:t>
            </w:r>
          </w:p>
          <w:p>
            <w:pPr>
              <w:ind w:firstLine="480"/>
              <w:rPr>
                <w:color w:val="000000"/>
              </w:rPr>
            </w:pPr>
            <w:r>
              <w:rPr>
                <w:rFonts w:hint="eastAsia"/>
                <w:color w:val="000000"/>
              </w:rPr>
              <w:t>新兴产业片区工业用地面积为732.98公顷，占片区城市建设用地的比例为62.04%，均为三类工业用地。</w:t>
            </w:r>
          </w:p>
          <w:p>
            <w:pPr>
              <w:ind w:firstLine="480"/>
            </w:pPr>
            <w:r>
              <w:rPr>
                <w:rFonts w:hint="eastAsia"/>
                <w:color w:val="000000"/>
              </w:rPr>
              <w:t>额区工业用地面积为1354.45公顷，占片区城市建设用地的比例为66.32%。其中二类工业用地面积为531.81公顷，三类工业用地为822.64公顷。规划在哈区和额区选择部分地块作为标准厂房建设用地，用地面积约47.60公顷。其中哈区的标准厂房用地位于片区服务中心西侧，面积约18.74公顷；额区的标准厂房用地位于居住用地东侧，面积约28.86公顷。</w:t>
            </w:r>
          </w:p>
          <w:p>
            <w:pPr>
              <w:ind w:firstLine="480"/>
            </w:pPr>
            <w:r>
              <w:t>项目为</w:t>
            </w:r>
            <w:r>
              <w:rPr>
                <w:rFonts w:hint="eastAsia"/>
              </w:rPr>
              <w:t>非金属矿物制品制造</w:t>
            </w:r>
            <w:r>
              <w:t>，属于</w:t>
            </w:r>
            <w:r>
              <w:rPr>
                <w:rFonts w:hint="eastAsia"/>
              </w:rPr>
              <w:t>哈尔莫敦矿业片区</w:t>
            </w:r>
            <w:r>
              <w:t>，占地类型为工业用地，符合规划要求。</w:t>
            </w:r>
          </w:p>
          <w:p>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.4</w:t>
            </w:r>
            <w:r>
              <w:rPr>
                <w:rFonts w:hint="eastAsia"/>
                <w:b/>
                <w:bCs/>
              </w:rPr>
              <w:t>哈尔莫敦矿业片区产业定位</w:t>
            </w:r>
          </w:p>
          <w:p>
            <w:pPr>
              <w:ind w:firstLine="480"/>
              <w:rPr>
                <w:color w:val="000000"/>
              </w:rPr>
            </w:pPr>
            <w:r>
              <w:rPr>
                <w:rFonts w:hint="eastAsia"/>
              </w:rPr>
              <w:t>哈</w:t>
            </w:r>
            <w:r>
              <w:rPr>
                <w:rFonts w:hint="eastAsia"/>
                <w:color w:val="000000"/>
              </w:rPr>
              <w:t>尔莫敦矿业片区——依托矿产资源优势，建设矿产品冶炼及加工产业片区。</w:t>
            </w:r>
          </w:p>
          <w:p>
            <w:pPr>
              <w:ind w:firstLine="480"/>
              <w:rPr>
                <w:color w:val="000000"/>
              </w:rPr>
            </w:pPr>
            <w:r>
              <w:rPr>
                <w:rFonts w:hint="eastAsia"/>
                <w:color w:val="000000"/>
              </w:rPr>
              <w:t>本项目属于非金属矿物制品业，以重钙粉、轻钙粉、滑石粉等非金属矿产为原料，产品主要用于道路标线、道路养护等市政交通工程领域。非金属矿物制品业是矿产品加工的重要组成部分。因此，本项目符合哈尔莫敦矿业片区发挥矿产资源优势、发展矿产品冶炼及加工产业的规划定位。</w:t>
            </w:r>
          </w:p>
          <w:p>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2、与和静工业园总体规划（2013-2030年）环境影响报告书的符合性分析</w:t>
            </w:r>
          </w:p>
          <w:p>
            <w:pPr>
              <w:pStyle w:val="13"/>
              <w:ind w:firstLine="480"/>
            </w:pPr>
            <w:r>
              <w:rPr>
                <w:rFonts w:hint="eastAsia"/>
              </w:rPr>
              <w:t>（一）坚持实行入园企业环保准入审核制度，与产业定位不符的项目一律不得入园，对于入园的建设项目必须开展环境影响评价，严格执行建设项目“三同时”环境管理制度。</w:t>
            </w:r>
          </w:p>
          <w:p>
            <w:pPr>
              <w:pStyle w:val="13"/>
              <w:ind w:firstLine="480"/>
            </w:pPr>
            <w:r>
              <w:rPr>
                <w:rFonts w:hint="eastAsia"/>
              </w:rPr>
              <w:t>（二）不符合园区规划布局、产业定位的企业应予以搬迁。</w:t>
            </w:r>
          </w:p>
          <w:p>
            <w:pPr>
              <w:pStyle w:val="13"/>
              <w:ind w:firstLine="480"/>
            </w:pPr>
            <w:r>
              <w:rPr>
                <w:rFonts w:hint="eastAsia"/>
              </w:rPr>
              <w:t>（三）加快基础设施建设，优先建设集中供热、污水处理、一般固废填埋场等基础设施。</w:t>
            </w:r>
          </w:p>
          <w:p>
            <w:pPr>
              <w:pStyle w:val="13"/>
              <w:ind w:firstLine="480"/>
            </w:pPr>
            <w:r>
              <w:rPr>
                <w:rFonts w:hint="eastAsia"/>
              </w:rPr>
              <w:t>（四）积极开展清洁生产审核，入园企业的清洁生产水平必须达到国内先进水平；大力发展园区循环经济，制定切实可行的一般固体废弃物、废水综合利用方案，提高资源利用率；严格按照国家有关规定进行危险废物贮存、处置和处理；严格落实污染物总量控制要求，提出污染物减排方案和具体措施。</w:t>
            </w:r>
          </w:p>
          <w:p>
            <w:pPr>
              <w:pStyle w:val="13"/>
              <w:ind w:firstLine="480"/>
            </w:pPr>
            <w:r>
              <w:rPr>
                <w:rFonts w:hint="eastAsia"/>
              </w:rPr>
              <w:t>（五）建立健全环境管理机构，完善各种环境管理制度、环境风险防控体系、污染防治制度和环境监控体系，确保环境安全在园区基础设施和企业建设项目运营管理中须制定并落实事故风险防范措施和应急预案，配套完善的运行管理设施，防止污染事故的发生。</w:t>
            </w:r>
          </w:p>
          <w:p>
            <w:pPr>
              <w:pStyle w:val="13"/>
              <w:ind w:firstLine="480"/>
            </w:pPr>
            <w:r>
              <w:rPr>
                <w:rFonts w:hint="eastAsia"/>
              </w:rPr>
              <w:t>（六）建立环境影响跟踪评价制度，定期对存在的潜在危害进行调查分析、跟踪评价，及时向环保部门反馈信息，及时调整总体发展布局和相关的环保对策措施，对园区实行动态管理，实现可持续发展。规划实施后，应每5年进行一次规划的环境影响跟踪评价，在规划修编时应重新编制环境影响报告书，按照规定程序报审。</w:t>
            </w:r>
          </w:p>
          <w:p>
            <w:pPr>
              <w:ind w:firstLine="480"/>
              <w:rPr>
                <w:color w:val="000000"/>
              </w:rPr>
            </w:pPr>
            <w:r>
              <w:rPr>
                <w:rFonts w:hint="eastAsia"/>
                <w:szCs w:val="24"/>
              </w:rPr>
              <w:t>本项目属于非金属矿物制品业，为《产业结构调整指导目录（2024年本）》中的允许类项目，位于</w:t>
            </w:r>
            <w:r>
              <w:rPr>
                <w:rFonts w:hint="eastAsia"/>
              </w:rPr>
              <w:t>和静县工业园区</w:t>
            </w:r>
            <w:r>
              <w:rPr>
                <w:rFonts w:hint="eastAsia"/>
                <w:szCs w:val="24"/>
              </w:rPr>
              <w:t>的哈尔莫敦矿业片区，符合园区的产业定位，用水用电均来自园区市政供给，一般固废集中收集外售或利用，生活垃圾由市政环卫部门进行处理，危险废物分类收集后委托有资质的单位进行处理，符合园区规划及规划环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42" w:hRule="atLeast"/>
        </w:trPr>
        <w:tc>
          <w:tcPr>
            <w:tcW w:w="267" w:type="pct"/>
            <w:vAlign w:val="center"/>
          </w:tcPr>
          <w:p>
            <w:pPr>
              <w:autoSpaceDE w:val="0"/>
              <w:autoSpaceDN w:val="0"/>
              <w:adjustRightInd w:val="0"/>
              <w:snapToGrid w:val="0"/>
              <w:spacing w:line="240" w:lineRule="auto"/>
              <w:ind w:firstLine="0" w:firstLineChars="0"/>
              <w:jc w:val="center"/>
              <w:textAlignment w:val="auto"/>
              <w:rPr>
                <w:rFonts w:cs="Times New Roman"/>
                <w:color w:val="000000" w:themeColor="text1"/>
                <w:kern w:val="0"/>
                <w:szCs w:val="24"/>
                <w14:textFill>
                  <w14:solidFill>
                    <w14:schemeClr w14:val="tx1"/>
                  </w14:solidFill>
                </w14:textFill>
              </w:rPr>
            </w:pPr>
            <w:r>
              <w:rPr>
                <w:rFonts w:cs="Times New Roman"/>
                <w:color w:val="000000" w:themeColor="text1"/>
                <w:kern w:val="0"/>
                <w:szCs w:val="24"/>
                <w14:textFill>
                  <w14:solidFill>
                    <w14:schemeClr w14:val="tx1"/>
                  </w14:solidFill>
                </w14:textFill>
              </w:rPr>
              <w:t>其他符合性分析</w:t>
            </w:r>
          </w:p>
        </w:tc>
        <w:tc>
          <w:tcPr>
            <w:tcW w:w="4732" w:type="pct"/>
            <w:gridSpan w:val="4"/>
            <w:vAlign w:val="center"/>
          </w:tcPr>
          <w:p>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1.项目产业政策符合性分析</w:t>
            </w:r>
          </w:p>
          <w:p>
            <w:pPr>
              <w:ind w:firstLine="480"/>
              <w:rPr>
                <w:color w:val="000000" w:themeColor="text1"/>
                <w14:textFill>
                  <w14:solidFill>
                    <w14:schemeClr w14:val="tx1"/>
                  </w14:solidFill>
                </w14:textFill>
              </w:rPr>
            </w:pPr>
            <w:r>
              <w:rPr>
                <w:rFonts w:hint="eastAsia"/>
                <w:color w:val="000000"/>
              </w:rPr>
              <w:t>根据《产业结构调整指导目录（2024年本）》，本项目主要生产道路标线材料、道路养护材料等新型环保建筑材料，不属于鼓励类、限制类和淘汰类，属于允许类。此外，和静县发展和改革委员会已对本项目进行立项备案（备案证号：2603311917652827000127，备案时间：2026年4月13日）。因此，本项目建设符合国家产业政策</w:t>
            </w:r>
            <w:r>
              <w:rPr>
                <w:rFonts w:hint="eastAsia"/>
                <w:color w:val="000000" w:themeColor="text1"/>
                <w14:textFill>
                  <w14:solidFill>
                    <w14:schemeClr w14:val="tx1"/>
                  </w14:solidFill>
                </w14:textFill>
              </w:rPr>
              <w:t>。</w:t>
            </w:r>
            <w:bookmarkStart w:id="8" w:name="_Hlk97287319"/>
          </w:p>
          <w:p>
            <w:pPr>
              <w:ind w:firstLine="0" w:firstLineChars="0"/>
              <w:rPr>
                <w:rFonts w:cs="Times New Roman"/>
                <w:b/>
                <w:bCs/>
              </w:rPr>
            </w:pPr>
            <w:r>
              <w:rPr>
                <w:rFonts w:hint="eastAsia"/>
                <w:b/>
                <w:bCs/>
                <w:color w:val="000000" w:themeColor="text1"/>
                <w14:textFill>
                  <w14:solidFill>
                    <w14:schemeClr w14:val="tx1"/>
                  </w14:solidFill>
                </w14:textFill>
              </w:rPr>
              <w:t>2.选址合理性分析</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本项目位于和静工业园区哈尔莫敦矿业片区。项目所在地水、电、道路等基础设施配套齐全，具备良好的建设条件。</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用地性质为工业用地，本项目已取得国有建设用地使用权挂牌出让成交确认书，2026-4号地块。不涉及农业、林业用地，无土地权属纠纷；用地范围内未占用饮用水水源保护区、自然保护区、风景名胜区、生态功能保护区及其他生态敏感区与脆弱区，符合生态保护红线管控要求。</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建设与运营过程中，项目严格落实环境保护主体责任，依据环境影响评价文件要求，配套建设完善且技术可行的污染物治理设施，确保各类污染物稳定达标排放。项目选址不涉及生态环境准入负面清单中禁止或限制建设的区域，符合国家及地方关于建设项目审批的相关政策规定，具备实施的合法性和可行性。</w:t>
            </w:r>
          </w:p>
          <w:p>
            <w:pPr>
              <w:ind w:firstLine="480"/>
              <w:rPr>
                <w:rFonts w:cs="Times New Roman"/>
              </w:rPr>
            </w:pPr>
            <w:r>
              <w:rPr>
                <w:rFonts w:hint="eastAsia"/>
                <w:color w:val="000000" w:themeColor="text1"/>
                <w14:textFill>
                  <w14:solidFill>
                    <w14:schemeClr w14:val="tx1"/>
                  </w14:solidFill>
                </w14:textFill>
              </w:rPr>
              <w:t>综上所述，本项目选址合理，符合相关规划与环保要求。</w:t>
            </w:r>
          </w:p>
          <w:p>
            <w:pPr>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3</w:t>
            </w:r>
            <w:r>
              <w:rPr>
                <w:rFonts w:hint="eastAsia"/>
                <w:b/>
                <w:bCs/>
                <w:color w:val="000000" w:themeColor="text1"/>
                <w14:textFill>
                  <w14:solidFill>
                    <w14:schemeClr w14:val="tx1"/>
                  </w14:solidFill>
                </w14:textFill>
              </w:rPr>
              <w:t>.本项目与新疆维吾尔自治区“生态环境分区管控”符合性分析</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本项目与《新疆维吾尔自治区生态环境分区管控动态更新成果》（新环环评发〔2024〕157号）相符性分析详见表1-1。</w:t>
            </w:r>
          </w:p>
          <w:p>
            <w:pPr>
              <w:adjustRightInd w:val="0"/>
              <w:spacing w:before="163" w:beforeLines="50" w:line="240" w:lineRule="auto"/>
              <w:ind w:firstLine="0" w:firstLineChars="0"/>
              <w:jc w:val="center"/>
              <w:textAlignment w:val="baseline"/>
              <w:rPr>
                <w:b/>
                <w:kern w:val="0"/>
                <w:sz w:val="21"/>
                <w:szCs w:val="20"/>
              </w:rPr>
            </w:pPr>
            <w:r>
              <w:rPr>
                <w:rFonts w:hint="eastAsia"/>
                <w:b/>
                <w:kern w:val="0"/>
                <w:sz w:val="21"/>
                <w:szCs w:val="20"/>
              </w:rPr>
              <w:t>表</w:t>
            </w:r>
            <w:r>
              <w:rPr>
                <w:b/>
                <w:kern w:val="0"/>
                <w:sz w:val="21"/>
                <w:szCs w:val="20"/>
              </w:rPr>
              <w:t xml:space="preserve">1-1  </w:t>
            </w:r>
            <w:r>
              <w:rPr>
                <w:rFonts w:hint="eastAsia"/>
                <w:b/>
                <w:kern w:val="0"/>
                <w:sz w:val="21"/>
                <w:szCs w:val="20"/>
              </w:rPr>
              <w:t>与新疆维吾尔自治区“生态环境分区管控”符合性分析</w:t>
            </w:r>
            <w:r>
              <w:rPr>
                <w:rFonts w:hint="eastAsia" w:cs="Times New Roman"/>
                <w:b/>
                <w:kern w:val="0"/>
                <w:sz w:val="21"/>
                <w:szCs w:val="20"/>
              </w:rPr>
              <w:t>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00"/>
              <w:gridCol w:w="566"/>
              <w:gridCol w:w="4087"/>
              <w:gridCol w:w="2165"/>
              <w:gridCol w:w="6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名称</w:t>
                  </w:r>
                </w:p>
              </w:tc>
              <w:tc>
                <w:tcPr>
                  <w:tcW w:w="2786" w:type="pct"/>
                  <w:gridSpan w:val="2"/>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文件要求</w:t>
                  </w:r>
                </w:p>
              </w:tc>
              <w:tc>
                <w:tcPr>
                  <w:tcW w:w="1296"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本项目</w:t>
                  </w:r>
                </w:p>
              </w:tc>
              <w:tc>
                <w:tcPr>
                  <w:tcW w:w="380"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restart"/>
                  <w:vAlign w:val="center"/>
                </w:tcPr>
                <w:p>
                  <w:pPr>
                    <w:spacing w:line="240" w:lineRule="auto"/>
                    <w:ind w:firstLine="0" w:firstLineChars="0"/>
                    <w:contextualSpacing/>
                    <w:jc w:val="center"/>
                    <w:rPr>
                      <w:rFonts w:cs="Times New Roman"/>
                      <w:sz w:val="21"/>
                      <w:szCs w:val="21"/>
                    </w:rPr>
                  </w:pPr>
                  <w:r>
                    <w:rPr>
                      <w:rFonts w:hint="eastAsia"/>
                      <w:sz w:val="21"/>
                      <w:szCs w:val="21"/>
                    </w:rPr>
                    <w:t>《新疆维吾尔自治区“生态环境分区管控”生态环境分区管控方案》）</w:t>
                  </w:r>
                </w:p>
              </w:tc>
              <w:tc>
                <w:tcPr>
                  <w:tcW w:w="339"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生态保护红线</w:t>
                  </w:r>
                </w:p>
              </w:tc>
              <w:tc>
                <w:tcPr>
                  <w:tcW w:w="2446"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按照“生态功能不降低、面积不减少、性质不改变”的基本要求，对划定的生态保护红线实施严格管控，保障和维护国家生态安全的底线和生命线</w:t>
                  </w:r>
                </w:p>
              </w:tc>
              <w:tc>
                <w:tcPr>
                  <w:tcW w:w="1296"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本项目不在生态保护红线范围内</w:t>
                  </w:r>
                </w:p>
              </w:tc>
              <w:tc>
                <w:tcPr>
                  <w:tcW w:w="380"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continue"/>
                  <w:vAlign w:val="center"/>
                </w:tcPr>
                <w:p>
                  <w:pPr>
                    <w:spacing w:line="240" w:lineRule="auto"/>
                    <w:ind w:firstLine="0" w:firstLineChars="0"/>
                    <w:contextualSpacing/>
                    <w:jc w:val="center"/>
                    <w:rPr>
                      <w:rFonts w:cs="Times New Roman"/>
                      <w:sz w:val="21"/>
                      <w:szCs w:val="21"/>
                    </w:rPr>
                  </w:pPr>
                </w:p>
              </w:tc>
              <w:tc>
                <w:tcPr>
                  <w:tcW w:w="339"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环境质量底线</w:t>
                  </w:r>
                </w:p>
              </w:tc>
              <w:tc>
                <w:tcPr>
                  <w:tcW w:w="2446"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全区水环境质量持续改善，受污染地表水体得到优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296" w:type="pct"/>
                  <w:vAlign w:val="center"/>
                </w:tcPr>
                <w:p>
                  <w:pPr>
                    <w:spacing w:line="240" w:lineRule="auto"/>
                    <w:ind w:firstLine="0" w:firstLineChars="0"/>
                    <w:contextualSpacing/>
                    <w:rPr>
                      <w:rFonts w:cs="Times New Roman"/>
                      <w:sz w:val="21"/>
                      <w:szCs w:val="21"/>
                    </w:rPr>
                  </w:pPr>
                  <w:r>
                    <w:rPr>
                      <w:rFonts w:hint="eastAsia" w:cs="Times New Roman"/>
                      <w:sz w:val="21"/>
                      <w:szCs w:val="21"/>
                    </w:rPr>
                    <w:t>本项目营运期产生的废水主要为生活污水。生活污水进入厂区化粪池预处理后，排入园区管网，最终进入和静县污水处理厂处理。</w:t>
                  </w:r>
                </w:p>
                <w:p>
                  <w:pPr>
                    <w:spacing w:line="240" w:lineRule="auto"/>
                    <w:ind w:firstLine="0" w:firstLineChars="0"/>
                    <w:contextualSpacing/>
                    <w:rPr>
                      <w:rFonts w:cs="Times New Roman"/>
                      <w:sz w:val="21"/>
                      <w:szCs w:val="21"/>
                    </w:rPr>
                  </w:pPr>
                  <w:r>
                    <w:rPr>
                      <w:rFonts w:hint="eastAsia" w:cs="Times New Roman"/>
                      <w:sz w:val="21"/>
                      <w:szCs w:val="21"/>
                    </w:rPr>
                    <w:t>本项目拆包卸料、投料及成品分装粉尘经集气罩收集后进入布袋除尘器处理，由15m高排气筒（DA001）排放。</w:t>
                  </w:r>
                </w:p>
                <w:p>
                  <w:pPr>
                    <w:spacing w:line="240" w:lineRule="auto"/>
                    <w:ind w:firstLine="0" w:firstLineChars="0"/>
                    <w:contextualSpacing/>
                    <w:rPr>
                      <w:rFonts w:cs="Times New Roman"/>
                      <w:sz w:val="21"/>
                      <w:szCs w:val="21"/>
                    </w:rPr>
                  </w:pPr>
                  <w:r>
                    <w:rPr>
                      <w:rFonts w:hint="eastAsia" w:cs="Times New Roman"/>
                      <w:color w:val="000000" w:themeColor="text1"/>
                      <w:sz w:val="21"/>
                      <w:szCs w:val="21"/>
                      <w14:textFill>
                        <w14:solidFill>
                          <w14:schemeClr w14:val="tx1"/>
                        </w14:solidFill>
                      </w14:textFill>
                    </w:rPr>
                    <w:t>液态道路标线材料生产混合搅拌非甲烷总烃经负压收集后进入两级活性炭吸附装置，由15m高排气筒（DA002）排放；固体（液态）沥青养护环保材料生产沥青烟、非甲烷总烃、苯并[a]芘经管道收集后进入电捕焦油器+两级活性炭吸附装置，由15m高排气筒（DA002）排放。</w:t>
                  </w:r>
                  <w:r>
                    <w:rPr>
                      <w:rFonts w:hint="eastAsia" w:cs="Times New Roman"/>
                      <w:sz w:val="21"/>
                      <w:szCs w:val="21"/>
                    </w:rPr>
                    <w:t>在采取上述废气、废水治理措施并落实环境风险应急预案的前提下，项目环境风险可控。正常工况下，废气、废水经处理后达标排放，且厂区采取分区防渗措施，不会对土壤环境造成明显不利影响</w:t>
                  </w:r>
                </w:p>
              </w:tc>
              <w:tc>
                <w:tcPr>
                  <w:tcW w:w="380"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continue"/>
                  <w:vAlign w:val="center"/>
                </w:tcPr>
                <w:p>
                  <w:pPr>
                    <w:spacing w:line="240" w:lineRule="auto"/>
                    <w:ind w:firstLine="0" w:firstLineChars="0"/>
                    <w:contextualSpacing/>
                    <w:jc w:val="center"/>
                    <w:rPr>
                      <w:rFonts w:cs="Times New Roman"/>
                      <w:sz w:val="21"/>
                      <w:szCs w:val="21"/>
                    </w:rPr>
                  </w:pPr>
                </w:p>
              </w:tc>
              <w:tc>
                <w:tcPr>
                  <w:tcW w:w="339"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资源利用上线</w:t>
                  </w:r>
                </w:p>
              </w:tc>
              <w:tc>
                <w:tcPr>
                  <w:tcW w:w="2446"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强化节约集约利用，持续提升资源能源利用效率，水资源、土地资源、能源消耗等达到国家、自治区下达的总量和强度控制目标</w:t>
                  </w:r>
                </w:p>
              </w:tc>
              <w:tc>
                <w:tcPr>
                  <w:tcW w:w="1296" w:type="pct"/>
                  <w:vAlign w:val="center"/>
                </w:tcPr>
                <w:p>
                  <w:pPr>
                    <w:spacing w:line="240" w:lineRule="auto"/>
                    <w:ind w:firstLine="0" w:firstLineChars="0"/>
                    <w:contextualSpacing/>
                    <w:rPr>
                      <w:rFonts w:cs="Times New Roman"/>
                      <w:sz w:val="21"/>
                      <w:szCs w:val="21"/>
                    </w:rPr>
                  </w:pPr>
                  <w:r>
                    <w:rPr>
                      <w:rFonts w:hint="eastAsia" w:cs="Times New Roman"/>
                      <w:sz w:val="21"/>
                      <w:szCs w:val="21"/>
                    </w:rPr>
                    <w:t>本项目用水由园区供水系统供给，占地规模较小。项目用水总量、用地面积及综合能耗均在园区分配的指标范围内，可满足国家和自治区对资源能源消耗总量及强度控制目标的要求</w:t>
                  </w:r>
                </w:p>
              </w:tc>
              <w:tc>
                <w:tcPr>
                  <w:tcW w:w="380"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continue"/>
                  <w:vAlign w:val="center"/>
                </w:tcPr>
                <w:p>
                  <w:pPr>
                    <w:spacing w:line="240" w:lineRule="auto"/>
                    <w:ind w:firstLine="0" w:firstLineChars="0"/>
                    <w:contextualSpacing/>
                    <w:jc w:val="center"/>
                    <w:rPr>
                      <w:rFonts w:cs="Times New Roman"/>
                      <w:sz w:val="21"/>
                      <w:szCs w:val="21"/>
                    </w:rPr>
                  </w:pPr>
                </w:p>
              </w:tc>
              <w:tc>
                <w:tcPr>
                  <w:tcW w:w="339"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环境管控单元</w:t>
                  </w:r>
                </w:p>
              </w:tc>
              <w:tc>
                <w:tcPr>
                  <w:tcW w:w="2446" w:type="pct"/>
                  <w:vAlign w:val="center"/>
                </w:tcPr>
                <w:p>
                  <w:pPr>
                    <w:adjustRightInd w:val="0"/>
                    <w:spacing w:line="240" w:lineRule="auto"/>
                    <w:ind w:firstLine="420"/>
                    <w:rPr>
                      <w:rFonts w:cs="Times New Roman"/>
                      <w:sz w:val="21"/>
                      <w:szCs w:val="21"/>
                    </w:rPr>
                  </w:pPr>
                  <w:r>
                    <w:rPr>
                      <w:rFonts w:hint="eastAsia" w:cs="Times New Roman"/>
                      <w:sz w:val="21"/>
                      <w:szCs w:val="21"/>
                    </w:rPr>
                    <w:t>自治区共划定1777个环境管控单元，分为优先保护单元、重点管控单元和一般管控单元三类，实施分类管控。</w:t>
                  </w:r>
                </w:p>
                <w:p>
                  <w:pPr>
                    <w:adjustRightInd w:val="0"/>
                    <w:spacing w:line="240" w:lineRule="auto"/>
                    <w:ind w:firstLine="420"/>
                    <w:rPr>
                      <w:rFonts w:cs="Times New Roman"/>
                      <w:sz w:val="21"/>
                      <w:szCs w:val="21"/>
                    </w:rPr>
                  </w:pPr>
                  <w:r>
                    <w:rPr>
                      <w:rFonts w:hint="eastAsia" w:cs="Times New Roman"/>
                      <w:sz w:val="21"/>
                      <w:szCs w:val="21"/>
                    </w:rPr>
                    <w:t>优先保护单元925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w:t>
                  </w:r>
                </w:p>
                <w:p>
                  <w:pPr>
                    <w:adjustRightInd w:val="0"/>
                    <w:spacing w:line="240" w:lineRule="auto"/>
                    <w:ind w:firstLine="420"/>
                    <w:rPr>
                      <w:rFonts w:cs="Times New Roman"/>
                      <w:sz w:val="21"/>
                      <w:szCs w:val="21"/>
                    </w:rPr>
                  </w:pPr>
                  <w:r>
                    <w:rPr>
                      <w:rFonts w:hint="eastAsia" w:cs="Times New Roman"/>
                      <w:sz w:val="21"/>
                      <w:szCs w:val="21"/>
                    </w:rPr>
                    <w:t>重点管控单元713个，主要包括城镇建成区、工业园区和开发强度大、污染物排放强度高的工业聚集区等。重点管控单元要着力优化空间布局，不断提升资源利用效率，有针对性地加强污染物排放管控和环境风险管控，解决生态环境质量不达标、生态环境风险高等问题。</w:t>
                  </w:r>
                </w:p>
                <w:p>
                  <w:pPr>
                    <w:spacing w:line="240" w:lineRule="auto"/>
                    <w:ind w:firstLine="420"/>
                    <w:contextualSpacing/>
                    <w:rPr>
                      <w:rFonts w:cs="Times New Roman"/>
                      <w:sz w:val="21"/>
                      <w:szCs w:val="21"/>
                    </w:rPr>
                  </w:pPr>
                  <w:r>
                    <w:rPr>
                      <w:rFonts w:hint="eastAsia" w:cs="Times New Roman"/>
                      <w:sz w:val="21"/>
                      <w:szCs w:val="21"/>
                    </w:rPr>
                    <w:t>一般管控单元139个，主要包括优先保护单元和重点管控单元之外的其它区域。一般管控单元主要落实生态环境保护基本要求，推动区域环境质量持续改善。</w:t>
                  </w:r>
                </w:p>
              </w:tc>
              <w:tc>
                <w:tcPr>
                  <w:tcW w:w="1296" w:type="pct"/>
                  <w:vAlign w:val="center"/>
                </w:tcPr>
                <w:p>
                  <w:pPr>
                    <w:spacing w:line="240" w:lineRule="auto"/>
                    <w:ind w:firstLine="0" w:firstLineChars="0"/>
                    <w:contextualSpacing/>
                    <w:rPr>
                      <w:rFonts w:cs="Times New Roman"/>
                      <w:sz w:val="21"/>
                      <w:szCs w:val="21"/>
                    </w:rPr>
                  </w:pPr>
                  <w:r>
                    <w:rPr>
                      <w:rFonts w:hint="eastAsia" w:cs="Times New Roman"/>
                      <w:sz w:val="21"/>
                      <w:szCs w:val="21"/>
                    </w:rPr>
                    <w:t>本项目位于和静工业园区哈尔莫敦矿业片区，属于重点管控单元（ZH65282720009），项目建设坚持生态优先原则，在建设过程中严格执行国家及地方相关法律法规，严守生态环境质量底线，确保区域生态功能不降低；通过落实完善的污染防治和环境风险防控措施，各类污染物可实现达标排放，项目实施后的环境风险处于可控范围</w:t>
                  </w:r>
                </w:p>
              </w:tc>
              <w:tc>
                <w:tcPr>
                  <w:tcW w:w="380"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符合</w:t>
                  </w:r>
                </w:p>
              </w:tc>
            </w:tr>
          </w:tbl>
          <w:p>
            <w:pPr>
              <w:autoSpaceDE w:val="0"/>
              <w:autoSpaceDN w:val="0"/>
              <w:adjustRightInd w:val="0"/>
              <w:ind w:firstLine="0" w:firstLineChars="0"/>
              <w:rPr>
                <w:b/>
                <w:bCs/>
              </w:rPr>
            </w:pPr>
            <w:r>
              <w:rPr>
                <w:rFonts w:hint="eastAsia"/>
                <w:b/>
                <w:bCs/>
              </w:rPr>
              <w:t>4.本项目与《关于印发〈新疆维吾尔自治区七大片区生态环境分区管控要求〉（2021年版）的通知》（新环环评发〔2021〕162号）符合性分析</w:t>
            </w:r>
          </w:p>
          <w:p>
            <w:pPr>
              <w:autoSpaceDE w:val="0"/>
              <w:autoSpaceDN w:val="0"/>
              <w:adjustRightInd w:val="0"/>
              <w:ind w:firstLine="480"/>
              <w:rPr>
                <w:b/>
                <w:bCs/>
              </w:rPr>
            </w:pPr>
            <w:r>
              <w:rPr>
                <w:rFonts w:hint="eastAsia"/>
              </w:rPr>
              <w:t>本项目位于和静县，属于天山南坡片区，本项目与“天山南坡片区总体管控要求”符合性分析见表1-</w:t>
            </w:r>
            <w:r>
              <w:t>2</w:t>
            </w:r>
            <w:r>
              <w:rPr>
                <w:rFonts w:hint="eastAsia"/>
              </w:rPr>
              <w:t>。</w:t>
            </w:r>
          </w:p>
          <w:p>
            <w:pPr>
              <w:adjustRightInd w:val="0"/>
              <w:spacing w:before="163" w:beforeLines="50" w:line="240" w:lineRule="auto"/>
              <w:ind w:firstLine="0" w:firstLineChars="0"/>
              <w:jc w:val="center"/>
              <w:textAlignment w:val="baseline"/>
              <w:rPr>
                <w:rFonts w:cs="Times New Roman"/>
                <w:b/>
                <w:kern w:val="0"/>
                <w:sz w:val="21"/>
                <w:szCs w:val="20"/>
              </w:rPr>
            </w:pPr>
            <w:r>
              <w:rPr>
                <w:rFonts w:hint="eastAsia" w:cs="Times New Roman"/>
                <w:b/>
                <w:kern w:val="0"/>
                <w:sz w:val="21"/>
                <w:szCs w:val="20"/>
              </w:rPr>
              <w:t>表</w:t>
            </w:r>
            <w:r>
              <w:rPr>
                <w:rFonts w:cs="Times New Roman"/>
                <w:b/>
                <w:kern w:val="0"/>
                <w:sz w:val="21"/>
                <w:szCs w:val="20"/>
              </w:rPr>
              <w:t xml:space="preserve">1-2  </w:t>
            </w:r>
            <w:r>
              <w:rPr>
                <w:rFonts w:hint="eastAsia" w:cs="Times New Roman"/>
                <w:b/>
                <w:kern w:val="0"/>
                <w:sz w:val="21"/>
                <w:szCs w:val="20"/>
              </w:rPr>
              <w:t>本项目与七大片天山南坡片区总体管控要求符合性分析一览表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4367"/>
              <w:gridCol w:w="2827"/>
              <w:gridCol w:w="7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6" w:type="pct"/>
                  <w:vMerge w:val="restar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天山南坡片区总体管控要求</w:t>
                  </w:r>
                </w:p>
              </w:tc>
              <w:tc>
                <w:tcPr>
                  <w:tcW w:w="2614"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管控要求</w:t>
                  </w:r>
                </w:p>
              </w:tc>
              <w:tc>
                <w:tcPr>
                  <w:tcW w:w="1693"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本项目</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6" w:type="pct"/>
                  <w:vMerge w:val="continue"/>
                  <w:vAlign w:val="center"/>
                </w:tcPr>
                <w:p>
                  <w:pPr>
                    <w:widowControl/>
                    <w:spacing w:line="240" w:lineRule="auto"/>
                    <w:ind w:firstLine="0" w:firstLineChars="0"/>
                    <w:jc w:val="center"/>
                    <w:textAlignment w:val="auto"/>
                    <w:rPr>
                      <w:rFonts w:ascii="宋体" w:hAnsi="宋体" w:cs="Times New Roman"/>
                      <w:color w:val="000000"/>
                      <w:kern w:val="0"/>
                      <w:sz w:val="21"/>
                      <w:szCs w:val="21"/>
                    </w:rPr>
                  </w:pPr>
                </w:p>
              </w:tc>
              <w:tc>
                <w:tcPr>
                  <w:tcW w:w="2614" w:type="pct"/>
                  <w:vAlign w:val="center"/>
                </w:tcPr>
                <w:p>
                  <w:pPr>
                    <w:spacing w:line="240" w:lineRule="auto"/>
                    <w:ind w:firstLine="0" w:firstLineChars="0"/>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693" w:type="pct"/>
                  <w:vAlign w:val="center"/>
                </w:tcPr>
                <w:p>
                  <w:pPr>
                    <w:spacing w:line="240" w:lineRule="auto"/>
                    <w:ind w:firstLine="0" w:firstLineChars="0"/>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本项目不在托木尔峰和天山南坡中段冰雪水源及生物多样性保护生态功能区</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6" w:type="pct"/>
                  <w:vMerge w:val="continue"/>
                  <w:vAlign w:val="center"/>
                </w:tcPr>
                <w:p>
                  <w:pPr>
                    <w:widowControl/>
                    <w:spacing w:line="240" w:lineRule="auto"/>
                    <w:ind w:firstLine="0" w:firstLineChars="0"/>
                    <w:jc w:val="center"/>
                    <w:textAlignment w:val="auto"/>
                    <w:rPr>
                      <w:rFonts w:ascii="宋体" w:hAnsi="宋体" w:cs="Times New Roman"/>
                      <w:color w:val="000000"/>
                      <w:kern w:val="0"/>
                      <w:sz w:val="21"/>
                      <w:szCs w:val="21"/>
                    </w:rPr>
                  </w:pPr>
                </w:p>
              </w:tc>
              <w:tc>
                <w:tcPr>
                  <w:tcW w:w="2614" w:type="pct"/>
                  <w:vAlign w:val="center"/>
                </w:tcPr>
                <w:p>
                  <w:pPr>
                    <w:spacing w:line="240" w:lineRule="auto"/>
                    <w:ind w:firstLine="0" w:firstLineChars="0"/>
                    <w:textAlignment w:val="auto"/>
                    <w:rPr>
                      <w:rFonts w:ascii="宋体" w:hAnsi="宋体" w:cs="Times New Roman"/>
                      <w:color w:val="000000"/>
                      <w:kern w:val="0"/>
                      <w:sz w:val="21"/>
                      <w:szCs w:val="21"/>
                    </w:rPr>
                  </w:pPr>
                  <w:r>
                    <w:rPr>
                      <w:rFonts w:hint="eastAsia" w:ascii="宋体" w:hAnsi="宋体" w:cs="Times New Roman"/>
                      <w:snapToGrid w:val="0"/>
                      <w:color w:val="000000"/>
                      <w:kern w:val="0"/>
                      <w:sz w:val="21"/>
                      <w:szCs w:val="21"/>
                    </w:rPr>
                    <w:t>重点做好塔里木盆地北缘荒漠化防治。加强荒漠植被及河岸荒漠林保护，规范油气勘探开发作业，建立油田和公路扰动区域工程与生物相结合的防风固沙体系，逐步形成生态屏障。</w:t>
                  </w:r>
                </w:p>
              </w:tc>
              <w:tc>
                <w:tcPr>
                  <w:tcW w:w="1693"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snapToGrid w:val="0"/>
                      <w:color w:val="000000"/>
                      <w:kern w:val="0"/>
                      <w:sz w:val="21"/>
                      <w:szCs w:val="21"/>
                    </w:rPr>
                    <w:t>本项目不涉及油气勘探开发</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56" w:type="pct"/>
                  <w:vMerge w:val="continue"/>
                  <w:vAlign w:val="center"/>
                </w:tcPr>
                <w:p>
                  <w:pPr>
                    <w:widowControl/>
                    <w:spacing w:line="240" w:lineRule="auto"/>
                    <w:ind w:firstLine="0" w:firstLineChars="0"/>
                    <w:jc w:val="center"/>
                    <w:textAlignment w:val="auto"/>
                    <w:rPr>
                      <w:rFonts w:ascii="宋体" w:hAnsi="宋体" w:cs="Times New Roman"/>
                      <w:color w:val="000000"/>
                      <w:kern w:val="0"/>
                      <w:sz w:val="21"/>
                      <w:szCs w:val="21"/>
                    </w:rPr>
                  </w:pPr>
                </w:p>
              </w:tc>
              <w:tc>
                <w:tcPr>
                  <w:tcW w:w="2614" w:type="pct"/>
                  <w:vAlign w:val="center"/>
                </w:tcPr>
                <w:p>
                  <w:pPr>
                    <w:spacing w:line="240" w:lineRule="auto"/>
                    <w:ind w:firstLine="0" w:firstLineChars="0"/>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推进塔里木河流域用水结构调整，维护塔里木河、博斯腾湖基本生态用水</w:t>
                  </w:r>
                </w:p>
              </w:tc>
              <w:tc>
                <w:tcPr>
                  <w:tcW w:w="1693" w:type="pct"/>
                  <w:vAlign w:val="center"/>
                </w:tcPr>
                <w:p>
                  <w:pPr>
                    <w:spacing w:line="240" w:lineRule="auto"/>
                    <w:ind w:firstLine="0" w:firstLineChars="0"/>
                    <w:jc w:val="center"/>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本项目不涉及塔里木河、博斯腾湖生态用水</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6" w:type="pct"/>
                  <w:vMerge w:val="continue"/>
                  <w:vAlign w:val="center"/>
                </w:tcPr>
                <w:p>
                  <w:pPr>
                    <w:widowControl/>
                    <w:spacing w:line="240" w:lineRule="auto"/>
                    <w:ind w:firstLine="0" w:firstLineChars="0"/>
                    <w:jc w:val="center"/>
                    <w:textAlignment w:val="auto"/>
                    <w:rPr>
                      <w:rFonts w:ascii="宋体" w:hAnsi="宋体" w:cs="Times New Roman"/>
                      <w:color w:val="000000"/>
                      <w:kern w:val="0"/>
                      <w:sz w:val="21"/>
                      <w:szCs w:val="21"/>
                    </w:rPr>
                  </w:pPr>
                </w:p>
              </w:tc>
              <w:tc>
                <w:tcPr>
                  <w:tcW w:w="2614" w:type="pct"/>
                  <w:vAlign w:val="center"/>
                </w:tcPr>
                <w:p>
                  <w:pPr>
                    <w:spacing w:line="240" w:lineRule="auto"/>
                    <w:ind w:firstLine="0" w:firstLineChars="0"/>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加强塔里木河流域水环境风险管控。加大博斯腾湖污染源头达标排放治理和监督力度，实施博斯腾湖综合治理。</w:t>
                  </w:r>
                </w:p>
              </w:tc>
              <w:tc>
                <w:tcPr>
                  <w:tcW w:w="1693" w:type="pct"/>
                  <w:vAlign w:val="center"/>
                </w:tcPr>
                <w:p>
                  <w:pPr>
                    <w:spacing w:line="240" w:lineRule="auto"/>
                    <w:ind w:firstLine="0" w:firstLineChars="0"/>
                    <w:jc w:val="center"/>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本项目不涉及</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256" w:type="pct"/>
                  <w:vMerge w:val="continue"/>
                  <w:vAlign w:val="center"/>
                </w:tcPr>
                <w:p>
                  <w:pPr>
                    <w:widowControl/>
                    <w:spacing w:line="240" w:lineRule="auto"/>
                    <w:ind w:firstLine="0" w:firstLineChars="0"/>
                    <w:jc w:val="center"/>
                    <w:textAlignment w:val="auto"/>
                    <w:rPr>
                      <w:rFonts w:ascii="宋体" w:hAnsi="宋体" w:cs="Times New Roman"/>
                      <w:color w:val="000000"/>
                      <w:kern w:val="0"/>
                      <w:sz w:val="21"/>
                      <w:szCs w:val="21"/>
                    </w:rPr>
                  </w:pPr>
                </w:p>
              </w:tc>
              <w:tc>
                <w:tcPr>
                  <w:tcW w:w="2614" w:type="pct"/>
                  <w:vAlign w:val="center"/>
                </w:tcPr>
                <w:p>
                  <w:pPr>
                    <w:spacing w:line="240" w:lineRule="auto"/>
                    <w:ind w:firstLine="0" w:firstLineChars="0"/>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加强油（气）资源开发区土壤环境污染综合整治。强化涉重金属行业污染防控与工业废物处理处置。</w:t>
                  </w:r>
                </w:p>
              </w:tc>
              <w:tc>
                <w:tcPr>
                  <w:tcW w:w="1693" w:type="pct"/>
                  <w:vAlign w:val="center"/>
                </w:tcPr>
                <w:p>
                  <w:pPr>
                    <w:spacing w:line="240" w:lineRule="auto"/>
                    <w:ind w:firstLine="0" w:firstLineChars="0"/>
                    <w:jc w:val="center"/>
                    <w:textAlignment w:val="auto"/>
                    <w:rPr>
                      <w:rFonts w:ascii="宋体" w:hAnsi="宋体" w:cs="Times New Roman"/>
                      <w:snapToGrid w:val="0"/>
                      <w:color w:val="000000"/>
                      <w:kern w:val="0"/>
                      <w:sz w:val="21"/>
                      <w:szCs w:val="21"/>
                    </w:rPr>
                  </w:pPr>
                  <w:r>
                    <w:rPr>
                      <w:rFonts w:hint="eastAsia" w:ascii="宋体" w:hAnsi="宋体" w:cs="Times New Roman"/>
                      <w:snapToGrid w:val="0"/>
                      <w:color w:val="000000"/>
                      <w:kern w:val="0"/>
                      <w:sz w:val="21"/>
                      <w:szCs w:val="21"/>
                    </w:rPr>
                    <w:t>本项目不涉及油气开发，不涉及重金属排放</w:t>
                  </w:r>
                </w:p>
              </w:tc>
              <w:tc>
                <w:tcPr>
                  <w:tcW w:w="437" w:type="pct"/>
                  <w:vAlign w:val="center"/>
                </w:tcPr>
                <w:p>
                  <w:pPr>
                    <w:spacing w:line="240" w:lineRule="auto"/>
                    <w:ind w:firstLine="0" w:firstLineChars="0"/>
                    <w:jc w:val="center"/>
                    <w:textAlignment w:val="auto"/>
                    <w:rPr>
                      <w:rFonts w:ascii="宋体" w:hAnsi="宋体" w:cs="Times New Roman"/>
                      <w:color w:val="000000"/>
                      <w:kern w:val="0"/>
                      <w:sz w:val="21"/>
                      <w:szCs w:val="21"/>
                    </w:rPr>
                  </w:pPr>
                  <w:r>
                    <w:rPr>
                      <w:rFonts w:hint="eastAsia" w:ascii="宋体" w:hAnsi="宋体" w:cs="Times New Roman"/>
                      <w:color w:val="000000"/>
                      <w:kern w:val="0"/>
                      <w:sz w:val="21"/>
                      <w:szCs w:val="21"/>
                    </w:rPr>
                    <w:t>符合</w:t>
                  </w:r>
                </w:p>
              </w:tc>
            </w:tr>
          </w:tbl>
          <w:p>
            <w:pPr>
              <w:autoSpaceDE w:val="0"/>
              <w:autoSpaceDN w:val="0"/>
              <w:adjustRightInd w:val="0"/>
              <w:spacing w:line="384" w:lineRule="auto"/>
              <w:ind w:firstLine="480"/>
              <w:rPr>
                <w:rFonts w:hAnsi="宋体" w:cs="宋体"/>
                <w:kern w:val="0"/>
              </w:rPr>
            </w:pPr>
            <w:r>
              <w:rPr>
                <w:rFonts w:hint="eastAsia" w:hAnsi="宋体" w:cs="宋体"/>
                <w:kern w:val="0"/>
              </w:rPr>
              <w:t>综上，本项目符合《新疆维吾尔自治区七大片区生态环境分区管控要求》中天山南坡片区总体管控要求。</w:t>
            </w:r>
          </w:p>
          <w:p>
            <w:pPr>
              <w:pStyle w:val="24"/>
              <w:ind w:firstLine="0" w:firstLineChars="0"/>
            </w:pPr>
            <w:r>
              <w:rPr>
                <w:rFonts w:hint="eastAsia" w:hAnsi="宋体" w:cs="宋体"/>
                <w:kern w:val="0"/>
              </w:rPr>
              <w:t>5.</w:t>
            </w:r>
            <w:r>
              <w:t>与巴州</w:t>
            </w:r>
            <w:r>
              <w:rPr>
                <w:rFonts w:hint="eastAsia"/>
              </w:rPr>
              <w:t>“生态环境分区管控”</w:t>
            </w:r>
            <w:r>
              <w:t>符合性分析</w:t>
            </w:r>
          </w:p>
          <w:p>
            <w:pPr>
              <w:autoSpaceDE w:val="0"/>
              <w:autoSpaceDN w:val="0"/>
              <w:adjustRightInd w:val="0"/>
              <w:spacing w:line="384" w:lineRule="auto"/>
              <w:ind w:firstLine="480"/>
              <w:rPr>
                <w:rFonts w:hAnsi="宋体" w:cs="宋体"/>
                <w:b/>
                <w:bCs/>
                <w:kern w:val="0"/>
              </w:rPr>
            </w:pPr>
            <w:r>
              <w:t>根据2024年12月9日发布的《关于印发巴音郭楞蒙古自治州</w:t>
            </w:r>
            <w:r>
              <w:rPr>
                <w:rFonts w:hint="eastAsia"/>
              </w:rPr>
              <w:t>“</w:t>
            </w:r>
            <w:r>
              <w:t>三线一单</w:t>
            </w:r>
            <w:r>
              <w:rPr>
                <w:rFonts w:hint="eastAsia"/>
              </w:rPr>
              <w:t>”</w:t>
            </w:r>
            <w:r>
              <w:t>生态环境分区管控动态更新成果（2023年）的通知》（巴政办发〔2024〕32号</w:t>
            </w:r>
            <w:r>
              <w:rPr>
                <w:rFonts w:hint="eastAsia"/>
              </w:rPr>
              <w:t>），分析本项目与巴音郭楞蒙古自治州生态环境分区管控符</w:t>
            </w:r>
            <w:r>
              <w:t>合性分析见表</w:t>
            </w:r>
            <w:r>
              <w:rPr>
                <w:rFonts w:hint="eastAsia"/>
              </w:rPr>
              <w:t>1-3。</w:t>
            </w:r>
          </w:p>
          <w:p>
            <w:pPr>
              <w:adjustRightInd w:val="0"/>
              <w:spacing w:before="163" w:beforeLines="50" w:line="240" w:lineRule="auto"/>
              <w:ind w:firstLine="0" w:firstLineChars="0"/>
              <w:jc w:val="center"/>
              <w:textAlignment w:val="auto"/>
              <w:rPr>
                <w:b/>
                <w:kern w:val="0"/>
                <w:sz w:val="21"/>
                <w:szCs w:val="20"/>
              </w:rPr>
            </w:pPr>
            <w:r>
              <w:rPr>
                <w:rFonts w:hint="eastAsia" w:cs="Times New Roman"/>
                <w:b/>
                <w:kern w:val="0"/>
                <w:sz w:val="21"/>
                <w:szCs w:val="20"/>
              </w:rPr>
              <w:t>表</w:t>
            </w:r>
            <w:r>
              <w:rPr>
                <w:rFonts w:cs="Times New Roman"/>
                <w:b/>
                <w:kern w:val="0"/>
                <w:sz w:val="21"/>
                <w:szCs w:val="20"/>
              </w:rPr>
              <w:t xml:space="preserve">1-3  </w:t>
            </w:r>
            <w:r>
              <w:rPr>
                <w:rFonts w:hint="eastAsia"/>
                <w:b/>
                <w:kern w:val="0"/>
                <w:sz w:val="21"/>
                <w:szCs w:val="20"/>
              </w:rPr>
              <w:t>本项目与巴音郭楞蒙古自治州生态环境分区管控方案符合性分析</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4"/>
              <w:gridCol w:w="3941"/>
              <w:gridCol w:w="2644"/>
              <w:gridCol w:w="9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517" w:type="pct"/>
                  <w:vAlign w:val="center"/>
                </w:tcPr>
                <w:p>
                  <w:pPr>
                    <w:spacing w:line="240" w:lineRule="auto"/>
                    <w:ind w:firstLine="0" w:firstLineChars="0"/>
                    <w:contextualSpacing/>
                    <w:jc w:val="center"/>
                    <w:rPr>
                      <w:rFonts w:cs="Times New Roman"/>
                      <w:sz w:val="21"/>
                      <w:szCs w:val="21"/>
                    </w:rPr>
                  </w:pPr>
                  <w:r>
                    <w:rPr>
                      <w:rFonts w:cs="Times New Roman"/>
                      <w:sz w:val="21"/>
                      <w:szCs w:val="21"/>
                    </w:rPr>
                    <w:t>名称</w:t>
                  </w:r>
                </w:p>
              </w:tc>
              <w:tc>
                <w:tcPr>
                  <w:tcW w:w="236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符合性分析</w:t>
                  </w:r>
                </w:p>
              </w:tc>
              <w:tc>
                <w:tcPr>
                  <w:tcW w:w="1583" w:type="pct"/>
                  <w:vAlign w:val="center"/>
                </w:tcPr>
                <w:p>
                  <w:pPr>
                    <w:spacing w:line="240" w:lineRule="auto"/>
                    <w:ind w:firstLine="0" w:firstLineChars="0"/>
                    <w:contextualSpacing/>
                    <w:jc w:val="center"/>
                    <w:rPr>
                      <w:rFonts w:cs="Times New Roman"/>
                      <w:sz w:val="21"/>
                      <w:szCs w:val="21"/>
                    </w:rPr>
                  </w:pPr>
                  <w:r>
                    <w:rPr>
                      <w:rFonts w:cs="Times New Roman"/>
                      <w:sz w:val="21"/>
                      <w:szCs w:val="21"/>
                    </w:rPr>
                    <w:t>本项目</w:t>
                  </w:r>
                </w:p>
              </w:tc>
              <w:tc>
                <w:tcPr>
                  <w:tcW w:w="54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vAlign w:val="center"/>
                </w:tcPr>
                <w:p>
                  <w:pPr>
                    <w:spacing w:line="240" w:lineRule="auto"/>
                    <w:ind w:firstLine="0" w:firstLineChars="0"/>
                    <w:contextualSpacing/>
                    <w:jc w:val="center"/>
                    <w:rPr>
                      <w:rFonts w:cs="Times New Roman"/>
                      <w:sz w:val="21"/>
                      <w:szCs w:val="21"/>
                    </w:rPr>
                  </w:pPr>
                  <w:r>
                    <w:rPr>
                      <w:rFonts w:cs="Times New Roman"/>
                      <w:sz w:val="21"/>
                      <w:szCs w:val="21"/>
                    </w:rPr>
                    <w:t>生态保护红线</w:t>
                  </w:r>
                </w:p>
              </w:tc>
              <w:tc>
                <w:tcPr>
                  <w:tcW w:w="2360" w:type="pct"/>
                  <w:vAlign w:val="center"/>
                </w:tcPr>
                <w:p>
                  <w:pPr>
                    <w:spacing w:line="240" w:lineRule="auto"/>
                    <w:ind w:firstLine="0" w:firstLineChars="0"/>
                    <w:contextualSpacing/>
                    <w:jc w:val="center"/>
                    <w:rPr>
                      <w:rFonts w:cs="Times New Roman"/>
                      <w:sz w:val="21"/>
                      <w:szCs w:val="21"/>
                    </w:rPr>
                  </w:pPr>
                  <w:r>
                    <w:rPr>
                      <w:rFonts w:cs="Times New Roman"/>
                      <w:sz w:val="21"/>
                      <w:szCs w:val="21"/>
                    </w:rPr>
                    <w:t>按照“生态功能不降低、面积不减少、性质不改变”的基本要求，对划定的生态保护红线实施严格管控，保障和维护国家生态安全的底线和生命线</w:t>
                  </w:r>
                </w:p>
              </w:tc>
              <w:tc>
                <w:tcPr>
                  <w:tcW w:w="1583" w:type="pct"/>
                  <w:vAlign w:val="center"/>
                </w:tcPr>
                <w:p>
                  <w:pPr>
                    <w:spacing w:line="240" w:lineRule="auto"/>
                    <w:ind w:firstLine="0" w:firstLineChars="0"/>
                    <w:contextualSpacing/>
                    <w:jc w:val="center"/>
                    <w:rPr>
                      <w:rFonts w:cs="Times New Roman"/>
                      <w:sz w:val="21"/>
                      <w:szCs w:val="21"/>
                    </w:rPr>
                  </w:pPr>
                  <w:r>
                    <w:rPr>
                      <w:rFonts w:cs="Times New Roman"/>
                      <w:sz w:val="21"/>
                      <w:szCs w:val="21"/>
                    </w:rPr>
                    <w:t>本项目不在生态保护红线范围内</w:t>
                  </w:r>
                </w:p>
              </w:tc>
              <w:tc>
                <w:tcPr>
                  <w:tcW w:w="54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vAlign w:val="center"/>
                </w:tcPr>
                <w:p>
                  <w:pPr>
                    <w:spacing w:line="240" w:lineRule="auto"/>
                    <w:ind w:firstLine="0" w:firstLineChars="0"/>
                    <w:contextualSpacing/>
                    <w:jc w:val="center"/>
                    <w:rPr>
                      <w:rFonts w:cs="Times New Roman"/>
                      <w:sz w:val="21"/>
                      <w:szCs w:val="21"/>
                    </w:rPr>
                  </w:pPr>
                  <w:r>
                    <w:rPr>
                      <w:rFonts w:cs="Times New Roman"/>
                      <w:sz w:val="21"/>
                      <w:szCs w:val="21"/>
                    </w:rPr>
                    <w:t>环境质量底线</w:t>
                  </w:r>
                </w:p>
              </w:tc>
              <w:tc>
                <w:tcPr>
                  <w:tcW w:w="2360" w:type="pct"/>
                  <w:vAlign w:val="center"/>
                </w:tcPr>
                <w:p>
                  <w:pPr>
                    <w:spacing w:line="240" w:lineRule="auto"/>
                    <w:ind w:firstLine="0" w:firstLineChars="0"/>
                    <w:contextualSpacing/>
                    <w:rPr>
                      <w:rFonts w:cs="Times New Roman"/>
                      <w:color w:val="000000"/>
                      <w:sz w:val="21"/>
                      <w:szCs w:val="21"/>
                    </w:rPr>
                  </w:pPr>
                  <w:r>
                    <w:rPr>
                      <w:rFonts w:cs="Times New Roman"/>
                      <w:color w:val="000000"/>
                      <w:sz w:val="21"/>
                      <w:szCs w:val="21"/>
                    </w:rPr>
                    <w:t>全州水环境质量持续改善，开都河、塔里木河、迪那河、车尔臣河、黄水沟5条河流13个监测断面稳定达到Ⅱ类水（塔里木河氟化物不参与考核，其他指标均为Ⅱ类），孔雀河4个监测断面达到</w:t>
                  </w:r>
                  <w:r>
                    <w:rPr>
                      <w:rFonts w:hint="eastAsia" w:cs="Times New Roman"/>
                      <w:color w:val="000000"/>
                      <w:sz w:val="21"/>
                      <w:szCs w:val="21"/>
                    </w:rPr>
                    <w:t>Ⅱ类</w:t>
                  </w:r>
                  <w:r>
                    <w:rPr>
                      <w:rFonts w:cs="Times New Roman"/>
                      <w:color w:val="000000"/>
                      <w:sz w:val="21"/>
                      <w:szCs w:val="21"/>
                    </w:rPr>
                    <w:t>水，博斯腾湖17个重点点位中1、7、14监测点均值Ⅲ类，其余监测点均值Ⅳ类；受污染地表水体得到有效治理，饮用水安全保障水平持续提升，地下水超采得到严格控制，地下水水质保持稳定。全州环境空气质量有所提升，SO</w:t>
                  </w:r>
                  <w:r>
                    <w:rPr>
                      <w:rFonts w:cs="Times New Roman"/>
                      <w:color w:val="000000"/>
                      <w:sz w:val="21"/>
                      <w:szCs w:val="21"/>
                      <w:vertAlign w:val="subscript"/>
                    </w:rPr>
                    <w:t>2</w:t>
                  </w:r>
                  <w:r>
                    <w:rPr>
                      <w:rFonts w:cs="Times New Roman"/>
                      <w:color w:val="000000"/>
                      <w:sz w:val="21"/>
                      <w:szCs w:val="21"/>
                    </w:rPr>
                    <w:t>、NO</w:t>
                  </w:r>
                  <w:r>
                    <w:rPr>
                      <w:rFonts w:cs="Times New Roman"/>
                      <w:color w:val="000000"/>
                      <w:sz w:val="21"/>
                      <w:szCs w:val="21"/>
                      <w:vertAlign w:val="subscript"/>
                    </w:rPr>
                    <w:t>2</w:t>
                  </w:r>
                  <w:r>
                    <w:rPr>
                      <w:rFonts w:cs="Times New Roman"/>
                      <w:color w:val="000000"/>
                      <w:sz w:val="21"/>
                      <w:szCs w:val="21"/>
                    </w:rPr>
                    <w:t>浓度长期维持在较低水平，达到环境空气质量一级标准；逐步减少颗粒物排放，PM</w:t>
                  </w:r>
                  <w:r>
                    <w:rPr>
                      <w:rFonts w:cs="Times New Roman"/>
                      <w:color w:val="000000"/>
                      <w:sz w:val="21"/>
                      <w:szCs w:val="21"/>
                      <w:vertAlign w:val="subscript"/>
                    </w:rPr>
                    <w:t>10</w:t>
                  </w:r>
                  <w:r>
                    <w:rPr>
                      <w:rFonts w:cs="Times New Roman"/>
                      <w:color w:val="000000"/>
                      <w:sz w:val="21"/>
                      <w:szCs w:val="21"/>
                    </w:rPr>
                    <w:t>、PM</w:t>
                  </w:r>
                  <w:r>
                    <w:rPr>
                      <w:rFonts w:cs="Times New Roman"/>
                      <w:color w:val="000000"/>
                      <w:sz w:val="21"/>
                      <w:szCs w:val="21"/>
                      <w:vertAlign w:val="subscript"/>
                    </w:rPr>
                    <w:t>2.5</w:t>
                  </w:r>
                  <w:r>
                    <w:rPr>
                      <w:rFonts w:cs="Times New Roman"/>
                      <w:color w:val="000000"/>
                      <w:sz w:val="21"/>
                      <w:szCs w:val="21"/>
                    </w:rPr>
                    <w:t>平均浓度分别低于81μg/m</w:t>
                  </w:r>
                  <w:r>
                    <w:rPr>
                      <w:rFonts w:cs="Times New Roman"/>
                      <w:color w:val="000000"/>
                      <w:sz w:val="21"/>
                      <w:szCs w:val="21"/>
                      <w:vertAlign w:val="superscript"/>
                    </w:rPr>
                    <w:t>3</w:t>
                  </w:r>
                  <w:r>
                    <w:rPr>
                      <w:rFonts w:cs="Times New Roman"/>
                      <w:color w:val="000000"/>
                      <w:sz w:val="21"/>
                      <w:szCs w:val="21"/>
                    </w:rPr>
                    <w:t>、31.5μg/m</w:t>
                  </w:r>
                  <w:r>
                    <w:rPr>
                      <w:rFonts w:cs="Times New Roman"/>
                      <w:color w:val="000000"/>
                      <w:sz w:val="21"/>
                      <w:szCs w:val="21"/>
                      <w:vertAlign w:val="superscript"/>
                    </w:rPr>
                    <w:t>3</w:t>
                  </w:r>
                  <w:r>
                    <w:rPr>
                      <w:rFonts w:hint="eastAsia" w:cs="Times New Roman"/>
                      <w:color w:val="000000"/>
                      <w:sz w:val="21"/>
                      <w:szCs w:val="21"/>
                    </w:rPr>
                    <w:t>（</w:t>
                  </w:r>
                  <w:r>
                    <w:rPr>
                      <w:rFonts w:cs="Times New Roman"/>
                      <w:color w:val="000000"/>
                      <w:sz w:val="21"/>
                      <w:szCs w:val="21"/>
                    </w:rPr>
                    <w:t>库尔勒市，扣除沙尘天气影响</w:t>
                  </w:r>
                  <w:r>
                    <w:rPr>
                      <w:rFonts w:hint="eastAsia" w:cs="Times New Roman"/>
                      <w:color w:val="000000"/>
                      <w:sz w:val="21"/>
                      <w:szCs w:val="21"/>
                    </w:rPr>
                    <w:t>）</w:t>
                  </w:r>
                  <w:r>
                    <w:rPr>
                      <w:rFonts w:cs="Times New Roman"/>
                      <w:color w:val="000000"/>
                      <w:sz w:val="21"/>
                      <w:szCs w:val="21"/>
                    </w:rPr>
                    <w:t>，空气优良天数比例大于75.2%</w:t>
                  </w:r>
                  <w:r>
                    <w:rPr>
                      <w:rFonts w:hint="eastAsia" w:cs="Times New Roman"/>
                      <w:color w:val="000000"/>
                      <w:sz w:val="21"/>
                      <w:szCs w:val="21"/>
                    </w:rPr>
                    <w:t>（</w:t>
                  </w:r>
                  <w:r>
                    <w:rPr>
                      <w:rFonts w:cs="Times New Roman"/>
                      <w:color w:val="000000"/>
                      <w:sz w:val="21"/>
                      <w:szCs w:val="21"/>
                    </w:rPr>
                    <w:t>库尔勒市</w:t>
                  </w:r>
                  <w:r>
                    <w:rPr>
                      <w:rFonts w:hint="eastAsia" w:cs="Times New Roman"/>
                      <w:color w:val="000000"/>
                      <w:sz w:val="21"/>
                      <w:szCs w:val="21"/>
                    </w:rPr>
                    <w:t>）</w:t>
                  </w:r>
                  <w:r>
                    <w:rPr>
                      <w:rFonts w:cs="Times New Roman"/>
                      <w:color w:val="000000"/>
                      <w:sz w:val="21"/>
                      <w:szCs w:val="21"/>
                    </w:rPr>
                    <w:t>，重污染天数持续减少，沙尘影响严重地区做好防风固沙、生态环境保护修复等工作；全州土壤环境质量保持稳定，受污染耕地安全利用率达到98%以上，污染地块安全利用率不低于93%，土壤环境风险得到进一步管控</w:t>
                  </w:r>
                </w:p>
              </w:tc>
              <w:tc>
                <w:tcPr>
                  <w:tcW w:w="1583" w:type="pct"/>
                  <w:vAlign w:val="center"/>
                </w:tcPr>
                <w:p>
                  <w:pPr>
                    <w:spacing w:line="240" w:lineRule="auto"/>
                    <w:ind w:firstLine="0" w:firstLineChars="0"/>
                    <w:contextualSpacing/>
                    <w:rPr>
                      <w:rFonts w:cs="Times New Roman"/>
                      <w:color w:val="000000"/>
                      <w:sz w:val="21"/>
                      <w:szCs w:val="21"/>
                    </w:rPr>
                  </w:pPr>
                  <w:r>
                    <w:rPr>
                      <w:rFonts w:hint="eastAsia" w:cs="Times New Roman"/>
                      <w:color w:val="000000"/>
                      <w:sz w:val="21"/>
                      <w:szCs w:val="21"/>
                    </w:rPr>
                    <w:t>本项目营运期产生的废水主要为生活污水。生活污水进入厂区化粪池预处理后，排入园区管网，最终进入和静县污水处理厂处理。</w:t>
                  </w:r>
                </w:p>
                <w:p>
                  <w:pPr>
                    <w:spacing w:line="240" w:lineRule="auto"/>
                    <w:ind w:firstLine="0" w:firstLineChars="0"/>
                    <w:contextualSpacing/>
                    <w:rPr>
                      <w:rFonts w:cs="Times New Roman"/>
                      <w:color w:val="000000"/>
                      <w:sz w:val="21"/>
                      <w:szCs w:val="21"/>
                    </w:rPr>
                  </w:pPr>
                  <w:r>
                    <w:rPr>
                      <w:rFonts w:hint="eastAsia" w:cs="Times New Roman"/>
                      <w:color w:val="000000"/>
                      <w:sz w:val="21"/>
                      <w:szCs w:val="21"/>
                    </w:rPr>
                    <w:t>本项目拆包卸料、投料及成品分装粉尘经集气罩收集后进入布袋除尘器处理，由15m高排气筒（DA001）排放。</w:t>
                  </w:r>
                </w:p>
                <w:p>
                  <w:pPr>
                    <w:spacing w:line="240" w:lineRule="auto"/>
                    <w:ind w:firstLine="0" w:firstLineChars="0"/>
                    <w:contextualSpacing/>
                    <w:rPr>
                      <w:rFonts w:cs="Times New Roman"/>
                      <w:color w:val="000000"/>
                      <w:sz w:val="21"/>
                      <w:szCs w:val="21"/>
                    </w:rPr>
                  </w:pPr>
                  <w:r>
                    <w:rPr>
                      <w:rFonts w:hint="eastAsia" w:cs="Times New Roman"/>
                      <w:color w:val="000000"/>
                      <w:sz w:val="21"/>
                      <w:szCs w:val="21"/>
                    </w:rPr>
                    <w:t>液态道路标线材料生产混合搅拌非甲烷总烃经负压收集后进入两级活性炭吸附装置，由15m高排气筒（DA002）排放；固体（液态）沥青养护环保材料生产沥青烟、非甲烷总烃、苯并[a]芘经管道收集后进入电捕焦油器+两级活性炭吸附装置，由15m高排气筒（DA002）排放。在采取上述废气、废水治理措施并落实环境风险应急预案的前提下，项目环境风险可控。正常工况下，废气、废水经处理后达标排放，且厂区采取分区防渗措施，不会对土壤环境造成明显不利影响</w:t>
                  </w:r>
                </w:p>
              </w:tc>
              <w:tc>
                <w:tcPr>
                  <w:tcW w:w="54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517" w:type="pct"/>
                  <w:vAlign w:val="center"/>
                </w:tcPr>
                <w:p>
                  <w:pPr>
                    <w:spacing w:line="240" w:lineRule="auto"/>
                    <w:ind w:firstLine="0" w:firstLineChars="0"/>
                    <w:contextualSpacing/>
                    <w:jc w:val="center"/>
                    <w:rPr>
                      <w:rFonts w:cs="Times New Roman"/>
                      <w:sz w:val="21"/>
                      <w:szCs w:val="21"/>
                    </w:rPr>
                  </w:pPr>
                  <w:r>
                    <w:rPr>
                      <w:rFonts w:cs="Times New Roman"/>
                      <w:sz w:val="21"/>
                      <w:szCs w:val="21"/>
                    </w:rPr>
                    <w:t>资源利用上线</w:t>
                  </w:r>
                </w:p>
              </w:tc>
              <w:tc>
                <w:tcPr>
                  <w:tcW w:w="2360" w:type="pct"/>
                  <w:vAlign w:val="center"/>
                </w:tcPr>
                <w:p>
                  <w:pPr>
                    <w:spacing w:line="240" w:lineRule="auto"/>
                    <w:ind w:firstLine="0" w:firstLineChars="0"/>
                    <w:contextualSpacing/>
                    <w:rPr>
                      <w:rFonts w:cs="Times New Roman"/>
                      <w:sz w:val="21"/>
                      <w:szCs w:val="21"/>
                    </w:rPr>
                  </w:pPr>
                  <w:r>
                    <w:rPr>
                      <w:rFonts w:cs="Times New Roman"/>
                      <w:sz w:val="21"/>
                      <w:szCs w:val="21"/>
                    </w:rPr>
                    <w:t>强化节约集约利用，持续提升资源能源利用效率，水资源、土地资源、能源消耗等达到国家、自治区下达的总量和强度控制目标，加快低碳发展，提升碳汇能力，做好碳达峰和碳中和工作</w:t>
                  </w:r>
                </w:p>
              </w:tc>
              <w:tc>
                <w:tcPr>
                  <w:tcW w:w="1583" w:type="pct"/>
                  <w:vAlign w:val="center"/>
                </w:tcPr>
                <w:p>
                  <w:pPr>
                    <w:spacing w:line="240" w:lineRule="auto"/>
                    <w:ind w:firstLine="0" w:firstLineChars="0"/>
                    <w:contextualSpacing/>
                    <w:rPr>
                      <w:rFonts w:cs="Times New Roman"/>
                      <w:sz w:val="21"/>
                      <w:szCs w:val="21"/>
                    </w:rPr>
                  </w:pPr>
                  <w:r>
                    <w:rPr>
                      <w:rFonts w:hint="eastAsia" w:cs="Times New Roman"/>
                      <w:sz w:val="21"/>
                      <w:szCs w:val="21"/>
                    </w:rPr>
                    <w:t>本项目用水由园区供水系统供给，占地规模较小。项目用水总量、用地面积及综合能耗均在园区分配的指标范围内，可满足国家和自治区对资源能源消耗总量及强度控制目标的要求</w:t>
                  </w:r>
                </w:p>
              </w:tc>
              <w:tc>
                <w:tcPr>
                  <w:tcW w:w="54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517" w:type="pct"/>
                  <w:vAlign w:val="center"/>
                </w:tcPr>
                <w:p>
                  <w:pPr>
                    <w:spacing w:line="240" w:lineRule="auto"/>
                    <w:ind w:firstLine="0" w:firstLineChars="0"/>
                    <w:contextualSpacing/>
                    <w:jc w:val="center"/>
                    <w:rPr>
                      <w:rFonts w:cs="Times New Roman"/>
                      <w:sz w:val="21"/>
                      <w:szCs w:val="21"/>
                    </w:rPr>
                  </w:pPr>
                  <w:r>
                    <w:rPr>
                      <w:rFonts w:cs="Times New Roman"/>
                      <w:spacing w:val="-10"/>
                      <w:kern w:val="0"/>
                      <w:sz w:val="21"/>
                      <w:szCs w:val="21"/>
                    </w:rPr>
                    <w:t>环境管控单元</w:t>
                  </w:r>
                </w:p>
              </w:tc>
              <w:tc>
                <w:tcPr>
                  <w:tcW w:w="2360" w:type="pct"/>
                  <w:vAlign w:val="center"/>
                </w:tcPr>
                <w:p>
                  <w:pPr>
                    <w:autoSpaceDE w:val="0"/>
                    <w:autoSpaceDN w:val="0"/>
                    <w:adjustRightInd w:val="0"/>
                    <w:spacing w:line="240" w:lineRule="auto"/>
                    <w:ind w:firstLine="420"/>
                    <w:rPr>
                      <w:rFonts w:cs="Times New Roman"/>
                      <w:color w:val="000000"/>
                      <w:sz w:val="21"/>
                      <w:szCs w:val="21"/>
                    </w:rPr>
                  </w:pPr>
                  <w:r>
                    <w:rPr>
                      <w:rFonts w:cs="Times New Roman"/>
                      <w:color w:val="000000"/>
                      <w:sz w:val="21"/>
                      <w:szCs w:val="21"/>
                    </w:rPr>
                    <w:t>自治州划定154个环境管控单元，分为优先保护单元、重点管控单元和一般管控单元等三个管控类别。</w:t>
                  </w:r>
                </w:p>
                <w:p>
                  <w:pPr>
                    <w:autoSpaceDE w:val="0"/>
                    <w:autoSpaceDN w:val="0"/>
                    <w:adjustRightInd w:val="0"/>
                    <w:spacing w:line="240" w:lineRule="auto"/>
                    <w:ind w:firstLine="420"/>
                    <w:rPr>
                      <w:rFonts w:cs="Times New Roman"/>
                      <w:color w:val="000000"/>
                      <w:sz w:val="21"/>
                      <w:szCs w:val="21"/>
                    </w:rPr>
                  </w:pPr>
                  <w:r>
                    <w:rPr>
                      <w:rFonts w:cs="Times New Roman"/>
                      <w:color w:val="000000"/>
                      <w:sz w:val="21"/>
                      <w:szCs w:val="21"/>
                    </w:rPr>
                    <w:t>优先保护类单元66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w:t>
                  </w:r>
                </w:p>
                <w:p>
                  <w:pPr>
                    <w:autoSpaceDE w:val="0"/>
                    <w:autoSpaceDN w:val="0"/>
                    <w:adjustRightInd w:val="0"/>
                    <w:spacing w:line="240" w:lineRule="auto"/>
                    <w:ind w:firstLine="420"/>
                    <w:rPr>
                      <w:rFonts w:cs="Times New Roman"/>
                      <w:color w:val="000000"/>
                      <w:sz w:val="21"/>
                      <w:szCs w:val="21"/>
                    </w:rPr>
                  </w:pPr>
                  <w:r>
                    <w:rPr>
                      <w:rFonts w:cs="Times New Roman"/>
                      <w:color w:val="000000"/>
                      <w:sz w:val="21"/>
                      <w:szCs w:val="21"/>
                    </w:rPr>
                    <w:t>重点管控单元79个。主要包括城镇建成区、工业园区和开发强度大、污染物排放强度高的工业聚集区等。要着力优化空间布局，不断提升资源利用效率，有针对性地加强污染物排放管控和环境风险防控，解决生态环境质量不达标、生态环境风险高等问题。</w:t>
                  </w:r>
                </w:p>
                <w:p>
                  <w:pPr>
                    <w:spacing w:line="240" w:lineRule="auto"/>
                    <w:ind w:firstLine="420"/>
                    <w:contextualSpacing/>
                    <w:rPr>
                      <w:rFonts w:cs="Times New Roman"/>
                      <w:sz w:val="21"/>
                      <w:szCs w:val="21"/>
                    </w:rPr>
                  </w:pPr>
                  <w:r>
                    <w:rPr>
                      <w:rFonts w:cs="Times New Roman"/>
                      <w:color w:val="000000"/>
                      <w:sz w:val="21"/>
                      <w:szCs w:val="21"/>
                    </w:rPr>
                    <w:t>一般管控单元共9个。主要包括优先保护单元和重点管控单元之外的其它区域。一般管控单元以沙漠、荒漠、戈壁、一般农业生产等为主的管控单元，主要落实生态环境保护基本要求，推动区域环境质量持续改善。</w:t>
                  </w:r>
                </w:p>
              </w:tc>
              <w:tc>
                <w:tcPr>
                  <w:tcW w:w="1583" w:type="pct"/>
                  <w:vAlign w:val="center"/>
                </w:tcPr>
                <w:p>
                  <w:pPr>
                    <w:spacing w:line="240" w:lineRule="auto"/>
                    <w:ind w:firstLine="0" w:firstLineChars="0"/>
                    <w:contextualSpacing/>
                    <w:rPr>
                      <w:rFonts w:cs="Times New Roman"/>
                      <w:color w:val="000000"/>
                      <w:sz w:val="21"/>
                      <w:szCs w:val="21"/>
                    </w:rPr>
                  </w:pPr>
                  <w:r>
                    <w:rPr>
                      <w:rFonts w:hint="eastAsia" w:cs="Times New Roman"/>
                      <w:sz w:val="21"/>
                      <w:szCs w:val="21"/>
                    </w:rPr>
                    <w:t>本项目位于和静工业园区哈尔莫敦矿业片区，属于重点管控单元（ZH65282720009），项目建设坚持生态优先原则，在建设过程中严格执行国家及地方相关法律法规，严守生态环境质量底线，确保区域生态功能不降低；通过落实完善的污染防治和环境风险防控措施，各类污染物可实现达标排放，项目实施后的环境风险处于可控范围</w:t>
                  </w:r>
                </w:p>
              </w:tc>
              <w:tc>
                <w:tcPr>
                  <w:tcW w:w="540" w:type="pct"/>
                  <w:vAlign w:val="center"/>
                </w:tcPr>
                <w:p>
                  <w:pPr>
                    <w:spacing w:line="240" w:lineRule="auto"/>
                    <w:ind w:firstLine="0" w:firstLineChars="0"/>
                    <w:contextualSpacing/>
                    <w:jc w:val="center"/>
                    <w:rPr>
                      <w:rFonts w:cs="Times New Roman"/>
                      <w:sz w:val="21"/>
                      <w:szCs w:val="21"/>
                    </w:rPr>
                  </w:pPr>
                  <w:r>
                    <w:rPr>
                      <w:rFonts w:cs="Times New Roman"/>
                      <w:sz w:val="21"/>
                      <w:szCs w:val="21"/>
                    </w:rPr>
                    <w:t>符合</w:t>
                  </w:r>
                </w:p>
              </w:tc>
            </w:tr>
            <w:bookmarkEnd w:id="8"/>
          </w:tbl>
          <w:p>
            <w:pPr>
              <w:autoSpaceDE w:val="0"/>
              <w:autoSpaceDN w:val="0"/>
              <w:adjustRightInd w:val="0"/>
              <w:spacing w:line="240" w:lineRule="auto"/>
              <w:ind w:firstLine="422"/>
              <w:jc w:val="center"/>
              <w:textAlignment w:val="auto"/>
              <w:rPr>
                <w:rFonts w:cs="Times New Roman"/>
                <w:b/>
                <w:bCs/>
                <w:kern w:val="0"/>
                <w:sz w:val="21"/>
                <w:szCs w:val="24"/>
              </w:rPr>
            </w:pPr>
            <w:bookmarkStart w:id="9" w:name="_Hlk97287333"/>
            <w:r>
              <w:rPr>
                <w:rFonts w:cs="Times New Roman"/>
                <w:b/>
                <w:bCs/>
                <w:kern w:val="0"/>
                <w:sz w:val="21"/>
                <w:szCs w:val="24"/>
              </w:rPr>
              <w:t>表1-4  本项目与所在管控单元“</w:t>
            </w:r>
            <w:r>
              <w:rPr>
                <w:rFonts w:hint="eastAsia" w:cs="Times New Roman"/>
                <w:b/>
                <w:bCs/>
                <w:kern w:val="0"/>
                <w:sz w:val="21"/>
                <w:szCs w:val="24"/>
              </w:rPr>
              <w:t>和静工业园区哈尔莫敦矿业片区</w:t>
            </w:r>
            <w:r>
              <w:rPr>
                <w:rFonts w:cs="Times New Roman"/>
                <w:b/>
                <w:bCs/>
                <w:kern w:val="0"/>
                <w:sz w:val="21"/>
                <w:szCs w:val="24"/>
              </w:rPr>
              <w:t>”符合性分析一览表</w:t>
            </w:r>
          </w:p>
          <w:tbl>
            <w:tblPr>
              <w:tblStyle w:val="26"/>
              <w:tblW w:w="498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07"/>
              <w:gridCol w:w="484"/>
              <w:gridCol w:w="3913"/>
              <w:gridCol w:w="2802"/>
              <w:gridCol w:w="5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7" w:type="dxa"/>
                  <w:vAlign w:val="center"/>
                </w:tcPr>
                <w:p>
                  <w:pPr>
                    <w:adjustRightInd w:val="0"/>
                    <w:spacing w:line="240" w:lineRule="auto"/>
                    <w:ind w:firstLine="0" w:firstLineChars="0"/>
                    <w:jc w:val="center"/>
                    <w:textAlignment w:val="auto"/>
                    <w:rPr>
                      <w:rFonts w:cs="Times New Roman"/>
                      <w:sz w:val="21"/>
                    </w:rPr>
                  </w:pPr>
                  <w:r>
                    <w:rPr>
                      <w:rFonts w:cs="Times New Roman"/>
                      <w:sz w:val="21"/>
                    </w:rPr>
                    <w:t>名称</w:t>
                  </w:r>
                </w:p>
              </w:tc>
              <w:tc>
                <w:tcPr>
                  <w:tcW w:w="4398" w:type="dxa"/>
                  <w:gridSpan w:val="2"/>
                  <w:vAlign w:val="center"/>
                </w:tcPr>
                <w:p>
                  <w:pPr>
                    <w:adjustRightInd w:val="0"/>
                    <w:spacing w:line="240" w:lineRule="auto"/>
                    <w:ind w:firstLine="0" w:firstLineChars="0"/>
                    <w:jc w:val="center"/>
                    <w:textAlignment w:val="auto"/>
                    <w:rPr>
                      <w:rFonts w:cs="Times New Roman"/>
                      <w:sz w:val="21"/>
                    </w:rPr>
                  </w:pPr>
                  <w:r>
                    <w:rPr>
                      <w:rFonts w:cs="Times New Roman"/>
                      <w:sz w:val="21"/>
                    </w:rPr>
                    <w:t>文件要求</w:t>
                  </w:r>
                </w:p>
              </w:tc>
              <w:tc>
                <w:tcPr>
                  <w:tcW w:w="2803" w:type="dxa"/>
                  <w:vAlign w:val="center"/>
                </w:tcPr>
                <w:p>
                  <w:pPr>
                    <w:adjustRightInd w:val="0"/>
                    <w:spacing w:line="240" w:lineRule="auto"/>
                    <w:ind w:firstLine="0" w:firstLineChars="0"/>
                    <w:jc w:val="center"/>
                    <w:textAlignment w:val="auto"/>
                    <w:rPr>
                      <w:rFonts w:cs="Times New Roman"/>
                      <w:sz w:val="21"/>
                    </w:rPr>
                  </w:pPr>
                  <w:r>
                    <w:rPr>
                      <w:rFonts w:cs="Times New Roman"/>
                      <w:sz w:val="21"/>
                    </w:rPr>
                    <w:t>本项目</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70" w:hRule="atLeast"/>
                <w:jc w:val="center"/>
              </w:trPr>
              <w:tc>
                <w:tcPr>
                  <w:tcW w:w="607" w:type="dxa"/>
                  <w:vMerge w:val="restart"/>
                  <w:vAlign w:val="center"/>
                </w:tcPr>
                <w:p>
                  <w:pPr>
                    <w:adjustRightInd w:val="0"/>
                    <w:spacing w:line="240" w:lineRule="auto"/>
                    <w:ind w:firstLine="0" w:firstLineChars="0"/>
                    <w:jc w:val="center"/>
                    <w:textAlignment w:val="auto"/>
                    <w:rPr>
                      <w:rFonts w:cs="Times New Roman"/>
                      <w:sz w:val="21"/>
                    </w:rPr>
                  </w:pPr>
                  <w:r>
                    <w:rPr>
                      <w:rFonts w:hint="eastAsia" w:cs="Times New Roman"/>
                      <w:sz w:val="21"/>
                    </w:rPr>
                    <w:t>ZH65282720009和静工业园区哈尔</w:t>
                  </w:r>
                </w:p>
                <w:p>
                  <w:pPr>
                    <w:adjustRightInd w:val="0"/>
                    <w:spacing w:line="240" w:lineRule="auto"/>
                    <w:ind w:firstLine="0" w:firstLineChars="0"/>
                    <w:jc w:val="center"/>
                    <w:textAlignment w:val="auto"/>
                    <w:rPr>
                      <w:rFonts w:cs="Times New Roman"/>
                      <w:sz w:val="21"/>
                    </w:rPr>
                  </w:pPr>
                  <w:r>
                    <w:rPr>
                      <w:rFonts w:hint="eastAsia" w:cs="Times New Roman"/>
                      <w:sz w:val="21"/>
                    </w:rPr>
                    <w:t>莫敦矿业片区（重点管控单元</w:t>
                  </w:r>
                </w:p>
              </w:tc>
              <w:tc>
                <w:tcPr>
                  <w:tcW w:w="484" w:type="dxa"/>
                  <w:vAlign w:val="center"/>
                </w:tcPr>
                <w:p>
                  <w:pPr>
                    <w:adjustRightInd w:val="0"/>
                    <w:spacing w:line="240" w:lineRule="auto"/>
                    <w:ind w:firstLine="0" w:firstLineChars="0"/>
                    <w:jc w:val="center"/>
                    <w:textAlignment w:val="auto"/>
                    <w:rPr>
                      <w:rFonts w:cs="Times New Roman"/>
                      <w:sz w:val="21"/>
                    </w:rPr>
                  </w:pPr>
                  <w:r>
                    <w:rPr>
                      <w:rFonts w:cs="Times New Roman"/>
                      <w:sz w:val="21"/>
                    </w:rPr>
                    <w:t>空间布局约束</w:t>
                  </w: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1.符合国家环保和节能减排要求，排放污染物必须达到国家和自治区污染物排放标准，严禁国家明文规定的限制类、淘汰类项目进入园区；不得采用国家、自治区淘汰或禁止使用的生产工艺、技术和设备；项目中的防治措施必须与主体工程同时设计、同时施工、同时投产使用。</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本项目符合国家环保和节能减排要求。营运期废气经布袋除尘器、电捕焦油器+两级活性炭等设施处理后，排放浓度及速率均满足《大气污染物综合排放标准》（GB16297-1996）相关排放标准；生活污水经化粪池预处理后排入园区管网，满足《污水综合排放标准》（GB8978-1996）三级标准。项目未采用国家及自治区明令禁止的限制类、淘汰类生产工艺、技术和设备，对照《产业结构调整指导目录（2024年本）》，本项目属于允许类。项目已备案（备案证号：2603311917652827000127）。项目中的环保防治措施将与主体工程同时设计、同时施工、同时投产使用（“三同时”制度）</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07" w:type="dxa"/>
                  <w:vMerge w:val="continue"/>
                  <w:vAlign w:val="center"/>
                </w:tcPr>
                <w:p>
                  <w:pPr>
                    <w:adjustRightInd w:val="0"/>
                    <w:spacing w:line="240" w:lineRule="auto"/>
                    <w:ind w:firstLine="0" w:firstLineChars="0"/>
                    <w:jc w:val="center"/>
                    <w:textAlignment w:val="auto"/>
                    <w:rPr>
                      <w:rFonts w:cs="Times New Roman"/>
                      <w:sz w:val="21"/>
                    </w:rPr>
                  </w:pPr>
                </w:p>
              </w:tc>
              <w:tc>
                <w:tcPr>
                  <w:tcW w:w="484" w:type="dxa"/>
                  <w:vAlign w:val="center"/>
                </w:tcPr>
                <w:p>
                  <w:pPr>
                    <w:adjustRightInd w:val="0"/>
                    <w:spacing w:line="240" w:lineRule="auto"/>
                    <w:ind w:firstLine="0" w:firstLineChars="0"/>
                    <w:jc w:val="center"/>
                    <w:textAlignment w:val="auto"/>
                    <w:rPr>
                      <w:rFonts w:cs="Times New Roman"/>
                      <w:sz w:val="21"/>
                    </w:rPr>
                  </w:pPr>
                  <w:r>
                    <w:rPr>
                      <w:rFonts w:cs="Times New Roman"/>
                      <w:sz w:val="21"/>
                    </w:rPr>
                    <w:t>污染物排放管控</w:t>
                  </w: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完善农副产品、畜产品深加工等工业企业污染水治理设施，推进工业污水达标排放，实现污染物稳定达标排放。企业污水自行处理达到行业排放标准或《污水综合排放标准》中的三级标准后方可进入污水处理厂，并在企业排水口安装在线监测设备，以保障污水处理厂进水满足要求。</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本项目不属于农副产品、畜产品深加工等工业企业，不涉及高浓度有机工业废水，仅排放生活污水。生活污水经厂区化粪池预处理后，经园区污水管网排入和静县污水处理厂进一步处理</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z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607" w:type="dxa"/>
                  <w:vMerge w:val="continue"/>
                  <w:vAlign w:val="center"/>
                </w:tcPr>
                <w:p>
                  <w:pPr>
                    <w:adjustRightInd w:val="0"/>
                    <w:spacing w:line="240" w:lineRule="auto"/>
                    <w:ind w:firstLine="0" w:firstLineChars="0"/>
                    <w:jc w:val="center"/>
                    <w:textAlignment w:val="auto"/>
                    <w:rPr>
                      <w:rFonts w:cs="Times New Roman"/>
                      <w:sz w:val="21"/>
                    </w:rPr>
                  </w:pPr>
                </w:p>
              </w:tc>
              <w:tc>
                <w:tcPr>
                  <w:tcW w:w="484" w:type="dxa"/>
                  <w:vMerge w:val="restart"/>
                  <w:vAlign w:val="center"/>
                </w:tcPr>
                <w:p>
                  <w:pPr>
                    <w:adjustRightInd w:val="0"/>
                    <w:spacing w:line="240" w:lineRule="auto"/>
                    <w:ind w:firstLine="0" w:firstLineChars="0"/>
                    <w:jc w:val="center"/>
                    <w:textAlignment w:val="auto"/>
                    <w:rPr>
                      <w:rFonts w:cs="Times New Roman"/>
                      <w:sz w:val="21"/>
                    </w:rPr>
                  </w:pPr>
                  <w:r>
                    <w:rPr>
                      <w:rFonts w:cs="Times New Roman"/>
                      <w:sz w:val="21"/>
                    </w:rPr>
                    <w:t>环境风险防控</w:t>
                  </w: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1.开展土壤环境风险源识别，建立土壤污染源管控制度。列入土壤污染风险源清单中的企业，要制定隐患整治方案，报环境保护部门备案并由县人民政府审核后实施。</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项目主要环境风险为沥青储罐泄漏及废气处理设施故障。企业将编制突发环境事件应急预案并报生态环境部门备案，定期评估环境与健康风险，配备应急物资，建设事故应急池，落实防渗漏、防泄漏措施，确保环境风险可控</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79" w:hRule="atLeast"/>
                <w:jc w:val="center"/>
              </w:trPr>
              <w:tc>
                <w:tcPr>
                  <w:tcW w:w="607" w:type="dxa"/>
                  <w:vMerge w:val="continue"/>
                  <w:vAlign w:val="center"/>
                </w:tcPr>
                <w:p>
                  <w:pPr>
                    <w:adjustRightInd w:val="0"/>
                    <w:spacing w:line="240" w:lineRule="auto"/>
                    <w:ind w:firstLine="0" w:firstLineChars="0"/>
                    <w:jc w:val="center"/>
                    <w:textAlignment w:val="auto"/>
                    <w:rPr>
                      <w:rFonts w:cs="Times New Roman"/>
                      <w:sz w:val="21"/>
                    </w:rPr>
                  </w:pPr>
                </w:p>
              </w:tc>
              <w:tc>
                <w:tcPr>
                  <w:tcW w:w="484" w:type="dxa"/>
                  <w:vMerge w:val="continue"/>
                  <w:vAlign w:val="center"/>
                </w:tcPr>
                <w:p>
                  <w:pPr>
                    <w:adjustRightInd w:val="0"/>
                    <w:spacing w:line="240" w:lineRule="auto"/>
                    <w:ind w:firstLine="0" w:firstLineChars="0"/>
                    <w:jc w:val="center"/>
                    <w:textAlignment w:val="auto"/>
                    <w:rPr>
                      <w:rFonts w:cs="Times New Roman"/>
                      <w:sz w:val="21"/>
                    </w:rPr>
                  </w:pP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2.严格环境风险控制。防范环境风险，定期评估工业集聚区环境和健康风险，加强预案管理，落实防控措施，排除水污染隐患。</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项目环境风险主要为少量非甲烷总烃、沥青烟等废气处理设施故障导致的事故排放，以及化粪池泄漏风险。企业将编制突发环境事件应急预案，定期评估环境与健康风险，落实水污染防控措施，排除水污染隐患</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85" w:hRule="atLeast"/>
                <w:jc w:val="center"/>
              </w:trPr>
              <w:tc>
                <w:tcPr>
                  <w:tcW w:w="607" w:type="dxa"/>
                  <w:vMerge w:val="continue"/>
                  <w:vAlign w:val="center"/>
                </w:tcPr>
                <w:p>
                  <w:pPr>
                    <w:adjustRightInd w:val="0"/>
                    <w:spacing w:line="240" w:lineRule="auto"/>
                    <w:ind w:firstLine="0" w:firstLineChars="0"/>
                    <w:jc w:val="center"/>
                    <w:textAlignment w:val="auto"/>
                    <w:rPr>
                      <w:rFonts w:cs="Times New Roman"/>
                      <w:sz w:val="21"/>
                    </w:rPr>
                  </w:pPr>
                </w:p>
              </w:tc>
              <w:tc>
                <w:tcPr>
                  <w:tcW w:w="484" w:type="dxa"/>
                  <w:vMerge w:val="continue"/>
                  <w:vAlign w:val="center"/>
                </w:tcPr>
                <w:p>
                  <w:pPr>
                    <w:adjustRightInd w:val="0"/>
                    <w:spacing w:line="240" w:lineRule="auto"/>
                    <w:ind w:firstLine="0" w:firstLineChars="0"/>
                    <w:jc w:val="center"/>
                    <w:textAlignment w:val="auto"/>
                    <w:rPr>
                      <w:rFonts w:cs="Times New Roman"/>
                      <w:sz w:val="21"/>
                    </w:rPr>
                  </w:pP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3.加强对地下水、地表水污染的动态监测，禁止利用渗坑、渗井排放工业废水和生活污水，控制或杜绝污染。</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项目生活污水经化粪池预处理后排入园区管网，最终进入和静县污水处理厂，不涉及渗坑、渗井排放</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07" w:type="dxa"/>
                  <w:vMerge w:val="continue"/>
                  <w:vAlign w:val="center"/>
                </w:tcPr>
                <w:p>
                  <w:pPr>
                    <w:adjustRightInd w:val="0"/>
                    <w:spacing w:line="240" w:lineRule="auto"/>
                    <w:ind w:firstLine="0" w:firstLineChars="0"/>
                    <w:jc w:val="center"/>
                    <w:textAlignment w:val="auto"/>
                    <w:rPr>
                      <w:rFonts w:cs="Times New Roman"/>
                      <w:sz w:val="21"/>
                    </w:rPr>
                  </w:pPr>
                </w:p>
              </w:tc>
              <w:tc>
                <w:tcPr>
                  <w:tcW w:w="484" w:type="dxa"/>
                  <w:vAlign w:val="center"/>
                </w:tcPr>
                <w:p>
                  <w:pPr>
                    <w:adjustRightInd w:val="0"/>
                    <w:spacing w:line="240" w:lineRule="auto"/>
                    <w:ind w:firstLine="0" w:firstLineChars="0"/>
                    <w:jc w:val="center"/>
                    <w:textAlignment w:val="auto"/>
                    <w:rPr>
                      <w:rFonts w:cs="Times New Roman"/>
                      <w:sz w:val="21"/>
                    </w:rPr>
                  </w:pPr>
                  <w:r>
                    <w:rPr>
                      <w:rFonts w:cs="Times New Roman"/>
                      <w:sz w:val="21"/>
                    </w:rPr>
                    <w:t>资源利用效率</w:t>
                  </w:r>
                </w:p>
              </w:tc>
              <w:tc>
                <w:tcPr>
                  <w:tcW w:w="3914" w:type="dxa"/>
                  <w:vAlign w:val="center"/>
                </w:tcPr>
                <w:p>
                  <w:pPr>
                    <w:adjustRightInd w:val="0"/>
                    <w:spacing w:line="240" w:lineRule="auto"/>
                    <w:ind w:firstLine="0" w:firstLineChars="0"/>
                    <w:textAlignment w:val="auto"/>
                    <w:rPr>
                      <w:rFonts w:cs="Times New Roman"/>
                      <w:sz w:val="21"/>
                    </w:rPr>
                  </w:pPr>
                  <w:r>
                    <w:rPr>
                      <w:rFonts w:hint="eastAsia" w:cs="Times New Roman"/>
                      <w:sz w:val="21"/>
                    </w:rPr>
                    <w:t>1.围绕资源高效循环利用，加大先进节能技术和减排技术的推广应用，推动结构性、技术性和制度性节能减排。强化行业环境监督管理，以重点领域、重点行业和重点企业为突破口，实施节能减排技术改造和重点工程建设。进一步加强节能监察队伍建设，逐步推行碳排放交易、合同能源管理的节能模式，引导企业做好能源利用状况报告的评审和产品能耗对标工作，加强能耗计量专业化和信息化，提高节能监察工作能力。</w:t>
                  </w:r>
                </w:p>
              </w:tc>
              <w:tc>
                <w:tcPr>
                  <w:tcW w:w="2803" w:type="dxa"/>
                  <w:vAlign w:val="center"/>
                </w:tcPr>
                <w:p>
                  <w:pPr>
                    <w:adjustRightInd w:val="0"/>
                    <w:spacing w:line="240" w:lineRule="auto"/>
                    <w:ind w:firstLine="0" w:firstLineChars="0"/>
                    <w:textAlignment w:val="auto"/>
                    <w:rPr>
                      <w:rFonts w:cs="Times New Roman"/>
                      <w:sz w:val="21"/>
                    </w:rPr>
                  </w:pPr>
                  <w:r>
                    <w:rPr>
                      <w:rFonts w:hint="eastAsia" w:cs="Times New Roman"/>
                      <w:sz w:val="21"/>
                    </w:rPr>
                    <w:t>本项目积极围绕资源高效循环利用，在生产中采用布袋除尘、电捕焦油器+两级活性炭等先进节能及减排技术，有效降低污染物排放。项目已按规定完成固定资产投资项目节能审查，用水、用地及综合能耗均满足国家和自治区下达的总量和强度控制目标。项目不属于当前全国碳市场管控的四大高耗能行业，暂未纳入碳排放交易，但将按要求建立能源管理体系，配合节能监察，做好能源利用状况报告和产品能耗对标工作</w:t>
                  </w:r>
                </w:p>
              </w:tc>
              <w:tc>
                <w:tcPr>
                  <w:tcW w:w="515" w:type="dxa"/>
                  <w:vAlign w:val="center"/>
                </w:tcPr>
                <w:p>
                  <w:pPr>
                    <w:adjustRightInd w:val="0"/>
                    <w:spacing w:line="240" w:lineRule="auto"/>
                    <w:ind w:firstLine="0" w:firstLineChars="0"/>
                    <w:jc w:val="center"/>
                    <w:textAlignment w:val="auto"/>
                    <w:rPr>
                      <w:rFonts w:cs="Times New Roman"/>
                      <w:spacing w:val="-10"/>
                      <w:sz w:val="21"/>
                      <w:szCs w:val="21"/>
                    </w:rPr>
                  </w:pPr>
                  <w:r>
                    <w:rPr>
                      <w:rFonts w:cs="Times New Roman"/>
                      <w:spacing w:val="-10"/>
                      <w:sz w:val="21"/>
                      <w:szCs w:val="21"/>
                    </w:rPr>
                    <w:t>符合</w:t>
                  </w:r>
                </w:p>
              </w:tc>
            </w:tr>
          </w:tbl>
          <w:p>
            <w:pPr>
              <w:autoSpaceDE w:val="0"/>
              <w:autoSpaceDN w:val="0"/>
              <w:adjustRightInd w:val="0"/>
              <w:snapToGrid w:val="0"/>
              <w:ind w:firstLine="480"/>
              <w:rPr>
                <w:szCs w:val="21"/>
              </w:rPr>
            </w:pPr>
            <w:r>
              <w:rPr>
                <w:rFonts w:hint="eastAsia"/>
                <w:szCs w:val="21"/>
              </w:rPr>
              <w:t>综上所述，本项目符合《关于印发巴音郭楞蒙古自治州生态环境分区管控动态更新成果（2023年）的通知》（巴政办发〔2024〕32号）以及所在管控单元“和静工业园区哈尔莫敦矿业片区（重点管控单元）”的管控要求。</w:t>
            </w:r>
          </w:p>
          <w:p>
            <w:pPr>
              <w:spacing w:line="240" w:lineRule="auto"/>
              <w:ind w:firstLine="198" w:firstLineChars="82"/>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6、与其他符合性</w:t>
            </w:r>
            <w:r>
              <w:rPr>
                <w:b/>
                <w:color w:val="000000" w:themeColor="text1"/>
                <w:szCs w:val="21"/>
                <w14:textFill>
                  <w14:solidFill>
                    <w14:schemeClr w14:val="tx1"/>
                  </w14:solidFill>
                </w14:textFill>
              </w:rPr>
              <w:t>分析</w:t>
            </w:r>
          </w:p>
          <w:p>
            <w:pPr>
              <w:pStyle w:val="39"/>
              <w:spacing w:before="163"/>
              <w:rPr>
                <w:rFonts w:cs="Times New Roman"/>
                <w:color w:val="000000" w:themeColor="text1"/>
                <w:szCs w:val="24"/>
                <w14:textFill>
                  <w14:solidFill>
                    <w14:schemeClr w14:val="tx1"/>
                  </w14:solidFill>
                </w14:textFill>
              </w:rPr>
            </w:pPr>
            <w:r>
              <w:rPr>
                <w:rFonts w:hint="eastAsia"/>
                <w:color w:val="000000" w:themeColor="text1"/>
                <w14:textFill>
                  <w14:solidFill>
                    <w14:schemeClr w14:val="tx1"/>
                  </w14:solidFill>
                </w14:textFill>
              </w:rPr>
              <w:t>表1</w:t>
            </w:r>
            <w:r>
              <w:rPr>
                <w:color w:val="000000" w:themeColor="text1"/>
                <w14:textFill>
                  <w14:solidFill>
                    <w14:schemeClr w14:val="tx1"/>
                  </w14:solidFill>
                </w14:textFill>
              </w:rPr>
              <w:t xml:space="preserve">-5  </w:t>
            </w:r>
            <w:r>
              <w:rPr>
                <w:rFonts w:hint="eastAsia"/>
                <w:color w:val="000000" w:themeColor="text1"/>
                <w14:textFill>
                  <w14:solidFill>
                    <w14:schemeClr w14:val="tx1"/>
                  </w14:solidFill>
                </w14:textFill>
              </w:rPr>
              <w:t>其他符合性分析</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9"/>
              <w:gridCol w:w="3547"/>
              <w:gridCol w:w="2865"/>
              <w:gridCol w:w="6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43" w:type="pct"/>
                  <w:vAlign w:val="center"/>
                </w:tcPr>
                <w:p>
                  <w:pPr>
                    <w:adjustRightInd w:val="0"/>
                    <w:snapToGrid w:val="0"/>
                    <w:spacing w:line="240" w:lineRule="auto"/>
                    <w:ind w:firstLine="0" w:firstLineChars="0"/>
                    <w:jc w:val="center"/>
                    <w:textAlignment w:val="auto"/>
                    <w:rPr>
                      <w:rFonts w:cs="Times New Roman"/>
                      <w:sz w:val="21"/>
                      <w:szCs w:val="24"/>
                    </w:rPr>
                  </w:pPr>
                  <w:bookmarkStart w:id="10" w:name="_Hlk97245357"/>
                  <w:r>
                    <w:rPr>
                      <w:rFonts w:hint="eastAsia" w:cs="Times New Roman"/>
                      <w:sz w:val="21"/>
                      <w:szCs w:val="24"/>
                    </w:rPr>
                    <w:t>规划</w:t>
                  </w:r>
                </w:p>
              </w:tc>
              <w:tc>
                <w:tcPr>
                  <w:tcW w:w="2125"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规划要求</w:t>
                  </w:r>
                </w:p>
              </w:tc>
              <w:tc>
                <w:tcPr>
                  <w:tcW w:w="17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本项目情况</w:t>
                  </w:r>
                </w:p>
              </w:tc>
              <w:tc>
                <w:tcPr>
                  <w:tcW w:w="4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67" w:hRule="atLeast"/>
              </w:trPr>
              <w:tc>
                <w:tcPr>
                  <w:tcW w:w="743" w:type="pct"/>
                  <w:vMerge w:val="restart"/>
                  <w:vAlign w:val="center"/>
                </w:tcPr>
                <w:p>
                  <w:pPr>
                    <w:adjustRightInd w:val="0"/>
                    <w:snapToGrid w:val="0"/>
                    <w:spacing w:line="240" w:lineRule="auto"/>
                    <w:ind w:firstLine="0" w:firstLineChars="0"/>
                    <w:textAlignment w:val="auto"/>
                    <w:rPr>
                      <w:rFonts w:cs="Times New Roman"/>
                      <w:sz w:val="21"/>
                      <w:szCs w:val="24"/>
                    </w:rPr>
                  </w:pPr>
                  <w:r>
                    <w:rPr>
                      <w:rFonts w:cs="Times New Roman"/>
                      <w:sz w:val="21"/>
                      <w:szCs w:val="24"/>
                    </w:rPr>
                    <w:t>新疆生态环境保护“十四五”规划</w:t>
                  </w:r>
                </w:p>
              </w:tc>
              <w:tc>
                <w:tcPr>
                  <w:tcW w:w="2125"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推进扬尘精细化管控。全面推行绿色施工，城市建成区建筑工地扬尘防控标准化管理全覆盖；加强城市道路清扫保洁和洒水抑尘，渣土车实施硬覆盖；推进低尘机械化作业水平，控制道路扬尘污染；强化非道路移动源综合治理；充分运用新型、高效的防尘、降尘、除尘技术，加强矿山粉尘治理</w:t>
                  </w:r>
                </w:p>
              </w:tc>
              <w:tc>
                <w:tcPr>
                  <w:tcW w:w="1716"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本项目施工过程采用下列措施防治扬尘：设置围挡、道路及堆场硬化、物料苫盖、洗车、洒水抑尘、使用成品混凝土</w:t>
                  </w:r>
                </w:p>
              </w:tc>
              <w:tc>
                <w:tcPr>
                  <w:tcW w:w="4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89" w:hRule="atLeast"/>
              </w:trPr>
              <w:tc>
                <w:tcPr>
                  <w:tcW w:w="743" w:type="pct"/>
                  <w:vMerge w:val="continue"/>
                  <w:vAlign w:val="center"/>
                </w:tcPr>
                <w:p>
                  <w:pPr>
                    <w:adjustRightInd w:val="0"/>
                    <w:snapToGrid w:val="0"/>
                    <w:spacing w:line="240" w:lineRule="auto"/>
                    <w:ind w:firstLine="0" w:firstLineChars="0"/>
                    <w:textAlignment w:val="auto"/>
                    <w:rPr>
                      <w:rFonts w:cs="Times New Roman"/>
                      <w:sz w:val="21"/>
                      <w:szCs w:val="24"/>
                    </w:rPr>
                  </w:pPr>
                </w:p>
              </w:tc>
              <w:tc>
                <w:tcPr>
                  <w:tcW w:w="2125"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加强环境噪声污染防控。加强噪声污染源监管，继续强化和深入推进交通运输噪声、建筑施工噪声、社会生活噪声、工业企业、机场周边噪声污染防治，推进工业企业噪声纳入排污许可管理。</w:t>
                  </w:r>
                </w:p>
              </w:tc>
              <w:tc>
                <w:tcPr>
                  <w:tcW w:w="1716"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本项目采用低噪声设备、基础减振、厂房隔声等措施，减轻噪声影响，厂界噪声达标排放</w:t>
                  </w:r>
                </w:p>
              </w:tc>
              <w:tc>
                <w:tcPr>
                  <w:tcW w:w="4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588" w:hRule="atLeast"/>
              </w:trPr>
              <w:tc>
                <w:tcPr>
                  <w:tcW w:w="743" w:type="pct"/>
                  <w:vMerge w:val="restart"/>
                  <w:vAlign w:val="center"/>
                </w:tcPr>
                <w:p>
                  <w:pPr>
                    <w:adjustRightInd w:val="0"/>
                    <w:snapToGrid w:val="0"/>
                    <w:spacing w:line="240" w:lineRule="auto"/>
                    <w:ind w:firstLine="0" w:firstLineChars="0"/>
                    <w:textAlignment w:val="auto"/>
                    <w:rPr>
                      <w:color w:val="000000" w:themeColor="text1"/>
                      <w14:textFill>
                        <w14:solidFill>
                          <w14:schemeClr w14:val="tx1"/>
                        </w14:solidFill>
                      </w14:textFill>
                    </w:rPr>
                  </w:pPr>
                  <w:r>
                    <w:rPr>
                      <w:rFonts w:hint="eastAsia" w:cs="Times New Roman"/>
                      <w:sz w:val="21"/>
                      <w:szCs w:val="24"/>
                    </w:rPr>
                    <w:t>新疆维吾尔自治区环境保护条例</w:t>
                  </w:r>
                </w:p>
              </w:tc>
              <w:tc>
                <w:tcPr>
                  <w:tcW w:w="2125"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第十七条环境保护规划和生态功能区划应当与主体功能区规划、土地利用总体规划和城乡规划等相衔接。各类开发和建设活动应当符合环境保护规划和生态功能区划的要求，严格遵守生态保护红线的规定。</w:t>
                  </w:r>
                </w:p>
              </w:tc>
              <w:tc>
                <w:tcPr>
                  <w:tcW w:w="1716"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本项目不在生态保护红线范围内</w:t>
                  </w:r>
                </w:p>
              </w:tc>
              <w:tc>
                <w:tcPr>
                  <w:tcW w:w="4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43" w:type="pct"/>
                  <w:vMerge w:val="continue"/>
                  <w:vAlign w:val="center"/>
                </w:tcPr>
                <w:p>
                  <w:pPr>
                    <w:pStyle w:val="34"/>
                    <w:rPr>
                      <w:color w:val="000000" w:themeColor="text1"/>
                      <w14:textFill>
                        <w14:solidFill>
                          <w14:schemeClr w14:val="tx1"/>
                        </w14:solidFill>
                      </w14:textFill>
                    </w:rPr>
                  </w:pPr>
                </w:p>
              </w:tc>
              <w:tc>
                <w:tcPr>
                  <w:tcW w:w="2125"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第四十三条排放污染物的企业事业单位和其他生产经营者应当依法取得排污许可证。排放污染物应当符合国家或者自治区规定的污染物排放标准和重点污染物总量控制指标</w:t>
                  </w:r>
                </w:p>
              </w:tc>
              <w:tc>
                <w:tcPr>
                  <w:tcW w:w="1716" w:type="pct"/>
                  <w:vAlign w:val="center"/>
                </w:tcPr>
                <w:p>
                  <w:pPr>
                    <w:adjustRightInd w:val="0"/>
                    <w:snapToGrid w:val="0"/>
                    <w:spacing w:line="240" w:lineRule="auto"/>
                    <w:ind w:firstLine="0" w:firstLineChars="0"/>
                    <w:textAlignment w:val="auto"/>
                    <w:rPr>
                      <w:rFonts w:cs="Times New Roman"/>
                      <w:sz w:val="21"/>
                      <w:szCs w:val="24"/>
                    </w:rPr>
                  </w:pPr>
                  <w:r>
                    <w:rPr>
                      <w:rFonts w:hint="eastAsia" w:cs="Times New Roman"/>
                      <w:sz w:val="21"/>
                      <w:szCs w:val="24"/>
                    </w:rPr>
                    <w:t>评价要求企业严格落实污染物总量控制和排污许可证制度，通过采取完善的污染治理措施，各项污染物均达标排放</w:t>
                  </w:r>
                </w:p>
              </w:tc>
              <w:tc>
                <w:tcPr>
                  <w:tcW w:w="416" w:type="pct"/>
                  <w:vAlign w:val="center"/>
                </w:tcPr>
                <w:p>
                  <w:pPr>
                    <w:adjustRightInd w:val="0"/>
                    <w:snapToGrid w:val="0"/>
                    <w:spacing w:line="240" w:lineRule="auto"/>
                    <w:ind w:firstLine="0" w:firstLineChars="0"/>
                    <w:jc w:val="center"/>
                    <w:textAlignment w:val="auto"/>
                    <w:rPr>
                      <w:rFonts w:cs="Times New Roman"/>
                      <w:sz w:val="21"/>
                      <w:szCs w:val="24"/>
                    </w:rPr>
                  </w:pPr>
                  <w:r>
                    <w:rPr>
                      <w:rFonts w:hint="eastAsia" w:cs="Times New Roman"/>
                      <w:sz w:val="21"/>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3" w:type="pct"/>
                  <w:vMerge w:val="restart"/>
                  <w:vAlign w:val="center"/>
                </w:tcPr>
                <w:p>
                  <w:pPr>
                    <w:pStyle w:val="34"/>
                    <w:rPr>
                      <w:rFonts w:cs="Times New Roman"/>
                      <w:szCs w:val="24"/>
                    </w:rPr>
                  </w:pPr>
                  <w:r>
                    <w:rPr>
                      <w:rFonts w:hint="eastAsia" w:cs="Times New Roman"/>
                      <w:szCs w:val="24"/>
                    </w:rPr>
                    <w:t>《中华人民共和国生态环境法典》</w:t>
                  </w:r>
                </w:p>
              </w:tc>
              <w:tc>
                <w:tcPr>
                  <w:tcW w:w="2125" w:type="pct"/>
                  <w:vAlign w:val="center"/>
                </w:tcPr>
                <w:p>
                  <w:pPr>
                    <w:pStyle w:val="34"/>
                    <w:jc w:val="both"/>
                    <w:rPr>
                      <w:rFonts w:cs="Times New Roman"/>
                      <w:szCs w:val="24"/>
                    </w:rPr>
                  </w:pPr>
                  <w:r>
                    <w:rPr>
                      <w:rFonts w:hint="eastAsia" w:cs="Times New Roman"/>
                      <w:szCs w:val="24"/>
                    </w:rPr>
                    <w:t>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tc>
              <w:tc>
                <w:tcPr>
                  <w:tcW w:w="1716" w:type="pct"/>
                  <w:vAlign w:val="center"/>
                </w:tcPr>
                <w:p>
                  <w:pPr>
                    <w:pStyle w:val="34"/>
                    <w:jc w:val="both"/>
                    <w:rPr>
                      <w:rFonts w:cs="Times New Roman"/>
                      <w:szCs w:val="24"/>
                    </w:rPr>
                  </w:pPr>
                  <w:r>
                    <w:rPr>
                      <w:rFonts w:hint="eastAsia" w:cs="Times New Roman"/>
                      <w:szCs w:val="24"/>
                    </w:rPr>
                    <w:t>本项目依法开展环境影响评价，配套建设污染防治设施，各类污染物达标排放，符合生态环境保护基本要求</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2"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第五条 节约资源和保护生态环境是国家的基本国策，协同推进降碳、减污、扩绿、增长</w:t>
                  </w:r>
                </w:p>
              </w:tc>
              <w:tc>
                <w:tcPr>
                  <w:tcW w:w="1716" w:type="pct"/>
                  <w:vAlign w:val="center"/>
                </w:tcPr>
                <w:p>
                  <w:pPr>
                    <w:pStyle w:val="34"/>
                    <w:jc w:val="both"/>
                    <w:rPr>
                      <w:rFonts w:cs="Times New Roman"/>
                      <w:szCs w:val="24"/>
                    </w:rPr>
                  </w:pPr>
                  <w:r>
                    <w:rPr>
                      <w:rFonts w:hint="eastAsia" w:cs="Times New Roman"/>
                      <w:szCs w:val="24"/>
                    </w:rPr>
                    <w:t>本项目采用电加热导热油炉，不涉及燃煤；废气经布袋除尘、电捕焦油器+活性炭等高效设施处理后达标排放</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第六条 生态环境保护坚持预防为主、系统治理、生态优先、绿色发展、公众参与、损害担责的原则</w:t>
                  </w:r>
                </w:p>
              </w:tc>
              <w:tc>
                <w:tcPr>
                  <w:tcW w:w="1716" w:type="pct"/>
                  <w:vAlign w:val="center"/>
                </w:tcPr>
                <w:p>
                  <w:pPr>
                    <w:pStyle w:val="34"/>
                    <w:jc w:val="both"/>
                    <w:rPr>
                      <w:rFonts w:cs="Times New Roman"/>
                      <w:szCs w:val="24"/>
                    </w:rPr>
                  </w:pPr>
                  <w:r>
                    <w:rPr>
                      <w:rFonts w:hint="eastAsia" w:cs="Times New Roman"/>
                      <w:szCs w:val="24"/>
                    </w:rPr>
                    <w:t>项目从源头采取清洁生产工艺，系统配套废气、废水、噪声、固废治理设施，明确企业环保主体责任</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第八十三条 编制有关开发利用规划，建设对生态环境有影响的项目，应当依法进行生态环境影响评价。未依法进行生态环境影响评价的开发利用规划，不得组织实施；未依法进行生态环境影响评价的建设项目，不得开工建设</w:t>
                  </w:r>
                </w:p>
              </w:tc>
              <w:tc>
                <w:tcPr>
                  <w:tcW w:w="1716" w:type="pct"/>
                  <w:vAlign w:val="center"/>
                </w:tcPr>
                <w:p>
                  <w:pPr>
                    <w:pStyle w:val="34"/>
                    <w:jc w:val="both"/>
                    <w:rPr>
                      <w:rFonts w:cs="Times New Roman"/>
                      <w:szCs w:val="24"/>
                    </w:rPr>
                  </w:pPr>
                  <w:r>
                    <w:rPr>
                      <w:rFonts w:hint="eastAsia" w:cs="Times New Roman"/>
                      <w:szCs w:val="24"/>
                    </w:rPr>
                    <w:t>本项目已委托编制环境影响报告表，依法开展环境影响评价</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第九十五条 国家根据建设项目对生态环境的影响程度，对建设项目的生态环境影响评价实行分类管理</w:t>
                  </w:r>
                </w:p>
              </w:tc>
              <w:tc>
                <w:tcPr>
                  <w:tcW w:w="1716" w:type="pct"/>
                  <w:vAlign w:val="center"/>
                </w:tcPr>
                <w:p>
                  <w:pPr>
                    <w:pStyle w:val="34"/>
                    <w:jc w:val="both"/>
                    <w:rPr>
                      <w:rFonts w:cs="Times New Roman"/>
                      <w:szCs w:val="24"/>
                    </w:rPr>
                  </w:pPr>
                  <w:r>
                    <w:rPr>
                      <w:rFonts w:hint="eastAsia" w:cs="Times New Roman"/>
                      <w:szCs w:val="24"/>
                    </w:rPr>
                    <w:t>根据《建设项目环境影响评价分类管理名录》，本项目属于“二十七、非金属矿物制品业30”中的“其他”，应编制环境影响报告表，已按此开展评价</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cs="Times New Roman"/>
                      <w:szCs w:val="24"/>
                    </w:rPr>
                    <w:t>第一百五十条</w:t>
                  </w:r>
                  <w:r>
                    <w:rPr>
                      <w:rFonts w:hint="eastAsia" w:cs="Times New Roman"/>
                      <w:szCs w:val="24"/>
                    </w:rPr>
                    <w:t xml:space="preserve"> 排放污染物的单位和个人，应当采取有效措施，防治在生产、生活和其他活动中产生的大气污染、水污染、海洋污染、土壤污染、固体废物污染、噪声污染、放射性污染，以及化学物质污染、电磁辐射污染、光污染等环境污染</w:t>
                  </w:r>
                </w:p>
              </w:tc>
              <w:tc>
                <w:tcPr>
                  <w:tcW w:w="1716" w:type="pct"/>
                  <w:vAlign w:val="center"/>
                </w:tcPr>
                <w:p>
                  <w:pPr>
                    <w:pStyle w:val="34"/>
                    <w:jc w:val="both"/>
                    <w:rPr>
                      <w:rFonts w:cs="Times New Roman"/>
                      <w:szCs w:val="24"/>
                    </w:rPr>
                  </w:pPr>
                  <w:r>
                    <w:rPr>
                      <w:rFonts w:cs="Times New Roman"/>
                      <w:szCs w:val="24"/>
                    </w:rPr>
                    <w:t>项目已针对各类污染物配套相应治理设施，实现污染物达标排放</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第一百七十四条 国家建立健全以排污许可制为核心的固定污染源监督管理制度。实行排污许可管理的企业事业单位和其他生产经营者应当按照规定取得排污许可证，未取得排污许可证的不得排放污染物</w:t>
                  </w:r>
                </w:p>
              </w:tc>
              <w:tc>
                <w:tcPr>
                  <w:tcW w:w="1716" w:type="pct"/>
                  <w:vAlign w:val="center"/>
                </w:tcPr>
                <w:p>
                  <w:pPr>
                    <w:pStyle w:val="34"/>
                    <w:jc w:val="both"/>
                    <w:rPr>
                      <w:rFonts w:cs="Times New Roman"/>
                      <w:szCs w:val="24"/>
                    </w:rPr>
                  </w:pPr>
                  <w:r>
                    <w:rPr>
                      <w:rFonts w:hint="eastAsia" w:cs="Times New Roman"/>
                      <w:szCs w:val="24"/>
                    </w:rPr>
                    <w:t>本项目属于“其他非金属矿物制品制造3099（沥青混合物）”，根据《固定污染源排污许可分类管理名录》，实行简化管理，环评批复后将依法申请排污许可证</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60"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第一百八十九条 防治大气污染，应当以改善大气环境质量为目标，转变经济发展方式，优化产业结构和布局，调整能源结构、交通运输结构。防治大气污染，应当加强对燃煤、工业、机动车船、非道路移动机械、扬尘、农业等大气污染的综合防治，推行区域大气污染联合防治，对颗粒物、二氧化硫、氮氧化物、挥发性有机物、氨等大气污染物和温室气体实施协同控制</w:t>
                  </w:r>
                </w:p>
              </w:tc>
              <w:tc>
                <w:tcPr>
                  <w:tcW w:w="1716" w:type="pct"/>
                  <w:vAlign w:val="center"/>
                </w:tcPr>
                <w:p>
                  <w:pPr>
                    <w:pStyle w:val="34"/>
                    <w:jc w:val="both"/>
                    <w:rPr>
                      <w:rFonts w:cs="Times New Roman"/>
                      <w:szCs w:val="24"/>
                    </w:rPr>
                  </w:pPr>
                  <w:r>
                    <w:rPr>
                      <w:rFonts w:hint="eastAsia" w:cs="Times New Roman"/>
                      <w:szCs w:val="24"/>
                    </w:rPr>
                    <w:t>①粉尘经集气罩+布袋除尘器处理后由15m排气筒（DA001）排放；②非甲烷总烃经负压收集+两级活性炭处理后由15m排气筒（DA002）排放；③沥青烟、苯并[a]芘经管道收集+电捕焦油器+两级活性炭处理后由15m排气筒（DA002）排放。各类污染物均达标排放</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第二百九十八条 排放工业废水的企业应当采取有效措施，收集和处理产生的全部废水，防止污染环境。含有毒有害水污染物的工业废水应当分类收集和处理，防止渗漏、流失，不得稀释排放</w:t>
                  </w:r>
                </w:p>
              </w:tc>
              <w:tc>
                <w:tcPr>
                  <w:tcW w:w="1716" w:type="pct"/>
                  <w:vAlign w:val="center"/>
                </w:tcPr>
                <w:p>
                  <w:pPr>
                    <w:spacing w:line="240" w:lineRule="auto"/>
                    <w:ind w:firstLine="0" w:firstLineChars="0"/>
                    <w:contextualSpacing/>
                    <w:rPr>
                      <w:rFonts w:cs="Times New Roman"/>
                      <w:sz w:val="21"/>
                      <w:szCs w:val="24"/>
                    </w:rPr>
                  </w:pPr>
                  <w:r>
                    <w:rPr>
                      <w:rFonts w:cs="Times New Roman"/>
                      <w:sz w:val="21"/>
                      <w:szCs w:val="24"/>
                    </w:rPr>
                    <w:t>本项目生产过程中不产生工业废水，仅排放生活污水。生活污水经化粪池预处理后排入园区管网，最终进入和静县污水处理厂处理，不直接外排</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cs="Times New Roman"/>
                      <w:szCs w:val="24"/>
                    </w:rPr>
                    <w:t>第三百九十七条 土地使用权人从事土地开发利用活动，企业事业单位和其他生产经营者从事生产经营活动，应当采取有效措施，防止、减少土壤污染，对所造成的土壤污染依法承担责任</w:t>
                  </w:r>
                </w:p>
              </w:tc>
              <w:tc>
                <w:tcPr>
                  <w:tcW w:w="1716" w:type="pct"/>
                  <w:vAlign w:val="center"/>
                </w:tcPr>
                <w:p>
                  <w:pPr>
                    <w:spacing w:line="240" w:lineRule="auto"/>
                    <w:ind w:firstLine="0" w:firstLineChars="0"/>
                    <w:contextualSpacing/>
                    <w:rPr>
                      <w:rFonts w:cs="Times New Roman"/>
                      <w:sz w:val="21"/>
                      <w:szCs w:val="24"/>
                    </w:rPr>
                  </w:pPr>
                  <w:r>
                    <w:rPr>
                      <w:rFonts w:cs="Times New Roman"/>
                      <w:sz w:val="21"/>
                      <w:szCs w:val="24"/>
                    </w:rPr>
                    <w:t>项目厂区实行分区防渗：危险废物贮存库、沥青储罐区为重点防渗区（等效黏土防渗层Mb≥6.0m）；生产车间、原料库、成品库为一般防渗区；办公区为简单防渗区，有效防控土壤污染风险</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hint="eastAsia" w:cs="Times New Roman"/>
                      <w:szCs w:val="24"/>
                    </w:rPr>
                    <w:t>第四百六十六条 固体废物污染防治坚持减量化、资源化和无害化的原则，加强产生、收集、贮存、运输、利用、处置等全过程管控</w:t>
                  </w:r>
                </w:p>
              </w:tc>
              <w:tc>
                <w:tcPr>
                  <w:tcW w:w="1716" w:type="pct"/>
                  <w:vAlign w:val="center"/>
                </w:tcPr>
                <w:p>
                  <w:pPr>
                    <w:spacing w:line="240" w:lineRule="auto"/>
                    <w:ind w:firstLine="0" w:firstLineChars="0"/>
                    <w:contextualSpacing/>
                    <w:rPr>
                      <w:rFonts w:cs="Times New Roman"/>
                      <w:sz w:val="21"/>
                      <w:szCs w:val="24"/>
                    </w:rPr>
                  </w:pPr>
                  <w:r>
                    <w:rPr>
                      <w:rFonts w:hint="eastAsia" w:cs="Times New Roman"/>
                      <w:sz w:val="21"/>
                      <w:szCs w:val="24"/>
                    </w:rPr>
                    <w:t>本项目一般固废（废包装袋外售、布袋集尘运至园区一般固废填埋场、废布袋厂家回收）；危险废物分类收集后贮存于10m²危险废物贮存库，委托有资质单位处置</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cs="Times New Roman"/>
                      <w:szCs w:val="24"/>
                    </w:rPr>
                    <w:t>第四百六十八条</w:t>
                  </w:r>
                  <w:r>
                    <w:rPr>
                      <w:rFonts w:hint="eastAsia" w:cs="Times New Roman"/>
                      <w:szCs w:val="24"/>
                    </w:rPr>
                    <w:t xml:space="preserve"> 产生、收集、贮存、运输、利用、处置固体废物的单位和个人，应当采取有效措施，防止或者减少固体废物污染，对所造成的污染依法承担责任</w:t>
                  </w:r>
                </w:p>
              </w:tc>
              <w:tc>
                <w:tcPr>
                  <w:tcW w:w="1716" w:type="pct"/>
                  <w:vAlign w:val="center"/>
                </w:tcPr>
                <w:p>
                  <w:pPr>
                    <w:spacing w:line="240" w:lineRule="auto"/>
                    <w:ind w:firstLine="0" w:firstLineChars="0"/>
                    <w:contextualSpacing/>
                    <w:rPr>
                      <w:rFonts w:cs="Times New Roman"/>
                      <w:sz w:val="21"/>
                      <w:szCs w:val="24"/>
                    </w:rPr>
                  </w:pPr>
                  <w:r>
                    <w:rPr>
                      <w:rFonts w:cs="Times New Roman"/>
                      <w:sz w:val="21"/>
                      <w:szCs w:val="24"/>
                    </w:rPr>
                    <w:t>报告已明确各类固体废物的产生量、属性和去向，建立台账管理制度，企业承担相应污染防治责任</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jc w:val="both"/>
                    <w:rPr>
                      <w:rFonts w:cs="Times New Roman"/>
                      <w:szCs w:val="24"/>
                    </w:rPr>
                  </w:pPr>
                  <w:r>
                    <w:rPr>
                      <w:rFonts w:cs="Times New Roman"/>
                      <w:szCs w:val="24"/>
                    </w:rPr>
                    <w:t>第四百七十五条</w:t>
                  </w:r>
                  <w:r>
                    <w:rPr>
                      <w:rFonts w:hint="eastAsia" w:cs="Times New Roman"/>
                      <w:szCs w:val="24"/>
                    </w:rPr>
                    <w:t xml:space="preserve"> 产生、收集、贮存、运输、利用、处置固体废物的单位和其他生产经营者，应当采取防扬散、防流失、防渗漏或者其他防止污染环境的措施，不得擅自倾倒、堆放、丢弃、抛撒、遗撒或者焚烧固体废物</w:t>
                  </w:r>
                </w:p>
              </w:tc>
              <w:tc>
                <w:tcPr>
                  <w:tcW w:w="1716" w:type="pct"/>
                  <w:vAlign w:val="center"/>
                </w:tcPr>
                <w:p>
                  <w:pPr>
                    <w:spacing w:line="240" w:lineRule="auto"/>
                    <w:ind w:firstLine="0" w:firstLineChars="0"/>
                    <w:contextualSpacing/>
                    <w:rPr>
                      <w:rFonts w:cs="Times New Roman"/>
                      <w:sz w:val="21"/>
                      <w:szCs w:val="24"/>
                    </w:rPr>
                  </w:pPr>
                  <w:r>
                    <w:rPr>
                      <w:rFonts w:cs="Times New Roman"/>
                      <w:sz w:val="21"/>
                      <w:szCs w:val="24"/>
                    </w:rPr>
                    <w:t>危险废物贮存库按《危险废物贮存污染控制标准》（GB18597-2023）建设，采取防风、防雨、防晒、防渗漏措施</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743" w:type="pct"/>
                  <w:vAlign w:val="center"/>
                </w:tcPr>
                <w:p>
                  <w:pPr>
                    <w:pStyle w:val="34"/>
                    <w:jc w:val="both"/>
                    <w:rPr>
                      <w:rFonts w:cs="Times New Roman"/>
                      <w:szCs w:val="24"/>
                    </w:rPr>
                  </w:pPr>
                  <w:r>
                    <w:rPr>
                      <w:rFonts w:hint="eastAsia" w:cs="Times New Roman"/>
                      <w:szCs w:val="24"/>
                    </w:rPr>
                    <w:t>《自治州大气污染防治三年攻坚行动方案（2023－2025年）》</w:t>
                  </w:r>
                </w:p>
              </w:tc>
              <w:tc>
                <w:tcPr>
                  <w:tcW w:w="2125" w:type="pct"/>
                  <w:vAlign w:val="center"/>
                </w:tcPr>
                <w:p>
                  <w:pPr>
                    <w:pStyle w:val="34"/>
                    <w:jc w:val="both"/>
                    <w:rPr>
                      <w:rFonts w:cs="Times New Roman"/>
                      <w:szCs w:val="24"/>
                    </w:rPr>
                  </w:pPr>
                  <w:r>
                    <w:rPr>
                      <w:rFonts w:hint="eastAsia" w:cs="Times New Roman"/>
                      <w:szCs w:val="24"/>
                    </w:rPr>
                    <w:t>严格落实施工工地扬尘管控责任，制定施工扬尘污染防治实施方案，在工地公示具体防治措施及负责人信息。全面推行绿色施工，严格执行“六个百分之百”，推进安装视频监控设施。重点区域道路、水务等线性工程实行分段施工。加强施工扬尘监管执法，对问题严重的依法依规实施联合惩戒</w:t>
                  </w:r>
                </w:p>
              </w:tc>
              <w:tc>
                <w:tcPr>
                  <w:tcW w:w="1716" w:type="pct"/>
                  <w:vAlign w:val="center"/>
                </w:tcPr>
                <w:p>
                  <w:pPr>
                    <w:pStyle w:val="34"/>
                    <w:jc w:val="both"/>
                    <w:rPr>
                      <w:rFonts w:cs="Times New Roman"/>
                      <w:szCs w:val="24"/>
                    </w:rPr>
                  </w:pPr>
                  <w:r>
                    <w:rPr>
                      <w:rFonts w:hint="eastAsia" w:cs="Times New Roman"/>
                      <w:szCs w:val="24"/>
                    </w:rPr>
                    <w:t>本项目建设生产车间等主体工程，以及原材料库房、成品库房、消防水池等配套辅助设施。由于工程量较小、施工周期短、作业范围有限，在严格落实各项环保措施（如禁止夜间高噪声作业、加强洒水抑尘等）的前提下，施工期间产生的噪声、扬尘等污染物对周边环境的影响可控。因此，项目建设期的环境影响较小</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3" w:type="pct"/>
                  <w:vMerge w:val="restart"/>
                  <w:vAlign w:val="center"/>
                </w:tcPr>
                <w:p>
                  <w:pPr>
                    <w:pStyle w:val="34"/>
                    <w:jc w:val="both"/>
                    <w:rPr>
                      <w:rFonts w:cs="Times New Roman"/>
                      <w:szCs w:val="24"/>
                    </w:rPr>
                  </w:pPr>
                  <w:r>
                    <w:rPr>
                      <w:rFonts w:hint="eastAsia" w:cs="Times New Roman"/>
                      <w:szCs w:val="24"/>
                    </w:rPr>
                    <w:t>《新疆维吾尔自治区2025年空气质量持续改善行动实施方案》（新政办发〔2024〕58号）</w:t>
                  </w:r>
                </w:p>
              </w:tc>
              <w:tc>
                <w:tcPr>
                  <w:tcW w:w="2125" w:type="pct"/>
                  <w:vAlign w:val="center"/>
                </w:tcPr>
                <w:p>
                  <w:pPr>
                    <w:pStyle w:val="34"/>
                    <w:rPr>
                      <w:rFonts w:cs="Times New Roman"/>
                      <w:szCs w:val="24"/>
                    </w:rPr>
                  </w:pPr>
                  <w:r>
                    <w:rPr>
                      <w:rFonts w:hint="eastAsia" w:cs="Times New Roman"/>
                      <w:szCs w:val="24"/>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严格执行《产业结构调整指导目录》，依法依规淘汰落后产能。联防联控区进一步提高落后产能能耗、环保、质量、安全、技术等要求，逐步退出限制类涉气行业工艺和装备。</w:t>
                  </w:r>
                </w:p>
              </w:tc>
              <w:tc>
                <w:tcPr>
                  <w:tcW w:w="1716" w:type="pct"/>
                  <w:vAlign w:val="center"/>
                </w:tcPr>
                <w:p>
                  <w:pPr>
                    <w:pStyle w:val="34"/>
                    <w:jc w:val="both"/>
                    <w:rPr>
                      <w:rFonts w:cs="Times New Roman"/>
                      <w:szCs w:val="24"/>
                    </w:rPr>
                  </w:pPr>
                  <w:r>
                    <w:rPr>
                      <w:rFonts w:hint="eastAsia" w:cs="Times New Roman"/>
                      <w:szCs w:val="24"/>
                    </w:rPr>
                    <w:t>1.本项目属于非金属矿物制品业，符合国家和自治区产业规划、产业政策、生态环境分区管控方案等相关要求，不属于高耗能、高排放、低水平项目。项目原辅材料、产品采用清洁运输方式</w:t>
                  </w:r>
                </w:p>
                <w:p>
                  <w:pPr>
                    <w:pStyle w:val="34"/>
                    <w:jc w:val="both"/>
                    <w:rPr>
                      <w:rFonts w:cs="Times New Roman"/>
                      <w:szCs w:val="24"/>
                    </w:rPr>
                  </w:pPr>
                  <w:r>
                    <w:rPr>
                      <w:rFonts w:hint="eastAsia" w:cs="Times New Roman"/>
                      <w:szCs w:val="24"/>
                    </w:rPr>
                    <w:t>2.根据《产业结构调整指导目录（2024年本）》的要求，本项目属于允许类。项目工艺和装备不属于限制类涉气行业工艺和装备</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743" w:type="pct"/>
                  <w:vMerge w:val="continue"/>
                  <w:vAlign w:val="center"/>
                </w:tcPr>
                <w:p>
                  <w:pPr>
                    <w:pStyle w:val="34"/>
                    <w:rPr>
                      <w:rFonts w:hAnsi="宋体" w:cs="宋体"/>
                      <w:spacing w:val="-10"/>
                      <w:szCs w:val="21"/>
                    </w:rPr>
                  </w:pPr>
                </w:p>
              </w:tc>
              <w:tc>
                <w:tcPr>
                  <w:tcW w:w="2125" w:type="pct"/>
                  <w:vAlign w:val="center"/>
                </w:tcPr>
                <w:p>
                  <w:pPr>
                    <w:pStyle w:val="34"/>
                    <w:rPr>
                      <w:rFonts w:cs="Times New Roman"/>
                      <w:szCs w:val="24"/>
                    </w:rPr>
                  </w:pPr>
                  <w:r>
                    <w:rPr>
                      <w:rFonts w:hint="eastAsia" w:cs="Times New Roman"/>
                      <w:szCs w:val="24"/>
                    </w:rPr>
                    <w:t>严格合理控制煤炭消费总量。在保障能源安全供应前提下，联防联控区合理控制新改扩建用煤项目；不得将使用石油焦、焦炭、兰炭等高污染燃料作为煤炭减量替代措施</w:t>
                  </w:r>
                </w:p>
              </w:tc>
              <w:tc>
                <w:tcPr>
                  <w:tcW w:w="1716" w:type="pct"/>
                  <w:vAlign w:val="center"/>
                </w:tcPr>
                <w:p>
                  <w:pPr>
                    <w:pStyle w:val="34"/>
                    <w:rPr>
                      <w:rFonts w:cs="Times New Roman"/>
                      <w:szCs w:val="24"/>
                    </w:rPr>
                  </w:pPr>
                  <w:r>
                    <w:rPr>
                      <w:rFonts w:hint="eastAsia" w:cs="Times New Roman"/>
                      <w:szCs w:val="24"/>
                    </w:rPr>
                    <w:t>本项目能源消耗主要为电力，不涉及煤炭消耗</w:t>
                  </w:r>
                </w:p>
              </w:tc>
              <w:tc>
                <w:tcPr>
                  <w:tcW w:w="416" w:type="pct"/>
                  <w:vAlign w:val="center"/>
                </w:tcPr>
                <w:p>
                  <w:pPr>
                    <w:pStyle w:val="34"/>
                    <w:rPr>
                      <w:rFonts w:cs="Times New Roman"/>
                      <w:szCs w:val="24"/>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3" w:type="pct"/>
                  <w:vAlign w:val="center"/>
                </w:tcPr>
                <w:p>
                  <w:pPr>
                    <w:pStyle w:val="34"/>
                    <w:rPr>
                      <w:rFonts w:cs="Times New Roman"/>
                      <w:szCs w:val="24"/>
                    </w:rPr>
                  </w:pPr>
                  <w:r>
                    <w:rPr>
                      <w:rFonts w:hint="eastAsia"/>
                      <w:color w:val="000000"/>
                    </w:rPr>
                    <w:t>巴音郭楞蒙</w:t>
                  </w:r>
                  <w:r>
                    <w:rPr>
                      <w:rFonts w:cs="Times New Roman"/>
                      <w:color w:val="000000"/>
                    </w:rPr>
                    <w:t>古自治州生态环境“十四五”规划（修订版）</w:t>
                  </w:r>
                </w:p>
              </w:tc>
              <w:tc>
                <w:tcPr>
                  <w:tcW w:w="2125" w:type="pct"/>
                  <w:vAlign w:val="center"/>
                </w:tcPr>
                <w:p>
                  <w:pPr>
                    <w:pStyle w:val="34"/>
                    <w:jc w:val="both"/>
                    <w:rPr>
                      <w:rFonts w:cs="Times New Roman"/>
                      <w:szCs w:val="24"/>
                    </w:rPr>
                  </w:pPr>
                  <w:r>
                    <w:rPr>
                      <w:rFonts w:cs="Times New Roman"/>
                      <w:kern w:val="0"/>
                      <w:szCs w:val="20"/>
                    </w:rPr>
                    <w:t>到2025年，大气、水、土壤、生态环境质量持续改善。加强治沙、防尘、减污、降碳，做好轻、中度污染天气的应急处置工作，空气质量有所提升，碳排放强度得到有效控制</w:t>
                  </w:r>
                  <w:r>
                    <w:rPr>
                      <w:rFonts w:hint="eastAsia" w:cs="Times New Roman"/>
                      <w:kern w:val="0"/>
                      <w:szCs w:val="20"/>
                    </w:rPr>
                    <w:t>；</w:t>
                  </w:r>
                  <w:r>
                    <w:rPr>
                      <w:rFonts w:cs="Times New Roman"/>
                      <w:kern w:val="0"/>
                      <w:szCs w:val="20"/>
                    </w:rPr>
                    <w:t>以水生态保护为核心的水环境、水生态、水资源统筹推进格局初步形成</w:t>
                  </w:r>
                  <w:r>
                    <w:rPr>
                      <w:rFonts w:hint="eastAsia" w:cs="Times New Roman"/>
                      <w:kern w:val="0"/>
                      <w:szCs w:val="20"/>
                    </w:rPr>
                    <w:t>；</w:t>
                  </w:r>
                  <w:r>
                    <w:rPr>
                      <w:rFonts w:cs="Times New Roman"/>
                      <w:kern w:val="0"/>
                      <w:szCs w:val="20"/>
                    </w:rPr>
                    <w:t>土壤风险管控和安全利用水平逐步提高，固体废物与化学品环境风险防控能力明显增强，环境风险有效控制</w:t>
                  </w:r>
                  <w:r>
                    <w:rPr>
                      <w:rFonts w:hint="eastAsia" w:cs="Times New Roman"/>
                      <w:kern w:val="0"/>
                      <w:szCs w:val="20"/>
                    </w:rPr>
                    <w:t>；</w:t>
                  </w:r>
                  <w:r>
                    <w:rPr>
                      <w:rFonts w:cs="Times New Roman"/>
                      <w:kern w:val="0"/>
                      <w:szCs w:val="20"/>
                    </w:rPr>
                    <w:t>生态系统稳定性和生态状况稳步提升</w:t>
                  </w:r>
                  <w:r>
                    <w:rPr>
                      <w:rFonts w:hint="eastAsia" w:cs="Times New Roman"/>
                      <w:kern w:val="0"/>
                      <w:szCs w:val="20"/>
                    </w:rPr>
                    <w:t>；</w:t>
                  </w:r>
                  <w:r>
                    <w:rPr>
                      <w:rFonts w:cs="Times New Roman"/>
                      <w:kern w:val="0"/>
                      <w:szCs w:val="20"/>
                    </w:rPr>
                    <w:t>科学、独立、权威、高效的生态环境监测体系基本建成，监测预报预警、信息化能力、质量管理和保障水平进一步提升</w:t>
                  </w:r>
                  <w:r>
                    <w:rPr>
                      <w:rFonts w:hint="eastAsia" w:cs="Times New Roman"/>
                      <w:kern w:val="0"/>
                      <w:szCs w:val="20"/>
                    </w:rPr>
                    <w:t>；</w:t>
                  </w:r>
                  <w:r>
                    <w:rPr>
                      <w:rFonts w:cs="Times New Roman"/>
                      <w:kern w:val="0"/>
                      <w:szCs w:val="20"/>
                    </w:rPr>
                    <w:t>经济发展与生态环境保护进一步融合，生态环境治理能力稳步提升，美丽巴州建设取得积极成效</w:t>
                  </w:r>
                </w:p>
              </w:tc>
              <w:tc>
                <w:tcPr>
                  <w:tcW w:w="1716" w:type="pct"/>
                  <w:vAlign w:val="center"/>
                </w:tcPr>
                <w:p>
                  <w:pPr>
                    <w:pStyle w:val="34"/>
                    <w:jc w:val="both"/>
                    <w:rPr>
                      <w:rFonts w:cs="Times New Roman"/>
                      <w:szCs w:val="24"/>
                    </w:rPr>
                  </w:pPr>
                  <w:r>
                    <w:rPr>
                      <w:rFonts w:hint="eastAsia" w:cs="Times New Roman"/>
                      <w:szCs w:val="24"/>
                    </w:rPr>
                    <w:t>本项目在生产过程中采用电加热导热油炉，不涉及燃煤工艺，从源头减少大气污染物排放；针对粉尘、沥青烟、非甲烷总烃等废气均配套高效治理设施（布袋除尘、电捕焦油器+两级活性炭），可实现污染物达标排放，助力区域空气质量改善和碳排放强度控制。项目仅排放生活污水，经化粪池预处理后纳管进入污水处理厂，不直接外排，符合水生态保护要求。项目对沥青储罐区等重点区域落实防渗措施，可有效防控土壤及地下水风险</w:t>
                  </w:r>
                </w:p>
              </w:tc>
              <w:tc>
                <w:tcPr>
                  <w:tcW w:w="416" w:type="pct"/>
                  <w:vAlign w:val="center"/>
                </w:tcPr>
                <w:p>
                  <w:pPr>
                    <w:pStyle w:val="34"/>
                    <w:rPr>
                      <w:rFonts w:cs="Times New Roman"/>
                      <w:szCs w:val="24"/>
                    </w:rPr>
                  </w:pPr>
                  <w:r>
                    <w:rPr>
                      <w:rFonts w:hint="eastAsia"/>
                      <w:color w:val="000000" w:themeColor="text1"/>
                      <w14:textFill>
                        <w14:solidFill>
                          <w14:schemeClr w14:val="tx1"/>
                        </w14:solidFill>
                      </w14:textFill>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0" w:hRule="atLeast"/>
              </w:trPr>
              <w:tc>
                <w:tcPr>
                  <w:tcW w:w="743" w:type="pct"/>
                  <w:vAlign w:val="center"/>
                </w:tcPr>
                <w:p>
                  <w:pPr>
                    <w:pStyle w:val="34"/>
                    <w:jc w:val="both"/>
                    <w:rPr>
                      <w:color w:val="000000"/>
                    </w:rPr>
                  </w:pPr>
                  <w:r>
                    <w:rPr>
                      <w:rFonts w:hint="eastAsia" w:cs="Times New Roman"/>
                      <w:szCs w:val="21"/>
                    </w:rPr>
                    <w:t>《国务院关于印发〈空气质量持续改善行动计划〉的通知》（国发〔2023〕24号）及自治区实施方案</w:t>
                  </w:r>
                </w:p>
              </w:tc>
              <w:tc>
                <w:tcPr>
                  <w:tcW w:w="2125" w:type="pct"/>
                  <w:vAlign w:val="center"/>
                </w:tcPr>
                <w:p>
                  <w:pPr>
                    <w:pStyle w:val="34"/>
                    <w:rPr>
                      <w:rFonts w:cs="Times New Roman"/>
                      <w:kern w:val="0"/>
                      <w:szCs w:val="20"/>
                    </w:rPr>
                  </w:pPr>
                  <w:r>
                    <w:rPr>
                      <w:rFonts w:hint="eastAsia" w:cs="Times New Roman"/>
                      <w:szCs w:val="24"/>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716" w:type="pct"/>
                  <w:vAlign w:val="center"/>
                </w:tcPr>
                <w:p>
                  <w:pPr>
                    <w:pStyle w:val="34"/>
                    <w:jc w:val="both"/>
                    <w:rPr>
                      <w:color w:val="000000"/>
                    </w:rPr>
                  </w:pPr>
                  <w:r>
                    <w:rPr>
                      <w:rFonts w:hint="eastAsia"/>
                      <w:color w:val="000000"/>
                    </w:rPr>
                    <w:t>本项目不属于“高耗能、高排放、低水平”项目，属于《产业结构调整指导目录（2024年本）》中的允许类，已取得和静县发展和改革委员会立项备案。项目在建设前将严格落实国家产业规划、产业政策及生态环境分区管控要求，并按照相关规定完成节能审查、项目环评及重点污染物总量控制等手续；项目用水、用地及综合能耗均满足国家和自治区下达的总量和强度控制目标，废气经高效治理设施处理后达标排放，不涉及产能置换</w:t>
                  </w:r>
                </w:p>
              </w:tc>
              <w:tc>
                <w:tcPr>
                  <w:tcW w:w="416" w:type="pct"/>
                  <w:vAlign w:val="center"/>
                </w:tcPr>
                <w:p>
                  <w:pPr>
                    <w:pStyle w:val="34"/>
                    <w:rPr>
                      <w:color w:val="000000" w:themeColor="text1"/>
                      <w14:textFill>
                        <w14:solidFill>
                          <w14:schemeClr w14:val="tx1"/>
                        </w14:solidFill>
                      </w14:textFill>
                    </w:rPr>
                  </w:pPr>
                  <w:r>
                    <w:rPr>
                      <w:rFonts w:hint="eastAsia" w:cs="Times New Roman"/>
                      <w:szCs w:val="24"/>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3" w:type="pct"/>
                  <w:vAlign w:val="center"/>
                </w:tcPr>
                <w:p>
                  <w:pPr>
                    <w:pStyle w:val="34"/>
                    <w:jc w:val="both"/>
                    <w:rPr>
                      <w:color w:val="000000"/>
                    </w:rPr>
                  </w:pPr>
                  <w:r>
                    <w:rPr>
                      <w:rFonts w:hint="eastAsia" w:cs="Times New Roman"/>
                      <w:szCs w:val="21"/>
                    </w:rPr>
                    <w:t>《2024—2025年节能降碳行动方案》</w:t>
                  </w:r>
                </w:p>
              </w:tc>
              <w:tc>
                <w:tcPr>
                  <w:tcW w:w="2125" w:type="pct"/>
                  <w:vAlign w:val="center"/>
                </w:tcPr>
                <w:p>
                  <w:pPr>
                    <w:pStyle w:val="34"/>
                    <w:jc w:val="both"/>
                    <w:rPr>
                      <w:rFonts w:cs="Times New Roman"/>
                      <w:kern w:val="0"/>
                      <w:szCs w:val="20"/>
                    </w:rPr>
                  </w:pPr>
                  <w:r>
                    <w:rPr>
                      <w:rFonts w:hint="eastAsia" w:cs="Times New Roman"/>
                      <w:szCs w:val="24"/>
                    </w:rPr>
                    <w:t>以习近平新时代中国特色社会主义思想为指导，深入贯彻党的二十大精神，全面贯彻习近平经济思想、习近平生态文明思想，坚持稳中求进工作总基调，完整、准确、全面贯彻新发展理念，一以贯之坚持节约优先方针，完善能源消耗总量和强度调控，重点控制化石能源消费，强化碳排放强度管理，分领域分行业实施节能降碳专项行动，更高水平更高质量做好节能降碳工作，更好发挥节能降碳的经济效益、社会效益和生态效益，为实现碳达峰碳中和目标奠定坚实基础</w:t>
                  </w:r>
                </w:p>
              </w:tc>
              <w:tc>
                <w:tcPr>
                  <w:tcW w:w="1716" w:type="pct"/>
                  <w:vAlign w:val="center"/>
                </w:tcPr>
                <w:p>
                  <w:pPr>
                    <w:pStyle w:val="34"/>
                    <w:jc w:val="both"/>
                    <w:rPr>
                      <w:color w:val="000000"/>
                    </w:rPr>
                  </w:pPr>
                  <w:r>
                    <w:rPr>
                      <w:rFonts w:hint="eastAsia"/>
                      <w:color w:val="000000"/>
                    </w:rPr>
                    <w:t>项目采用电加热导热油炉，不涉及化石能源燃烧消费，从源头控制碳排放强度；通过应用布袋除尘、电捕焦油器+两级活性炭等高效节能环保工艺，有效降低能耗和污染物排放。项目已按要求开展节能审查，用水、用地及综合能耗均符合国家和自治区总量与强度控制目标，碳排放强度得到有效管控。项目的建设与运营在节能降碳方面具有较好的经济效益、社会效益和生态效益，符合更高水平、更高质量做好节能降碳工作的要求，为实现碳达峰碳中和目标贡献积极力量</w:t>
                  </w:r>
                </w:p>
              </w:tc>
              <w:tc>
                <w:tcPr>
                  <w:tcW w:w="416" w:type="pct"/>
                  <w:vAlign w:val="center"/>
                </w:tcPr>
                <w:p>
                  <w:pPr>
                    <w:pStyle w:val="34"/>
                    <w:rPr>
                      <w:color w:val="000000" w:themeColor="text1"/>
                      <w14:textFill>
                        <w14:solidFill>
                          <w14:schemeClr w14:val="tx1"/>
                        </w14:solidFill>
                      </w14:textFill>
                    </w:rPr>
                  </w:pPr>
                  <w:r>
                    <w:rPr>
                      <w:rFonts w:hint="eastAsia" w:cs="Times New Roman"/>
                      <w:szCs w:val="24"/>
                    </w:rPr>
                    <w:t>符合</w:t>
                  </w:r>
                </w:p>
              </w:tc>
            </w:tr>
            <w:bookmarkEnd w:id="9"/>
            <w:bookmarkEnd w:id="10"/>
          </w:tbl>
          <w:p>
            <w:pPr>
              <w:ind w:firstLine="0" w:firstLineChars="0"/>
            </w:pPr>
          </w:p>
        </w:tc>
      </w:tr>
    </w:tbl>
    <w:p>
      <w:pPr>
        <w:pStyle w:val="5"/>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二、建设项目工程分析</w:t>
      </w:r>
    </w:p>
    <w:tbl>
      <w:tblPr>
        <w:tblStyle w:val="26"/>
        <w:tblW w:w="9060" w:type="dxa"/>
        <w:tblInd w:w="10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41"/>
        <w:gridCol w:w="87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457" w:type="dxa"/>
            <w:vAlign w:val="center"/>
          </w:tcPr>
          <w:p>
            <w:pPr>
              <w:widowControl/>
              <w:adjustRightInd w:val="0"/>
              <w:snapToGrid w:val="0"/>
              <w:spacing w:line="240" w:lineRule="auto"/>
              <w:ind w:firstLine="0" w:firstLineChars="0"/>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建设内容</w:t>
            </w:r>
          </w:p>
        </w:tc>
        <w:tc>
          <w:tcPr>
            <w:tcW w:w="8603" w:type="dxa"/>
          </w:tcPr>
          <w:p>
            <w:pPr>
              <w:pStyle w:val="6"/>
              <w:rPr>
                <w:color w:val="000000" w:themeColor="text1"/>
                <w14:textFill>
                  <w14:solidFill>
                    <w14:schemeClr w14:val="tx1"/>
                  </w14:solidFill>
                </w14:textFill>
              </w:rPr>
            </w:pPr>
            <w:r>
              <w:rPr>
                <w:color w:val="000000" w:themeColor="text1"/>
                <w14:textFill>
                  <w14:solidFill>
                    <w14:schemeClr w14:val="tx1"/>
                  </w14:solidFill>
                </w14:textFill>
              </w:rPr>
              <w:t>2.1</w:t>
            </w:r>
            <w:r>
              <w:rPr>
                <w:rFonts w:hint="eastAsia"/>
                <w:color w:val="000000" w:themeColor="text1"/>
                <w14:textFill>
                  <w14:solidFill>
                    <w14:schemeClr w14:val="tx1"/>
                  </w14:solidFill>
                </w14:textFill>
              </w:rPr>
              <w:t>项目由来</w:t>
            </w:r>
          </w:p>
          <w:p>
            <w:pPr>
              <w:ind w:firstLine="480"/>
              <w:rPr>
                <w:color w:val="000000"/>
              </w:rPr>
            </w:pPr>
            <w:r>
              <w:rPr>
                <w:rFonts w:hint="eastAsia"/>
                <w:color w:val="000000" w:themeColor="text1"/>
                <w14:textFill>
                  <w14:solidFill>
                    <w14:schemeClr w14:val="tx1"/>
                  </w14:solidFill>
                </w14:textFill>
              </w:rPr>
              <w:t>新疆三艾斯交通科技有限公司成立于2025年12月10日，经营范围主要包括新材料技术研发、非金属矿物制品制造等。随着区域内道路交通基础设施建设的持续推进以及既有道路养护需求的日益增长，高性能道路标线材料和道路养护材料的市场缺口逐渐扩大。为把握市场机遇，满足区域交通建设对优质路面材料的迫切需求，新疆三艾斯交通科技有限公司拟投资5000万元，建设年产1万吨道路养护材料及5万吨道路标线材料项目。本项目为新建项目，主要建设内容为粉末道路标线材料、液态道路标线材料、固体沥青养护材料、固体水泥养护材料生产线及配套厂房，为区域道路建设及养护提供材料保障，具有良好经济效益和社会效益</w:t>
            </w:r>
            <w:r>
              <w:rPr>
                <w:rFonts w:hint="eastAsia"/>
                <w:color w:val="000000"/>
              </w:rPr>
              <w:t>。</w:t>
            </w:r>
          </w:p>
          <w:p>
            <w:pPr>
              <w:ind w:firstLine="480"/>
              <w:rPr>
                <w:color w:val="000000"/>
              </w:rPr>
            </w:pPr>
            <w:r>
              <w:rPr>
                <w:rFonts w:hint="eastAsia"/>
                <w:color w:val="000000"/>
              </w:rPr>
              <w:t>根据《中华人民共和国环境保护法》、《中华人民共和国环境影响评价法》、《建设项目环境保护管理条例》等的有关规定要求，本项目需要进行环境影响评价。</w:t>
            </w:r>
          </w:p>
          <w:p>
            <w:pPr>
              <w:ind w:firstLine="480"/>
              <w:rPr>
                <w:color w:val="000000"/>
              </w:rPr>
            </w:pPr>
            <w:r>
              <w:rPr>
                <w:rFonts w:hint="eastAsia"/>
                <w:color w:val="000000"/>
              </w:rPr>
              <w:t>依据《建设项目环境影响评价分类管理名录》（</w:t>
            </w:r>
            <w:r>
              <w:rPr>
                <w:color w:val="000000"/>
              </w:rPr>
              <w:t>2021</w:t>
            </w:r>
            <w:r>
              <w:rPr>
                <w:rFonts w:hint="eastAsia"/>
                <w:color w:val="000000"/>
              </w:rPr>
              <w:t>年本），本项目属于“二十七、非金属矿物制品业30”中的“60.石墨及其他非金属矿物制品制造309”中的“其他”，环评类别为报告表。</w:t>
            </w:r>
            <w:r>
              <w:rPr>
                <w:rFonts w:hint="eastAsia"/>
                <w:color w:val="000000" w:themeColor="text1"/>
                <w14:textFill>
                  <w14:solidFill>
                    <w14:schemeClr w14:val="tx1"/>
                  </w14:solidFill>
                </w14:textFill>
              </w:rPr>
              <w:t>判定依据如下：</w:t>
            </w:r>
          </w:p>
          <w:p>
            <w:pPr>
              <w:spacing w:line="240" w:lineRule="auto"/>
              <w:ind w:firstLine="422"/>
              <w:jc w:val="center"/>
              <w:rPr>
                <w:rFonts w:cs="Times New Roman"/>
                <w:b/>
                <w:bCs/>
                <w:color w:val="000000"/>
                <w:sz w:val="21"/>
                <w:szCs w:val="21"/>
              </w:rPr>
            </w:pPr>
            <w:r>
              <w:rPr>
                <w:rFonts w:cs="Times New Roman"/>
                <w:b/>
                <w:bCs/>
                <w:color w:val="000000"/>
                <w:sz w:val="21"/>
                <w:szCs w:val="21"/>
              </w:rPr>
              <w:t>表2-1  《建设项目环境影响评价分类管理名录》（2021版）（节选）</w:t>
            </w:r>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2927"/>
              <w:gridCol w:w="1855"/>
              <w:gridCol w:w="1346"/>
              <w:gridCol w:w="697"/>
              <w:gridCol w:w="11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30" w:type="pct"/>
                  <w:gridSpan w:val="2"/>
                  <w:vAlign w:val="center"/>
                </w:tcPr>
                <w:p>
                  <w:pPr>
                    <w:spacing w:line="240" w:lineRule="auto"/>
                    <w:ind w:firstLine="632" w:firstLineChars="300"/>
                    <w:jc w:val="center"/>
                    <w:rPr>
                      <w:rFonts w:cs="Times New Roman"/>
                      <w:color w:val="000000" w:themeColor="text1"/>
                      <w:sz w:val="21"/>
                      <w:szCs w:val="21"/>
                      <w14:textFill>
                        <w14:solidFill>
                          <w14:schemeClr w14:val="tx1"/>
                        </w14:solidFill>
                      </w14:textFill>
                    </w:rPr>
                  </w:pPr>
                  <w:r>
                    <w:rPr>
                      <w:rFonts w:cs="Times New Roman"/>
                      <w:b/>
                      <w:bCs/>
                      <w:color w:val="000000"/>
                      <w:sz w:val="21"/>
                      <w:szCs w:val="21"/>
                    </w:rPr>
                    <mc:AlternateContent>
                      <mc:Choice Requires="wps">
                        <w:drawing>
                          <wp:anchor distT="0" distB="0" distL="114300" distR="114300" simplePos="0" relativeHeight="251659264" behindDoc="0" locked="0" layoutInCell="1" allowOverlap="1">
                            <wp:simplePos x="0" y="0"/>
                            <wp:positionH relativeFrom="column">
                              <wp:posOffset>-27940</wp:posOffset>
                            </wp:positionH>
                            <wp:positionV relativeFrom="paragraph">
                              <wp:posOffset>13335</wp:posOffset>
                            </wp:positionV>
                            <wp:extent cx="2272030" cy="556895"/>
                            <wp:effectExtent l="0" t="0" r="33020" b="33655"/>
                            <wp:wrapNone/>
                            <wp:docPr id="2" name="直接连接符 2"/>
                            <wp:cNvGraphicFramePr/>
                            <a:graphic xmlns:a="http://schemas.openxmlformats.org/drawingml/2006/main">
                              <a:graphicData uri="http://schemas.microsoft.com/office/word/2010/wordprocessingShape">
                                <wps:wsp>
                                  <wps:cNvCnPr/>
                                  <wps:spPr>
                                    <a:xfrm>
                                      <a:off x="0" y="0"/>
                                      <a:ext cx="2272030" cy="556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2pt;margin-top:1.05pt;height:43.85pt;width:178.9pt;z-index:251659264;mso-width-relative:page;mso-height-relative:page;" filled="f" stroked="t" coordsize="21600,21600" o:gfxdata="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nF099UAAAAH&#10;AQAADwAAAAAAAAABACAAAAAiAAAAZHJzL2Rvd25yZXYueG1sUEsBAhQAFAAAAAgAh07iQNyeTfzm&#10;AQAAtgMAAA4AAAAAAAAAAQAgAAAAJAEAAGRycy9lMm9Eb2MueG1sUEsFBgAAAAAGAAYAWQEAAHwF&#10;AAAAAA==&#10;">
                            <v:fill on="f" focussize="0,0"/>
                            <v:stroke weight="0.5pt" color="#000000 [3200]" miterlimit="8" joinstyle="miter"/>
                            <v:imagedata o:title=""/>
                            <o:lock v:ext="edit" aspectratio="f"/>
                          </v:line>
                        </w:pict>
                      </mc:Fallback>
                    </mc:AlternateContent>
                  </w:r>
                  <w:r>
                    <w:rPr>
                      <w:rFonts w:hint="eastAsia" w:cs="Times New Roman"/>
                      <w:color w:val="000000" w:themeColor="text1"/>
                      <w:sz w:val="21"/>
                      <w:szCs w:val="21"/>
                      <w14:textFill>
                        <w14:solidFill>
                          <w14:schemeClr w14:val="tx1"/>
                        </w14:solidFill>
                      </w14:textFill>
                    </w:rPr>
                    <w:t>环评类别</w:t>
                  </w:r>
                </w:p>
                <w:p>
                  <w:pPr>
                    <w:spacing w:line="240" w:lineRule="auto"/>
                    <w:ind w:firstLine="0" w:firstLineChars="0"/>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项目类别</w:t>
                  </w:r>
                </w:p>
              </w:tc>
              <w:tc>
                <w:tcPr>
                  <w:tcW w:w="1092"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报告书</w:t>
                  </w:r>
                </w:p>
              </w:tc>
              <w:tc>
                <w:tcPr>
                  <w:tcW w:w="792" w:type="pct"/>
                  <w:shd w:val="clear" w:color="auto" w:fill="E7E6E6" w:themeFill="background2"/>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报告表</w:t>
                  </w:r>
                </w:p>
              </w:tc>
              <w:tc>
                <w:tcPr>
                  <w:tcW w:w="410"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olor w:val="000000"/>
                      <w:sz w:val="21"/>
                      <w:szCs w:val="21"/>
                    </w:rPr>
                    <w:t>登记表</w:t>
                  </w:r>
                </w:p>
              </w:tc>
              <w:tc>
                <w:tcPr>
                  <w:tcW w:w="676"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olor w:val="000000"/>
                      <w:sz w:val="21"/>
                      <w:szCs w:val="21"/>
                    </w:rPr>
                    <w:t>本栏目环境敏感区含义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6"/>
                  <w:shd w:val="clear" w:color="auto" w:fill="E7E6E6" w:themeFill="background2"/>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二十七、非金属矿物制品业30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60</w:t>
                  </w:r>
                </w:p>
              </w:tc>
              <w:tc>
                <w:tcPr>
                  <w:tcW w:w="1723" w:type="pct"/>
                  <w:vAlign w:val="center"/>
                </w:tcPr>
                <w:p>
                  <w:pPr>
                    <w:spacing w:line="240" w:lineRule="auto"/>
                    <w:ind w:firstLine="0" w:firstLineChars="0"/>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耐火材料制品制造308；—石墨及其他非金属矿物制品制造309</w:t>
                  </w:r>
                </w:p>
              </w:tc>
              <w:tc>
                <w:tcPr>
                  <w:tcW w:w="1092"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olor w:val="000000"/>
                      <w:sz w:val="21"/>
                      <w:szCs w:val="21"/>
                    </w:rPr>
                    <w:t>石棉制品；含焙烧的石墨、碳素制品</w:t>
                  </w:r>
                </w:p>
              </w:tc>
              <w:tc>
                <w:tcPr>
                  <w:tcW w:w="792" w:type="pct"/>
                  <w:shd w:val="clear" w:color="auto" w:fill="E7E6E6" w:themeFill="background2"/>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olor w:val="000000"/>
                      <w:sz w:val="21"/>
                      <w:szCs w:val="21"/>
                    </w:rPr>
                    <w:t>其他</w:t>
                  </w:r>
                </w:p>
              </w:tc>
              <w:tc>
                <w:tcPr>
                  <w:tcW w:w="410"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676" w:type="pct"/>
                  <w:vAlign w:val="center"/>
                </w:tcPr>
                <w:p>
                  <w:pPr>
                    <w:spacing w:line="240" w:lineRule="auto"/>
                    <w:ind w:firstLine="0" w:firstLineChars="0"/>
                    <w:jc w:val="center"/>
                    <w:rPr>
                      <w:rFonts w:cs="Times New Roman"/>
                      <w:color w:val="000000" w:themeColor="text1"/>
                      <w:sz w:val="21"/>
                      <w:szCs w:val="21"/>
                      <w14:textFill>
                        <w14:solidFill>
                          <w14:schemeClr w14:val="tx1"/>
                        </w14:solidFill>
                      </w14:textFill>
                    </w:rPr>
                  </w:pPr>
                </w:p>
              </w:tc>
            </w:tr>
          </w:tbl>
          <w:p>
            <w:pPr>
              <w:pStyle w:val="6"/>
              <w:rPr>
                <w:b w:val="0"/>
                <w:bCs w:val="0"/>
                <w:color w:val="000000" w:themeColor="text1"/>
                <w14:textFill>
                  <w14:solidFill>
                    <w14:schemeClr w14:val="tx1"/>
                  </w14:solidFill>
                </w14:textFill>
              </w:rPr>
            </w:pPr>
            <w:r>
              <w:rPr>
                <w:rFonts w:cs="Times New Roman"/>
                <w:color w:val="000000" w:themeColor="text1"/>
                <w:kern w:val="0"/>
                <w14:textFill>
                  <w14:solidFill>
                    <w14:schemeClr w14:val="tx1"/>
                  </w14:solidFill>
                </w14:textFill>
              </w:rPr>
              <w:t>2.2</w:t>
            </w:r>
            <w:r>
              <w:rPr>
                <w:rFonts w:hint="eastAsia"/>
                <w:color w:val="000000" w:themeColor="text1"/>
                <w14:textFill>
                  <w14:solidFill>
                    <w14:schemeClr w14:val="tx1"/>
                  </w14:solidFill>
                </w14:textFill>
              </w:rPr>
              <w:t>项目概况</w:t>
            </w:r>
          </w:p>
          <w:p>
            <w:pPr>
              <w:ind w:firstLine="480"/>
            </w:pPr>
            <w:r>
              <w:t>项目名称：</w:t>
            </w:r>
            <w:r>
              <w:rPr>
                <w:rFonts w:hint="eastAsia"/>
                <w:color w:val="000000"/>
              </w:rPr>
              <w:t>新疆三艾斯交通科技有限公司年产1万吨道路养护材料建设项目、5万吨道路标线材料建设项目；</w:t>
            </w:r>
          </w:p>
          <w:p>
            <w:pPr>
              <w:ind w:firstLine="480"/>
            </w:pPr>
            <w:r>
              <w:t>建设单位：</w:t>
            </w:r>
            <w:r>
              <w:rPr>
                <w:rFonts w:hint="eastAsia"/>
                <w:color w:val="000000"/>
              </w:rPr>
              <w:t>新疆三艾斯交通科技有限公司</w:t>
            </w:r>
            <w:r>
              <w:rPr>
                <w:rFonts w:hint="eastAsia"/>
              </w:rPr>
              <w:t>；</w:t>
            </w:r>
          </w:p>
          <w:p>
            <w:pPr>
              <w:ind w:firstLine="480"/>
              <w:rPr>
                <w:color w:val="000000" w:themeColor="text1"/>
                <w14:textFill>
                  <w14:solidFill>
                    <w14:schemeClr w14:val="tx1"/>
                  </w14:solidFill>
                </w14:textFill>
              </w:rPr>
            </w:pPr>
            <w:r>
              <w:rPr>
                <w:color w:val="000000" w:themeColor="text1"/>
                <w14:textFill>
                  <w14:solidFill>
                    <w14:schemeClr w14:val="tx1"/>
                  </w14:solidFill>
                </w14:textFill>
              </w:rPr>
              <w:t>建设性质</w:t>
            </w:r>
            <w:r>
              <w:rPr>
                <w:rFonts w:hint="eastAsia"/>
                <w:color w:val="000000" w:themeColor="text1"/>
                <w14:textFill>
                  <w14:solidFill>
                    <w14:schemeClr w14:val="tx1"/>
                  </w14:solidFill>
                </w14:textFill>
              </w:rPr>
              <w:t>：新建；</w:t>
            </w:r>
          </w:p>
          <w:p>
            <w:pPr>
              <w:ind w:firstLine="480"/>
              <w:rPr>
                <w:color w:val="000000" w:themeColor="text1"/>
                <w14:textFill>
                  <w14:solidFill>
                    <w14:schemeClr w14:val="tx1"/>
                  </w14:solidFill>
                </w14:textFill>
              </w:rPr>
            </w:pPr>
            <w:r>
              <w:rPr>
                <w:color w:val="000000" w:themeColor="text1"/>
                <w14:textFill>
                  <w14:solidFill>
                    <w14:schemeClr w14:val="tx1"/>
                  </w14:solidFill>
                </w14:textFill>
              </w:rPr>
              <w:t>项目总投资：项目总投资5000万元，项目资金全部由企业自筹，本项目环保</w:t>
            </w:r>
            <w:r>
              <w:rPr>
                <w:rFonts w:hint="eastAsia"/>
                <w:color w:val="000000" w:themeColor="text1"/>
                <w14:textFill>
                  <w14:solidFill>
                    <w14:schemeClr w14:val="tx1"/>
                  </w14:solidFill>
                </w14:textFill>
              </w:rPr>
              <w:t>投资</w:t>
            </w:r>
            <w:r>
              <w:rPr>
                <w:color w:val="000000" w:themeColor="text1"/>
                <w14:textFill>
                  <w14:solidFill>
                    <w14:schemeClr w14:val="tx1"/>
                  </w14:solidFill>
                </w14:textFill>
              </w:rPr>
              <w:t>59.5万元，</w:t>
            </w:r>
            <w:r>
              <w:rPr>
                <w:rFonts w:hint="eastAsia"/>
                <w:color w:val="000000" w:themeColor="text1"/>
                <w14:textFill>
                  <w14:solidFill>
                    <w14:schemeClr w14:val="tx1"/>
                  </w14:solidFill>
                </w14:textFill>
              </w:rPr>
              <w:t>占总投资的</w:t>
            </w:r>
            <w:r>
              <w:rPr>
                <w:rFonts w:cs="Times New Roman"/>
                <w:color w:val="000000" w:themeColor="text1"/>
                <w:szCs w:val="24"/>
                <w14:textFill>
                  <w14:solidFill>
                    <w14:schemeClr w14:val="tx1"/>
                  </w14:solidFill>
                </w14:textFill>
              </w:rPr>
              <w:t>1.19</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pPr>
              <w:ind w:firstLine="480"/>
              <w:rPr>
                <w:color w:val="000000"/>
              </w:rPr>
            </w:pPr>
            <w:r>
              <w:rPr>
                <w:rFonts w:cs="Times New Roman"/>
              </w:rPr>
              <w:t>建设地点：</w:t>
            </w:r>
            <w:r>
              <w:rPr>
                <w:rFonts w:hint="eastAsia"/>
              </w:rPr>
              <w:t>和静工业园区哈尔莫敦矿业片区；</w:t>
            </w:r>
          </w:p>
          <w:p>
            <w:pPr>
              <w:ind w:firstLine="480"/>
              <w:rPr>
                <w:rFonts w:cs="Times New Roman"/>
              </w:rPr>
            </w:pPr>
            <w:r>
              <w:rPr>
                <w:rFonts w:cs="Times New Roman"/>
              </w:rPr>
              <w:t>周边环境：项目区北</w:t>
            </w:r>
            <w:r>
              <w:rPr>
                <w:rFonts w:hint="eastAsia" w:cs="Times New Roman"/>
              </w:rPr>
              <w:t>侧为</w:t>
            </w:r>
            <w:bookmarkStart w:id="11" w:name="_Hlk227325256"/>
            <w:r>
              <w:rPr>
                <w:rFonts w:hint="eastAsia" w:cs="Times New Roman"/>
              </w:rPr>
              <w:t>巴州绿建矿业科技有限公司，西侧为智途（新疆）新材料科技有限公司，东侧为和静县立兴石业有限公司，南侧为空地</w:t>
            </w:r>
            <w:bookmarkEnd w:id="11"/>
            <w:r>
              <w:rPr>
                <w:rFonts w:cs="Times New Roman"/>
              </w:rPr>
              <w:t>。具体地理位置详见附图1《建设项目地理位置图》，项目周边环境详见附图3《建设项目周边关系图》；</w:t>
            </w:r>
          </w:p>
          <w:p>
            <w:pPr>
              <w:ind w:firstLine="480"/>
            </w:pPr>
            <w:r>
              <w:rPr>
                <w:rFonts w:hint="eastAsia"/>
                <w:color w:val="000000"/>
              </w:rPr>
              <w:t>生产规模：年产道路养护材料1万吨、道路标线材料5万吨；其中道路养护材料包括：固体沥青养护环保材料6300t/a、液态沥青养护环保材料3200t/a、固体水泥养护环保材料490t/a、液态水泥养护环保材料10t/a；道路标线材料包括：粉末标线材料44000吨、液体标线材料6000吨；</w:t>
            </w:r>
          </w:p>
          <w:p>
            <w:pPr>
              <w:ind w:firstLine="480"/>
              <w:rPr>
                <w:color w:val="000000" w:themeColor="text1"/>
                <w14:textFill>
                  <w14:solidFill>
                    <w14:schemeClr w14:val="tx1"/>
                  </w14:solidFill>
                </w14:textFill>
              </w:rPr>
            </w:pPr>
            <w:r>
              <w:t>生产制度：</w:t>
            </w:r>
            <w:r>
              <w:rPr>
                <w:color w:val="000000"/>
              </w:rPr>
              <w:t>年工作270天</w:t>
            </w:r>
            <w:r>
              <w:rPr>
                <w:rFonts w:hint="eastAsia"/>
                <w:color w:val="000000"/>
              </w:rPr>
              <w:t>，每天</w:t>
            </w:r>
            <w:r>
              <w:rPr>
                <w:color w:val="000000"/>
              </w:rPr>
              <w:t>8</w:t>
            </w:r>
            <w:r>
              <w:rPr>
                <w:rFonts w:hint="eastAsia"/>
                <w:color w:val="000000"/>
              </w:rPr>
              <w:t>小时工作制</w:t>
            </w:r>
            <w:r>
              <w:rPr>
                <w:rFonts w:hint="eastAsia"/>
                <w:color w:val="000000" w:themeColor="text1"/>
                <w14:textFill>
                  <w14:solidFill>
                    <w14:schemeClr w14:val="tx1"/>
                  </w14:solidFill>
                </w14:textFill>
              </w:rPr>
              <w:t>，</w:t>
            </w:r>
            <w:r>
              <w:t>劳动定员20人</w:t>
            </w:r>
            <w:r>
              <w:rPr>
                <w:rFonts w:hint="eastAsia"/>
                <w:color w:val="000000" w:themeColor="text1"/>
                <w14:textFill>
                  <w14:solidFill>
                    <w14:schemeClr w14:val="tx1"/>
                  </w14:solidFill>
                </w14:textFill>
              </w:rPr>
              <w:t>。</w:t>
            </w:r>
          </w:p>
          <w:p>
            <w:pPr>
              <w:ind w:firstLine="0" w:firstLineChars="0"/>
              <w:rPr>
                <w:b/>
                <w:bCs/>
              </w:rPr>
            </w:pPr>
            <w:r>
              <w:rPr>
                <w:rFonts w:hint="eastAsia"/>
                <w:b/>
                <w:bCs/>
              </w:rPr>
              <w:t>2</w:t>
            </w:r>
            <w:r>
              <w:rPr>
                <w:b/>
                <w:bCs/>
              </w:rPr>
              <w:t>.3</w:t>
            </w:r>
            <w:r>
              <w:rPr>
                <w:rFonts w:hint="eastAsia"/>
                <w:b/>
                <w:bCs/>
              </w:rPr>
              <w:t>建设内容</w:t>
            </w:r>
          </w:p>
          <w:p>
            <w:pPr>
              <w:ind w:firstLine="482"/>
              <w:rPr>
                <w:b/>
                <w:bCs/>
              </w:rPr>
            </w:pPr>
            <w:r>
              <w:rPr>
                <w:rFonts w:hint="eastAsia"/>
                <w:b/>
                <w:bCs/>
              </w:rPr>
              <w:t>1.建设规模</w:t>
            </w:r>
          </w:p>
          <w:p>
            <w:pPr>
              <w:ind w:firstLine="480"/>
              <w:rPr>
                <w:rFonts w:cs="Times New Roman"/>
                <w:szCs w:val="32"/>
              </w:rPr>
            </w:pPr>
            <w:r>
              <w:rPr>
                <w:rFonts w:hint="eastAsia" w:cs="Times New Roman"/>
                <w:szCs w:val="32"/>
              </w:rPr>
              <w:t>本项目总占地面积为</w:t>
            </w:r>
            <w:r>
              <w:rPr>
                <w:rFonts w:cs="Times New Roman"/>
                <w:szCs w:val="32"/>
              </w:rPr>
              <w:t>12157</w:t>
            </w:r>
            <w:r>
              <w:rPr>
                <w:rFonts w:hint="eastAsia" w:cs="Times New Roman"/>
                <w:szCs w:val="32"/>
              </w:rPr>
              <w:t>平方米，总建筑面积6634.06平方米。建设内容包括主体工程（生产车间）、辅助工程（办公楼、消防水池及泵房）、储运工程（原材料库房、成品库房）、公用工程（供水、供电、供暖等）及环保工程（废气、废水、噪声及固体废物治理设施等）。具体情况详见表2-2。</w:t>
            </w:r>
          </w:p>
          <w:p>
            <w:pPr>
              <w:keepNext/>
              <w:adjustRightInd w:val="0"/>
              <w:snapToGrid w:val="0"/>
              <w:spacing w:before="163" w:beforeLines="50" w:line="240" w:lineRule="auto"/>
              <w:ind w:firstLine="422"/>
              <w:jc w:val="center"/>
              <w:rPr>
                <w:rFonts w:cs="Times New Roman"/>
                <w:b/>
                <w:sz w:val="21"/>
              </w:rPr>
            </w:pPr>
            <w:r>
              <w:rPr>
                <w:rFonts w:hint="eastAsia" w:cs="Times New Roman"/>
                <w:b/>
                <w:sz w:val="21"/>
              </w:rPr>
              <w:t>表2</w:t>
            </w:r>
            <w:r>
              <w:rPr>
                <w:rFonts w:cs="Times New Roman"/>
                <w:b/>
                <w:sz w:val="21"/>
              </w:rPr>
              <w:t xml:space="preserve">-2  </w:t>
            </w:r>
            <w:r>
              <w:rPr>
                <w:rFonts w:hint="eastAsia" w:cs="Times New Roman"/>
                <w:b/>
                <w:sz w:val="21"/>
              </w:rPr>
              <w:t>项目组成情况一览表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93"/>
              <w:gridCol w:w="1402"/>
              <w:gridCol w:w="5002"/>
              <w:gridCol w:w="10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bookmarkStart w:id="12" w:name="_Hlk97569549"/>
                  <w:r>
                    <w:rPr>
                      <w:rFonts w:cs="Times New Roman"/>
                      <w:color w:val="000000"/>
                      <w:sz w:val="21"/>
                      <w:szCs w:val="21"/>
                    </w:rPr>
                    <w:t>类别</w:t>
                  </w: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项目名称</w:t>
                  </w:r>
                </w:p>
              </w:tc>
              <w:tc>
                <w:tcPr>
                  <w:tcW w:w="2944"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建设内容</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58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主体工程</w:t>
                  </w: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kern w:val="0"/>
                      <w:sz w:val="21"/>
                      <w:szCs w:val="21"/>
                    </w:rPr>
                    <w:t>生产车间</w:t>
                  </w:r>
                </w:p>
              </w:tc>
              <w:tc>
                <w:tcPr>
                  <w:tcW w:w="2944" w:type="pct"/>
                  <w:vAlign w:val="center"/>
                </w:tcPr>
                <w:p>
                  <w:pPr>
                    <w:adjustRightInd w:val="0"/>
                    <w:snapToGrid w:val="0"/>
                    <w:spacing w:line="240" w:lineRule="auto"/>
                    <w:ind w:firstLine="0" w:firstLineChars="0"/>
                    <w:contextualSpacing/>
                    <w:textAlignment w:val="auto"/>
                    <w:rPr>
                      <w:rFonts w:cs="Times New Roman"/>
                      <w:color w:val="000000"/>
                      <w:kern w:val="0"/>
                      <w:sz w:val="21"/>
                      <w:szCs w:val="21"/>
                    </w:rPr>
                  </w:pPr>
                  <w:r>
                    <w:rPr>
                      <w:rFonts w:hint="eastAsia" w:cs="Times New Roman"/>
                      <w:sz w:val="21"/>
                      <w:szCs w:val="21"/>
                    </w:rPr>
                    <w:t>1</w:t>
                  </w:r>
                  <w:r>
                    <w:rPr>
                      <w:rFonts w:cs="Times New Roman"/>
                      <w:sz w:val="21"/>
                      <w:szCs w:val="21"/>
                    </w:rPr>
                    <w:t>F</w:t>
                  </w:r>
                  <w:r>
                    <w:rPr>
                      <w:rFonts w:hint="eastAsia" w:cs="Times New Roman"/>
                      <w:sz w:val="21"/>
                      <w:szCs w:val="21"/>
                    </w:rPr>
                    <w:t>，</w:t>
                  </w:r>
                  <w:r>
                    <w:rPr>
                      <w:rFonts w:cs="Times New Roman"/>
                      <w:sz w:val="21"/>
                      <w:szCs w:val="21"/>
                    </w:rPr>
                    <w:t>新建一座钢结构生产车间，位于厂区中间，</w:t>
                  </w:r>
                  <w:r>
                    <w:rPr>
                      <w:rFonts w:hint="eastAsia" w:cs="Times New Roman"/>
                      <w:sz w:val="21"/>
                      <w:szCs w:val="21"/>
                    </w:rPr>
                    <w:t>占地面积1</w:t>
                  </w:r>
                  <w:r>
                    <w:rPr>
                      <w:rFonts w:cs="Times New Roman"/>
                      <w:sz w:val="21"/>
                      <w:szCs w:val="21"/>
                    </w:rPr>
                    <w:t>746</w:t>
                  </w:r>
                  <w:r>
                    <w:rPr>
                      <w:rFonts w:hint="eastAsia" w:cs="Times New Roman"/>
                      <w:sz w:val="21"/>
                      <w:szCs w:val="21"/>
                    </w:rPr>
                    <w:t>m</w:t>
                  </w:r>
                  <w:r>
                    <w:rPr>
                      <w:rFonts w:hint="eastAsia" w:cs="Times New Roman"/>
                      <w:sz w:val="21"/>
                      <w:szCs w:val="21"/>
                      <w:vertAlign w:val="superscript"/>
                    </w:rPr>
                    <w:t>2</w:t>
                  </w:r>
                  <w:r>
                    <w:rPr>
                      <w:rFonts w:hint="eastAsia" w:cs="Times New Roman"/>
                      <w:sz w:val="21"/>
                      <w:szCs w:val="21"/>
                    </w:rPr>
                    <w:t>，</w:t>
                  </w:r>
                  <w:r>
                    <w:rPr>
                      <w:rFonts w:cs="Times New Roman"/>
                      <w:sz w:val="21"/>
                      <w:szCs w:val="21"/>
                    </w:rPr>
                    <w:t>建筑面积1746m²。</w:t>
                  </w:r>
                  <w:r>
                    <w:rPr>
                      <w:rFonts w:hint="eastAsia" w:cs="Times New Roman"/>
                      <w:sz w:val="21"/>
                      <w:szCs w:val="21"/>
                    </w:rPr>
                    <w:t>车间内设置2条年产量4万吨粉末道路标线材料生产线、2条年产量1万吨液态道路标线材料生产线以及2条年产量1万吨道路养护材料生产线（其中一条生产固体沥青养护环保材料6300t/a和液态沥青养护环保材料3200t/a，另一条生产固体水泥养护环保材料490t/a和液态水泥养护环保材料10t/a）</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9" w:hRule="atLeast"/>
              </w:trPr>
              <w:tc>
                <w:tcPr>
                  <w:tcW w:w="585" w:type="pct"/>
                  <w:vMerge w:val="restar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sz w:val="21"/>
                      <w:szCs w:val="21"/>
                    </w:rPr>
                    <w:t>辅助工程</w:t>
                  </w: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s="Times New Roman"/>
                      <w:color w:val="000000"/>
                      <w:kern w:val="0"/>
                      <w:sz w:val="21"/>
                      <w:szCs w:val="21"/>
                    </w:rPr>
                    <w:t>办公室</w:t>
                  </w:r>
                </w:p>
              </w:tc>
              <w:tc>
                <w:tcPr>
                  <w:tcW w:w="2944" w:type="pct"/>
                  <w:vAlign w:val="center"/>
                </w:tcPr>
                <w:p>
                  <w:pPr>
                    <w:adjustRightInd w:val="0"/>
                    <w:snapToGrid w:val="0"/>
                    <w:spacing w:line="240" w:lineRule="auto"/>
                    <w:ind w:firstLine="0" w:firstLineChars="0"/>
                    <w:contextualSpacing/>
                    <w:textAlignment w:val="auto"/>
                    <w:rPr>
                      <w:rFonts w:cs="Times New Roman"/>
                      <w:sz w:val="21"/>
                      <w:szCs w:val="21"/>
                    </w:rPr>
                  </w:pPr>
                  <w:r>
                    <w:rPr>
                      <w:rFonts w:hint="eastAsia" w:cs="Times New Roman"/>
                      <w:sz w:val="21"/>
                      <w:szCs w:val="21"/>
                    </w:rPr>
                    <w:t>2</w:t>
                  </w:r>
                  <w:r>
                    <w:rPr>
                      <w:rFonts w:cs="Times New Roman"/>
                      <w:sz w:val="21"/>
                      <w:szCs w:val="21"/>
                    </w:rPr>
                    <w:t>F</w:t>
                  </w:r>
                  <w:r>
                    <w:rPr>
                      <w:rFonts w:hint="eastAsia" w:cs="Times New Roman"/>
                      <w:sz w:val="21"/>
                      <w:szCs w:val="21"/>
                    </w:rPr>
                    <w:t>，占地面积4</w:t>
                  </w:r>
                  <w:r>
                    <w:rPr>
                      <w:rFonts w:cs="Times New Roman"/>
                      <w:sz w:val="21"/>
                      <w:szCs w:val="21"/>
                    </w:rPr>
                    <w:t>30m</w:t>
                  </w:r>
                  <w:r>
                    <w:rPr>
                      <w:rFonts w:cs="Times New Roman"/>
                      <w:sz w:val="21"/>
                      <w:szCs w:val="21"/>
                      <w:vertAlign w:val="superscript"/>
                    </w:rPr>
                    <w:t>2</w:t>
                  </w:r>
                  <w:r>
                    <w:rPr>
                      <w:rFonts w:hint="eastAsia" w:cs="Times New Roman"/>
                      <w:sz w:val="21"/>
                      <w:szCs w:val="21"/>
                    </w:rPr>
                    <w:t>，建筑面积</w:t>
                  </w:r>
                  <w:r>
                    <w:rPr>
                      <w:rFonts w:cs="Times New Roman"/>
                      <w:sz w:val="21"/>
                      <w:szCs w:val="21"/>
                    </w:rPr>
                    <w:t>860m</w:t>
                  </w:r>
                  <w:r>
                    <w:rPr>
                      <w:rFonts w:cs="Times New Roman"/>
                      <w:sz w:val="21"/>
                      <w:szCs w:val="21"/>
                      <w:vertAlign w:val="superscript"/>
                    </w:rPr>
                    <w:t>2</w:t>
                  </w:r>
                  <w:r>
                    <w:rPr>
                      <w:rFonts w:hint="eastAsia" w:cs="Times New Roman"/>
                      <w:sz w:val="21"/>
                      <w:szCs w:val="21"/>
                    </w:rPr>
                    <w:t>，作为办公用房</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9"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s="Times New Roman"/>
                      <w:color w:val="000000"/>
                      <w:kern w:val="0"/>
                      <w:sz w:val="21"/>
                      <w:szCs w:val="21"/>
                    </w:rPr>
                    <w:t>消防水池及泵房</w:t>
                  </w:r>
                </w:p>
              </w:tc>
              <w:tc>
                <w:tcPr>
                  <w:tcW w:w="2944" w:type="pct"/>
                  <w:vAlign w:val="center"/>
                </w:tcPr>
                <w:p>
                  <w:pPr>
                    <w:adjustRightInd w:val="0"/>
                    <w:snapToGrid w:val="0"/>
                    <w:spacing w:line="240" w:lineRule="auto"/>
                    <w:ind w:firstLine="0" w:firstLineChars="0"/>
                    <w:contextualSpacing/>
                    <w:jc w:val="center"/>
                    <w:textAlignment w:val="auto"/>
                    <w:rPr>
                      <w:rFonts w:cs="Times New Roman"/>
                      <w:sz w:val="21"/>
                      <w:szCs w:val="21"/>
                    </w:rPr>
                  </w:pPr>
                  <w:r>
                    <w:rPr>
                      <w:rFonts w:cs="Times New Roman"/>
                      <w:sz w:val="21"/>
                      <w:szCs w:val="21"/>
                    </w:rPr>
                    <w:t>1F</w:t>
                  </w:r>
                  <w:r>
                    <w:rPr>
                      <w:rFonts w:hint="eastAsia" w:cs="Times New Roman"/>
                      <w:sz w:val="21"/>
                      <w:szCs w:val="21"/>
                    </w:rPr>
                    <w:t>，占地面积1</w:t>
                  </w:r>
                  <w:r>
                    <w:rPr>
                      <w:rFonts w:cs="Times New Roman"/>
                      <w:sz w:val="21"/>
                      <w:szCs w:val="21"/>
                    </w:rPr>
                    <w:t>56.44m</w:t>
                  </w:r>
                  <w:r>
                    <w:rPr>
                      <w:rFonts w:cs="Times New Roman"/>
                      <w:sz w:val="21"/>
                      <w:szCs w:val="21"/>
                      <w:vertAlign w:val="superscript"/>
                    </w:rPr>
                    <w:t>2</w:t>
                  </w:r>
                  <w:r>
                    <w:rPr>
                      <w:rFonts w:hint="eastAsia" w:cs="Times New Roman"/>
                      <w:sz w:val="21"/>
                      <w:szCs w:val="21"/>
                    </w:rPr>
                    <w:t>，建筑面积为1</w:t>
                  </w:r>
                  <w:r>
                    <w:rPr>
                      <w:rFonts w:cs="Times New Roman"/>
                      <w:sz w:val="21"/>
                      <w:szCs w:val="21"/>
                    </w:rPr>
                    <w:t>56.44m</w:t>
                  </w:r>
                  <w:r>
                    <w:rPr>
                      <w:rFonts w:cs="Times New Roman"/>
                      <w:sz w:val="21"/>
                      <w:szCs w:val="21"/>
                      <w:vertAlign w:val="superscript"/>
                    </w:rPr>
                    <w:t>2</w:t>
                  </w:r>
                  <w:r>
                    <w:rPr>
                      <w:rFonts w:hint="eastAsia" w:cs="Times New Roman"/>
                      <w:sz w:val="21"/>
                      <w:szCs w:val="21"/>
                    </w:rPr>
                    <w:t>，有效容积3</w:t>
                  </w:r>
                  <w:r>
                    <w:rPr>
                      <w:rFonts w:cs="Times New Roman"/>
                      <w:sz w:val="21"/>
                      <w:szCs w:val="21"/>
                    </w:rPr>
                    <w:t>00m</w:t>
                  </w:r>
                  <w:r>
                    <w:rPr>
                      <w:rFonts w:cs="Times New Roman"/>
                      <w:sz w:val="21"/>
                      <w:szCs w:val="21"/>
                      <w:vertAlign w:val="superscript"/>
                    </w:rPr>
                    <w:t>3</w:t>
                  </w:r>
                  <w:r>
                    <w:rPr>
                      <w:rFonts w:hint="eastAsia" w:cs="Times New Roman"/>
                      <w:sz w:val="21"/>
                      <w:szCs w:val="21"/>
                    </w:rPr>
                    <w:t>，位于办公楼西侧</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Merge w:val="restar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sz w:val="21"/>
                      <w:szCs w:val="21"/>
                    </w:rPr>
                    <w:t>储运工程</w:t>
                  </w: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kern w:val="0"/>
                      <w:sz w:val="21"/>
                      <w:szCs w:val="21"/>
                    </w:rPr>
                    <w:t>原材料库房</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kern w:val="0"/>
                      <w:sz w:val="21"/>
                      <w:szCs w:val="21"/>
                      <w14:textFill>
                        <w14:solidFill>
                          <w14:schemeClr w14:val="tx1"/>
                        </w14:solidFill>
                      </w14:textFill>
                    </w:rPr>
                  </w:pPr>
                  <w:r>
                    <w:rPr>
                      <w:rFonts w:hint="eastAsia" w:cs="Times New Roman"/>
                      <w:sz w:val="21"/>
                      <w:szCs w:val="21"/>
                    </w:rPr>
                    <w:t>占地面积1</w:t>
                  </w:r>
                  <w:r>
                    <w:rPr>
                      <w:rFonts w:cs="Times New Roman"/>
                      <w:sz w:val="21"/>
                      <w:szCs w:val="21"/>
                    </w:rPr>
                    <w:t>985</w:t>
                  </w:r>
                  <w:r>
                    <w:rPr>
                      <w:rFonts w:hint="eastAsia" w:cs="Times New Roman"/>
                      <w:sz w:val="21"/>
                      <w:szCs w:val="21"/>
                    </w:rPr>
                    <w:t>m</w:t>
                  </w:r>
                  <w:r>
                    <w:rPr>
                      <w:rFonts w:hint="eastAsia" w:cs="Times New Roman"/>
                      <w:sz w:val="21"/>
                      <w:szCs w:val="21"/>
                      <w:vertAlign w:val="superscript"/>
                    </w:rPr>
                    <w:t>2</w:t>
                  </w:r>
                  <w:r>
                    <w:rPr>
                      <w:rFonts w:hint="eastAsia" w:cs="Times New Roman"/>
                      <w:sz w:val="21"/>
                      <w:szCs w:val="21"/>
                    </w:rPr>
                    <w:t>，建筑面积1985m</w:t>
                  </w:r>
                  <w:r>
                    <w:rPr>
                      <w:rFonts w:hint="eastAsia" w:cs="Times New Roman"/>
                      <w:sz w:val="21"/>
                      <w:szCs w:val="21"/>
                      <w:vertAlign w:val="superscript"/>
                    </w:rPr>
                    <w:t>2</w:t>
                  </w:r>
                  <w:r>
                    <w:rPr>
                      <w:rFonts w:hint="eastAsia" w:cs="Times New Roman"/>
                      <w:color w:val="000000"/>
                      <w:kern w:val="0"/>
                      <w:sz w:val="21"/>
                      <w:szCs w:val="21"/>
                    </w:rPr>
                    <w:t>，位于生产车间西侧，</w:t>
                  </w:r>
                  <w:r>
                    <w:rPr>
                      <w:rFonts w:hint="eastAsia" w:cs="Times New Roman"/>
                      <w:color w:val="000000" w:themeColor="text1"/>
                      <w:kern w:val="0"/>
                      <w:sz w:val="21"/>
                      <w:szCs w:val="21"/>
                      <w14:textFill>
                        <w14:solidFill>
                          <w14:schemeClr w14:val="tx1"/>
                        </w14:solidFill>
                      </w14:textFill>
                    </w:rPr>
                    <w:t>用于原料存放，</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s="Times New Roman"/>
                      <w:color w:val="000000"/>
                      <w:kern w:val="0"/>
                      <w:sz w:val="21"/>
                      <w:szCs w:val="21"/>
                    </w:rPr>
                    <w:t>成品库房</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占地面积1</w:t>
                  </w:r>
                  <w:r>
                    <w:rPr>
                      <w:rFonts w:cs="Times New Roman"/>
                      <w:color w:val="000000" w:themeColor="text1"/>
                      <w:kern w:val="0"/>
                      <w:sz w:val="21"/>
                      <w:szCs w:val="21"/>
                      <w14:textFill>
                        <w14:solidFill>
                          <w14:schemeClr w14:val="tx1"/>
                        </w14:solidFill>
                      </w14:textFill>
                    </w:rPr>
                    <w:t>990</w:t>
                  </w:r>
                  <w:r>
                    <w:rPr>
                      <w:rFonts w:hint="eastAsia" w:cs="Times New Roman"/>
                      <w:color w:val="000000" w:themeColor="text1"/>
                      <w:kern w:val="0"/>
                      <w:sz w:val="21"/>
                      <w:szCs w:val="21"/>
                      <w14:textFill>
                        <w14:solidFill>
                          <w14:schemeClr w14:val="tx1"/>
                        </w14:solidFill>
                      </w14:textFill>
                    </w:rPr>
                    <w:t>m</w:t>
                  </w:r>
                  <w:r>
                    <w:rPr>
                      <w:rFonts w:hint="eastAsia" w:cs="Times New Roman"/>
                      <w:color w:val="000000" w:themeColor="text1"/>
                      <w:kern w:val="0"/>
                      <w:sz w:val="21"/>
                      <w:szCs w:val="21"/>
                      <w:vertAlign w:val="superscript"/>
                      <w14:textFill>
                        <w14:solidFill>
                          <w14:schemeClr w14:val="tx1"/>
                        </w14:solidFill>
                      </w14:textFill>
                    </w:rPr>
                    <w:t>2</w:t>
                  </w:r>
                  <w:r>
                    <w:rPr>
                      <w:rFonts w:hint="eastAsia" w:cs="Times New Roman"/>
                      <w:color w:val="000000" w:themeColor="text1"/>
                      <w:kern w:val="0"/>
                      <w:sz w:val="21"/>
                      <w:szCs w:val="21"/>
                      <w14:textFill>
                        <w14:solidFill>
                          <w14:schemeClr w14:val="tx1"/>
                        </w14:solidFill>
                      </w14:textFill>
                    </w:rPr>
                    <w:t>，建筑面积</w:t>
                  </w:r>
                  <w:r>
                    <w:rPr>
                      <w:rFonts w:cs="Times New Roman"/>
                      <w:color w:val="000000" w:themeColor="text1"/>
                      <w:kern w:val="0"/>
                      <w:sz w:val="21"/>
                      <w:szCs w:val="21"/>
                      <w14:textFill>
                        <w14:solidFill>
                          <w14:schemeClr w14:val="tx1"/>
                        </w14:solidFill>
                      </w14:textFill>
                    </w:rPr>
                    <w:t>1990</w:t>
                  </w:r>
                  <w:r>
                    <w:rPr>
                      <w:rFonts w:hint="eastAsia" w:cs="Times New Roman"/>
                      <w:color w:val="000000" w:themeColor="text1"/>
                      <w:kern w:val="0"/>
                      <w:sz w:val="21"/>
                      <w:szCs w:val="21"/>
                      <w14:textFill>
                        <w14:solidFill>
                          <w14:schemeClr w14:val="tx1"/>
                        </w14:solidFill>
                      </w14:textFill>
                    </w:rPr>
                    <w:t>m</w:t>
                  </w:r>
                  <w:r>
                    <w:rPr>
                      <w:rFonts w:hint="eastAsia" w:cs="Times New Roman"/>
                      <w:color w:val="000000" w:themeColor="text1"/>
                      <w:kern w:val="0"/>
                      <w:sz w:val="21"/>
                      <w:szCs w:val="21"/>
                      <w:vertAlign w:val="superscript"/>
                      <w14:textFill>
                        <w14:solidFill>
                          <w14:schemeClr w14:val="tx1"/>
                        </w14:solidFill>
                      </w14:textFill>
                    </w:rPr>
                    <w:t>2</w:t>
                  </w:r>
                  <w:r>
                    <w:rPr>
                      <w:rFonts w:hint="eastAsia" w:cs="Times New Roman"/>
                      <w:color w:val="000000"/>
                      <w:kern w:val="0"/>
                      <w:sz w:val="21"/>
                      <w:szCs w:val="21"/>
                    </w:rPr>
                    <w:t>，位于生产车间东侧，</w:t>
                  </w:r>
                  <w:r>
                    <w:rPr>
                      <w:rFonts w:hint="eastAsia" w:cs="Times New Roman"/>
                      <w:color w:val="000000" w:themeColor="text1"/>
                      <w:kern w:val="0"/>
                      <w:sz w:val="21"/>
                      <w:szCs w:val="21"/>
                      <w14:textFill>
                        <w14:solidFill>
                          <w14:schemeClr w14:val="tx1"/>
                        </w14:solidFill>
                      </w14:textFill>
                    </w:rPr>
                    <w:t>用于产品存放</w:t>
                  </w:r>
                </w:p>
              </w:tc>
              <w:tc>
                <w:tcPr>
                  <w:tcW w:w="646" w:type="pct"/>
                  <w:vAlign w:val="center"/>
                </w:tcPr>
                <w:p>
                  <w:pPr>
                    <w:adjustRightInd w:val="0"/>
                    <w:snapToGrid w:val="0"/>
                    <w:spacing w:line="240" w:lineRule="auto"/>
                    <w:ind w:firstLine="0" w:firstLineChars="0"/>
                    <w:contextualSpacing/>
                    <w:jc w:val="center"/>
                    <w:textAlignment w:val="auto"/>
                    <w:rPr>
                      <w:color w:val="000000" w:themeColor="text1"/>
                      <w:sz w:val="21"/>
                      <w:szCs w:val="21"/>
                      <w14:textFill>
                        <w14:solidFill>
                          <w14:schemeClr w14:val="tx1"/>
                        </w14:solidFill>
                      </w14:textFill>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s="Times New Roman"/>
                      <w:color w:val="000000"/>
                      <w:sz w:val="21"/>
                      <w:szCs w:val="21"/>
                    </w:rPr>
                    <w:t>一般固体废物暂存间</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kern w:val="0"/>
                      <w:sz w:val="21"/>
                      <w:szCs w:val="21"/>
                      <w14:textFill>
                        <w14:solidFill>
                          <w14:schemeClr w14:val="tx1"/>
                        </w14:solidFill>
                      </w14:textFill>
                    </w:rPr>
                  </w:pPr>
                  <w:r>
                    <w:rPr>
                      <w:rFonts w:hint="eastAsia"/>
                      <w:sz w:val="21"/>
                      <w:szCs w:val="21"/>
                    </w:rPr>
                    <w:t>占地面积50m</w:t>
                  </w:r>
                  <w:r>
                    <w:rPr>
                      <w:rFonts w:hint="eastAsia"/>
                      <w:sz w:val="21"/>
                      <w:szCs w:val="21"/>
                      <w:vertAlign w:val="superscript"/>
                    </w:rPr>
                    <w:t>2</w:t>
                  </w:r>
                  <w:r>
                    <w:rPr>
                      <w:rFonts w:hint="eastAsia"/>
                      <w:sz w:val="21"/>
                      <w:szCs w:val="21"/>
                    </w:rPr>
                    <w:t>，位于生产车间内，</w:t>
                  </w:r>
                  <w:r>
                    <w:rPr>
                      <w:rFonts w:hint="eastAsia" w:cs="Times New Roman"/>
                      <w:color w:val="000000"/>
                      <w:sz w:val="21"/>
                      <w:szCs w:val="21"/>
                    </w:rPr>
                    <w:t>用于存放一般固体废物</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sz w:val="21"/>
                      <w:szCs w:val="21"/>
                    </w:rPr>
                    <w:t>危险废物贮存库</w:t>
                  </w:r>
                </w:p>
              </w:tc>
              <w:tc>
                <w:tcPr>
                  <w:tcW w:w="2944" w:type="pct"/>
                  <w:vAlign w:val="center"/>
                </w:tcPr>
                <w:p>
                  <w:pPr>
                    <w:adjustRightInd w:val="0"/>
                    <w:snapToGrid w:val="0"/>
                    <w:spacing w:line="240" w:lineRule="auto"/>
                    <w:ind w:firstLine="0" w:firstLineChars="0"/>
                    <w:contextualSpacing/>
                    <w:rPr>
                      <w:rFonts w:cs="Times New Roman"/>
                      <w:sz w:val="21"/>
                      <w:szCs w:val="21"/>
                    </w:rPr>
                  </w:pPr>
                  <w:r>
                    <w:rPr>
                      <w:rFonts w:hint="eastAsia" w:cs="Times New Roman"/>
                      <w:sz w:val="21"/>
                      <w:szCs w:val="21"/>
                    </w:rPr>
                    <w:t>在厂区东南侧设置一处面积约10m</w:t>
                  </w:r>
                  <w:r>
                    <w:rPr>
                      <w:rFonts w:hint="eastAsia" w:cs="Times New Roman"/>
                      <w:sz w:val="21"/>
                      <w:szCs w:val="21"/>
                      <w:vertAlign w:val="superscript"/>
                    </w:rPr>
                    <w:t>2</w:t>
                  </w:r>
                  <w:r>
                    <w:rPr>
                      <w:rFonts w:hint="eastAsia" w:cs="Times New Roman"/>
                      <w:sz w:val="21"/>
                      <w:szCs w:val="21"/>
                    </w:rPr>
                    <w:t>的危险废物贮存库，用于贮存危险废物，贮存库采用封闭式结构，具备防雨、防渗、防风、防晒及防流失措施</w:t>
                  </w:r>
                </w:p>
              </w:tc>
              <w:tc>
                <w:tcPr>
                  <w:tcW w:w="646" w:type="pct"/>
                  <w:vAlign w:val="center"/>
                </w:tcPr>
                <w:p>
                  <w:pPr>
                    <w:adjustRightInd w:val="0"/>
                    <w:snapToGrid w:val="0"/>
                    <w:spacing w:line="240" w:lineRule="auto"/>
                    <w:ind w:firstLine="0" w:firstLineChars="0"/>
                    <w:contextualSpacing/>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Merge w:val="restar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公用工程</w:t>
                  </w: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供水</w:t>
                  </w:r>
                </w:p>
              </w:tc>
              <w:tc>
                <w:tcPr>
                  <w:tcW w:w="2944" w:type="pct"/>
                  <w:vAlign w:val="center"/>
                </w:tcPr>
                <w:p>
                  <w:pPr>
                    <w:adjustRightInd w:val="0"/>
                    <w:snapToGrid w:val="0"/>
                    <w:spacing w:line="240" w:lineRule="auto"/>
                    <w:ind w:firstLine="0" w:firstLineChars="0"/>
                    <w:contextualSpacing/>
                    <w:textAlignment w:val="auto"/>
                    <w:rPr>
                      <w:rFonts w:cs="Times New Roman"/>
                      <w:color w:val="000000"/>
                      <w:sz w:val="21"/>
                      <w:szCs w:val="21"/>
                    </w:rPr>
                  </w:pPr>
                  <w:r>
                    <w:rPr>
                      <w:rFonts w:hint="eastAsia" w:cs="Times New Roman"/>
                      <w:color w:val="000000"/>
                      <w:sz w:val="21"/>
                      <w:szCs w:val="21"/>
                    </w:rPr>
                    <w:t>园区供水系统供给</w:t>
                  </w:r>
                </w:p>
              </w:tc>
              <w:tc>
                <w:tcPr>
                  <w:tcW w:w="646" w:type="pct"/>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1"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供电</w:t>
                  </w:r>
                </w:p>
              </w:tc>
              <w:tc>
                <w:tcPr>
                  <w:tcW w:w="2944" w:type="pct"/>
                  <w:vAlign w:val="center"/>
                </w:tcPr>
                <w:p>
                  <w:pPr>
                    <w:adjustRightInd w:val="0"/>
                    <w:snapToGrid w:val="0"/>
                    <w:spacing w:line="240" w:lineRule="auto"/>
                    <w:ind w:firstLine="0" w:firstLineChars="0"/>
                    <w:contextualSpacing/>
                    <w:textAlignment w:val="auto"/>
                    <w:rPr>
                      <w:rFonts w:cs="Times New Roman"/>
                      <w:color w:val="000000"/>
                      <w:sz w:val="21"/>
                      <w:szCs w:val="21"/>
                    </w:rPr>
                  </w:pPr>
                  <w:r>
                    <w:rPr>
                      <w:rFonts w:hint="eastAsia" w:cs="Times New Roman"/>
                      <w:color w:val="000000"/>
                      <w:sz w:val="21"/>
                      <w:szCs w:val="21"/>
                    </w:rPr>
                    <w:t>园区电网供电</w:t>
                  </w:r>
                </w:p>
              </w:tc>
              <w:tc>
                <w:tcPr>
                  <w:tcW w:w="646" w:type="pct"/>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cs="Times New Roman"/>
                      <w:color w:val="000000"/>
                      <w:sz w:val="21"/>
                      <w:szCs w:val="21"/>
                    </w:rPr>
                    <w:t>供</w:t>
                  </w:r>
                  <w:r>
                    <w:rPr>
                      <w:rFonts w:hint="eastAsia" w:cs="Times New Roman"/>
                      <w:color w:val="000000"/>
                      <w:sz w:val="21"/>
                      <w:szCs w:val="21"/>
                    </w:rPr>
                    <w:t>热</w:t>
                  </w:r>
                </w:p>
              </w:tc>
              <w:tc>
                <w:tcPr>
                  <w:tcW w:w="2944" w:type="pct"/>
                  <w:vAlign w:val="center"/>
                </w:tcPr>
                <w:p>
                  <w:pPr>
                    <w:adjustRightInd w:val="0"/>
                    <w:snapToGrid w:val="0"/>
                    <w:spacing w:line="240" w:lineRule="auto"/>
                    <w:ind w:firstLine="0" w:firstLineChars="0"/>
                    <w:contextualSpacing/>
                    <w:textAlignment w:val="auto"/>
                    <w:rPr>
                      <w:rFonts w:cs="Times New Roman"/>
                      <w:color w:val="000000"/>
                      <w:sz w:val="21"/>
                      <w:szCs w:val="21"/>
                    </w:rPr>
                  </w:pPr>
                  <w:r>
                    <w:rPr>
                      <w:rFonts w:hint="eastAsia"/>
                      <w:color w:val="000000"/>
                      <w:sz w:val="21"/>
                      <w:szCs w:val="21"/>
                    </w:rPr>
                    <w:t>生产线采用电导热油炉加热，供暖采用电采暖</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sz w:val="21"/>
                      <w:szCs w:val="21"/>
                    </w:rPr>
                    <w:t>排水</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sz w:val="21"/>
                      <w:szCs w:val="21"/>
                    </w:rPr>
                    <w:t>生活污水经化粪池（</w:t>
                  </w:r>
                  <w:r>
                    <w:rPr>
                      <w:rFonts w:cs="Times New Roman"/>
                      <w:color w:val="000000"/>
                      <w:sz w:val="21"/>
                      <w:szCs w:val="21"/>
                    </w:rPr>
                    <w:t>1</w:t>
                  </w:r>
                  <w:r>
                    <w:rPr>
                      <w:rFonts w:hint="eastAsia" w:cs="Times New Roman"/>
                      <w:color w:val="000000"/>
                      <w:sz w:val="21"/>
                      <w:szCs w:val="21"/>
                    </w:rPr>
                    <w:t>0m³）预处理后，排入园区管网，最终进入和静县污水处理厂处理</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kern w:val="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585" w:type="pct"/>
                  <w:vMerge w:val="restart"/>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r>
                    <w:rPr>
                      <w:rFonts w:hint="eastAsia" w:cs="Times New Roman"/>
                      <w:color w:val="000000"/>
                      <w:sz w:val="21"/>
                      <w:szCs w:val="21"/>
                    </w:rPr>
                    <w:t>环保工程</w:t>
                  </w:r>
                </w:p>
              </w:tc>
              <w:tc>
                <w:tcPr>
                  <w:tcW w:w="825" w:type="pct"/>
                  <w:vMerge w:val="restar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废气治理</w:t>
                  </w:r>
                </w:p>
              </w:tc>
              <w:tc>
                <w:tcPr>
                  <w:tcW w:w="2944" w:type="pct"/>
                  <w:vAlign w:val="center"/>
                </w:tcPr>
                <w:p>
                  <w:pPr>
                    <w:adjustRightInd w:val="0"/>
                    <w:snapToGrid w:val="0"/>
                    <w:spacing w:line="240" w:lineRule="auto"/>
                    <w:ind w:firstLine="0" w:firstLineChars="0"/>
                    <w:contextualSpacing/>
                    <w:textAlignment w:val="auto"/>
                  </w:pPr>
                  <w:r>
                    <w:rPr>
                      <w:rFonts w:hint="eastAsia" w:cs="Times New Roman"/>
                      <w:color w:val="000000"/>
                      <w:sz w:val="21"/>
                      <w:szCs w:val="21"/>
                    </w:rPr>
                    <w:t>粉末</w:t>
                  </w:r>
                  <w:r>
                    <w:rPr>
                      <w:rFonts w:cs="Times New Roman"/>
                      <w:color w:val="000000"/>
                      <w:sz w:val="21"/>
                      <w:szCs w:val="21"/>
                    </w:rPr>
                    <w:t>（液态）道路标线材料生产线拆包卸料、投料及成品分装粉尘经集气罩收集后进入布袋除尘器处理后，由15m高排气筒（DA001）排放</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液态道路标线材料生产线混合搅拌非甲烷总烃经负压收集后进入两级活性炭吸附装置，由15m高排气筒（DA002）排放</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固体（液态）沥青养护环保材料生产线沥青烟、非甲烷总烃、苯并[a]芘经管道收集后进入电捕焦油器+两级活性炭吸附装置，由15m高排气筒（DA002）排放</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sz w:val="21"/>
                      <w:szCs w:val="21"/>
                    </w:rPr>
                    <w:t>无</w:t>
                  </w:r>
                  <w:r>
                    <w:rPr>
                      <w:rFonts w:hint="eastAsia" w:cs="Times New Roman"/>
                      <w:color w:val="000000" w:themeColor="text1"/>
                      <w:sz w:val="21"/>
                      <w:szCs w:val="21"/>
                      <w14:textFill>
                        <w14:solidFill>
                          <w14:schemeClr w14:val="tx1"/>
                        </w14:solidFill>
                      </w14:textFill>
                    </w:rPr>
                    <w:t>组织废气：车间采取全封闭措施，利用自然沉降和洒水抑尘减少颗粒物，同时保持微负压状态，将废气有效收集处理；加强沥青搅拌机的密封性</w:t>
                  </w:r>
                </w:p>
              </w:tc>
              <w:tc>
                <w:tcPr>
                  <w:tcW w:w="646" w:type="pct"/>
                  <w:vAlign w:val="center"/>
                </w:tcPr>
                <w:p>
                  <w:pPr>
                    <w:adjustRightInd w:val="0"/>
                    <w:snapToGrid w:val="0"/>
                    <w:spacing w:line="240" w:lineRule="auto"/>
                    <w:ind w:firstLine="0" w:firstLineChars="0"/>
                    <w:contextualSpacing/>
                    <w:jc w:val="center"/>
                    <w:textAlignment w:val="auto"/>
                    <w:rPr>
                      <w:color w:val="000000"/>
                      <w:sz w:val="21"/>
                      <w:szCs w:val="21"/>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废水治理</w:t>
                  </w:r>
                </w:p>
              </w:tc>
              <w:tc>
                <w:tcPr>
                  <w:tcW w:w="2944" w:type="pct"/>
                  <w:vAlign w:val="center"/>
                </w:tcPr>
                <w:p>
                  <w:pPr>
                    <w:adjustRightInd w:val="0"/>
                    <w:snapToGrid w:val="0"/>
                    <w:spacing w:line="240" w:lineRule="auto"/>
                    <w:ind w:firstLine="0" w:firstLineChars="0"/>
                    <w:contextualSpacing/>
                    <w:textAlignment w:val="auto"/>
                  </w:pPr>
                  <w:r>
                    <w:rPr>
                      <w:rFonts w:hint="eastAsia" w:cs="Times New Roman"/>
                      <w:color w:val="000000" w:themeColor="text1"/>
                      <w:sz w:val="21"/>
                      <w:szCs w:val="21"/>
                      <w14:textFill>
                        <w14:solidFill>
                          <w14:schemeClr w14:val="tx1"/>
                        </w14:solidFill>
                      </w14:textFill>
                    </w:rPr>
                    <w:t>生活污水进入厂区化粪池进行预处理后，排入园区管网，最终进入和静县污水处理厂处理</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themeColor="text1"/>
                      <w:kern w:val="0"/>
                      <w:sz w:val="21"/>
                      <w:szCs w:val="21"/>
                      <w14:textFill>
                        <w14:solidFill>
                          <w14:schemeClr w14:val="tx1"/>
                        </w14:solidFill>
                      </w14:textFill>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噪声治理</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设备噪声主要采用隔音、减振、合理布局、绿化等降噪措施</w:t>
                  </w:r>
                </w:p>
              </w:tc>
              <w:tc>
                <w:tcPr>
                  <w:tcW w:w="646" w:type="pc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sz w:val="21"/>
                      <w:szCs w:val="21"/>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restart"/>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固体废物治理</w:t>
                  </w: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sz w:val="21"/>
                      <w:szCs w:val="21"/>
                    </w:rPr>
                    <w:t>废包装袋收集后外售废旧物资回收单位</w:t>
                  </w:r>
                </w:p>
              </w:tc>
              <w:tc>
                <w:tcPr>
                  <w:tcW w:w="646" w:type="pct"/>
                  <w:vMerge w:val="restart"/>
                  <w:vAlign w:val="center"/>
                </w:tcPr>
                <w:p>
                  <w:pPr>
                    <w:adjustRightInd w:val="0"/>
                    <w:snapToGrid w:val="0"/>
                    <w:spacing w:line="240" w:lineRule="auto"/>
                    <w:ind w:firstLine="0" w:firstLineChars="0"/>
                    <w:contextualSpacing/>
                    <w:jc w:val="center"/>
                    <w:textAlignment w:val="auto"/>
                    <w:rPr>
                      <w:rFonts w:cs="Times New Roman"/>
                      <w:color w:val="FF0000"/>
                      <w:sz w:val="21"/>
                      <w:szCs w:val="21"/>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布袋集尘集中收集后，拉运至和静工业园区一般工业固废填埋场</w:t>
                  </w:r>
                </w:p>
              </w:tc>
              <w:tc>
                <w:tcPr>
                  <w:tcW w:w="646"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废布袋收集后定期交由厂家回收</w:t>
                  </w:r>
                </w:p>
              </w:tc>
              <w:tc>
                <w:tcPr>
                  <w:tcW w:w="646"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生活垃圾集中收集至垃圾箱后由环卫部门统一清运</w:t>
                  </w:r>
                </w:p>
              </w:tc>
              <w:tc>
                <w:tcPr>
                  <w:tcW w:w="646"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 w:hRule="atLeast"/>
              </w:trPr>
              <w:tc>
                <w:tcPr>
                  <w:tcW w:w="58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sz w:val="21"/>
                      <w:szCs w:val="21"/>
                    </w:rPr>
                  </w:pPr>
                </w:p>
              </w:tc>
              <w:tc>
                <w:tcPr>
                  <w:tcW w:w="825"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c>
                <w:tcPr>
                  <w:tcW w:w="2944" w:type="pct"/>
                  <w:vAlign w:val="center"/>
                </w:tcPr>
                <w:p>
                  <w:pPr>
                    <w:adjustRightInd w:val="0"/>
                    <w:snapToGrid w:val="0"/>
                    <w:spacing w:line="240" w:lineRule="auto"/>
                    <w:ind w:firstLine="0" w:firstLineChars="0"/>
                    <w:contextualSpacing/>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废导热油、废焦油、废机油、沾有废机油的废抹布和废手套、废机油桶、废活性炭、废原料桶集中收集后存放于危险废物贮存库，委托有处理资质单位进行清运及处置</w:t>
                  </w:r>
                </w:p>
              </w:tc>
              <w:tc>
                <w:tcPr>
                  <w:tcW w:w="646" w:type="pct"/>
                  <w:vMerge w:val="continue"/>
                  <w:vAlign w:val="center"/>
                </w:tcPr>
                <w:p>
                  <w:pPr>
                    <w:adjustRightInd w:val="0"/>
                    <w:snapToGrid w:val="0"/>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p>
              </w:tc>
            </w:tr>
            <w:bookmarkEnd w:id="12"/>
          </w:tbl>
          <w:p>
            <w:pPr>
              <w:pStyle w:val="6"/>
              <w:ind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2.产品方案</w:t>
            </w:r>
          </w:p>
          <w:p>
            <w:pPr>
              <w:ind w:firstLine="480"/>
              <w:rPr>
                <w:rFonts w:cs="Times New Roman"/>
                <w:bCs/>
                <w:szCs w:val="24"/>
              </w:rPr>
            </w:pPr>
            <w:r>
              <w:rPr>
                <w:rFonts w:hint="eastAsia"/>
                <w:bCs/>
              </w:rPr>
              <w:t>本项目产品及生产规模详见下表</w:t>
            </w:r>
            <w:r>
              <w:rPr>
                <w:rFonts w:hint="eastAsia" w:cs="Times New Roman"/>
                <w:bCs/>
                <w:szCs w:val="24"/>
              </w:rPr>
              <w:t>2</w:t>
            </w:r>
            <w:r>
              <w:rPr>
                <w:rFonts w:cs="Times New Roman"/>
                <w:bCs/>
                <w:szCs w:val="24"/>
              </w:rPr>
              <w:t>-3。</w:t>
            </w:r>
          </w:p>
          <w:p>
            <w:pPr>
              <w:pStyle w:val="39"/>
              <w:spacing w:before="163"/>
            </w:pPr>
            <w:r>
              <w:rPr>
                <w:rFonts w:hint="eastAsia"/>
              </w:rPr>
              <w:t>表</w:t>
            </w:r>
            <w:r>
              <w:t xml:space="preserve">2-3  </w:t>
            </w:r>
            <w:r>
              <w:rPr>
                <w:rFonts w:hint="eastAsia"/>
              </w:rPr>
              <w:t>产品方案一览表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458"/>
              <w:gridCol w:w="2649"/>
              <w:gridCol w:w="1065"/>
              <w:gridCol w:w="26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序号</w:t>
                  </w:r>
                </w:p>
              </w:tc>
              <w:tc>
                <w:tcPr>
                  <w:tcW w:w="2417" w:type="pct"/>
                  <w:gridSpan w:val="2"/>
                  <w:vAlign w:val="center"/>
                </w:tcPr>
                <w:p>
                  <w:pPr>
                    <w:spacing w:line="240" w:lineRule="auto"/>
                    <w:ind w:firstLine="0" w:firstLineChars="0"/>
                    <w:contextualSpacing/>
                    <w:jc w:val="center"/>
                    <w:textAlignment w:val="auto"/>
                    <w:rPr>
                      <w:rFonts w:cs="Times New Roman"/>
                      <w:sz w:val="21"/>
                      <w:szCs w:val="21"/>
                    </w:rPr>
                  </w:pPr>
                  <w:r>
                    <w:rPr>
                      <w:rFonts w:cs="Times New Roman"/>
                      <w:sz w:val="21"/>
                      <w:szCs w:val="21"/>
                    </w:rPr>
                    <w:t>产品类型</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年产量</w:t>
                  </w:r>
                </w:p>
              </w:tc>
              <w:tc>
                <w:tcPr>
                  <w:tcW w:w="156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用途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1</w:t>
                  </w:r>
                </w:p>
              </w:tc>
              <w:tc>
                <w:tcPr>
                  <w:tcW w:w="858" w:type="pct"/>
                  <w:vMerge w:val="restar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5万吨道路标线材料</w:t>
                  </w: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bCs/>
                      <w:color w:val="000000"/>
                      <w:kern w:val="0"/>
                      <w:sz w:val="21"/>
                      <w:szCs w:val="21"/>
                    </w:rPr>
                    <w:t>粉末道路标线材料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4</w:t>
                  </w:r>
                  <w:r>
                    <w:rPr>
                      <w:rFonts w:cs="Times New Roman"/>
                      <w:sz w:val="21"/>
                      <w:szCs w:val="21"/>
                    </w:rPr>
                    <w:t>4000</w:t>
                  </w:r>
                  <w:r>
                    <w:rPr>
                      <w:rFonts w:hint="eastAsia" w:cs="Times New Roman"/>
                      <w:sz w:val="21"/>
                      <w:szCs w:val="21"/>
                    </w:rPr>
                    <w:t>t</w:t>
                  </w:r>
                  <w:r>
                    <w:rPr>
                      <w:rFonts w:cs="Times New Roman"/>
                      <w:sz w:val="21"/>
                      <w:szCs w:val="21"/>
                    </w:rPr>
                    <w:t>/a</w:t>
                  </w:r>
                </w:p>
              </w:tc>
              <w:tc>
                <w:tcPr>
                  <w:tcW w:w="1563" w:type="pct"/>
                  <w:vMerge w:val="restar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机场跑道、高速公路、国省道、城市道路、小区停车场、园区道路等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2</w:t>
                  </w:r>
                </w:p>
              </w:tc>
              <w:tc>
                <w:tcPr>
                  <w:tcW w:w="858" w:type="pct"/>
                  <w:vMerge w:val="continue"/>
                  <w:vAlign w:val="center"/>
                </w:tcPr>
                <w:p>
                  <w:pPr>
                    <w:spacing w:line="240" w:lineRule="auto"/>
                    <w:ind w:firstLine="0" w:firstLineChars="0"/>
                    <w:contextualSpacing/>
                    <w:jc w:val="center"/>
                    <w:textAlignment w:val="auto"/>
                    <w:rPr>
                      <w:rFonts w:cs="Times New Roman"/>
                      <w:sz w:val="21"/>
                      <w:szCs w:val="21"/>
                    </w:rPr>
                  </w:pP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bCs/>
                      <w:color w:val="000000"/>
                      <w:kern w:val="0"/>
                      <w:sz w:val="21"/>
                      <w:szCs w:val="21"/>
                    </w:rPr>
                    <w:t>液态道路标线材料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6</w:t>
                  </w:r>
                  <w:r>
                    <w:rPr>
                      <w:rFonts w:cs="Times New Roman"/>
                      <w:sz w:val="21"/>
                      <w:szCs w:val="21"/>
                    </w:rPr>
                    <w:t>000</w:t>
                  </w:r>
                  <w:r>
                    <w:rPr>
                      <w:rFonts w:hint="eastAsia" w:cs="Times New Roman"/>
                      <w:sz w:val="21"/>
                      <w:szCs w:val="21"/>
                    </w:rPr>
                    <w:t>t</w:t>
                  </w:r>
                  <w:r>
                    <w:rPr>
                      <w:rFonts w:cs="Times New Roman"/>
                      <w:sz w:val="21"/>
                      <w:szCs w:val="21"/>
                    </w:rPr>
                    <w:t>/a</w:t>
                  </w:r>
                </w:p>
              </w:tc>
              <w:tc>
                <w:tcPr>
                  <w:tcW w:w="1563" w:type="pct"/>
                  <w:vMerge w:val="continue"/>
                  <w:vAlign w:val="center"/>
                </w:tcPr>
                <w:p>
                  <w:pPr>
                    <w:spacing w:line="240" w:lineRule="auto"/>
                    <w:ind w:firstLine="0" w:firstLineChars="0"/>
                    <w:contextualSpacing/>
                    <w:jc w:val="center"/>
                    <w:textAlignment w:val="auto"/>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cs="Times New Roman"/>
                      <w:sz w:val="21"/>
                      <w:szCs w:val="21"/>
                    </w:rPr>
                    <w:t>3</w:t>
                  </w:r>
                </w:p>
              </w:tc>
              <w:tc>
                <w:tcPr>
                  <w:tcW w:w="858" w:type="pct"/>
                  <w:vMerge w:val="restar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1万吨道路养护材料</w:t>
                  </w: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固体沥青养护环保材料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cs="Times New Roman"/>
                      <w:sz w:val="21"/>
                      <w:szCs w:val="21"/>
                    </w:rPr>
                    <w:t>6300</w:t>
                  </w:r>
                  <w:r>
                    <w:rPr>
                      <w:rFonts w:hint="eastAsia" w:cs="Times New Roman"/>
                      <w:sz w:val="21"/>
                      <w:szCs w:val="21"/>
                    </w:rPr>
                    <w:t>t</w:t>
                  </w:r>
                  <w:r>
                    <w:rPr>
                      <w:rFonts w:cs="Times New Roman"/>
                      <w:sz w:val="21"/>
                      <w:szCs w:val="21"/>
                    </w:rPr>
                    <w:t>/a</w:t>
                  </w:r>
                </w:p>
              </w:tc>
              <w:tc>
                <w:tcPr>
                  <w:tcW w:w="1563" w:type="pct"/>
                  <w:vMerge w:val="continue"/>
                  <w:vAlign w:val="center"/>
                </w:tcPr>
                <w:p>
                  <w:pPr>
                    <w:spacing w:line="240" w:lineRule="auto"/>
                    <w:ind w:firstLine="0" w:firstLineChars="0"/>
                    <w:contextualSpacing/>
                    <w:jc w:val="center"/>
                    <w:textAlignment w:val="auto"/>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4</w:t>
                  </w:r>
                </w:p>
              </w:tc>
              <w:tc>
                <w:tcPr>
                  <w:tcW w:w="858" w:type="pct"/>
                  <w:vMerge w:val="continue"/>
                  <w:vAlign w:val="center"/>
                </w:tcPr>
                <w:p>
                  <w:pPr>
                    <w:spacing w:line="240" w:lineRule="auto"/>
                    <w:ind w:firstLine="0" w:firstLineChars="0"/>
                    <w:contextualSpacing/>
                    <w:jc w:val="center"/>
                    <w:textAlignment w:val="auto"/>
                    <w:rPr>
                      <w:rFonts w:cs="Times New Roman"/>
                      <w:sz w:val="21"/>
                      <w:szCs w:val="21"/>
                    </w:rPr>
                  </w:pP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液态沥青养护环保材料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cs="Times New Roman"/>
                      <w:sz w:val="21"/>
                      <w:szCs w:val="21"/>
                    </w:rPr>
                    <w:t>3200</w:t>
                  </w:r>
                  <w:r>
                    <w:rPr>
                      <w:rFonts w:hint="eastAsia" w:cs="Times New Roman"/>
                      <w:sz w:val="21"/>
                      <w:szCs w:val="21"/>
                    </w:rPr>
                    <w:t>t</w:t>
                  </w:r>
                  <w:r>
                    <w:rPr>
                      <w:rFonts w:cs="Times New Roman"/>
                      <w:sz w:val="21"/>
                      <w:szCs w:val="21"/>
                    </w:rPr>
                    <w:t>/a</w:t>
                  </w:r>
                </w:p>
              </w:tc>
              <w:tc>
                <w:tcPr>
                  <w:tcW w:w="1563" w:type="pct"/>
                  <w:vMerge w:val="continue"/>
                  <w:vAlign w:val="center"/>
                </w:tcPr>
                <w:p>
                  <w:pPr>
                    <w:spacing w:line="240" w:lineRule="auto"/>
                    <w:ind w:firstLine="0" w:firstLineChars="0"/>
                    <w:contextualSpacing/>
                    <w:jc w:val="center"/>
                    <w:textAlignment w:val="auto"/>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5</w:t>
                  </w:r>
                </w:p>
              </w:tc>
              <w:tc>
                <w:tcPr>
                  <w:tcW w:w="858" w:type="pct"/>
                  <w:vMerge w:val="continue"/>
                  <w:vAlign w:val="center"/>
                </w:tcPr>
                <w:p>
                  <w:pPr>
                    <w:spacing w:line="240" w:lineRule="auto"/>
                    <w:ind w:firstLine="0" w:firstLineChars="0"/>
                    <w:contextualSpacing/>
                    <w:jc w:val="center"/>
                    <w:textAlignment w:val="auto"/>
                    <w:rPr>
                      <w:rFonts w:cs="Times New Roman"/>
                      <w:sz w:val="21"/>
                      <w:szCs w:val="21"/>
                    </w:rPr>
                  </w:pP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固体水泥养护环保材料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4</w:t>
                  </w:r>
                  <w:r>
                    <w:rPr>
                      <w:rFonts w:cs="Times New Roman"/>
                      <w:sz w:val="21"/>
                      <w:szCs w:val="21"/>
                    </w:rPr>
                    <w:t>90</w:t>
                  </w:r>
                  <w:r>
                    <w:rPr>
                      <w:rFonts w:hint="eastAsia" w:cs="Times New Roman"/>
                      <w:sz w:val="21"/>
                      <w:szCs w:val="21"/>
                    </w:rPr>
                    <w:t>t</w:t>
                  </w:r>
                  <w:r>
                    <w:rPr>
                      <w:rFonts w:cs="Times New Roman"/>
                      <w:sz w:val="21"/>
                      <w:szCs w:val="21"/>
                    </w:rPr>
                    <w:t>/a</w:t>
                  </w:r>
                </w:p>
              </w:tc>
              <w:tc>
                <w:tcPr>
                  <w:tcW w:w="1563" w:type="pct"/>
                  <w:vMerge w:val="continue"/>
                  <w:vAlign w:val="center"/>
                </w:tcPr>
                <w:p>
                  <w:pPr>
                    <w:spacing w:line="240" w:lineRule="auto"/>
                    <w:ind w:firstLine="0" w:firstLineChars="0"/>
                    <w:contextualSpacing/>
                    <w:jc w:val="center"/>
                    <w:textAlignment w:val="auto"/>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93"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6</w:t>
                  </w:r>
                </w:p>
              </w:tc>
              <w:tc>
                <w:tcPr>
                  <w:tcW w:w="858" w:type="pct"/>
                  <w:vMerge w:val="continue"/>
                  <w:vAlign w:val="center"/>
                </w:tcPr>
                <w:p>
                  <w:pPr>
                    <w:spacing w:line="240" w:lineRule="auto"/>
                    <w:ind w:firstLine="0" w:firstLineChars="0"/>
                    <w:contextualSpacing/>
                    <w:jc w:val="center"/>
                    <w:textAlignment w:val="auto"/>
                    <w:rPr>
                      <w:rFonts w:cs="Times New Roman"/>
                      <w:sz w:val="21"/>
                      <w:szCs w:val="21"/>
                    </w:rPr>
                  </w:pPr>
                </w:p>
              </w:tc>
              <w:tc>
                <w:tcPr>
                  <w:tcW w:w="1559" w:type="pct"/>
                  <w:vAlign w:val="center"/>
                </w:tcPr>
                <w:p>
                  <w:pPr>
                    <w:spacing w:line="240" w:lineRule="auto"/>
                    <w:ind w:firstLine="0" w:firstLineChars="0"/>
                    <w:contextualSpacing/>
                    <w:jc w:val="center"/>
                    <w:textAlignment w:val="auto"/>
                    <w:rPr>
                      <w:rFonts w:cs="Times New Roman"/>
                      <w:sz w:val="21"/>
                      <w:szCs w:val="21"/>
                    </w:rPr>
                  </w:pPr>
                  <w:r>
                    <w:rPr>
                      <w:rFonts w:hint="eastAsia" w:cs="Times New Roman"/>
                      <w:sz w:val="21"/>
                      <w:szCs w:val="21"/>
                    </w:rPr>
                    <w:t>液态水泥养护环保材料</w:t>
                  </w:r>
                </w:p>
              </w:tc>
              <w:tc>
                <w:tcPr>
                  <w:tcW w:w="627" w:type="pct"/>
                  <w:vAlign w:val="center"/>
                </w:tcPr>
                <w:p>
                  <w:pPr>
                    <w:spacing w:line="240" w:lineRule="auto"/>
                    <w:ind w:firstLine="0" w:firstLineChars="0"/>
                    <w:contextualSpacing/>
                    <w:jc w:val="center"/>
                    <w:textAlignment w:val="auto"/>
                    <w:rPr>
                      <w:rFonts w:cs="Times New Roman"/>
                      <w:sz w:val="21"/>
                      <w:szCs w:val="21"/>
                    </w:rPr>
                  </w:pPr>
                  <w:r>
                    <w:rPr>
                      <w:rFonts w:cs="Times New Roman"/>
                      <w:sz w:val="21"/>
                      <w:szCs w:val="21"/>
                    </w:rPr>
                    <w:t>10</w:t>
                  </w:r>
                  <w:r>
                    <w:rPr>
                      <w:rFonts w:hint="eastAsia" w:cs="Times New Roman"/>
                      <w:sz w:val="21"/>
                      <w:szCs w:val="21"/>
                    </w:rPr>
                    <w:t>t</w:t>
                  </w:r>
                  <w:r>
                    <w:rPr>
                      <w:rFonts w:cs="Times New Roman"/>
                      <w:sz w:val="21"/>
                      <w:szCs w:val="21"/>
                    </w:rPr>
                    <w:t>/a</w:t>
                  </w:r>
                </w:p>
              </w:tc>
              <w:tc>
                <w:tcPr>
                  <w:tcW w:w="1563" w:type="pct"/>
                  <w:vMerge w:val="continue"/>
                  <w:vAlign w:val="center"/>
                </w:tcPr>
                <w:p>
                  <w:pPr>
                    <w:spacing w:line="240" w:lineRule="auto"/>
                    <w:ind w:firstLine="0" w:firstLineChars="0"/>
                    <w:contextualSpacing/>
                    <w:jc w:val="center"/>
                    <w:textAlignment w:val="auto"/>
                    <w:rPr>
                      <w:rFonts w:cs="Times New Roman"/>
                      <w:sz w:val="21"/>
                      <w:szCs w:val="21"/>
                    </w:rPr>
                  </w:pPr>
                </w:p>
              </w:tc>
            </w:tr>
          </w:tbl>
          <w:p>
            <w:pPr>
              <w:pStyle w:val="6"/>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3.主要设备</w:t>
            </w:r>
          </w:p>
          <w:p>
            <w:pPr>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项目主要生产设备见下表：</w:t>
            </w:r>
          </w:p>
          <w:p>
            <w:pPr>
              <w:spacing w:line="240" w:lineRule="auto"/>
              <w:ind w:firstLine="0" w:firstLineChars="0"/>
              <w:jc w:val="center"/>
              <w:textAlignment w:val="auto"/>
              <w:rPr>
                <w:rFonts w:cs="Times New Roman"/>
                <w:b/>
                <w:bCs/>
                <w:color w:val="000000"/>
                <w:sz w:val="21"/>
                <w:szCs w:val="21"/>
              </w:rPr>
            </w:pPr>
            <w:r>
              <w:rPr>
                <w:rFonts w:cs="Times New Roman"/>
                <w:b/>
                <w:bCs/>
                <w:color w:val="000000"/>
                <w:sz w:val="21"/>
                <w:szCs w:val="21"/>
              </w:rPr>
              <w:t xml:space="preserve">表2-4  </w:t>
            </w:r>
            <w:r>
              <w:rPr>
                <w:rFonts w:hint="eastAsia" w:cs="Times New Roman"/>
                <w:b/>
                <w:bCs/>
                <w:color w:val="000000"/>
                <w:sz w:val="21"/>
                <w:szCs w:val="21"/>
              </w:rPr>
              <w:t>主要设备一览表</w:t>
            </w:r>
          </w:p>
          <w:tbl>
            <w:tblPr>
              <w:tblStyle w:val="2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870"/>
              <w:gridCol w:w="1714"/>
              <w:gridCol w:w="1556"/>
              <w:gridCol w:w="1461"/>
              <w:gridCol w:w="12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bookmarkStart w:id="13" w:name="_Hlk228212242"/>
                  <w:r>
                    <w:rPr>
                      <w:rFonts w:cs="Times New Roman"/>
                      <w:color w:val="000000" w:themeColor="text1"/>
                      <w:sz w:val="21"/>
                      <w:szCs w:val="21"/>
                      <w14:textFill>
                        <w14:solidFill>
                          <w14:schemeClr w14:val="tx1"/>
                        </w14:solidFill>
                      </w14:textFill>
                    </w:rPr>
                    <w:t>序号</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名称</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数量</w:t>
                  </w:r>
                </w:p>
              </w:tc>
              <w:tc>
                <w:tcPr>
                  <w:tcW w:w="91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单位</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型号/容量</w:t>
                  </w:r>
                </w:p>
              </w:tc>
              <w:tc>
                <w:tcPr>
                  <w:tcW w:w="71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粉末道路标线材料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预混机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计量称</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投料机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搅拌设备</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包装机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color w:val="000000"/>
                      <w:kern w:val="0"/>
                      <w:sz w:val="21"/>
                      <w:szCs w:val="21"/>
                    </w:rPr>
                    <w:t>3</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6</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提升机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color w:val="000000"/>
                      <w:kern w:val="0"/>
                      <w:sz w:val="21"/>
                      <w:szCs w:val="21"/>
                    </w:rPr>
                    <w:t>3</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7</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码垛机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8</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玻璃珠储存罐</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45立方米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9</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C</w:t>
                  </w:r>
                  <w:r>
                    <w:rPr>
                      <w:rFonts w:hint="eastAsia" w:cs="Times New Roman"/>
                      <w:color w:val="000000" w:themeColor="text1"/>
                      <w:sz w:val="21"/>
                      <w:szCs w:val="21"/>
                      <w:vertAlign w:val="subscript"/>
                      <w14:textFill>
                        <w14:solidFill>
                          <w14:schemeClr w14:val="tx1"/>
                        </w14:solidFill>
                      </w14:textFill>
                    </w:rPr>
                    <w:t>5</w:t>
                  </w:r>
                  <w:r>
                    <w:rPr>
                      <w:rFonts w:hint="eastAsia" w:cs="Times New Roman"/>
                      <w:color w:val="000000" w:themeColor="text1"/>
                      <w:sz w:val="21"/>
                      <w:szCs w:val="21"/>
                      <w14:textFill>
                        <w14:solidFill>
                          <w14:schemeClr w14:val="tx1"/>
                        </w14:solidFill>
                      </w14:textFill>
                    </w:rPr>
                    <w:t>树脂储存罐</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45立方米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r>
                    <w:rPr>
                      <w:rFonts w:cs="Times New Roman"/>
                      <w:color w:val="000000" w:themeColor="text1"/>
                      <w:sz w:val="21"/>
                      <w:szCs w:val="21"/>
                      <w14:textFill>
                        <w14:solidFill>
                          <w14:schemeClr w14:val="tx1"/>
                        </w14:solidFill>
                      </w14:textFill>
                    </w:rPr>
                    <w:t>0</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重钙粉储存罐</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45立方米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r>
                    <w:rPr>
                      <w:rFonts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轻钙粉储存罐</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45立方米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r>
                    <w:rPr>
                      <w:rFonts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钛白储存罐</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r>
                    <w:rPr>
                      <w:rFonts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有机黄储存罐</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ascii="Segoe UI" w:hAnsi="Segoe UI" w:cs="Segoe UI"/>
                      <w:color w:val="0F1115"/>
                      <w:sz w:val="21"/>
                      <w:szCs w:val="21"/>
                      <w:shd w:val="clear" w:color="auto" w:fill="FFFFFF"/>
                    </w:rPr>
                    <w:t>个</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5立方米</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液态道路标线材料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投料机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搅拌设备</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分散设备</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6</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包装机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提升机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固体沥青养护环保材料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三仓计量秤</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提升机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搅拌机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包装机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码垛机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6</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沥青储存罐</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50m</w:t>
                  </w:r>
                  <w:r>
                    <w:rPr>
                      <w:rFonts w:cs="Times New Roman"/>
                      <w:color w:val="000000" w:themeColor="text1"/>
                      <w:sz w:val="21"/>
                      <w:szCs w:val="21"/>
                      <w:vertAlign w:val="superscript"/>
                      <w14:textFill>
                        <w14:solidFill>
                          <w14:schemeClr w14:val="tx1"/>
                        </w14:solidFill>
                      </w14:textFill>
                    </w:rPr>
                    <w:t>3</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7</w:t>
                  </w:r>
                </w:p>
              </w:tc>
              <w:tc>
                <w:tcPr>
                  <w:tcW w:w="1101" w:type="pct"/>
                  <w:vAlign w:val="center"/>
                </w:tcPr>
                <w:p>
                  <w:pPr>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沥青计量罐</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5m</w:t>
                  </w:r>
                  <w:r>
                    <w:rPr>
                      <w:rFonts w:cs="Times New Roman"/>
                      <w:color w:val="000000" w:themeColor="text1"/>
                      <w:sz w:val="21"/>
                      <w:szCs w:val="21"/>
                      <w:vertAlign w:val="superscript"/>
                      <w14:textFill>
                        <w14:solidFill>
                          <w14:schemeClr w14:val="tx1"/>
                        </w14:solidFill>
                      </w14:textFill>
                    </w:rPr>
                    <w:t>3</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液态沥青养护环保材料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保温储存罐</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9</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50m</w:t>
                  </w:r>
                  <w:r>
                    <w:rPr>
                      <w:rFonts w:cs="Times New Roman"/>
                      <w:color w:val="000000" w:themeColor="text1"/>
                      <w:sz w:val="21"/>
                      <w:szCs w:val="21"/>
                      <w:vertAlign w:val="superscript"/>
                      <w14:textFill>
                        <w14:solidFill>
                          <w14:schemeClr w14:val="tx1"/>
                        </w14:solidFill>
                      </w14:textFill>
                    </w:rPr>
                    <w:t>3</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胶体磨</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搅拌机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4</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电导热油加热器</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99KW</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灌装机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固体水泥养护环保材料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投料机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搅拌设备</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包装机</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提升机</w:t>
                  </w:r>
                </w:p>
              </w:tc>
              <w:tc>
                <w:tcPr>
                  <w:tcW w:w="1009"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液态水泥养护环保材料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储存罐</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15m</w:t>
                  </w:r>
                  <w:r>
                    <w:rPr>
                      <w:rFonts w:cs="Times New Roman"/>
                      <w:color w:val="000000" w:themeColor="text1"/>
                      <w:sz w:val="21"/>
                      <w:szCs w:val="21"/>
                      <w:vertAlign w:val="superscript"/>
                      <w14:textFill>
                        <w14:solidFill>
                          <w14:schemeClr w14:val="tx1"/>
                        </w14:solidFill>
                      </w14:textFill>
                    </w:rPr>
                    <w:t>3</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搅拌机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11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罐装机</w:t>
                  </w:r>
                </w:p>
              </w:tc>
              <w:tc>
                <w:tcPr>
                  <w:tcW w:w="10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olor w:val="000000"/>
                      <w:kern w:val="0"/>
                      <w:sz w:val="21"/>
                      <w:szCs w:val="21"/>
                    </w:rPr>
                    <w:t>1</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000" w:type="pct"/>
                  <w:gridSpan w:val="6"/>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环保设施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w:t>
                  </w:r>
                </w:p>
              </w:tc>
              <w:tc>
                <w:tcPr>
                  <w:tcW w:w="1101" w:type="pct"/>
                  <w:vAlign w:val="center"/>
                </w:tcPr>
                <w:p>
                  <w:pPr>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布袋除尘器</w:t>
                  </w:r>
                </w:p>
              </w:tc>
              <w:tc>
                <w:tcPr>
                  <w:tcW w:w="1009" w:type="pct"/>
                  <w:vAlign w:val="center"/>
                </w:tcPr>
                <w:p>
                  <w:pPr>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1"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w:t>
                  </w:r>
                </w:p>
              </w:tc>
              <w:tc>
                <w:tcPr>
                  <w:tcW w:w="1101" w:type="pct"/>
                  <w:vAlign w:val="center"/>
                </w:tcPr>
                <w:p>
                  <w:pPr>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活性炭吸附装置</w:t>
                  </w:r>
                </w:p>
              </w:tc>
              <w:tc>
                <w:tcPr>
                  <w:tcW w:w="1009" w:type="pct"/>
                  <w:vAlign w:val="center"/>
                </w:tcPr>
                <w:p>
                  <w:pPr>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2</w:t>
                  </w:r>
                </w:p>
              </w:tc>
              <w:tc>
                <w:tcPr>
                  <w:tcW w:w="916"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台</w:t>
                  </w:r>
                </w:p>
              </w:tc>
              <w:tc>
                <w:tcPr>
                  <w:tcW w:w="86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11" w:type="pct"/>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新建</w:t>
                  </w:r>
                </w:p>
              </w:tc>
            </w:tr>
            <w:bookmarkEnd w:id="13"/>
          </w:tbl>
          <w:p>
            <w:pPr>
              <w:pStyle w:val="6"/>
              <w:ind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4.项目主要原辅材料</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（1）主要原辅材料及能源消耗</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项目主要原辅材料及能源消耗见下表。</w:t>
            </w:r>
          </w:p>
          <w:p>
            <w:pPr>
              <w:adjustRightInd w:val="0"/>
              <w:snapToGrid w:val="0"/>
              <w:spacing w:line="240" w:lineRule="auto"/>
              <w:ind w:firstLine="0" w:firstLineChars="0"/>
              <w:jc w:val="center"/>
              <w:textAlignment w:val="auto"/>
              <w:rPr>
                <w:rFonts w:cs="Times New Roman"/>
                <w:b/>
                <w:sz w:val="21"/>
                <w:szCs w:val="21"/>
              </w:rPr>
            </w:pPr>
            <w:r>
              <w:rPr>
                <w:rFonts w:cs="Times New Roman"/>
                <w:b/>
                <w:sz w:val="21"/>
                <w:szCs w:val="21"/>
              </w:rPr>
              <w:t>表2-5  项目主要原辅材料及能源消耗量一览表</w:t>
            </w:r>
          </w:p>
          <w:tbl>
            <w:tblPr>
              <w:tblStyle w:val="2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902"/>
              <w:gridCol w:w="1296"/>
              <w:gridCol w:w="1296"/>
              <w:gridCol w:w="2592"/>
              <w:gridCol w:w="7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96"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bookmarkStart w:id="14" w:name="_Hlk228217093"/>
                  <w:r>
                    <w:rPr>
                      <w:rFonts w:cs="Times New Roman"/>
                      <w:color w:val="000000" w:themeColor="text1"/>
                      <w:sz w:val="21"/>
                      <w:szCs w:val="21"/>
                      <w14:textFill>
                        <w14:solidFill>
                          <w14:schemeClr w14:val="tx1"/>
                        </w14:solidFill>
                      </w14:textFill>
                    </w:rPr>
                    <w:t>序号</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原料名称</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年耗量（t/a）</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包装形式（进厂）</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F1115"/>
                      <w:sz w:val="21"/>
                      <w:szCs w:val="21"/>
                      <w:shd w:val="clear" w:color="auto" w:fill="FFFFFF"/>
                    </w:rPr>
                    <w:t>储存方式（厂内）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粉末</w:t>
                  </w:r>
                  <w:r>
                    <w:rPr>
                      <w:rFonts w:cs="Times New Roman"/>
                      <w:b/>
                      <w:bCs/>
                      <w:color w:val="000000" w:themeColor="text1"/>
                      <w:sz w:val="21"/>
                      <w:szCs w:val="21"/>
                      <w14:textFill>
                        <w14:solidFill>
                          <w14:schemeClr w14:val="tx1"/>
                        </w14:solidFill>
                      </w14:textFill>
                    </w:rPr>
                    <w:t>道路标线材料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重钙粉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22000</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外购、重钙储存罐储存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轻钙粉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7700</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外购、轻钙储存罐储存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63"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C5树脂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8800</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外购、C</w:t>
                  </w:r>
                  <w:r>
                    <w:rPr>
                      <w:rFonts w:cs="Times New Roman"/>
                      <w:color w:val="000000"/>
                      <w:kern w:val="0"/>
                      <w:sz w:val="21"/>
                      <w:szCs w:val="21"/>
                      <w:vertAlign w:val="subscript"/>
                    </w:rPr>
                    <w:t>5</w:t>
                  </w:r>
                  <w:r>
                    <w:rPr>
                      <w:rFonts w:cs="Times New Roman"/>
                      <w:color w:val="000000"/>
                      <w:kern w:val="0"/>
                      <w:sz w:val="21"/>
                      <w:szCs w:val="21"/>
                    </w:rPr>
                    <w:t>树脂储存罐储存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玻璃珠</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4400</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外购、玻璃珠储存罐储存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7"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有机黄</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264</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外购、有机黄储存罐储存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钛白粉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264</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外购、钛白储存罐储存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增塑剂（白油）</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264</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外购、罐装储存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PE蜡（聚乙烯蜡）</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264</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外购、袋装储存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w:t>
                  </w:r>
                </w:p>
              </w:tc>
              <w:tc>
                <w:tcPr>
                  <w:tcW w:w="1120"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震荡助剂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44</w:t>
                  </w:r>
                </w:p>
              </w:tc>
              <w:tc>
                <w:tcPr>
                  <w:tcW w:w="763" w:type="pct"/>
                  <w:vAlign w:val="center"/>
                </w:tcPr>
                <w:p>
                  <w:pPr>
                    <w:spacing w:line="240" w:lineRule="auto"/>
                    <w:ind w:firstLine="0" w:firstLineChars="0"/>
                    <w:contextualSpacing/>
                    <w:jc w:val="center"/>
                    <w:textAlignment w:val="auto"/>
                    <w:rPr>
                      <w:rFonts w:cs="Times New Roman"/>
                      <w:color w:val="000000"/>
                      <w:kern w:val="0"/>
                      <w:sz w:val="21"/>
                      <w:szCs w:val="21"/>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外购、袋装储存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液态道路标线材料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重钙</w:t>
                  </w:r>
                  <w:r>
                    <w:rPr>
                      <w:rFonts w:cs="Times New Roman"/>
                      <w:color w:val="000000"/>
                      <w:kern w:val="0"/>
                      <w:sz w:val="21"/>
                      <w:szCs w:val="21"/>
                    </w:rPr>
                    <w:t>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3000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外购、重钙储存罐储存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轻钙</w:t>
                  </w:r>
                  <w:r>
                    <w:rPr>
                      <w:rFonts w:cs="Times New Roman"/>
                      <w:color w:val="000000"/>
                      <w:kern w:val="0"/>
                      <w:sz w:val="21"/>
                      <w:szCs w:val="21"/>
                    </w:rPr>
                    <w:t>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外购、轻钙储存罐储存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滑石粉（超细）</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外购、粉状袋装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钛白粉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外购、钛白储存罐储存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有机黄</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外购、有机黄储存罐储存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玻璃珠</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340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外购、玻璃珠储存罐储存</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纤维素</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外购、粉状袋装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9"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低浓度氨水（25%）</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醇酯十二</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苯丙乳液</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丙二醇</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增稠剂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消泡剂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4"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14</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二甲苯</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15</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分散剂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16</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导热油</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固体沥青养护环保材料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基质沥青</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270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石灰岩</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6000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外购、固体袋装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冷补液</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桶装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外购、液体桶装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液态沥青养护环保材料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基质沥青</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1000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芳烃油</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700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环氧大豆油</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环烷油</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100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石粉（轻钙）</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1000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外购、固体袋装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SBS</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外购、固体袋装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固体</w:t>
                  </w:r>
                  <w:r>
                    <w:rPr>
                      <w:rFonts w:cs="Times New Roman"/>
                      <w:b/>
                      <w:bCs/>
                      <w:color w:val="000000" w:themeColor="text1"/>
                      <w:sz w:val="21"/>
                      <w:szCs w:val="21"/>
                      <w14:textFill>
                        <w14:solidFill>
                          <w14:schemeClr w14:val="tx1"/>
                        </w14:solidFill>
                      </w14:textFill>
                    </w:rPr>
                    <w:t>水泥养护环保材料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砂粉</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200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w:t>
                  </w:r>
                  <w:r>
                    <w:rPr>
                      <w:rFonts w:cs="Times New Roman"/>
                      <w:color w:val="000000"/>
                      <w:kern w:val="0"/>
                      <w:sz w:val="21"/>
                      <w:szCs w:val="21"/>
                    </w:rPr>
                    <w:t>粉体袋装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快凝硅酸盐水泥</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240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w:t>
                  </w:r>
                  <w:r>
                    <w:rPr>
                      <w:rFonts w:cs="Times New Roman"/>
                      <w:color w:val="000000"/>
                      <w:kern w:val="0"/>
                      <w:sz w:val="21"/>
                      <w:szCs w:val="21"/>
                    </w:rPr>
                    <w:t>粉体袋装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纤维</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50</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袋装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w:t>
                  </w:r>
                  <w:r>
                    <w:rPr>
                      <w:rFonts w:cs="Times New Roman"/>
                      <w:color w:val="000000"/>
                      <w:kern w:val="0"/>
                      <w:sz w:val="21"/>
                      <w:szCs w:val="21"/>
                    </w:rPr>
                    <w:t>固体袋装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5000" w:type="pct"/>
                  <w:gridSpan w:val="6"/>
                  <w:vAlign w:val="center"/>
                </w:tcPr>
                <w:p>
                  <w:pPr>
                    <w:spacing w:line="240" w:lineRule="auto"/>
                    <w:ind w:firstLine="0" w:firstLineChars="0"/>
                    <w:contextualSpacing/>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液态水泥养护环保材料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高纯度硅烷</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9</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罐装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w:t>
                  </w:r>
                  <w:r>
                    <w:rPr>
                      <w:rFonts w:cs="Times New Roman"/>
                      <w:color w:val="000000"/>
                      <w:kern w:val="0"/>
                      <w:sz w:val="21"/>
                      <w:szCs w:val="21"/>
                    </w:rPr>
                    <w:t>液体罐装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1" w:hRule="atLeast"/>
              </w:trPr>
              <w:tc>
                <w:tcPr>
                  <w:tcW w:w="40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120"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稳定剂</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1</w:t>
                  </w:r>
                </w:p>
              </w:tc>
              <w:tc>
                <w:tcPr>
                  <w:tcW w:w="763"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kern w:val="0"/>
                      <w:sz w:val="21"/>
                      <w:szCs w:val="21"/>
                    </w:rPr>
                    <w:t>桶装</w:t>
                  </w:r>
                </w:p>
              </w:tc>
              <w:tc>
                <w:tcPr>
                  <w:tcW w:w="1526"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外购、</w:t>
                  </w:r>
                  <w:r>
                    <w:rPr>
                      <w:rFonts w:cs="Times New Roman"/>
                      <w:color w:val="000000"/>
                      <w:kern w:val="0"/>
                      <w:sz w:val="21"/>
                      <w:szCs w:val="21"/>
                    </w:rPr>
                    <w:t>液体桶装</w:t>
                  </w:r>
                </w:p>
              </w:tc>
              <w:tc>
                <w:tcPr>
                  <w:tcW w:w="419" w:type="pct"/>
                  <w:vAlign w:val="center"/>
                </w:tcPr>
                <w:p>
                  <w:pPr>
                    <w:spacing w:line="240" w:lineRule="auto"/>
                    <w:ind w:firstLine="0" w:firstLineChars="0"/>
                    <w:contextualSpacing/>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新建</w:t>
                  </w:r>
                </w:p>
              </w:tc>
            </w:tr>
            <w:bookmarkEnd w:id="14"/>
          </w:tbl>
          <w:p>
            <w:pPr>
              <w:adjustRightInd w:val="0"/>
              <w:snapToGrid w:val="0"/>
              <w:spacing w:line="240" w:lineRule="auto"/>
              <w:ind w:firstLine="0" w:firstLineChars="0"/>
              <w:jc w:val="center"/>
              <w:textAlignment w:val="auto"/>
              <w:rPr>
                <w:rFonts w:cs="Times New Roman"/>
                <w:b/>
                <w:sz w:val="21"/>
                <w:szCs w:val="21"/>
              </w:rPr>
            </w:pPr>
            <w:bookmarkStart w:id="15" w:name="_Hlk76403418"/>
            <w:bookmarkStart w:id="16" w:name="_Hlk97245573"/>
            <w:r>
              <w:rPr>
                <w:rFonts w:cs="Times New Roman"/>
                <w:b/>
                <w:sz w:val="21"/>
                <w:szCs w:val="21"/>
              </w:rPr>
              <w:t>表2-6  项目主要原辅材料</w:t>
            </w:r>
            <w:r>
              <w:rPr>
                <w:rFonts w:hint="eastAsia" w:cs="Times New Roman"/>
                <w:b/>
                <w:sz w:val="21"/>
                <w:szCs w:val="21"/>
              </w:rPr>
              <w:t>理化性质</w:t>
            </w:r>
          </w:p>
          <w:tbl>
            <w:tblPr>
              <w:tblStyle w:val="26"/>
              <w:tblW w:w="4997"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1037"/>
              <w:gridCol w:w="7453"/>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物料名称</w:t>
                  </w:r>
                </w:p>
              </w:tc>
              <w:tc>
                <w:tcPr>
                  <w:tcW w:w="4389"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理化性质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重钙粉</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重钙粉是白色粉末，无臭无味，在空气中稳定，化学成分为碳酸钙，相对密度约2.71，熔点1339℃，加热至约825~898℃时分解为氧化钙和二氧化碳。几乎不溶于水和醇，遇稀醋酸、稀盐酸、稀硝酸会泡沸并溶解，放出二氧化碳。在道路养护材料中作为体质填料，起增容、降低成本、改善施工性能的作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color w:val="000000"/>
                      <w:kern w:val="0"/>
                      <w:sz w:val="21"/>
                      <w:szCs w:val="21"/>
                    </w:rPr>
                  </w:pPr>
                  <w:r>
                    <w:rPr>
                      <w:rFonts w:cs="Times New Roman"/>
                      <w:color w:val="000000"/>
                      <w:kern w:val="0"/>
                      <w:sz w:val="21"/>
                      <w:szCs w:val="21"/>
                    </w:rPr>
                    <w:t>轻钙粉</w:t>
                  </w:r>
                </w:p>
              </w:tc>
              <w:tc>
                <w:tcPr>
                  <w:tcW w:w="4389" w:type="pct"/>
                  <w:vAlign w:val="center"/>
                </w:tcPr>
                <w:p>
                  <w:pPr>
                    <w:adjustRightInd w:val="0"/>
                    <w:snapToGrid w:val="0"/>
                    <w:spacing w:line="240" w:lineRule="auto"/>
                    <w:ind w:firstLine="0" w:firstLineChars="0"/>
                    <w:textAlignment w:val="auto"/>
                    <w:rPr>
                      <w:rFonts w:cs="Times New Roman"/>
                      <w:color w:val="000000"/>
                      <w:kern w:val="0"/>
                      <w:sz w:val="21"/>
                      <w:szCs w:val="21"/>
                    </w:rPr>
                  </w:pPr>
                  <w:r>
                    <w:rPr>
                      <w:rFonts w:cs="Times New Roman"/>
                      <w:color w:val="000000"/>
                      <w:kern w:val="0"/>
                      <w:sz w:val="21"/>
                      <w:szCs w:val="21"/>
                    </w:rPr>
                    <w:t>轻钙粉是白色微细粉末，无臭无味，相对密度2.5~2.7，与重钙相比颗粒更细、比表面积更大，沉降体积达2.5ml/g以上，堆积密度约0.5~0.7g/cm³，吸油值较高。强热至825~896.6℃分解，几乎不溶于水和乙醇，在铵盐或二氧化碳存在下溶解度略有提高。因吸油值高，更适合用于需要较高增稠效果的物料体系（如道路修补膏）</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C</w:t>
                  </w:r>
                  <w:r>
                    <w:rPr>
                      <w:rFonts w:cs="Times New Roman"/>
                      <w:color w:val="000000"/>
                      <w:kern w:val="0"/>
                      <w:sz w:val="21"/>
                      <w:szCs w:val="21"/>
                      <w:vertAlign w:val="subscript"/>
                    </w:rPr>
                    <w:t>5</w:t>
                  </w:r>
                  <w:r>
                    <w:rPr>
                      <w:rFonts w:cs="Times New Roman"/>
                      <w:color w:val="000000"/>
                      <w:kern w:val="0"/>
                      <w:sz w:val="21"/>
                      <w:szCs w:val="21"/>
                    </w:rPr>
                    <w:t>树脂</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C</w:t>
                  </w:r>
                  <w:r>
                    <w:rPr>
                      <w:rFonts w:cs="Times New Roman"/>
                      <w:sz w:val="21"/>
                      <w:szCs w:val="21"/>
                      <w:vertAlign w:val="subscript"/>
                    </w:rPr>
                    <w:t>5</w:t>
                  </w:r>
                  <w:r>
                    <w:rPr>
                      <w:rFonts w:cs="Times New Roman"/>
                      <w:sz w:val="21"/>
                      <w:szCs w:val="21"/>
                    </w:rPr>
                    <w:t>石油树脂是一种增粘树脂，主要成分：1-戊烯7.05%、异戊二烯17.13%、环戊二烯/双环戊二烯21.04%、戊烷46.08%、2-甲基-2-丁烯8.70%。具有流动性好、能改善主体材料的润湿性；粘性好</w:t>
                  </w:r>
                  <w:r>
                    <w:rPr>
                      <w:rFonts w:hint="eastAsia" w:cs="Times New Roman"/>
                      <w:sz w:val="21"/>
                      <w:szCs w:val="21"/>
                    </w:rPr>
                    <w:t>，具</w:t>
                  </w:r>
                  <w:r>
                    <w:rPr>
                      <w:rFonts w:cs="Times New Roman"/>
                      <w:sz w:val="21"/>
                      <w:szCs w:val="21"/>
                    </w:rPr>
                    <w:t>有突出的初粘性能；</w:t>
                  </w:r>
                  <w:r>
                    <w:rPr>
                      <w:rFonts w:cs="Times New Roman"/>
                      <w:color w:val="000000"/>
                      <w:sz w:val="21"/>
                      <w:szCs w:val="21"/>
                    </w:rPr>
                    <w:t>优良的耐老化性；内聚强度和剥离强度达到最佳平衡；颜色浅；透明、低臭、低挥发物</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玻璃珠</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玻璃珠为无色透明的球形颗粒，圆形透明，无明显气泡，真实密度2.4~2.6g/cm³，堆积密度约1.5g/cm³，折射率≥1.5，莫氏硬度5~7，显微硬度≥630kg/mm²，pH值7~8。主要用作道路标线材料的夜间反光剂，利用玻璃珠的逆反射性能在车灯照射下提高标线可视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有机黄</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有机黄通常指色泽鲜艳的黄色有机颜料粉末，具体品种多样（如颜料黄13、颜料黄110等）。一般耐热性好，在塑料中耐热温度可达180~200℃，耐光牢度6~7级，耐候性优良。在道路标线材料中作为着色剂，赋予黄色色相</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钛白粉</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钛白粉是白色粉末，两性氧化物，分子量约79.88，金红石型熔点约1830~1850℃，沸点约2900℃，相对密度3.84~4.26，折射率2.55~2.76，吸水性低。不溶于水及稀酸，可溶于热浓硫酸。具有极高的白度、遮盖力、着色力和耐候性，是道路标线材料中最主要的白色颜料</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增塑剂（白油）</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白油是无色、无味、透明的油状液体，经过深度精制的矿物油，基本组成为饱和烃结构，芳香烃、含氮、氧、硫等杂质含量极低。密度约0.877g/cm³，闪点约220℃，不溶于水。在道路养护材料和密封胶中作为增塑剂，降低基料分子间作用力，增加产品柔韧性和加工流动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PE蜡（聚乙烯蜡）</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color w:val="000000"/>
                      <w:sz w:val="21"/>
                      <w:szCs w:val="21"/>
                    </w:rPr>
                    <w:t>又称高分子蜡简称聚乙烯蜡。因其优良的耐寒性、耐热性、耐化学性和耐磨性而得到广泛地应用。正常生产中，这部分蜡作为一种添加剂可直接加到聚烯烃加工中，它可以增加产品的光泽和加工性能。作为润滑剂，其化学性质稳定、电性能良好。聚乙烯蜡与聚乙烯、聚丙烯、聚蜡酸乙烯、乙丙橡胶、丁基橡胶相溶性好。能改善聚乙烯、聚丙烯、ABS的流动性和聚甲基丙烯酸甲酯、聚碳酸酯的脱模性。对于PVC和其它的外部润滑剂相比，聚乙烯蜡具有更强的内部润滑作用。熔点：90</w:t>
                  </w:r>
                  <w:r>
                    <w:rPr>
                      <w:rFonts w:cs="Times New Roman"/>
                      <w:color w:val="000000"/>
                      <w:kern w:val="0"/>
                      <w:sz w:val="21"/>
                      <w:szCs w:val="21"/>
                    </w:rPr>
                    <w:t>~</w:t>
                  </w:r>
                  <w:r>
                    <w:rPr>
                      <w:rFonts w:cs="Times New Roman"/>
                      <w:color w:val="000000"/>
                      <w:sz w:val="21"/>
                      <w:szCs w:val="21"/>
                    </w:rPr>
                    <w:t>116；硬度：3</w:t>
                  </w:r>
                  <w:r>
                    <w:rPr>
                      <w:rFonts w:cs="Times New Roman"/>
                      <w:color w:val="000000"/>
                      <w:kern w:val="0"/>
                      <w:sz w:val="21"/>
                      <w:szCs w:val="21"/>
                    </w:rPr>
                    <w:t>~</w:t>
                  </w:r>
                  <w:r>
                    <w:rPr>
                      <w:rFonts w:cs="Times New Roman"/>
                      <w:color w:val="000000"/>
                      <w:sz w:val="21"/>
                      <w:szCs w:val="21"/>
                    </w:rPr>
                    <w:t>8；黏度CPSS40℃：50</w:t>
                  </w:r>
                  <w:r>
                    <w:rPr>
                      <w:rFonts w:cs="Times New Roman"/>
                      <w:color w:val="000000"/>
                      <w:kern w:val="0"/>
                      <w:sz w:val="21"/>
                      <w:szCs w:val="21"/>
                    </w:rPr>
                    <w:t>~</w:t>
                  </w:r>
                  <w:r>
                    <w:rPr>
                      <w:rFonts w:cs="Times New Roman"/>
                      <w:color w:val="000000"/>
                      <w:sz w:val="21"/>
                      <w:szCs w:val="21"/>
                    </w:rPr>
                    <w:t>100；分子量：1500</w:t>
                  </w:r>
                  <w:r>
                    <w:rPr>
                      <w:rFonts w:hint="eastAsia" w:cs="Times New Roman"/>
                      <w:color w:val="000000"/>
                      <w:sz w:val="21"/>
                      <w:szCs w:val="21"/>
                    </w:rPr>
                    <w:t>~</w:t>
                  </w:r>
                  <w:r>
                    <w:rPr>
                      <w:rFonts w:cs="Times New Roman"/>
                      <w:color w:val="000000"/>
                      <w:sz w:val="21"/>
                      <w:szCs w:val="21"/>
                    </w:rPr>
                    <w:t>3500</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滑石粉</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滑石粉主含含水硅酸镁，化学式为Mg₃Si₄O₁₀(OH)₂，白色粉末（有的带灰绿等色调），氧化镁含量约30~31.5%，二氧化硅含量约60~61%，白度93以上。硬度1~1.5，比重2.6~2.8，有脂肪光泽和干润滑性，对油脂有高度吸附性，化学性质稳定，难溶于酸碱，熔点达1500~1550℃。在道路修补材料中作为填料，改善产品打磨性和防沉降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纤维素</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纤维素为白色或接近白色粉末，无臭无味，由葡萄糖通过β-1,4-糖苷键聚合而成，化学式为(C₆H₁₀O₅)n，分子量很大。密度约1.27~1.60g/cm³，熔点约260~270℃，炭化温度280~300℃。几乎不溶于水、丙酮、无水乙醇、甲苯及稀酸，在碱液中可溶。在水性道路材料中作为增稠剂和保护胶体，主要改善物料流变性和贮存稳定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低浓度氨水（25%）</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25%氨水是氨气的水溶液（氨含量约25%），无色透明液体，有强烈的刺激性气味。相对密度约0.91，呈强碱性，易挥发分解为氨气和水。氨水在水性材料生产中主要用于调节体系的pH值，使丙烯酸类增稠剂达到碱性环境（pH≈8~10）以发挥增稠作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醇酯十二</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醇酯十二为无色透明液体，略有酯类气味，沸点约255~280℃，闪点120~150℃（闭杯≥130℃，开杯约120℃），冰点低至-50℃，蒸发速度极慢（醋酸丁酯=1时仅为0.002），相对密度约0.945~0.955。易溶于水性基料体系，能够有效降低水性乳液的最低成膜温度，促进乳胶粒子融合成连续膜，是水性道路材料中重要的成膜助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苯丙乳液</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苯丙乳液为乳白色带蓝光的液体，附着力好，胶膜透明、耐水、耐油、耐热、耐老化性能良好。固含量40~50%，黏度80–2000mPa·s，pH值7~9，最低成膜温度约24℃。由苯乙烯和丙烯酸酯单体通过乳液聚合而得，是水性道路标线材料最常用的成膜物质之一</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丙二醇</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丙二醇为无色</w:t>
                  </w:r>
                  <w:r>
                    <w:rPr>
                      <w:rFonts w:hint="eastAsia" w:cs="Times New Roman"/>
                      <w:sz w:val="21"/>
                      <w:szCs w:val="21"/>
                    </w:rPr>
                    <w:t>黏稠</w:t>
                  </w:r>
                  <w:r>
                    <w:rPr>
                      <w:rFonts w:cs="Times New Roman"/>
                      <w:sz w:val="21"/>
                      <w:szCs w:val="21"/>
                    </w:rPr>
                    <w:t>的吸水性液体，略有甜味，几乎无臭，分子式C₃H₈O₂，分子量约76.09。熔点-60℃，沸点约187℃，闪点约99℃，相对密度约1.036，可与水、乙醇及多种有机溶剂完全混溶。在水性材料中作为助溶剂，调节体系</w:t>
                  </w:r>
                  <w:r>
                    <w:rPr>
                      <w:rFonts w:hint="eastAsia" w:cs="Times New Roman"/>
                      <w:sz w:val="21"/>
                      <w:szCs w:val="21"/>
                    </w:rPr>
                    <w:t>黏度</w:t>
                  </w:r>
                  <w:r>
                    <w:rPr>
                      <w:rFonts w:cs="Times New Roman"/>
                      <w:sz w:val="21"/>
                      <w:szCs w:val="21"/>
                    </w:rPr>
                    <w:t>和改善冻融稳定性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增稠剂</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增稠剂为白色至微黄粉末或乳白色液体（依类型而异），常用类型包括纤维素醚类、丙烯酸碱溶胀型和缔合型增稠剂。纤维素醚类增稠剂（如羟乙基纤维素HEC）为粉末状水溶性非离子型产品，增稠效率高，但对pH值不敏感；丙烯酸类增稠剂为羧基含量较高的丙烯酸酯共聚物乳液，pH值通常为3~3.5，在碱性条件下（pH≈8~10）膨胀增稠。在水性道路材料中提高体系的</w:t>
                  </w:r>
                  <w:r>
                    <w:rPr>
                      <w:rFonts w:hint="eastAsia" w:cs="Times New Roman"/>
                      <w:sz w:val="21"/>
                      <w:szCs w:val="21"/>
                    </w:rPr>
                    <w:t>黏度</w:t>
                  </w:r>
                  <w:r>
                    <w:rPr>
                      <w:rFonts w:cs="Times New Roman"/>
                      <w:sz w:val="21"/>
                      <w:szCs w:val="21"/>
                    </w:rPr>
                    <w:t>，改善物料的流平性和抗流挂性能</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消泡剂</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消泡剂为淡黄色至无色透明液体，主要活性成分包括聚硅氧烷（如二甲基硅油）或聚醚改性硅氧烷等。表面张力极低，仅约20~21达因/厘米（远低于水的72达因/厘米），能快速铺展于泡沫表面使气泡破裂。热稳定性好，短时可耐300℃以上，活性成分可达100%。在生产搅拌和施工过程中用于消除泡沫，改善产品外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二甲苯</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二甲苯是无色透明的可燃液体，有芳香气味，分子量约106.17。熔点-34℃，沸点137~140℃，闪点约25~30℃，相对密度约0.86，不溶于水，可混溶于乙醇、乙醚、氯仿等多数有机溶剂。蒸气与空气混合形成爆炸性混合物，爆炸极限约1.0~7.0%（体积）。属低毒溶剂，在沥青和密封胶体系中作为稀释剂和溶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分散剂</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分散剂为淡黄色至无色透明液体或蜡状固体，一般为非离子型表面活性剂或阴离子聚合物，HLB值10.6~18.6。固含量可达97%以上，易溶于水和多种有机溶剂。主要作用是降低颜料和填料颗粒间的表面能，防止再聚集，使粉体在体系中均匀稳定分散</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石灰岩（石子）</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石灰岩集料是以碳酸钙（CaCO₃）为主要成分的岩石经破碎、筛分得到的颗粒状骨料，白色至灰白色，莫氏硬度约3~4，相对密度约2.6~2.8。对沥青有良好的粘附性，化学性质稳定，遇稀酸会泡沸溶解。在道路养护材料中作为骨料，与沥青</w:t>
                  </w:r>
                  <w:r>
                    <w:rPr>
                      <w:rFonts w:hint="eastAsia" w:cs="Times New Roman"/>
                      <w:sz w:val="21"/>
                      <w:szCs w:val="21"/>
                    </w:rPr>
                    <w:t>黏</w:t>
                  </w:r>
                  <w:r>
                    <w:rPr>
                      <w:rFonts w:cs="Times New Roman"/>
                      <w:sz w:val="21"/>
                      <w:szCs w:val="21"/>
                    </w:rPr>
                    <w:t>结成整体，形成有强度和稳定性的道路修补材料</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沥青</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沥青是由石油经蒸馏或精炼得到的黑色或黑褐色</w:t>
                  </w:r>
                  <w:r>
                    <w:rPr>
                      <w:rFonts w:hint="eastAsia" w:cs="Times New Roman"/>
                      <w:sz w:val="21"/>
                      <w:szCs w:val="21"/>
                    </w:rPr>
                    <w:t>黏稠</w:t>
                  </w:r>
                  <w:r>
                    <w:rPr>
                      <w:rFonts w:cs="Times New Roman"/>
                      <w:sz w:val="21"/>
                      <w:szCs w:val="21"/>
                    </w:rPr>
                    <w:t>液体或半固体，主要成分为高分子量烃类及其非金属衍生物的混合物。密度约1.0~1.2g/cm³，闪点约200~300℃，软化点一般在40~60℃（按标号不同），常温下为半固体，加热后变为可流动液体。具有良好的防水性、粘附性和耐久性，是道路养护材料中最主要的胶结料</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SBS（</w:t>
                  </w:r>
                  <w:r>
                    <w:rPr>
                      <w:rFonts w:hint="eastAsia" w:cs="Times New Roman"/>
                      <w:color w:val="000000"/>
                      <w:kern w:val="0"/>
                      <w:sz w:val="21"/>
                      <w:szCs w:val="21"/>
                    </w:rPr>
                    <w:t>苯乙烯-丁二烯-苯乙烯嵌段共聚物</w:t>
                  </w:r>
                  <w:r>
                    <w:rPr>
                      <w:rFonts w:cs="Times New Roman"/>
                      <w:color w:val="000000"/>
                      <w:kern w:val="0"/>
                      <w:sz w:val="21"/>
                      <w:szCs w:val="21"/>
                    </w:rPr>
                    <w:t>）</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白色或微黄色多孔颗粒，是由苯乙烯与丁二烯构成的热塑性弹性体</w:t>
                  </w:r>
                  <w:r>
                    <w:rPr>
                      <w:rFonts w:cs="Times New Roman"/>
                      <w:sz w:val="21"/>
                      <w:szCs w:val="21"/>
                    </w:rPr>
                    <w:t>，相对密度0.92~0.95，苯乙烯/丁二烯比例因牌号而异，常见约31/69，分子量8~30万g/mol。玻璃化转变温度约-60℃至-75℃，具有优良的拉伸强度和弹性。是道路沥青改性的核心材料，能显著提升沥青的耐候性、抗老化性和低温抗裂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橡胶颗粒</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橡胶颗粒为白色、淡黄色或浅棕色颗粒或片状物，密度约0.91~1.25g/cm³（依橡胶类型而定），玻璃化转变温度较低（天然橡胶约-55至-70℃），具有良好的高弹性和可逆形变能力，约230~260℃开始分解。在沥青材料中作为增韧和弹性改性剂，改善道路修补材料的抗裂性和回弹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芳烃油</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芳烃油为深色（棕色至黑色）黏稠液体，芳香烃含量70~87%，饱和烃含量20~35%，密度约0.95~1.02g/cm³，闪点（开杯）170~200℃，</w:t>
                  </w:r>
                  <w:r>
                    <w:rPr>
                      <w:rFonts w:hint="eastAsia" w:cs="Times New Roman"/>
                      <w:sz w:val="21"/>
                      <w:szCs w:val="21"/>
                    </w:rPr>
                    <w:t>黏度</w:t>
                  </w:r>
                  <w:r>
                    <w:rPr>
                      <w:rFonts w:cs="Times New Roman"/>
                      <w:sz w:val="21"/>
                      <w:szCs w:val="21"/>
                    </w:rPr>
                    <w:t>（60℃）12~15°E，苯胺点约36℃。能与沥青和SBS良好相容，作为沥青的软化剂和加工助剂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环烷油</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环烷油为暗色液体，以环戊烷、环己烷及其同系物为主要成分，密度约0.89~0.95g/cm³，闪点＞160℃，苯胺点66</w:t>
                  </w:r>
                  <w:r>
                    <w:rPr>
                      <w:rFonts w:hint="eastAsia" w:cs="Times New Roman"/>
                      <w:sz w:val="21"/>
                      <w:szCs w:val="21"/>
                    </w:rPr>
                    <w:t>~</w:t>
                  </w:r>
                  <w:r>
                    <w:rPr>
                      <w:rFonts w:cs="Times New Roman"/>
                      <w:sz w:val="21"/>
                      <w:szCs w:val="21"/>
                    </w:rPr>
                    <w:t>82℃（较高，表明芳香烃含量低），运动</w:t>
                  </w:r>
                  <w:r>
                    <w:rPr>
                      <w:rFonts w:hint="eastAsia" w:cs="Times New Roman"/>
                      <w:sz w:val="21"/>
                      <w:szCs w:val="21"/>
                    </w:rPr>
                    <w:t>黏度</w:t>
                  </w:r>
                  <w:r>
                    <w:rPr>
                      <w:rFonts w:cs="Times New Roman"/>
                      <w:sz w:val="21"/>
                      <w:szCs w:val="21"/>
                    </w:rPr>
                    <w:t>（100℃）7</w:t>
                  </w:r>
                  <w:r>
                    <w:rPr>
                      <w:rFonts w:hint="eastAsia" w:cs="Times New Roman"/>
                      <w:sz w:val="21"/>
                      <w:szCs w:val="21"/>
                    </w:rPr>
                    <w:t>~</w:t>
                  </w:r>
                  <w:r>
                    <w:rPr>
                      <w:rFonts w:cs="Times New Roman"/>
                      <w:sz w:val="21"/>
                      <w:szCs w:val="21"/>
                    </w:rPr>
                    <w:t>15mm²/s，酸值＜0.1mgKOH/g。具有低倾点、高密度、高</w:t>
                  </w:r>
                  <w:r>
                    <w:rPr>
                      <w:rFonts w:hint="eastAsia" w:cs="Times New Roman"/>
                      <w:sz w:val="21"/>
                      <w:szCs w:val="21"/>
                    </w:rPr>
                    <w:t>黏度</w:t>
                  </w:r>
                  <w:r>
                    <w:rPr>
                      <w:rFonts w:cs="Times New Roman"/>
                      <w:sz w:val="21"/>
                      <w:szCs w:val="21"/>
                    </w:rPr>
                    <w:t>的特点，兼具芳香烃和直链烃的部分性质。在橡胶和沥青中用作填充油和操作软化剂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PrEx>
              <w:trPr>
                <w:trHeight w:val="340" w:hRule="atLeast"/>
                <w:jc w:val="center"/>
              </w:trPr>
              <w:tc>
                <w:tcPr>
                  <w:tcW w:w="61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color w:val="000000"/>
                      <w:kern w:val="0"/>
                      <w:sz w:val="21"/>
                      <w:szCs w:val="21"/>
                    </w:rPr>
                    <w:t>环氧大豆油</w:t>
                  </w:r>
                </w:p>
              </w:tc>
              <w:tc>
                <w:tcPr>
                  <w:tcW w:w="4389" w:type="pct"/>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环氧大豆油为浅黄色油状液体，简称ESO，组成以亚油酸和油酸甘油酯为主（约占85~93%），相对密度约0.985~0.995g/cm³，环氧值≥6.0%，酸值＜0.5~0.7mgKOH/g，闪点≥280℃，凝固点约-8℃，沸点约150℃（0.53kPa）。是聚氯乙烯（PVC）优良的增塑剂兼热稳定剂，与聚合物相容性好，挥发性小，无毒。在道路养护材料中起增塑和稳定作用</w:t>
                  </w:r>
                </w:p>
              </w:tc>
            </w:tr>
          </w:tbl>
          <w:p>
            <w:pPr>
              <w:widowControl/>
              <w:ind w:firstLine="480"/>
            </w:pPr>
            <w:r>
              <w:rPr>
                <w:rFonts w:hint="eastAsia" w:cs="Times New Roman"/>
              </w:rPr>
              <w:t>（2）</w:t>
            </w:r>
            <w:r>
              <w:rPr>
                <w:rFonts w:cs="Times New Roman"/>
              </w:rPr>
              <w:t>物料平衡见下表。</w:t>
            </w:r>
          </w:p>
          <w:p>
            <w:pPr>
              <w:spacing w:line="240" w:lineRule="auto"/>
              <w:ind w:firstLine="422"/>
              <w:jc w:val="center"/>
              <w:rPr>
                <w:b/>
              </w:rPr>
            </w:pPr>
            <w:r>
              <w:rPr>
                <w:rFonts w:cs="Times New Roman"/>
                <w:b/>
                <w:sz w:val="21"/>
                <w:szCs w:val="21"/>
              </w:rPr>
              <w:t xml:space="preserve">表2-7  </w:t>
            </w:r>
            <w:r>
              <w:rPr>
                <w:rFonts w:hint="eastAsia" w:cs="Times New Roman"/>
                <w:b/>
                <w:sz w:val="21"/>
                <w:szCs w:val="21"/>
              </w:rPr>
              <w:t>粉末道路标线材料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kern w:val="0"/>
                      <w:sz w:val="21"/>
                      <w:szCs w:val="21"/>
                    </w:rPr>
                    <w:t>重钙粉</w:t>
                  </w:r>
                </w:p>
              </w:tc>
              <w:tc>
                <w:tcPr>
                  <w:tcW w:w="998" w:type="pct"/>
                  <w:vAlign w:val="center"/>
                </w:tcPr>
                <w:p>
                  <w:pPr>
                    <w:pStyle w:val="85"/>
                    <w:rPr>
                      <w:sz w:val="21"/>
                      <w:szCs w:val="21"/>
                    </w:rPr>
                  </w:pPr>
                  <w:r>
                    <w:rPr>
                      <w:color w:val="000000"/>
                      <w:sz w:val="21"/>
                      <w:szCs w:val="21"/>
                    </w:rPr>
                    <w:t>22000</w:t>
                  </w:r>
                </w:p>
              </w:tc>
              <w:tc>
                <w:tcPr>
                  <w:tcW w:w="1400" w:type="pct"/>
                  <w:vAlign w:val="center"/>
                </w:tcPr>
                <w:p>
                  <w:pPr>
                    <w:pStyle w:val="85"/>
                    <w:rPr>
                      <w:sz w:val="21"/>
                      <w:szCs w:val="21"/>
                    </w:rPr>
                  </w:pPr>
                  <w:r>
                    <w:rPr>
                      <w:rFonts w:hint="eastAsia"/>
                      <w:sz w:val="21"/>
                      <w:szCs w:val="21"/>
                    </w:rPr>
                    <w:t>粉末道路标线材料</w:t>
                  </w:r>
                </w:p>
              </w:tc>
              <w:tc>
                <w:tcPr>
                  <w:tcW w:w="1149" w:type="pct"/>
                  <w:vAlign w:val="center"/>
                </w:tcPr>
                <w:p>
                  <w:pPr>
                    <w:pStyle w:val="85"/>
                    <w:rPr>
                      <w:sz w:val="21"/>
                      <w:szCs w:val="21"/>
                    </w:rPr>
                  </w:pPr>
                  <w:r>
                    <w:rPr>
                      <w:sz w:val="21"/>
                      <w:szCs w:val="21"/>
                    </w:rPr>
                    <w:t>43993.1987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kern w:val="0"/>
                      <w:sz w:val="21"/>
                      <w:szCs w:val="21"/>
                    </w:rPr>
                    <w:t>轻钙粉</w:t>
                  </w:r>
                </w:p>
              </w:tc>
              <w:tc>
                <w:tcPr>
                  <w:tcW w:w="998" w:type="pct"/>
                  <w:vAlign w:val="center"/>
                </w:tcPr>
                <w:p>
                  <w:pPr>
                    <w:pStyle w:val="85"/>
                    <w:rPr>
                      <w:sz w:val="21"/>
                      <w:szCs w:val="21"/>
                    </w:rPr>
                  </w:pPr>
                  <w:r>
                    <w:rPr>
                      <w:color w:val="000000"/>
                      <w:sz w:val="21"/>
                      <w:szCs w:val="21"/>
                    </w:rPr>
                    <w:t>7700</w:t>
                  </w:r>
                </w:p>
              </w:tc>
              <w:tc>
                <w:tcPr>
                  <w:tcW w:w="1400" w:type="pct"/>
                  <w:vAlign w:val="center"/>
                </w:tcPr>
                <w:p>
                  <w:pPr>
                    <w:pStyle w:val="85"/>
                    <w:rPr>
                      <w:sz w:val="21"/>
                      <w:szCs w:val="21"/>
                    </w:rPr>
                  </w:pPr>
                  <w:r>
                    <w:rPr>
                      <w:rFonts w:hint="eastAsia"/>
                      <w:sz w:val="21"/>
                      <w:szCs w:val="21"/>
                    </w:rPr>
                    <w:t>颗粒物</w:t>
                  </w:r>
                </w:p>
              </w:tc>
              <w:tc>
                <w:tcPr>
                  <w:tcW w:w="1149" w:type="pct"/>
                  <w:vAlign w:val="center"/>
                </w:tcPr>
                <w:p>
                  <w:pPr>
                    <w:pStyle w:val="85"/>
                    <w:rPr>
                      <w:sz w:val="21"/>
                      <w:szCs w:val="21"/>
                    </w:rPr>
                  </w:pPr>
                  <w:r>
                    <w:rPr>
                      <w:sz w:val="21"/>
                      <w:szCs w:val="21"/>
                    </w:rPr>
                    <w:t>6.8013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sz w:val="21"/>
                      <w:szCs w:val="21"/>
                    </w:rPr>
                  </w:pPr>
                  <w:r>
                    <w:rPr>
                      <w:color w:val="000000"/>
                      <w:sz w:val="21"/>
                      <w:szCs w:val="21"/>
                    </w:rPr>
                    <w:t>C5树脂</w:t>
                  </w:r>
                </w:p>
              </w:tc>
              <w:tc>
                <w:tcPr>
                  <w:tcW w:w="998" w:type="pct"/>
                  <w:vAlign w:val="center"/>
                </w:tcPr>
                <w:p>
                  <w:pPr>
                    <w:pStyle w:val="85"/>
                    <w:rPr>
                      <w:sz w:val="21"/>
                      <w:szCs w:val="21"/>
                    </w:rPr>
                  </w:pPr>
                  <w:r>
                    <w:rPr>
                      <w:color w:val="000000"/>
                      <w:sz w:val="21"/>
                      <w:szCs w:val="21"/>
                    </w:rPr>
                    <w:t>8800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1453" w:type="pct"/>
                  <w:vAlign w:val="center"/>
                </w:tcPr>
                <w:p>
                  <w:pPr>
                    <w:pStyle w:val="85"/>
                    <w:rPr>
                      <w:sz w:val="21"/>
                      <w:szCs w:val="21"/>
                    </w:rPr>
                  </w:pPr>
                  <w:r>
                    <w:rPr>
                      <w:color w:val="000000"/>
                      <w:sz w:val="21"/>
                      <w:szCs w:val="21"/>
                    </w:rPr>
                    <w:t>玻璃珠</w:t>
                  </w:r>
                </w:p>
              </w:tc>
              <w:tc>
                <w:tcPr>
                  <w:tcW w:w="998" w:type="pct"/>
                  <w:vAlign w:val="center"/>
                </w:tcPr>
                <w:p>
                  <w:pPr>
                    <w:pStyle w:val="85"/>
                    <w:rPr>
                      <w:sz w:val="21"/>
                      <w:szCs w:val="21"/>
                    </w:rPr>
                  </w:pPr>
                  <w:r>
                    <w:rPr>
                      <w:color w:val="000000"/>
                      <w:sz w:val="21"/>
                      <w:szCs w:val="21"/>
                    </w:rPr>
                    <w:t>4400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sz w:val="21"/>
                      <w:szCs w:val="21"/>
                    </w:rPr>
                    <w:t>有机黄</w:t>
                  </w:r>
                </w:p>
              </w:tc>
              <w:tc>
                <w:tcPr>
                  <w:tcW w:w="998" w:type="pct"/>
                  <w:vAlign w:val="center"/>
                </w:tcPr>
                <w:p>
                  <w:pPr>
                    <w:pStyle w:val="85"/>
                    <w:rPr>
                      <w:sz w:val="21"/>
                      <w:szCs w:val="21"/>
                    </w:rPr>
                  </w:pPr>
                  <w:r>
                    <w:rPr>
                      <w:color w:val="000000"/>
                      <w:sz w:val="21"/>
                      <w:szCs w:val="21"/>
                    </w:rPr>
                    <w:t>264</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sz w:val="21"/>
                      <w:szCs w:val="21"/>
                    </w:rPr>
                    <w:t>钛白粉</w:t>
                  </w:r>
                </w:p>
              </w:tc>
              <w:tc>
                <w:tcPr>
                  <w:tcW w:w="998" w:type="pct"/>
                  <w:vAlign w:val="center"/>
                </w:tcPr>
                <w:p>
                  <w:pPr>
                    <w:pStyle w:val="85"/>
                    <w:rPr>
                      <w:sz w:val="21"/>
                      <w:szCs w:val="21"/>
                    </w:rPr>
                  </w:pPr>
                  <w:r>
                    <w:rPr>
                      <w:color w:val="000000"/>
                      <w:sz w:val="21"/>
                      <w:szCs w:val="21"/>
                    </w:rPr>
                    <w:t>264</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sz w:val="21"/>
                      <w:szCs w:val="21"/>
                    </w:rPr>
                    <w:t>增塑剂（白油）</w:t>
                  </w:r>
                </w:p>
              </w:tc>
              <w:tc>
                <w:tcPr>
                  <w:tcW w:w="998" w:type="pct"/>
                  <w:vAlign w:val="center"/>
                </w:tcPr>
                <w:p>
                  <w:pPr>
                    <w:pStyle w:val="85"/>
                    <w:rPr>
                      <w:sz w:val="21"/>
                      <w:szCs w:val="21"/>
                    </w:rPr>
                  </w:pPr>
                  <w:r>
                    <w:rPr>
                      <w:color w:val="000000"/>
                      <w:sz w:val="21"/>
                      <w:szCs w:val="21"/>
                    </w:rPr>
                    <w:t>264</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sz w:val="21"/>
                      <w:szCs w:val="21"/>
                    </w:rPr>
                    <w:t>PE蜡（聚乙烯蜡）</w:t>
                  </w:r>
                </w:p>
              </w:tc>
              <w:tc>
                <w:tcPr>
                  <w:tcW w:w="998" w:type="pct"/>
                  <w:vAlign w:val="center"/>
                </w:tcPr>
                <w:p>
                  <w:pPr>
                    <w:pStyle w:val="85"/>
                    <w:rPr>
                      <w:sz w:val="21"/>
                      <w:szCs w:val="21"/>
                    </w:rPr>
                  </w:pPr>
                  <w:r>
                    <w:rPr>
                      <w:color w:val="000000"/>
                      <w:sz w:val="21"/>
                      <w:szCs w:val="21"/>
                    </w:rPr>
                    <w:t>264</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01" w:hRule="atLeast"/>
                <w:jc w:val="center"/>
              </w:trPr>
              <w:tc>
                <w:tcPr>
                  <w:tcW w:w="1453" w:type="pct"/>
                  <w:vAlign w:val="center"/>
                </w:tcPr>
                <w:p>
                  <w:pPr>
                    <w:pStyle w:val="85"/>
                    <w:rPr>
                      <w:sz w:val="21"/>
                      <w:szCs w:val="21"/>
                    </w:rPr>
                  </w:pPr>
                  <w:r>
                    <w:rPr>
                      <w:color w:val="000000"/>
                      <w:sz w:val="21"/>
                      <w:szCs w:val="21"/>
                    </w:rPr>
                    <w:t>震荡助剂</w:t>
                  </w:r>
                </w:p>
              </w:tc>
              <w:tc>
                <w:tcPr>
                  <w:tcW w:w="998" w:type="pct"/>
                  <w:vAlign w:val="center"/>
                </w:tcPr>
                <w:p>
                  <w:pPr>
                    <w:pStyle w:val="85"/>
                    <w:rPr>
                      <w:sz w:val="21"/>
                      <w:szCs w:val="21"/>
                    </w:rPr>
                  </w:pPr>
                  <w:r>
                    <w:rPr>
                      <w:color w:val="000000"/>
                      <w:sz w:val="21"/>
                      <w:szCs w:val="21"/>
                    </w:rPr>
                    <w:t>44</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sz w:val="21"/>
                      <w:szCs w:val="21"/>
                    </w:rPr>
                    <w:t>44000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sz w:val="21"/>
                      <w:szCs w:val="21"/>
                    </w:rPr>
                    <w:t>44000</w:t>
                  </w:r>
                </w:p>
              </w:tc>
            </w:tr>
          </w:tbl>
          <w:p>
            <w:pPr>
              <w:spacing w:line="240" w:lineRule="auto"/>
              <w:ind w:firstLine="422"/>
              <w:jc w:val="center"/>
              <w:rPr>
                <w:b/>
              </w:rPr>
            </w:pPr>
            <w:r>
              <w:rPr>
                <w:rFonts w:cs="Times New Roman"/>
                <w:b/>
                <w:sz w:val="21"/>
                <w:szCs w:val="21"/>
              </w:rPr>
              <w:t xml:space="preserve">表2-8  </w:t>
            </w:r>
            <w:r>
              <w:rPr>
                <w:rFonts w:hint="eastAsia" w:cs="Times New Roman"/>
                <w:b/>
                <w:sz w:val="21"/>
                <w:szCs w:val="21"/>
              </w:rPr>
              <w:t>液态道路标线材料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重钙</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3000</w:t>
                  </w:r>
                </w:p>
              </w:tc>
              <w:tc>
                <w:tcPr>
                  <w:tcW w:w="1400" w:type="pct"/>
                  <w:vAlign w:val="center"/>
                </w:tcPr>
                <w:p>
                  <w:pPr>
                    <w:pStyle w:val="85"/>
                    <w:rPr>
                      <w:bCs/>
                      <w:sz w:val="21"/>
                      <w:szCs w:val="21"/>
                    </w:rPr>
                  </w:pPr>
                  <w:r>
                    <w:rPr>
                      <w:rFonts w:hint="eastAsia"/>
                      <w:bCs/>
                      <w:sz w:val="21"/>
                      <w:szCs w:val="21"/>
                    </w:rPr>
                    <w:t>液态道路标线材料</w:t>
                  </w:r>
                </w:p>
              </w:tc>
              <w:tc>
                <w:tcPr>
                  <w:tcW w:w="1149" w:type="pct"/>
                  <w:vAlign w:val="center"/>
                </w:tcPr>
                <w:p>
                  <w:pPr>
                    <w:pStyle w:val="85"/>
                    <w:rPr>
                      <w:sz w:val="21"/>
                      <w:szCs w:val="21"/>
                    </w:rPr>
                  </w:pPr>
                  <w:r>
                    <w:rPr>
                      <w:sz w:val="21"/>
                      <w:szCs w:val="21"/>
                    </w:rPr>
                    <w:t>5998.305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轻钙</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500</w:t>
                  </w:r>
                </w:p>
              </w:tc>
              <w:tc>
                <w:tcPr>
                  <w:tcW w:w="1400" w:type="pct"/>
                  <w:vAlign w:val="center"/>
                </w:tcPr>
                <w:p>
                  <w:pPr>
                    <w:pStyle w:val="85"/>
                    <w:rPr>
                      <w:bCs/>
                      <w:sz w:val="21"/>
                      <w:szCs w:val="21"/>
                    </w:rPr>
                  </w:pPr>
                  <w:r>
                    <w:rPr>
                      <w:rFonts w:hint="eastAsia"/>
                      <w:bCs/>
                      <w:sz w:val="21"/>
                      <w:szCs w:val="21"/>
                    </w:rPr>
                    <w:t>颗粒物</w:t>
                  </w:r>
                </w:p>
              </w:tc>
              <w:tc>
                <w:tcPr>
                  <w:tcW w:w="1149" w:type="pct"/>
                  <w:vAlign w:val="center"/>
                </w:tcPr>
                <w:p>
                  <w:pPr>
                    <w:pStyle w:val="85"/>
                    <w:rPr>
                      <w:sz w:val="21"/>
                      <w:szCs w:val="21"/>
                    </w:rPr>
                  </w:pPr>
                  <w:r>
                    <w:rPr>
                      <w:rFonts w:hint="eastAsia"/>
                      <w:sz w:val="21"/>
                      <w:szCs w:val="21"/>
                    </w:rPr>
                    <w:t>1</w:t>
                  </w:r>
                  <w:r>
                    <w:rPr>
                      <w:sz w:val="21"/>
                      <w:szCs w:val="21"/>
                    </w:rPr>
                    <w:t>.095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滑石粉（超细）</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500</w:t>
                  </w:r>
                </w:p>
              </w:tc>
              <w:tc>
                <w:tcPr>
                  <w:tcW w:w="1400" w:type="pct"/>
                  <w:vAlign w:val="center"/>
                </w:tcPr>
                <w:p>
                  <w:pPr>
                    <w:pStyle w:val="85"/>
                    <w:rPr>
                      <w:sz w:val="21"/>
                      <w:szCs w:val="21"/>
                    </w:rPr>
                  </w:pPr>
                  <w:r>
                    <w:rPr>
                      <w:rFonts w:hint="eastAsia"/>
                      <w:sz w:val="21"/>
                      <w:szCs w:val="21"/>
                    </w:rPr>
                    <w:t>非甲烷总烃</w:t>
                  </w:r>
                </w:p>
              </w:tc>
              <w:tc>
                <w:tcPr>
                  <w:tcW w:w="1149" w:type="pct"/>
                  <w:vAlign w:val="center"/>
                </w:tcPr>
                <w:p>
                  <w:pPr>
                    <w:pStyle w:val="85"/>
                    <w:rPr>
                      <w:sz w:val="21"/>
                      <w:szCs w:val="21"/>
                    </w:rPr>
                  </w:pPr>
                  <w:r>
                    <w:rPr>
                      <w:rFonts w:hint="eastAsia"/>
                      <w:sz w:val="21"/>
                      <w:szCs w:val="21"/>
                    </w:rPr>
                    <w:t>0</w:t>
                  </w:r>
                  <w:r>
                    <w:rPr>
                      <w:sz w:val="21"/>
                      <w:szCs w:val="21"/>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钛白粉</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500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有机黄</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20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玻璃珠</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340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纤维素</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10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低浓度氨水（25%）</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20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醇酯十二</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30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苯丙乳液</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1000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丙二醇</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30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增稠剂</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20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消泡剂</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10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color w:val="000000" w:themeColor="text1"/>
                      <w:kern w:val="2"/>
                      <w:sz w:val="21"/>
                      <w:szCs w:val="21"/>
                      <w14:textFill>
                        <w14:solidFill>
                          <w14:schemeClr w14:val="tx1"/>
                        </w14:solidFill>
                      </w14:textFill>
                    </w:rPr>
                  </w:pPr>
                  <w:r>
                    <w:rPr>
                      <w:color w:val="000000" w:themeColor="text1"/>
                      <w:kern w:val="2"/>
                      <w:sz w:val="21"/>
                      <w:szCs w:val="21"/>
                      <w14:textFill>
                        <w14:solidFill>
                          <w14:schemeClr w14:val="tx1"/>
                        </w14:solidFill>
                      </w14:textFill>
                    </w:rPr>
                    <w:t>二甲苯</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10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color w:val="000000" w:themeColor="text1"/>
                      <w:kern w:val="2"/>
                      <w:sz w:val="21"/>
                      <w:szCs w:val="21"/>
                      <w14:textFill>
                        <w14:solidFill>
                          <w14:schemeClr w14:val="tx1"/>
                        </w14:solidFill>
                      </w14:textFill>
                    </w:rPr>
                  </w:pPr>
                  <w:r>
                    <w:rPr>
                      <w:color w:val="000000" w:themeColor="text1"/>
                      <w:kern w:val="2"/>
                      <w:sz w:val="21"/>
                      <w:szCs w:val="21"/>
                      <w14:textFill>
                        <w14:solidFill>
                          <w14:schemeClr w14:val="tx1"/>
                        </w14:solidFill>
                      </w14:textFill>
                    </w:rPr>
                    <w:t>分散剂</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10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6000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rFonts w:hint="eastAsia"/>
                      <w:sz w:val="21"/>
                      <w:szCs w:val="21"/>
                    </w:rPr>
                    <w:t>6</w:t>
                  </w:r>
                  <w:r>
                    <w:rPr>
                      <w:sz w:val="21"/>
                      <w:szCs w:val="21"/>
                    </w:rPr>
                    <w:t>000</w:t>
                  </w:r>
                </w:p>
              </w:tc>
            </w:tr>
          </w:tbl>
          <w:p>
            <w:pPr>
              <w:spacing w:line="240" w:lineRule="auto"/>
              <w:ind w:firstLine="422"/>
              <w:jc w:val="center"/>
              <w:rPr>
                <w:b/>
              </w:rPr>
            </w:pPr>
            <w:r>
              <w:rPr>
                <w:rFonts w:cs="Times New Roman"/>
                <w:b/>
                <w:sz w:val="21"/>
                <w:szCs w:val="21"/>
              </w:rPr>
              <w:t xml:space="preserve">表2-9  </w:t>
            </w:r>
            <w:r>
              <w:rPr>
                <w:rFonts w:hint="eastAsia" w:cs="Times New Roman"/>
                <w:b/>
                <w:sz w:val="21"/>
                <w:szCs w:val="21"/>
              </w:rPr>
              <w:t>固体沥青养护环保材料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基质沥青</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270</w:t>
                  </w:r>
                </w:p>
              </w:tc>
              <w:tc>
                <w:tcPr>
                  <w:tcW w:w="1400" w:type="pct"/>
                  <w:vAlign w:val="center"/>
                </w:tcPr>
                <w:p>
                  <w:pPr>
                    <w:pStyle w:val="85"/>
                    <w:rPr>
                      <w:sz w:val="21"/>
                      <w:szCs w:val="21"/>
                    </w:rPr>
                  </w:pPr>
                  <w:r>
                    <w:rPr>
                      <w:rFonts w:hint="eastAsia"/>
                      <w:sz w:val="21"/>
                      <w:szCs w:val="21"/>
                    </w:rPr>
                    <w:t>固体沥青养护环保材料</w:t>
                  </w:r>
                </w:p>
              </w:tc>
              <w:tc>
                <w:tcPr>
                  <w:tcW w:w="1149" w:type="pct"/>
                  <w:vAlign w:val="center"/>
                </w:tcPr>
                <w:p>
                  <w:pPr>
                    <w:pStyle w:val="85"/>
                    <w:rPr>
                      <w:sz w:val="21"/>
                      <w:szCs w:val="21"/>
                    </w:rPr>
                  </w:pPr>
                  <w:r>
                    <w:rPr>
                      <w:sz w:val="21"/>
                      <w:szCs w:val="21"/>
                    </w:rPr>
                    <w:t>6299.22496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石灰岩</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6000</w:t>
                  </w:r>
                </w:p>
              </w:tc>
              <w:tc>
                <w:tcPr>
                  <w:tcW w:w="1400" w:type="pct"/>
                  <w:vAlign w:val="center"/>
                </w:tcPr>
                <w:p>
                  <w:pPr>
                    <w:pStyle w:val="85"/>
                    <w:rPr>
                      <w:sz w:val="21"/>
                      <w:szCs w:val="21"/>
                    </w:rPr>
                  </w:pPr>
                  <w:r>
                    <w:rPr>
                      <w:rFonts w:hint="eastAsia"/>
                      <w:sz w:val="21"/>
                      <w:szCs w:val="21"/>
                    </w:rPr>
                    <w:t>颗粒物</w:t>
                  </w:r>
                </w:p>
              </w:tc>
              <w:tc>
                <w:tcPr>
                  <w:tcW w:w="1149" w:type="pct"/>
                  <w:vAlign w:val="center"/>
                </w:tcPr>
                <w:p>
                  <w:pPr>
                    <w:pStyle w:val="85"/>
                    <w:rPr>
                      <w:sz w:val="21"/>
                      <w:szCs w:val="21"/>
                    </w:rPr>
                  </w:pPr>
                  <w:r>
                    <w:rPr>
                      <w:rFonts w:hint="eastAsia"/>
                      <w:sz w:val="21"/>
                      <w:szCs w:val="21"/>
                    </w:rPr>
                    <w:t>0</w:t>
                  </w:r>
                  <w:r>
                    <w:rPr>
                      <w:sz w:val="21"/>
                      <w:szCs w:val="21"/>
                    </w:rPr>
                    <w:t>.1208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255"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冷补液</w:t>
                  </w:r>
                </w:p>
              </w:tc>
              <w:tc>
                <w:tcPr>
                  <w:tcW w:w="998" w:type="pct"/>
                  <w:vAlign w:val="center"/>
                </w:tcPr>
                <w:p>
                  <w:pPr>
                    <w:pStyle w:val="85"/>
                    <w:rPr>
                      <w:sz w:val="21"/>
                      <w:szCs w:val="21"/>
                    </w:rPr>
                  </w:pPr>
                  <w:r>
                    <w:rPr>
                      <w:color w:val="000000" w:themeColor="text1"/>
                      <w:kern w:val="2"/>
                      <w:sz w:val="21"/>
                      <w:szCs w:val="21"/>
                      <w14:textFill>
                        <w14:solidFill>
                          <w14:schemeClr w14:val="tx1"/>
                        </w14:solidFill>
                      </w14:textFill>
                    </w:rPr>
                    <w:t>30</w:t>
                  </w:r>
                </w:p>
              </w:tc>
              <w:tc>
                <w:tcPr>
                  <w:tcW w:w="1400" w:type="pct"/>
                  <w:vAlign w:val="center"/>
                </w:tcPr>
                <w:p>
                  <w:pPr>
                    <w:pStyle w:val="85"/>
                    <w:rPr>
                      <w:sz w:val="21"/>
                      <w:szCs w:val="21"/>
                    </w:rPr>
                  </w:pPr>
                  <w:r>
                    <w:rPr>
                      <w:rFonts w:hint="eastAsia"/>
                      <w:sz w:val="21"/>
                      <w:szCs w:val="21"/>
                    </w:rPr>
                    <w:t>沥青烟</w:t>
                  </w:r>
                </w:p>
              </w:tc>
              <w:tc>
                <w:tcPr>
                  <w:tcW w:w="1149" w:type="pct"/>
                  <w:vAlign w:val="center"/>
                </w:tcPr>
                <w:p>
                  <w:pPr>
                    <w:pStyle w:val="85"/>
                    <w:rPr>
                      <w:sz w:val="21"/>
                      <w:szCs w:val="21"/>
                    </w:rPr>
                  </w:pPr>
                  <w:r>
                    <w:rPr>
                      <w:rFonts w:hint="eastAsia"/>
                      <w:sz w:val="21"/>
                      <w:szCs w:val="21"/>
                    </w:rPr>
                    <w:t>0</w:t>
                  </w:r>
                  <w:r>
                    <w:rPr>
                      <w:sz w:val="21"/>
                      <w:szCs w:val="21"/>
                    </w:rPr>
                    <w:t>.3848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color w:val="000000" w:themeColor="text1"/>
                      <w:kern w:val="2"/>
                      <w:sz w:val="21"/>
                      <w:szCs w:val="21"/>
                      <w14:textFill>
                        <w14:solidFill>
                          <w14:schemeClr w14:val="tx1"/>
                        </w14:solidFill>
                      </w14:textFill>
                    </w:rPr>
                  </w:pPr>
                  <w:r>
                    <w:rPr>
                      <w:rFonts w:hint="eastAsia"/>
                      <w:color w:val="000000" w:themeColor="text1"/>
                      <w:kern w:val="2"/>
                      <w:sz w:val="21"/>
                      <w:szCs w:val="21"/>
                      <w14:textFill>
                        <w14:solidFill>
                          <w14:schemeClr w14:val="tx1"/>
                        </w14:solidFill>
                      </w14:textFill>
                    </w:rPr>
                    <w:t>/</w:t>
                  </w:r>
                </w:p>
              </w:tc>
              <w:tc>
                <w:tcPr>
                  <w:tcW w:w="998" w:type="pct"/>
                  <w:vAlign w:val="center"/>
                </w:tcPr>
                <w:p>
                  <w:pPr>
                    <w:pStyle w:val="85"/>
                    <w:rPr>
                      <w:color w:val="000000" w:themeColor="text1"/>
                      <w:kern w:val="2"/>
                      <w:sz w:val="21"/>
                      <w:szCs w:val="21"/>
                      <w14:textFill>
                        <w14:solidFill>
                          <w14:schemeClr w14:val="tx1"/>
                        </w14:solidFill>
                      </w14:textFill>
                    </w:rPr>
                  </w:pPr>
                  <w:r>
                    <w:rPr>
                      <w:rFonts w:hint="eastAsia"/>
                      <w:color w:val="000000" w:themeColor="text1"/>
                      <w:kern w:val="2"/>
                      <w:sz w:val="21"/>
                      <w:szCs w:val="21"/>
                      <w14:textFill>
                        <w14:solidFill>
                          <w14:schemeClr w14:val="tx1"/>
                        </w14:solidFill>
                      </w14:textFill>
                    </w:rPr>
                    <w:t>/</w:t>
                  </w:r>
                </w:p>
              </w:tc>
              <w:tc>
                <w:tcPr>
                  <w:tcW w:w="1400" w:type="pct"/>
                  <w:vAlign w:val="center"/>
                </w:tcPr>
                <w:p>
                  <w:pPr>
                    <w:pStyle w:val="85"/>
                    <w:rPr>
                      <w:sz w:val="21"/>
                      <w:szCs w:val="21"/>
                    </w:rPr>
                  </w:pPr>
                  <w:r>
                    <w:rPr>
                      <w:rFonts w:hint="eastAsia"/>
                      <w:sz w:val="21"/>
                      <w:szCs w:val="21"/>
                    </w:rPr>
                    <w:t>非甲烷总烃</w:t>
                  </w:r>
                </w:p>
              </w:tc>
              <w:tc>
                <w:tcPr>
                  <w:tcW w:w="1149" w:type="pct"/>
                  <w:vAlign w:val="center"/>
                </w:tcPr>
                <w:p>
                  <w:pPr>
                    <w:pStyle w:val="85"/>
                    <w:rPr>
                      <w:sz w:val="21"/>
                      <w:szCs w:val="21"/>
                    </w:rPr>
                  </w:pPr>
                  <w:r>
                    <w:rPr>
                      <w:rFonts w:hint="eastAsia"/>
                      <w:sz w:val="21"/>
                      <w:szCs w:val="21"/>
                    </w:rPr>
                    <w:t>0</w:t>
                  </w:r>
                  <w:r>
                    <w:rPr>
                      <w:sz w:val="21"/>
                      <w:szCs w:val="21"/>
                    </w:rPr>
                    <w:t>.2694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color w:val="000000" w:themeColor="text1"/>
                      <w:kern w:val="2"/>
                      <w:sz w:val="21"/>
                      <w:szCs w:val="21"/>
                      <w14:textFill>
                        <w14:solidFill>
                          <w14:schemeClr w14:val="tx1"/>
                        </w14:solidFill>
                      </w14:textFill>
                    </w:rPr>
                  </w:pPr>
                  <w:r>
                    <w:rPr>
                      <w:rFonts w:hint="eastAsia"/>
                      <w:color w:val="000000" w:themeColor="text1"/>
                      <w:kern w:val="2"/>
                      <w:sz w:val="21"/>
                      <w:szCs w:val="21"/>
                      <w14:textFill>
                        <w14:solidFill>
                          <w14:schemeClr w14:val="tx1"/>
                        </w14:solidFill>
                      </w14:textFill>
                    </w:rPr>
                    <w:t>/</w:t>
                  </w:r>
                </w:p>
              </w:tc>
              <w:tc>
                <w:tcPr>
                  <w:tcW w:w="998" w:type="pct"/>
                  <w:vAlign w:val="center"/>
                </w:tcPr>
                <w:p>
                  <w:pPr>
                    <w:pStyle w:val="85"/>
                    <w:rPr>
                      <w:color w:val="000000" w:themeColor="text1"/>
                      <w:kern w:val="2"/>
                      <w:sz w:val="21"/>
                      <w:szCs w:val="21"/>
                      <w14:textFill>
                        <w14:solidFill>
                          <w14:schemeClr w14:val="tx1"/>
                        </w14:solidFill>
                      </w14:textFill>
                    </w:rPr>
                  </w:pPr>
                  <w:r>
                    <w:rPr>
                      <w:rFonts w:hint="eastAsia"/>
                      <w:color w:val="000000" w:themeColor="text1"/>
                      <w:kern w:val="2"/>
                      <w:sz w:val="21"/>
                      <w:szCs w:val="21"/>
                      <w14:textFill>
                        <w14:solidFill>
                          <w14:schemeClr w14:val="tx1"/>
                        </w14:solidFill>
                      </w14:textFill>
                    </w:rPr>
                    <w:t>/</w:t>
                  </w:r>
                </w:p>
              </w:tc>
              <w:tc>
                <w:tcPr>
                  <w:tcW w:w="1400" w:type="pct"/>
                  <w:vAlign w:val="center"/>
                </w:tcPr>
                <w:p>
                  <w:pPr>
                    <w:pStyle w:val="85"/>
                    <w:rPr>
                      <w:sz w:val="21"/>
                      <w:szCs w:val="21"/>
                    </w:rPr>
                  </w:pPr>
                  <w:r>
                    <w:rPr>
                      <w:rFonts w:hint="eastAsia"/>
                      <w:sz w:val="21"/>
                      <w:szCs w:val="21"/>
                    </w:rPr>
                    <w:t>苯并[a]芘</w:t>
                  </w:r>
                </w:p>
              </w:tc>
              <w:tc>
                <w:tcPr>
                  <w:tcW w:w="1149" w:type="pct"/>
                  <w:vAlign w:val="center"/>
                </w:tcPr>
                <w:p>
                  <w:pPr>
                    <w:pStyle w:val="85"/>
                    <w:rPr>
                      <w:sz w:val="21"/>
                      <w:szCs w:val="21"/>
                    </w:rPr>
                  </w:pPr>
                  <w:r>
                    <w:rPr>
                      <w:rFonts w:hint="eastAsia"/>
                    </w:rPr>
                    <w:t>0.000</w:t>
                  </w:r>
                  <w:r>
                    <w:t>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rFonts w:hint="eastAsia"/>
                      <w:sz w:val="21"/>
                      <w:szCs w:val="21"/>
                    </w:rPr>
                    <w:t>6</w:t>
                  </w:r>
                  <w:r>
                    <w:rPr>
                      <w:sz w:val="21"/>
                      <w:szCs w:val="21"/>
                    </w:rPr>
                    <w:t>300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sz w:val="21"/>
                      <w:szCs w:val="21"/>
                    </w:rPr>
                    <w:t>6300</w:t>
                  </w:r>
                </w:p>
              </w:tc>
            </w:tr>
          </w:tbl>
          <w:p>
            <w:pPr>
              <w:spacing w:line="240" w:lineRule="auto"/>
              <w:ind w:firstLine="422"/>
              <w:jc w:val="center"/>
              <w:rPr>
                <w:b/>
              </w:rPr>
            </w:pPr>
            <w:r>
              <w:rPr>
                <w:rFonts w:cs="Times New Roman"/>
                <w:b/>
                <w:sz w:val="21"/>
                <w:szCs w:val="21"/>
              </w:rPr>
              <w:t xml:space="preserve">表2-10  </w:t>
            </w:r>
            <w:r>
              <w:rPr>
                <w:rFonts w:hint="eastAsia" w:cs="Times New Roman"/>
                <w:b/>
                <w:sz w:val="21"/>
                <w:szCs w:val="21"/>
              </w:rPr>
              <w:t>液态沥青养护环保材料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基质沥青</w:t>
                  </w:r>
                </w:p>
              </w:tc>
              <w:tc>
                <w:tcPr>
                  <w:tcW w:w="998" w:type="pct"/>
                  <w:vAlign w:val="center"/>
                </w:tcPr>
                <w:p>
                  <w:pPr>
                    <w:pStyle w:val="85"/>
                    <w:rPr>
                      <w:sz w:val="21"/>
                      <w:szCs w:val="21"/>
                    </w:rPr>
                  </w:pPr>
                  <w:r>
                    <w:rPr>
                      <w:color w:val="000000"/>
                      <w:sz w:val="21"/>
                      <w:szCs w:val="21"/>
                    </w:rPr>
                    <w:t>1000</w:t>
                  </w:r>
                </w:p>
              </w:tc>
              <w:tc>
                <w:tcPr>
                  <w:tcW w:w="1400" w:type="pct"/>
                  <w:vAlign w:val="center"/>
                </w:tcPr>
                <w:p>
                  <w:pPr>
                    <w:pStyle w:val="85"/>
                    <w:rPr>
                      <w:sz w:val="21"/>
                      <w:szCs w:val="21"/>
                    </w:rPr>
                  </w:pPr>
                  <w:r>
                    <w:rPr>
                      <w:rFonts w:hint="eastAsia"/>
                      <w:sz w:val="21"/>
                      <w:szCs w:val="21"/>
                    </w:rPr>
                    <w:t>液态沥青养护环保材料</w:t>
                  </w:r>
                </w:p>
              </w:tc>
              <w:tc>
                <w:tcPr>
                  <w:tcW w:w="1149" w:type="pct"/>
                  <w:vAlign w:val="center"/>
                </w:tcPr>
                <w:p>
                  <w:pPr>
                    <w:pStyle w:val="85"/>
                    <w:rPr>
                      <w:sz w:val="21"/>
                      <w:szCs w:val="21"/>
                    </w:rPr>
                  </w:pPr>
                  <w:r>
                    <w:rPr>
                      <w:rFonts w:hint="eastAsia"/>
                      <w:sz w:val="21"/>
                      <w:szCs w:val="21"/>
                    </w:rPr>
                    <w:t>3</w:t>
                  </w:r>
                  <w:r>
                    <w:rPr>
                      <w:sz w:val="21"/>
                      <w:szCs w:val="21"/>
                    </w:rPr>
                    <w:t>197.55335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themeColor="text1"/>
                      <w:sz w:val="21"/>
                      <w:szCs w:val="21"/>
                      <w14:textFill>
                        <w14:solidFill>
                          <w14:schemeClr w14:val="tx1"/>
                        </w14:solidFill>
                      </w14:textFill>
                    </w:rPr>
                    <w:t>芳烃油</w:t>
                  </w:r>
                </w:p>
              </w:tc>
              <w:tc>
                <w:tcPr>
                  <w:tcW w:w="998" w:type="pct"/>
                  <w:vAlign w:val="center"/>
                </w:tcPr>
                <w:p>
                  <w:pPr>
                    <w:pStyle w:val="85"/>
                    <w:rPr>
                      <w:sz w:val="21"/>
                      <w:szCs w:val="21"/>
                    </w:rPr>
                  </w:pPr>
                  <w:r>
                    <w:rPr>
                      <w:color w:val="000000"/>
                      <w:sz w:val="21"/>
                      <w:szCs w:val="21"/>
                    </w:rPr>
                    <w:t>700</w:t>
                  </w:r>
                </w:p>
              </w:tc>
              <w:tc>
                <w:tcPr>
                  <w:tcW w:w="1400" w:type="pct"/>
                  <w:vAlign w:val="center"/>
                </w:tcPr>
                <w:p>
                  <w:pPr>
                    <w:pStyle w:val="85"/>
                    <w:rPr>
                      <w:sz w:val="21"/>
                      <w:szCs w:val="21"/>
                    </w:rPr>
                  </w:pPr>
                  <w:r>
                    <w:rPr>
                      <w:rFonts w:hint="eastAsia"/>
                      <w:sz w:val="21"/>
                      <w:szCs w:val="21"/>
                    </w:rPr>
                    <w:t>颗粒物</w:t>
                  </w:r>
                </w:p>
              </w:tc>
              <w:tc>
                <w:tcPr>
                  <w:tcW w:w="1149" w:type="pct"/>
                  <w:vAlign w:val="center"/>
                </w:tcPr>
                <w:p>
                  <w:pPr>
                    <w:pStyle w:val="85"/>
                    <w:rPr>
                      <w:sz w:val="21"/>
                      <w:szCs w:val="21"/>
                    </w:rPr>
                  </w:pPr>
                  <w:r>
                    <w:rPr>
                      <w:rFonts w:hint="eastAsia"/>
                      <w:sz w:val="21"/>
                      <w:szCs w:val="21"/>
                    </w:rPr>
                    <w:t>0</w:t>
                  </w:r>
                  <w:r>
                    <w:rPr>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环氧大豆油</w:t>
                  </w:r>
                </w:p>
              </w:tc>
              <w:tc>
                <w:tcPr>
                  <w:tcW w:w="998" w:type="pct"/>
                  <w:vAlign w:val="center"/>
                </w:tcPr>
                <w:p>
                  <w:pPr>
                    <w:pStyle w:val="85"/>
                    <w:rPr>
                      <w:sz w:val="21"/>
                      <w:szCs w:val="21"/>
                    </w:rPr>
                  </w:pPr>
                  <w:r>
                    <w:rPr>
                      <w:color w:val="000000"/>
                      <w:sz w:val="21"/>
                      <w:szCs w:val="21"/>
                    </w:rPr>
                    <w:t>200</w:t>
                  </w:r>
                </w:p>
              </w:tc>
              <w:tc>
                <w:tcPr>
                  <w:tcW w:w="1400" w:type="pct"/>
                  <w:vAlign w:val="center"/>
                </w:tcPr>
                <w:p>
                  <w:pPr>
                    <w:pStyle w:val="85"/>
                    <w:rPr>
                      <w:sz w:val="21"/>
                      <w:szCs w:val="21"/>
                    </w:rPr>
                  </w:pPr>
                  <w:r>
                    <w:rPr>
                      <w:rFonts w:hint="eastAsia"/>
                      <w:sz w:val="21"/>
                      <w:szCs w:val="21"/>
                    </w:rPr>
                    <w:t>沥青烟</w:t>
                  </w:r>
                </w:p>
              </w:tc>
              <w:tc>
                <w:tcPr>
                  <w:tcW w:w="1149" w:type="pct"/>
                  <w:vAlign w:val="center"/>
                </w:tcPr>
                <w:p>
                  <w:pPr>
                    <w:pStyle w:val="85"/>
                    <w:rPr>
                      <w:sz w:val="21"/>
                      <w:szCs w:val="21"/>
                    </w:rPr>
                  </w:pPr>
                  <w:r>
                    <w:rPr>
                      <w:rFonts w:hint="eastAsia"/>
                      <w:sz w:val="21"/>
                      <w:szCs w:val="21"/>
                    </w:rPr>
                    <w:t>1</w:t>
                  </w:r>
                  <w:r>
                    <w:rPr>
                      <w:sz w:val="21"/>
                      <w:szCs w:val="21"/>
                    </w:rPr>
                    <w:t>.425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115"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环烷油</w:t>
                  </w:r>
                </w:p>
              </w:tc>
              <w:tc>
                <w:tcPr>
                  <w:tcW w:w="998" w:type="pct"/>
                  <w:vAlign w:val="center"/>
                </w:tcPr>
                <w:p>
                  <w:pPr>
                    <w:pStyle w:val="85"/>
                    <w:rPr>
                      <w:sz w:val="21"/>
                      <w:szCs w:val="21"/>
                    </w:rPr>
                  </w:pPr>
                  <w:r>
                    <w:rPr>
                      <w:color w:val="000000"/>
                      <w:sz w:val="21"/>
                      <w:szCs w:val="21"/>
                    </w:rPr>
                    <w:t>100</w:t>
                  </w:r>
                </w:p>
              </w:tc>
              <w:tc>
                <w:tcPr>
                  <w:tcW w:w="1400" w:type="pct"/>
                  <w:vAlign w:val="center"/>
                </w:tcPr>
                <w:p>
                  <w:pPr>
                    <w:pStyle w:val="85"/>
                    <w:rPr>
                      <w:sz w:val="21"/>
                      <w:szCs w:val="21"/>
                    </w:rPr>
                  </w:pPr>
                  <w:r>
                    <w:rPr>
                      <w:rFonts w:hint="eastAsia"/>
                      <w:sz w:val="21"/>
                      <w:szCs w:val="21"/>
                    </w:rPr>
                    <w:t>非甲烷总烃</w:t>
                  </w:r>
                </w:p>
              </w:tc>
              <w:tc>
                <w:tcPr>
                  <w:tcW w:w="1149" w:type="pct"/>
                  <w:vAlign w:val="center"/>
                </w:tcPr>
                <w:p>
                  <w:pPr>
                    <w:pStyle w:val="85"/>
                    <w:rPr>
                      <w:sz w:val="21"/>
                      <w:szCs w:val="21"/>
                    </w:rPr>
                  </w:pPr>
                  <w:r>
                    <w:rPr>
                      <w:rFonts w:hint="eastAsia"/>
                      <w:sz w:val="21"/>
                      <w:szCs w:val="21"/>
                    </w:rPr>
                    <w:t>0</w:t>
                  </w:r>
                  <w:r>
                    <w:rPr>
                      <w:sz w:val="21"/>
                      <w:szCs w:val="21"/>
                    </w:rPr>
                    <w:t>.9975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01" w:hRule="atLeast"/>
                <w:jc w:val="center"/>
              </w:trPr>
              <w:tc>
                <w:tcPr>
                  <w:tcW w:w="1453" w:type="pct"/>
                  <w:vAlign w:val="center"/>
                </w:tcPr>
                <w:p>
                  <w:pPr>
                    <w:pStyle w:val="85"/>
                    <w:rPr>
                      <w:sz w:val="21"/>
                      <w:szCs w:val="21"/>
                    </w:rPr>
                  </w:pPr>
                  <w:r>
                    <w:rPr>
                      <w:color w:val="000000" w:themeColor="text1"/>
                      <w:kern w:val="2"/>
                      <w:sz w:val="21"/>
                      <w:szCs w:val="21"/>
                      <w14:textFill>
                        <w14:solidFill>
                          <w14:schemeClr w14:val="tx1"/>
                        </w14:solidFill>
                      </w14:textFill>
                    </w:rPr>
                    <w:t>石粉</w:t>
                  </w:r>
                  <w:r>
                    <w:rPr>
                      <w:color w:val="000000" w:themeColor="text1"/>
                      <w:sz w:val="21"/>
                      <w:szCs w:val="21"/>
                      <w14:textFill>
                        <w14:solidFill>
                          <w14:schemeClr w14:val="tx1"/>
                        </w14:solidFill>
                      </w14:textFill>
                    </w:rPr>
                    <w:t>（</w:t>
                  </w:r>
                  <w:r>
                    <w:rPr>
                      <w:color w:val="000000" w:themeColor="text1"/>
                      <w:kern w:val="2"/>
                      <w:sz w:val="21"/>
                      <w:szCs w:val="21"/>
                      <w14:textFill>
                        <w14:solidFill>
                          <w14:schemeClr w14:val="tx1"/>
                        </w14:solidFill>
                      </w14:textFill>
                    </w:rPr>
                    <w:t>轻钙</w:t>
                  </w:r>
                  <w:r>
                    <w:rPr>
                      <w:color w:val="000000" w:themeColor="text1"/>
                      <w:sz w:val="21"/>
                      <w:szCs w:val="21"/>
                      <w14:textFill>
                        <w14:solidFill>
                          <w14:schemeClr w14:val="tx1"/>
                        </w14:solidFill>
                      </w14:textFill>
                    </w:rPr>
                    <w:t>）</w:t>
                  </w:r>
                </w:p>
              </w:tc>
              <w:tc>
                <w:tcPr>
                  <w:tcW w:w="998" w:type="pct"/>
                  <w:vAlign w:val="center"/>
                </w:tcPr>
                <w:p>
                  <w:pPr>
                    <w:pStyle w:val="85"/>
                    <w:rPr>
                      <w:sz w:val="21"/>
                      <w:szCs w:val="21"/>
                    </w:rPr>
                  </w:pPr>
                  <w:r>
                    <w:rPr>
                      <w:color w:val="000000"/>
                      <w:sz w:val="21"/>
                      <w:szCs w:val="21"/>
                    </w:rPr>
                    <w:t>1000</w:t>
                  </w:r>
                </w:p>
              </w:tc>
              <w:tc>
                <w:tcPr>
                  <w:tcW w:w="1400" w:type="pct"/>
                  <w:vAlign w:val="center"/>
                </w:tcPr>
                <w:p>
                  <w:pPr>
                    <w:pStyle w:val="85"/>
                    <w:rPr>
                      <w:sz w:val="21"/>
                      <w:szCs w:val="21"/>
                    </w:rPr>
                  </w:pPr>
                  <w:r>
                    <w:rPr>
                      <w:rFonts w:hint="eastAsia"/>
                      <w:sz w:val="21"/>
                      <w:szCs w:val="21"/>
                    </w:rPr>
                    <w:t>苯并[a]芘</w:t>
                  </w:r>
                </w:p>
              </w:tc>
              <w:tc>
                <w:tcPr>
                  <w:tcW w:w="1149" w:type="pct"/>
                  <w:vAlign w:val="center"/>
                </w:tcPr>
                <w:p>
                  <w:pPr>
                    <w:pStyle w:val="85"/>
                    <w:rPr>
                      <w:sz w:val="21"/>
                      <w:szCs w:val="21"/>
                    </w:rPr>
                  </w:pPr>
                  <w:r>
                    <w:rPr>
                      <w:sz w:val="21"/>
                      <w:szCs w:val="21"/>
                    </w:rPr>
                    <w:t>0.00015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453" w:type="pct"/>
                  <w:vAlign w:val="center"/>
                </w:tcPr>
                <w:p>
                  <w:pPr>
                    <w:pStyle w:val="85"/>
                    <w:rPr>
                      <w:color w:val="000000" w:themeColor="text1"/>
                      <w:kern w:val="2"/>
                      <w:sz w:val="21"/>
                      <w:szCs w:val="21"/>
                      <w14:textFill>
                        <w14:solidFill>
                          <w14:schemeClr w14:val="tx1"/>
                        </w14:solidFill>
                      </w14:textFill>
                    </w:rPr>
                  </w:pPr>
                  <w:r>
                    <w:rPr>
                      <w:color w:val="000000" w:themeColor="text1"/>
                      <w:kern w:val="2"/>
                      <w:sz w:val="21"/>
                      <w:szCs w:val="21"/>
                      <w14:textFill>
                        <w14:solidFill>
                          <w14:schemeClr w14:val="tx1"/>
                        </w14:solidFill>
                      </w14:textFill>
                    </w:rPr>
                    <w:t>SBS</w:t>
                  </w:r>
                </w:p>
              </w:tc>
              <w:tc>
                <w:tcPr>
                  <w:tcW w:w="998" w:type="pct"/>
                  <w:vAlign w:val="center"/>
                </w:tcPr>
                <w:p>
                  <w:pPr>
                    <w:pStyle w:val="85"/>
                    <w:rPr>
                      <w:sz w:val="21"/>
                      <w:szCs w:val="21"/>
                    </w:rPr>
                  </w:pPr>
                  <w:r>
                    <w:rPr>
                      <w:color w:val="000000"/>
                      <w:sz w:val="21"/>
                      <w:szCs w:val="21"/>
                    </w:rPr>
                    <w:t>200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rFonts w:hint="eastAsia"/>
                      <w:sz w:val="21"/>
                      <w:szCs w:val="21"/>
                    </w:rPr>
                    <w:t>3</w:t>
                  </w:r>
                  <w:r>
                    <w:rPr>
                      <w:sz w:val="21"/>
                      <w:szCs w:val="21"/>
                    </w:rPr>
                    <w:t>200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rFonts w:hint="eastAsia"/>
                      <w:sz w:val="21"/>
                      <w:szCs w:val="21"/>
                    </w:rPr>
                    <w:t>3</w:t>
                  </w:r>
                  <w:r>
                    <w:rPr>
                      <w:sz w:val="21"/>
                      <w:szCs w:val="21"/>
                    </w:rPr>
                    <w:t>200</w:t>
                  </w:r>
                </w:p>
              </w:tc>
            </w:tr>
          </w:tbl>
          <w:p>
            <w:pPr>
              <w:spacing w:line="240" w:lineRule="auto"/>
              <w:ind w:firstLine="422"/>
              <w:jc w:val="center"/>
              <w:rPr>
                <w:b/>
              </w:rPr>
            </w:pPr>
            <w:r>
              <w:rPr>
                <w:rFonts w:cs="Times New Roman"/>
                <w:b/>
                <w:sz w:val="21"/>
                <w:szCs w:val="21"/>
              </w:rPr>
              <w:t xml:space="preserve">表2-11  </w:t>
            </w:r>
            <w:r>
              <w:rPr>
                <w:rFonts w:hint="eastAsia" w:cs="Times New Roman"/>
                <w:b/>
                <w:sz w:val="21"/>
                <w:szCs w:val="21"/>
              </w:rPr>
              <w:t>固体水泥养护环保材料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pStyle w:val="85"/>
                    <w:rPr>
                      <w:sz w:val="21"/>
                      <w:szCs w:val="21"/>
                    </w:rPr>
                  </w:pPr>
                  <w:r>
                    <w:rPr>
                      <w:color w:val="000000"/>
                      <w:sz w:val="21"/>
                      <w:szCs w:val="21"/>
                    </w:rPr>
                    <w:t>砂粉</w:t>
                  </w:r>
                </w:p>
              </w:tc>
              <w:tc>
                <w:tcPr>
                  <w:tcW w:w="998" w:type="pct"/>
                  <w:vAlign w:val="center"/>
                </w:tcPr>
                <w:p>
                  <w:pPr>
                    <w:pStyle w:val="85"/>
                    <w:rPr>
                      <w:sz w:val="21"/>
                      <w:szCs w:val="21"/>
                    </w:rPr>
                  </w:pPr>
                  <w:r>
                    <w:rPr>
                      <w:color w:val="000000"/>
                      <w:sz w:val="21"/>
                      <w:szCs w:val="21"/>
                    </w:rPr>
                    <w:t>200</w:t>
                  </w:r>
                </w:p>
              </w:tc>
              <w:tc>
                <w:tcPr>
                  <w:tcW w:w="1400" w:type="pct"/>
                  <w:vAlign w:val="center"/>
                </w:tcPr>
                <w:p>
                  <w:pPr>
                    <w:pStyle w:val="85"/>
                    <w:rPr>
                      <w:sz w:val="21"/>
                      <w:szCs w:val="21"/>
                    </w:rPr>
                  </w:pPr>
                  <w:r>
                    <w:rPr>
                      <w:rFonts w:hint="eastAsia"/>
                      <w:sz w:val="21"/>
                      <w:szCs w:val="21"/>
                    </w:rPr>
                    <w:t>固体水泥养护环保材料</w:t>
                  </w:r>
                </w:p>
              </w:tc>
              <w:tc>
                <w:tcPr>
                  <w:tcW w:w="1149" w:type="pct"/>
                  <w:vAlign w:val="center"/>
                </w:tcPr>
                <w:p>
                  <w:pPr>
                    <w:pStyle w:val="85"/>
                    <w:rPr>
                      <w:sz w:val="21"/>
                      <w:szCs w:val="21"/>
                    </w:rPr>
                  </w:pPr>
                  <w:r>
                    <w:rPr>
                      <w:rFonts w:hint="eastAsia"/>
                      <w:sz w:val="21"/>
                      <w:szCs w:val="21"/>
                    </w:rPr>
                    <w:t>4</w:t>
                  </w:r>
                  <w:r>
                    <w:rPr>
                      <w:sz w:val="21"/>
                      <w:szCs w:val="21"/>
                    </w:rPr>
                    <w:t>89.9902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kern w:val="0"/>
                      <w:sz w:val="21"/>
                      <w:szCs w:val="21"/>
                    </w:rPr>
                    <w:t>快凝硅酸盐水泥</w:t>
                  </w:r>
                </w:p>
              </w:tc>
              <w:tc>
                <w:tcPr>
                  <w:tcW w:w="998" w:type="pct"/>
                  <w:vAlign w:val="center"/>
                </w:tcPr>
                <w:p>
                  <w:pPr>
                    <w:pStyle w:val="85"/>
                    <w:rPr>
                      <w:sz w:val="21"/>
                      <w:szCs w:val="21"/>
                    </w:rPr>
                  </w:pPr>
                  <w:r>
                    <w:rPr>
                      <w:color w:val="000000"/>
                      <w:sz w:val="21"/>
                      <w:szCs w:val="21"/>
                    </w:rPr>
                    <w:t>240</w:t>
                  </w:r>
                </w:p>
              </w:tc>
              <w:tc>
                <w:tcPr>
                  <w:tcW w:w="1400" w:type="pct"/>
                  <w:vAlign w:val="center"/>
                </w:tcPr>
                <w:p>
                  <w:pPr>
                    <w:pStyle w:val="85"/>
                    <w:rPr>
                      <w:sz w:val="21"/>
                      <w:szCs w:val="21"/>
                    </w:rPr>
                  </w:pPr>
                  <w:r>
                    <w:rPr>
                      <w:rFonts w:hint="eastAsia"/>
                      <w:sz w:val="21"/>
                      <w:szCs w:val="21"/>
                    </w:rPr>
                    <w:t>颗粒物</w:t>
                  </w:r>
                </w:p>
              </w:tc>
              <w:tc>
                <w:tcPr>
                  <w:tcW w:w="1149" w:type="pct"/>
                  <w:vAlign w:val="center"/>
                </w:tcPr>
                <w:p>
                  <w:pPr>
                    <w:pStyle w:val="85"/>
                    <w:rPr>
                      <w:sz w:val="21"/>
                      <w:szCs w:val="21"/>
                    </w:rPr>
                  </w:pPr>
                  <w:r>
                    <w:rPr>
                      <w:rFonts w:hint="eastAsia"/>
                      <w:sz w:val="21"/>
                      <w:szCs w:val="21"/>
                    </w:rPr>
                    <w:t>0</w:t>
                  </w:r>
                  <w:r>
                    <w:rPr>
                      <w:sz w:val="21"/>
                      <w:szCs w:val="21"/>
                    </w:rPr>
                    <w:t>.0098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453" w:type="pct"/>
                  <w:vAlign w:val="center"/>
                </w:tcPr>
                <w:p>
                  <w:pPr>
                    <w:pStyle w:val="85"/>
                    <w:rPr>
                      <w:sz w:val="21"/>
                      <w:szCs w:val="21"/>
                    </w:rPr>
                  </w:pPr>
                  <w:r>
                    <w:rPr>
                      <w:color w:val="000000"/>
                      <w:sz w:val="21"/>
                      <w:szCs w:val="21"/>
                    </w:rPr>
                    <w:t>纤维</w:t>
                  </w:r>
                </w:p>
              </w:tc>
              <w:tc>
                <w:tcPr>
                  <w:tcW w:w="998" w:type="pct"/>
                  <w:vAlign w:val="center"/>
                </w:tcPr>
                <w:p>
                  <w:pPr>
                    <w:pStyle w:val="85"/>
                    <w:rPr>
                      <w:sz w:val="21"/>
                      <w:szCs w:val="21"/>
                    </w:rPr>
                  </w:pPr>
                  <w:r>
                    <w:rPr>
                      <w:color w:val="000000"/>
                      <w:sz w:val="21"/>
                      <w:szCs w:val="21"/>
                    </w:rPr>
                    <w:t>50</w:t>
                  </w:r>
                </w:p>
              </w:tc>
              <w:tc>
                <w:tcPr>
                  <w:tcW w:w="1400" w:type="pct"/>
                  <w:vAlign w:val="center"/>
                </w:tcPr>
                <w:p>
                  <w:pPr>
                    <w:pStyle w:val="85"/>
                    <w:rPr>
                      <w:sz w:val="21"/>
                      <w:szCs w:val="21"/>
                    </w:rPr>
                  </w:pPr>
                  <w:r>
                    <w:rPr>
                      <w:rFonts w:hint="eastAsia"/>
                      <w:sz w:val="21"/>
                      <w:szCs w:val="21"/>
                    </w:rPr>
                    <w:t>/</w:t>
                  </w:r>
                </w:p>
              </w:tc>
              <w:tc>
                <w:tcPr>
                  <w:tcW w:w="1149" w:type="pct"/>
                  <w:vAlign w:val="center"/>
                </w:tcPr>
                <w:p>
                  <w:pPr>
                    <w:pStyle w:val="85"/>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rFonts w:hint="eastAsia"/>
                      <w:sz w:val="21"/>
                      <w:szCs w:val="21"/>
                    </w:rPr>
                    <w:t>4</w:t>
                  </w:r>
                  <w:r>
                    <w:rPr>
                      <w:sz w:val="21"/>
                      <w:szCs w:val="21"/>
                    </w:rPr>
                    <w:t>90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rFonts w:hint="eastAsia"/>
                      <w:sz w:val="21"/>
                      <w:szCs w:val="21"/>
                    </w:rPr>
                    <w:t>4</w:t>
                  </w:r>
                  <w:r>
                    <w:rPr>
                      <w:sz w:val="21"/>
                      <w:szCs w:val="21"/>
                    </w:rPr>
                    <w:t>90</w:t>
                  </w:r>
                </w:p>
              </w:tc>
            </w:tr>
          </w:tbl>
          <w:p>
            <w:pPr>
              <w:spacing w:line="240" w:lineRule="auto"/>
              <w:ind w:firstLine="422"/>
              <w:jc w:val="center"/>
              <w:rPr>
                <w:b/>
              </w:rPr>
            </w:pPr>
            <w:r>
              <w:rPr>
                <w:rFonts w:cs="Times New Roman"/>
                <w:b/>
                <w:sz w:val="21"/>
                <w:szCs w:val="21"/>
              </w:rPr>
              <w:t xml:space="preserve">表2-12  </w:t>
            </w:r>
            <w:r>
              <w:rPr>
                <w:rFonts w:hint="eastAsia" w:cs="Times New Roman"/>
                <w:b/>
                <w:sz w:val="21"/>
                <w:szCs w:val="21"/>
              </w:rPr>
              <w:t>液态水泥养护环保材料</w:t>
            </w:r>
            <w:r>
              <w:rPr>
                <w:rFonts w:cs="Times New Roman"/>
                <w:b/>
                <w:sz w:val="21"/>
                <w:szCs w:val="21"/>
              </w:rPr>
              <w:t>物料平衡表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1696"/>
              <w:gridCol w:w="2379"/>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53" w:type="pct"/>
                  <w:vAlign w:val="center"/>
                </w:tcPr>
                <w:p>
                  <w:pPr>
                    <w:pStyle w:val="85"/>
                    <w:rPr>
                      <w:sz w:val="21"/>
                      <w:szCs w:val="21"/>
                    </w:rPr>
                  </w:pPr>
                  <w:r>
                    <w:rPr>
                      <w:sz w:val="21"/>
                      <w:szCs w:val="21"/>
                    </w:rPr>
                    <w:t>原料</w:t>
                  </w:r>
                </w:p>
              </w:tc>
              <w:tc>
                <w:tcPr>
                  <w:tcW w:w="998" w:type="pct"/>
                  <w:vAlign w:val="center"/>
                </w:tcPr>
                <w:p>
                  <w:pPr>
                    <w:pStyle w:val="85"/>
                    <w:rPr>
                      <w:sz w:val="21"/>
                      <w:szCs w:val="21"/>
                    </w:rPr>
                  </w:pPr>
                  <w:r>
                    <w:rPr>
                      <w:sz w:val="21"/>
                      <w:szCs w:val="21"/>
                    </w:rPr>
                    <w:t>进料量（t/a）</w:t>
                  </w:r>
                </w:p>
              </w:tc>
              <w:tc>
                <w:tcPr>
                  <w:tcW w:w="1400" w:type="pct"/>
                  <w:vAlign w:val="center"/>
                </w:tcPr>
                <w:p>
                  <w:pPr>
                    <w:pStyle w:val="85"/>
                    <w:rPr>
                      <w:sz w:val="21"/>
                      <w:szCs w:val="21"/>
                    </w:rPr>
                  </w:pPr>
                  <w:r>
                    <w:rPr>
                      <w:sz w:val="21"/>
                      <w:szCs w:val="21"/>
                    </w:rPr>
                    <w:t>产品</w:t>
                  </w:r>
                </w:p>
              </w:tc>
              <w:tc>
                <w:tcPr>
                  <w:tcW w:w="1149" w:type="pct"/>
                  <w:vAlign w:val="center"/>
                </w:tcPr>
                <w:p>
                  <w:pPr>
                    <w:pStyle w:val="85"/>
                    <w:rPr>
                      <w:sz w:val="21"/>
                      <w:szCs w:val="21"/>
                    </w:rPr>
                  </w:pPr>
                  <w:r>
                    <w:rPr>
                      <w:sz w:val="21"/>
                      <w:szCs w:val="21"/>
                    </w:rPr>
                    <w:t>产生量（t/a）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pStyle w:val="85"/>
                    <w:rPr>
                      <w:sz w:val="21"/>
                      <w:szCs w:val="21"/>
                    </w:rPr>
                  </w:pPr>
                  <w:r>
                    <w:rPr>
                      <w:color w:val="000000"/>
                      <w:sz w:val="21"/>
                      <w:szCs w:val="21"/>
                    </w:rPr>
                    <w:t>高纯度硅烷</w:t>
                  </w:r>
                </w:p>
              </w:tc>
              <w:tc>
                <w:tcPr>
                  <w:tcW w:w="998" w:type="pct"/>
                  <w:vAlign w:val="center"/>
                </w:tcPr>
                <w:p>
                  <w:pPr>
                    <w:pStyle w:val="85"/>
                    <w:rPr>
                      <w:sz w:val="21"/>
                      <w:szCs w:val="21"/>
                    </w:rPr>
                  </w:pPr>
                  <w:r>
                    <w:rPr>
                      <w:rFonts w:hint="eastAsia"/>
                      <w:sz w:val="21"/>
                      <w:szCs w:val="21"/>
                    </w:rPr>
                    <w:t>9</w:t>
                  </w:r>
                </w:p>
              </w:tc>
              <w:tc>
                <w:tcPr>
                  <w:tcW w:w="1400" w:type="pct"/>
                  <w:vAlign w:val="center"/>
                </w:tcPr>
                <w:p>
                  <w:pPr>
                    <w:pStyle w:val="85"/>
                    <w:rPr>
                      <w:sz w:val="21"/>
                      <w:szCs w:val="21"/>
                    </w:rPr>
                  </w:pPr>
                  <w:r>
                    <w:rPr>
                      <w:rFonts w:hint="eastAsia"/>
                      <w:color w:val="000000"/>
                      <w:sz w:val="21"/>
                      <w:szCs w:val="21"/>
                    </w:rPr>
                    <w:t>液态水泥养护环保材料</w:t>
                  </w:r>
                </w:p>
              </w:tc>
              <w:tc>
                <w:tcPr>
                  <w:tcW w:w="1149" w:type="pct"/>
                  <w:vAlign w:val="center"/>
                </w:tcPr>
                <w:p>
                  <w:pPr>
                    <w:pStyle w:val="85"/>
                    <w:rPr>
                      <w:sz w:val="21"/>
                      <w:szCs w:val="21"/>
                    </w:rPr>
                  </w:pPr>
                  <w:r>
                    <w:rPr>
                      <w:rFonts w:hint="eastAsia"/>
                      <w:sz w:val="21"/>
                      <w:szCs w:val="21"/>
                    </w:rPr>
                    <w:t>9</w:t>
                  </w:r>
                  <w:r>
                    <w:rPr>
                      <w:sz w:val="21"/>
                      <w:szCs w:val="21"/>
                    </w:rPr>
                    <w:t>.996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453" w:type="pct"/>
                  <w:vAlign w:val="center"/>
                </w:tcPr>
                <w:p>
                  <w:pPr>
                    <w:widowControl/>
                    <w:spacing w:line="240" w:lineRule="auto"/>
                    <w:ind w:firstLine="0" w:firstLineChars="0"/>
                    <w:jc w:val="center"/>
                    <w:rPr>
                      <w:rFonts w:cs="Times New Roman"/>
                      <w:sz w:val="21"/>
                      <w:szCs w:val="21"/>
                    </w:rPr>
                  </w:pPr>
                  <w:r>
                    <w:rPr>
                      <w:rFonts w:cs="Times New Roman"/>
                      <w:color w:val="000000"/>
                      <w:kern w:val="0"/>
                      <w:sz w:val="21"/>
                      <w:szCs w:val="21"/>
                    </w:rPr>
                    <w:t>稳定剂</w:t>
                  </w:r>
                </w:p>
              </w:tc>
              <w:tc>
                <w:tcPr>
                  <w:tcW w:w="998" w:type="pct"/>
                  <w:vAlign w:val="center"/>
                </w:tcPr>
                <w:p>
                  <w:pPr>
                    <w:pStyle w:val="85"/>
                    <w:rPr>
                      <w:sz w:val="21"/>
                      <w:szCs w:val="21"/>
                    </w:rPr>
                  </w:pPr>
                  <w:r>
                    <w:rPr>
                      <w:rFonts w:hint="eastAsia"/>
                      <w:sz w:val="21"/>
                      <w:szCs w:val="21"/>
                    </w:rPr>
                    <w:t>1</w:t>
                  </w:r>
                </w:p>
              </w:tc>
              <w:tc>
                <w:tcPr>
                  <w:tcW w:w="1400" w:type="pct"/>
                  <w:vAlign w:val="center"/>
                </w:tcPr>
                <w:p>
                  <w:pPr>
                    <w:pStyle w:val="85"/>
                    <w:rPr>
                      <w:sz w:val="21"/>
                      <w:szCs w:val="21"/>
                    </w:rPr>
                  </w:pPr>
                  <w:r>
                    <w:rPr>
                      <w:rFonts w:hint="eastAsia"/>
                      <w:sz w:val="21"/>
                      <w:szCs w:val="21"/>
                    </w:rPr>
                    <w:t>非甲烷总烃</w:t>
                  </w:r>
                </w:p>
              </w:tc>
              <w:tc>
                <w:tcPr>
                  <w:tcW w:w="1149" w:type="pct"/>
                  <w:vAlign w:val="center"/>
                </w:tcPr>
                <w:p>
                  <w:pPr>
                    <w:pStyle w:val="85"/>
                    <w:rPr>
                      <w:sz w:val="21"/>
                      <w:szCs w:val="21"/>
                    </w:rPr>
                  </w:pPr>
                  <w:r>
                    <w:rPr>
                      <w:sz w:val="21"/>
                      <w:szCs w:val="21"/>
                    </w:rPr>
                    <w:t>0.004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53" w:type="pct"/>
                  <w:vAlign w:val="center"/>
                </w:tcPr>
                <w:p>
                  <w:pPr>
                    <w:pStyle w:val="85"/>
                    <w:rPr>
                      <w:sz w:val="21"/>
                      <w:szCs w:val="21"/>
                    </w:rPr>
                  </w:pPr>
                  <w:r>
                    <w:rPr>
                      <w:sz w:val="21"/>
                      <w:szCs w:val="21"/>
                    </w:rPr>
                    <w:t>总计</w:t>
                  </w:r>
                </w:p>
              </w:tc>
              <w:tc>
                <w:tcPr>
                  <w:tcW w:w="998" w:type="pct"/>
                  <w:vAlign w:val="center"/>
                </w:tcPr>
                <w:p>
                  <w:pPr>
                    <w:pStyle w:val="85"/>
                    <w:rPr>
                      <w:sz w:val="21"/>
                      <w:szCs w:val="21"/>
                    </w:rPr>
                  </w:pPr>
                  <w:r>
                    <w:rPr>
                      <w:rFonts w:hint="eastAsia"/>
                      <w:sz w:val="21"/>
                      <w:szCs w:val="21"/>
                    </w:rPr>
                    <w:t>1</w:t>
                  </w:r>
                  <w:r>
                    <w:rPr>
                      <w:sz w:val="21"/>
                      <w:szCs w:val="21"/>
                    </w:rPr>
                    <w:t>0</w:t>
                  </w:r>
                </w:p>
              </w:tc>
              <w:tc>
                <w:tcPr>
                  <w:tcW w:w="1400" w:type="pct"/>
                  <w:vAlign w:val="center"/>
                </w:tcPr>
                <w:p>
                  <w:pPr>
                    <w:pStyle w:val="85"/>
                    <w:rPr>
                      <w:sz w:val="21"/>
                      <w:szCs w:val="21"/>
                    </w:rPr>
                  </w:pPr>
                  <w:r>
                    <w:rPr>
                      <w:sz w:val="21"/>
                      <w:szCs w:val="21"/>
                    </w:rPr>
                    <w:t>总计</w:t>
                  </w:r>
                </w:p>
              </w:tc>
              <w:tc>
                <w:tcPr>
                  <w:tcW w:w="1149" w:type="pct"/>
                  <w:vAlign w:val="center"/>
                </w:tcPr>
                <w:p>
                  <w:pPr>
                    <w:pStyle w:val="85"/>
                    <w:rPr>
                      <w:sz w:val="21"/>
                      <w:szCs w:val="21"/>
                    </w:rPr>
                  </w:pPr>
                  <w:r>
                    <w:rPr>
                      <w:rFonts w:hint="eastAsia"/>
                      <w:sz w:val="21"/>
                      <w:szCs w:val="21"/>
                    </w:rPr>
                    <w:t>1</w:t>
                  </w:r>
                  <w:r>
                    <w:rPr>
                      <w:sz w:val="21"/>
                      <w:szCs w:val="21"/>
                    </w:rPr>
                    <w:t>0</w:t>
                  </w:r>
                </w:p>
              </w:tc>
            </w:tr>
          </w:tbl>
          <w:p>
            <w:pPr>
              <w:pStyle w:val="6"/>
            </w:pPr>
            <w:r>
              <w:t>2.4</w:t>
            </w:r>
            <w:r>
              <w:rPr>
                <w:rFonts w:hint="eastAsia"/>
              </w:rPr>
              <w:t>劳动定员及工作制度</w:t>
            </w:r>
          </w:p>
          <w:bookmarkEnd w:id="15"/>
          <w:p>
            <w:pPr>
              <w:pStyle w:val="6"/>
              <w:ind w:firstLine="480" w:firstLineChars="200"/>
              <w:rPr>
                <w:rFonts w:cs="Times New Roman"/>
                <w:b w:val="0"/>
                <w:bCs w:val="0"/>
                <w:color w:val="000000" w:themeColor="text1"/>
                <w:szCs w:val="22"/>
                <w14:textFill>
                  <w14:solidFill>
                    <w14:schemeClr w14:val="tx1"/>
                  </w14:solidFill>
                </w14:textFill>
              </w:rPr>
            </w:pPr>
            <w:r>
              <w:rPr>
                <w:rFonts w:hint="eastAsia" w:cs="Times New Roman"/>
                <w:b w:val="0"/>
                <w:bCs w:val="0"/>
                <w:color w:val="000000" w:themeColor="text1"/>
                <w:szCs w:val="22"/>
                <w14:textFill>
                  <w14:solidFill>
                    <w14:schemeClr w14:val="tx1"/>
                  </w14:solidFill>
                </w14:textFill>
              </w:rPr>
              <w:t>本项目年工作2</w:t>
            </w:r>
            <w:r>
              <w:rPr>
                <w:rFonts w:cs="Times New Roman"/>
                <w:b w:val="0"/>
                <w:bCs w:val="0"/>
                <w:color w:val="000000" w:themeColor="text1"/>
                <w:szCs w:val="22"/>
                <w14:textFill>
                  <w14:solidFill>
                    <w14:schemeClr w14:val="tx1"/>
                  </w14:solidFill>
                </w14:textFill>
              </w:rPr>
              <w:t>70</w:t>
            </w:r>
            <w:r>
              <w:rPr>
                <w:rFonts w:hint="eastAsia" w:cs="Times New Roman"/>
                <w:b w:val="0"/>
                <w:bCs w:val="0"/>
                <w:color w:val="000000" w:themeColor="text1"/>
                <w:szCs w:val="22"/>
                <w14:textFill>
                  <w14:solidFill>
                    <w14:schemeClr w14:val="tx1"/>
                  </w14:solidFill>
                </w14:textFill>
              </w:rPr>
              <w:t>天，每天</w:t>
            </w:r>
            <w:r>
              <w:rPr>
                <w:rFonts w:cs="Times New Roman"/>
                <w:b w:val="0"/>
                <w:bCs w:val="0"/>
                <w:color w:val="000000" w:themeColor="text1"/>
                <w:szCs w:val="22"/>
                <w14:textFill>
                  <w14:solidFill>
                    <w14:schemeClr w14:val="tx1"/>
                  </w14:solidFill>
                </w14:textFill>
              </w:rPr>
              <w:t>8</w:t>
            </w:r>
            <w:r>
              <w:rPr>
                <w:rFonts w:hint="eastAsia" w:cs="Times New Roman"/>
                <w:b w:val="0"/>
                <w:bCs w:val="0"/>
                <w:color w:val="000000" w:themeColor="text1"/>
                <w:szCs w:val="22"/>
                <w14:textFill>
                  <w14:solidFill>
                    <w14:schemeClr w14:val="tx1"/>
                  </w14:solidFill>
                </w14:textFill>
              </w:rPr>
              <w:t>小时工作制，劳动定员</w:t>
            </w:r>
            <w:r>
              <w:rPr>
                <w:rFonts w:cs="Times New Roman"/>
                <w:b w:val="0"/>
                <w:bCs w:val="0"/>
                <w:color w:val="000000" w:themeColor="text1"/>
                <w:szCs w:val="22"/>
                <w14:textFill>
                  <w14:solidFill>
                    <w14:schemeClr w14:val="tx1"/>
                  </w14:solidFill>
                </w14:textFill>
              </w:rPr>
              <w:t>20</w:t>
            </w:r>
            <w:r>
              <w:rPr>
                <w:rFonts w:hint="eastAsia" w:cs="Times New Roman"/>
                <w:b w:val="0"/>
                <w:bCs w:val="0"/>
                <w:color w:val="000000" w:themeColor="text1"/>
                <w:szCs w:val="22"/>
                <w14:textFill>
                  <w14:solidFill>
                    <w14:schemeClr w14:val="tx1"/>
                  </w14:solidFill>
                </w14:textFill>
              </w:rPr>
              <w:t>人。</w:t>
            </w:r>
          </w:p>
          <w:p>
            <w:pPr>
              <w:pStyle w:val="6"/>
              <w:rPr>
                <w:color w:val="000000" w:themeColor="text1"/>
                <w14:textFill>
                  <w14:solidFill>
                    <w14:schemeClr w14:val="tx1"/>
                  </w14:solidFill>
                </w14:textFill>
              </w:rPr>
            </w:pPr>
            <w:r>
              <w:rPr>
                <w:color w:val="000000" w:themeColor="text1"/>
                <w14:textFill>
                  <w14:solidFill>
                    <w14:schemeClr w14:val="tx1"/>
                  </w14:solidFill>
                </w14:textFill>
              </w:rPr>
              <w:t>2.5</w:t>
            </w:r>
            <w:r>
              <w:rPr>
                <w:rFonts w:hint="eastAsia"/>
                <w:color w:val="000000" w:themeColor="text1"/>
                <w14:textFill>
                  <w14:solidFill>
                    <w14:schemeClr w14:val="tx1"/>
                  </w14:solidFill>
                </w14:textFill>
              </w:rPr>
              <w:t>选址及总平面布置</w:t>
            </w:r>
            <w:bookmarkEnd w:id="16"/>
          </w:p>
          <w:p>
            <w:pPr>
              <w:ind w:firstLine="480"/>
            </w:pPr>
            <w:r>
              <w:rPr>
                <w:rFonts w:ascii="Segoe UI" w:hAnsi="Segoe UI" w:cs="Segoe UI"/>
                <w:color w:val="0F1115"/>
                <w:shd w:val="clear" w:color="auto" w:fill="FFFFFF"/>
              </w:rPr>
              <w:t>根据项目功能要求及场地地形条件，厂区采用矩形布局，整体地势较为平坦</w:t>
            </w:r>
            <w:r>
              <w:rPr>
                <w:rFonts w:hint="eastAsia" w:ascii="Segoe UI" w:hAnsi="Segoe UI" w:cs="Segoe UI"/>
                <w:color w:val="0F1115"/>
                <w:shd w:val="clear" w:color="auto" w:fill="FFFFFF"/>
              </w:rPr>
              <w:t>。</w:t>
            </w:r>
            <w:r>
              <w:rPr>
                <w:rFonts w:ascii="Segoe UI" w:hAnsi="Segoe UI" w:cs="Segoe UI"/>
                <w:color w:val="0F1115"/>
                <w:shd w:val="clear" w:color="auto" w:fill="FFFFFF"/>
              </w:rPr>
              <w:t>厂区中部设生产车间。原材料库房位于生产车间西侧；成品库房位于生产车间东侧。原料库与成品库均紧邻生产区，便于物料高效转运，缩短运输距离。厂区西侧设主出入口，利于原料输入与产品输出</w:t>
            </w:r>
            <w:r>
              <w:rPr>
                <w:rFonts w:hint="eastAsia" w:ascii="Segoe UI" w:hAnsi="Segoe UI" w:cs="Segoe UI"/>
                <w:color w:val="0F1115"/>
                <w:shd w:val="clear" w:color="auto" w:fill="FFFFFF"/>
              </w:rPr>
              <w:t>。</w:t>
            </w:r>
            <w:r>
              <w:rPr>
                <w:rFonts w:ascii="Segoe UI" w:hAnsi="Segoe UI" w:cs="Segoe UI"/>
                <w:color w:val="0F1115"/>
                <w:shd w:val="clear" w:color="auto" w:fill="FFFFFF"/>
              </w:rPr>
              <w:t>办公楼位于</w:t>
            </w:r>
            <w:r>
              <w:rPr>
                <w:rFonts w:hint="eastAsia" w:ascii="Segoe UI" w:hAnsi="Segoe UI" w:cs="Segoe UI"/>
                <w:color w:val="0F1115"/>
                <w:shd w:val="clear" w:color="auto" w:fill="FFFFFF"/>
              </w:rPr>
              <w:t>生产车间</w:t>
            </w:r>
            <w:r>
              <w:rPr>
                <w:rFonts w:ascii="Segoe UI" w:hAnsi="Segoe UI" w:cs="Segoe UI"/>
                <w:color w:val="0F1115"/>
                <w:shd w:val="clear" w:color="auto" w:fill="FFFFFF"/>
              </w:rPr>
              <w:t>南侧。变</w:t>
            </w:r>
            <w:r>
              <w:rPr>
                <w:rFonts w:hint="eastAsia" w:ascii="Segoe UI" w:hAnsi="Segoe UI" w:cs="Segoe UI"/>
                <w:color w:val="0F1115"/>
                <w:shd w:val="clear" w:color="auto" w:fill="FFFFFF"/>
              </w:rPr>
              <w:t>配</w:t>
            </w:r>
            <w:r>
              <w:rPr>
                <w:rFonts w:ascii="Segoe UI" w:hAnsi="Segoe UI" w:cs="Segoe UI"/>
                <w:color w:val="0F1115"/>
                <w:shd w:val="clear" w:color="auto" w:fill="FFFFFF"/>
              </w:rPr>
              <w:t>电室独立设置于办公楼附近。危险废物贮存库位于厂区东南侧，独立设置，满足安全防护要求</w:t>
            </w:r>
            <w:r>
              <w:rPr>
                <w:rFonts w:hint="eastAsia" w:ascii="Segoe UI" w:hAnsi="Segoe UI" w:cs="Segoe UI"/>
                <w:color w:val="0F1115"/>
                <w:shd w:val="clear" w:color="auto" w:fill="FFFFFF"/>
              </w:rPr>
              <w:t>。</w:t>
            </w:r>
          </w:p>
          <w:p>
            <w:pPr>
              <w:ind w:firstLine="480"/>
              <w:rPr>
                <w:rFonts w:ascii="Segoe UI" w:hAnsi="Segoe UI" w:cs="Segoe UI"/>
                <w:color w:val="0F1115"/>
                <w:shd w:val="clear" w:color="auto" w:fill="FFFFFF"/>
              </w:rPr>
            </w:pPr>
            <w:r>
              <w:rPr>
                <w:rFonts w:ascii="Segoe UI" w:hAnsi="Segoe UI" w:cs="Segoe UI"/>
                <w:color w:val="0F1115"/>
                <w:shd w:val="clear" w:color="auto" w:fill="FFFFFF"/>
              </w:rPr>
              <w:t>本项目为新建工程，厂区目前为空地，所有建（构）筑物均按规划重新建设。整体布置结合生产工艺要求，功能分区明确，物流运输顺畅，加工转运便捷，能够满足项目生产需求。</w:t>
            </w:r>
          </w:p>
          <w:p>
            <w:pPr>
              <w:ind w:firstLine="480"/>
            </w:pPr>
            <w:r>
              <w:rPr>
                <w:rFonts w:hint="eastAsia"/>
              </w:rPr>
              <w:t>综上所述，本项目总平面布置功能分区明确，各项配套设施均在整体布局中统筹考虑，且兼顾环保要求。从环境保护角度分析，厂区总平面布置是合理的。厂区平面图见附图2。</w:t>
            </w:r>
          </w:p>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公用工程</w:t>
            </w:r>
          </w:p>
          <w:p>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.6.1</w:t>
            </w:r>
            <w:r>
              <w:rPr>
                <w:rFonts w:hint="eastAsia"/>
                <w:color w:val="000000" w:themeColor="text1"/>
                <w14:textFill>
                  <w14:solidFill>
                    <w14:schemeClr w14:val="tx1"/>
                  </w14:solidFill>
                </w14:textFill>
              </w:rPr>
              <w:t>给水</w:t>
            </w:r>
          </w:p>
          <w:p>
            <w:pPr>
              <w:ind w:firstLine="480"/>
            </w:pPr>
            <w:r>
              <w:rPr>
                <w:rFonts w:hint="eastAsia"/>
              </w:rPr>
              <w:t>本项目生产过程中无需用水。所用液体原料均为桶装即用型成品，开桶后直接投入搅拌机，不需调配或稀释。搅拌设备为小型搅拌机，物料混合后仅需采用压缩空气吹扫或干布擦拭进行清理，不涉及设备清洗用水。</w:t>
            </w:r>
          </w:p>
          <w:p>
            <w:pPr>
              <w:ind w:firstLine="480"/>
            </w:pPr>
            <w:r>
              <w:rPr>
                <w:rFonts w:ascii="Segoe UI" w:hAnsi="Segoe UI" w:cs="Segoe UI"/>
                <w:color w:val="0F1115"/>
                <w:shd w:val="clear" w:color="auto" w:fill="FFFFFF"/>
              </w:rPr>
              <w:t>因此，</w:t>
            </w:r>
            <w:r>
              <w:rPr>
                <w:rFonts w:hint="eastAsia"/>
              </w:rPr>
              <w:t>本项目用水主要包括生活用水，由园区供水系统供给</w:t>
            </w:r>
            <w:r>
              <w:t>。</w:t>
            </w:r>
          </w:p>
          <w:p>
            <w:pPr>
              <w:ind w:firstLine="480"/>
            </w:pPr>
            <w:r>
              <w:rPr>
                <w:rFonts w:hint="eastAsia"/>
              </w:rPr>
              <w:t>生活用水参照《新疆维吾尔自治区生活用水定额标准》，本项目劳动定员为</w:t>
            </w:r>
            <w:r>
              <w:t>20</w:t>
            </w:r>
            <w:r>
              <w:rPr>
                <w:rFonts w:hint="eastAsia"/>
              </w:rPr>
              <w:t>人，年工作时间为2</w:t>
            </w:r>
            <w:r>
              <w:t>7</w:t>
            </w:r>
            <w:r>
              <w:rPr>
                <w:rFonts w:hint="eastAsia"/>
              </w:rPr>
              <w:t>0天，人员用水量按</w:t>
            </w:r>
            <w:r>
              <w:t>80</w:t>
            </w:r>
            <w:r>
              <w:rPr>
                <w:rFonts w:hint="eastAsia"/>
              </w:rPr>
              <w:t>L/人·d计，生活用水量为</w:t>
            </w:r>
            <w:r>
              <w:t>1.6</w:t>
            </w:r>
            <w:r>
              <w:rPr>
                <w:rFonts w:hint="eastAsia"/>
              </w:rPr>
              <w:t>m</w:t>
            </w:r>
            <w:r>
              <w:rPr>
                <w:rFonts w:hint="eastAsia"/>
                <w:vertAlign w:val="superscript"/>
              </w:rPr>
              <w:t>3</w:t>
            </w:r>
            <w:r>
              <w:rPr>
                <w:rFonts w:hint="eastAsia"/>
              </w:rPr>
              <w:t>/d，</w:t>
            </w:r>
            <w:r>
              <w:t>432</w:t>
            </w:r>
            <w:r>
              <w:rPr>
                <w:rFonts w:hint="eastAsia"/>
              </w:rPr>
              <w:t>m</w:t>
            </w:r>
            <w:r>
              <w:rPr>
                <w:rFonts w:hint="eastAsia"/>
                <w:vertAlign w:val="superscript"/>
              </w:rPr>
              <w:t>3</w:t>
            </w:r>
            <w:r>
              <w:rPr>
                <w:rFonts w:hint="eastAsia"/>
              </w:rPr>
              <w:t>/a。</w:t>
            </w:r>
          </w:p>
          <w:p>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.6.2</w:t>
            </w:r>
            <w:r>
              <w:rPr>
                <w:rFonts w:hint="eastAsia"/>
                <w:color w:val="000000" w:themeColor="text1"/>
                <w14:textFill>
                  <w14:solidFill>
                    <w14:schemeClr w14:val="tx1"/>
                  </w14:solidFill>
                </w14:textFill>
              </w:rPr>
              <w:t>排水</w:t>
            </w:r>
          </w:p>
          <w:p>
            <w:pPr>
              <w:ind w:firstLine="480"/>
              <w:rPr>
                <w:rFonts w:cs="Times New Roman"/>
              </w:rPr>
            </w:pPr>
            <w:r>
              <w:rPr>
                <w:rFonts w:hint="eastAsia" w:cs="Times New Roman"/>
              </w:rPr>
              <w:t>本项目产生的废水主要为生活污水</w:t>
            </w:r>
            <w:r>
              <w:rPr>
                <w:rFonts w:cs="Times New Roman"/>
              </w:rPr>
              <w:t>。</w:t>
            </w:r>
          </w:p>
          <w:p>
            <w:pPr>
              <w:ind w:firstLine="480"/>
              <w:rPr>
                <w:rFonts w:cs="Times New Roman"/>
              </w:rPr>
            </w:pPr>
            <w:r>
              <w:rPr>
                <w:rFonts w:hint="eastAsia"/>
                <w:color w:val="000000" w:themeColor="text1"/>
                <w14:textFill>
                  <w14:solidFill>
                    <w14:schemeClr w14:val="tx1"/>
                  </w14:solidFill>
                </w14:textFill>
              </w:rPr>
              <w:t>生活</w:t>
            </w:r>
            <w:r>
              <w:rPr>
                <w:rFonts w:hint="eastAsia"/>
              </w:rPr>
              <w:t>污水产生量按照产生系数0.8计，则生活污水排放量为</w:t>
            </w:r>
            <w:r>
              <w:t>1.28</w:t>
            </w:r>
            <w:r>
              <w:rPr>
                <w:rFonts w:hint="eastAsia"/>
              </w:rPr>
              <w:t>m</w:t>
            </w:r>
            <w:r>
              <w:rPr>
                <w:rFonts w:hint="eastAsia"/>
                <w:vertAlign w:val="superscript"/>
              </w:rPr>
              <w:t>3</w:t>
            </w:r>
            <w:r>
              <w:rPr>
                <w:rFonts w:hint="eastAsia"/>
              </w:rPr>
              <w:t>/d，</w:t>
            </w:r>
            <w:r>
              <w:t>345.6</w:t>
            </w:r>
            <w:r>
              <w:rPr>
                <w:rFonts w:hint="eastAsia"/>
              </w:rPr>
              <w:t>m</w:t>
            </w:r>
            <w:r>
              <w:rPr>
                <w:rFonts w:hint="eastAsia"/>
                <w:vertAlign w:val="superscript"/>
              </w:rPr>
              <w:t>3</w:t>
            </w:r>
            <w:r>
              <w:rPr>
                <w:rFonts w:hint="eastAsia"/>
              </w:rPr>
              <w:t>/a</w:t>
            </w:r>
            <w:r>
              <w:rPr>
                <w:rFonts w:hint="eastAsia"/>
                <w:color w:val="000000" w:themeColor="text1"/>
                <w14:textFill>
                  <w14:solidFill>
                    <w14:schemeClr w14:val="tx1"/>
                  </w14:solidFill>
                </w14:textFill>
              </w:rPr>
              <w:t>。生活污水</w:t>
            </w:r>
            <w:r>
              <w:rPr>
                <w:rFonts w:hint="eastAsia"/>
              </w:rPr>
              <w:t>进入厂区化粪池进行预处理后，排入园区管网，最终进入和静县污水处理厂处理。</w:t>
            </w:r>
          </w:p>
          <w:p>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.6.3</w:t>
            </w:r>
            <w:r>
              <w:rPr>
                <w:rFonts w:hint="eastAsia"/>
                <w:color w:val="000000" w:themeColor="text1"/>
                <w14:textFill>
                  <w14:solidFill>
                    <w14:schemeClr w14:val="tx1"/>
                  </w14:solidFill>
                </w14:textFill>
              </w:rPr>
              <w:t>供热</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生产线采用电导热油炉加热，供暖采用电采暖。</w:t>
            </w:r>
          </w:p>
          <w:p>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.6.4</w:t>
            </w:r>
            <w:r>
              <w:rPr>
                <w:rFonts w:hint="eastAsia"/>
                <w:color w:val="000000" w:themeColor="text1"/>
                <w14:textFill>
                  <w14:solidFill>
                    <w14:schemeClr w14:val="tx1"/>
                  </w14:solidFill>
                </w14:textFill>
              </w:rPr>
              <w:t>供电</w:t>
            </w:r>
          </w:p>
          <w:p>
            <w:pPr>
              <w:ind w:firstLine="480"/>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园区电网供电。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457" w:type="dxa"/>
            <w:vAlign w:val="center"/>
          </w:tcPr>
          <w:p>
            <w:pPr>
              <w:widowControl/>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工艺流程和产排污环节</w:t>
            </w:r>
          </w:p>
        </w:tc>
        <w:tc>
          <w:tcPr>
            <w:tcW w:w="8603" w:type="dxa"/>
          </w:tcPr>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工艺流程与产污环节分析</w:t>
            </w:r>
          </w:p>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.7.1施工期工艺流程和产排污环节</w:t>
            </w:r>
          </w:p>
          <w:p>
            <w:pPr>
              <w:ind w:firstLine="480"/>
              <w:textAlignment w:val="auto"/>
            </w:pPr>
            <w:r>
              <w:rPr>
                <w:rFonts w:ascii="Segoe UI" w:hAnsi="Segoe UI" w:cs="Segoe UI"/>
                <w:color w:val="0F1115"/>
                <w:shd w:val="clear" w:color="auto" w:fill="FFFFFF"/>
              </w:rPr>
              <w:t>本项目建设</w:t>
            </w:r>
            <w:r>
              <w:rPr>
                <w:rFonts w:hint="eastAsia" w:ascii="Segoe UI" w:hAnsi="Segoe UI" w:cs="Segoe UI"/>
                <w:color w:val="0F1115"/>
                <w:shd w:val="clear" w:color="auto" w:fill="FFFFFF"/>
              </w:rPr>
              <w:t>生产车间</w:t>
            </w:r>
            <w:r>
              <w:rPr>
                <w:rFonts w:ascii="Segoe UI" w:hAnsi="Segoe UI" w:cs="Segoe UI"/>
                <w:color w:val="0F1115"/>
                <w:shd w:val="clear" w:color="auto" w:fill="FFFFFF"/>
              </w:rPr>
              <w:t>等主体工程，以及</w:t>
            </w:r>
            <w:r>
              <w:rPr>
                <w:rFonts w:hint="eastAsia" w:ascii="Segoe UI" w:hAnsi="Segoe UI" w:cs="Segoe UI"/>
                <w:color w:val="0F1115"/>
                <w:shd w:val="clear" w:color="auto" w:fill="FFFFFF"/>
              </w:rPr>
              <w:t>原材料库房</w:t>
            </w:r>
            <w:r>
              <w:rPr>
                <w:rFonts w:ascii="Segoe UI" w:hAnsi="Segoe UI" w:cs="Segoe UI"/>
                <w:color w:val="0F1115"/>
                <w:shd w:val="clear" w:color="auto" w:fill="FFFFFF"/>
              </w:rPr>
              <w:t>、成品</w:t>
            </w:r>
            <w:r>
              <w:rPr>
                <w:rFonts w:hint="eastAsia" w:ascii="Segoe UI" w:hAnsi="Segoe UI" w:cs="Segoe UI"/>
                <w:color w:val="0F1115"/>
                <w:shd w:val="clear" w:color="auto" w:fill="FFFFFF"/>
              </w:rPr>
              <w:t>库房</w:t>
            </w:r>
            <w:r>
              <w:rPr>
                <w:rFonts w:ascii="Segoe UI" w:hAnsi="Segoe UI" w:cs="Segoe UI"/>
                <w:color w:val="0F1115"/>
                <w:shd w:val="clear" w:color="auto" w:fill="FFFFFF"/>
              </w:rPr>
              <w:t>、</w:t>
            </w:r>
            <w:r>
              <w:rPr>
                <w:rFonts w:hint="eastAsia" w:ascii="Segoe UI" w:hAnsi="Segoe UI" w:cs="Segoe UI"/>
                <w:color w:val="0F1115"/>
                <w:shd w:val="clear" w:color="auto" w:fill="FFFFFF"/>
              </w:rPr>
              <w:t>消防水池</w:t>
            </w:r>
            <w:r>
              <w:rPr>
                <w:rFonts w:ascii="Segoe UI" w:hAnsi="Segoe UI" w:cs="Segoe UI"/>
                <w:color w:val="0F1115"/>
                <w:shd w:val="clear" w:color="auto" w:fill="FFFFFF"/>
              </w:rPr>
              <w:t>等配套辅助设施</w:t>
            </w:r>
            <w:r>
              <w:rPr>
                <w:rFonts w:hint="eastAsia"/>
              </w:rPr>
              <w:t>。施工过程中产生的污染物主要包括噪声、废气、废水以及固体废物，其主要产污环节与施工流程详见下图。</w:t>
            </w:r>
          </w:p>
          <w:p>
            <w:pPr>
              <w:ind w:firstLine="0" w:firstLineChars="0"/>
              <w:jc w:val="center"/>
              <w:textAlignment w:val="auto"/>
            </w:pPr>
            <w:r>
              <w:rPr>
                <w:rFonts w:ascii="Calibri" w:hAnsi="Calibri" w:cs="Times New Roman"/>
                <w:sz w:val="21"/>
                <w:szCs w:val="24"/>
              </w:rPr>
              <w:drawing>
                <wp:inline distT="0" distB="0" distL="0" distR="0">
                  <wp:extent cx="5737860" cy="1741805"/>
                  <wp:effectExtent l="19050" t="19050" r="1524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40416" cy="1742540"/>
                          </a:xfrm>
                          <a:prstGeom prst="rect">
                            <a:avLst/>
                          </a:prstGeom>
                          <a:noFill/>
                          <a:ln>
                            <a:solidFill>
                              <a:schemeClr val="tx1"/>
                            </a:solidFill>
                          </a:ln>
                        </pic:spPr>
                      </pic:pic>
                    </a:graphicData>
                  </a:graphic>
                </wp:inline>
              </w:drawing>
            </w:r>
          </w:p>
          <w:p>
            <w:pPr>
              <w:widowControl/>
              <w:ind w:firstLine="0" w:firstLineChars="0"/>
              <w:jc w:val="center"/>
              <w:textAlignment w:val="auto"/>
              <w:rPr>
                <w:rFonts w:cs="Times New Roman"/>
                <w:b/>
                <w:kern w:val="0"/>
                <w:sz w:val="21"/>
                <w:szCs w:val="21"/>
              </w:rPr>
            </w:pPr>
            <w:r>
              <w:rPr>
                <w:rFonts w:cs="Times New Roman"/>
                <w:b/>
                <w:kern w:val="0"/>
                <w:sz w:val="21"/>
                <w:szCs w:val="21"/>
              </w:rPr>
              <w:t>图</w:t>
            </w:r>
            <w:r>
              <w:rPr>
                <w:rFonts w:hint="eastAsia" w:cs="Times New Roman"/>
                <w:b/>
                <w:kern w:val="0"/>
                <w:sz w:val="21"/>
                <w:szCs w:val="21"/>
              </w:rPr>
              <w:t>2</w:t>
            </w:r>
            <w:r>
              <w:rPr>
                <w:rFonts w:cs="Times New Roman"/>
                <w:b/>
                <w:kern w:val="0"/>
                <w:sz w:val="21"/>
                <w:szCs w:val="21"/>
              </w:rPr>
              <w:t xml:space="preserve">-1  </w:t>
            </w:r>
            <w:r>
              <w:rPr>
                <w:rFonts w:hint="eastAsia" w:cs="Times New Roman"/>
                <w:b/>
                <w:kern w:val="0"/>
                <w:sz w:val="21"/>
                <w:szCs w:val="21"/>
              </w:rPr>
              <w:t>施工期</w:t>
            </w:r>
            <w:r>
              <w:rPr>
                <w:rFonts w:cs="Times New Roman"/>
                <w:b/>
                <w:kern w:val="0"/>
                <w:sz w:val="21"/>
                <w:szCs w:val="21"/>
              </w:rPr>
              <w:t>工艺流程及产污环节图</w:t>
            </w:r>
          </w:p>
          <w:p>
            <w:pPr>
              <w:ind w:firstLine="480"/>
            </w:pPr>
            <w:r>
              <w:rPr>
                <w:rFonts w:hint="eastAsia"/>
              </w:rPr>
              <w:t>废水：施工人员生活污水、施工作业废水。</w:t>
            </w:r>
          </w:p>
          <w:p>
            <w:pPr>
              <w:ind w:firstLine="480"/>
            </w:pPr>
            <w:r>
              <w:rPr>
                <w:rFonts w:hint="eastAsia"/>
              </w:rPr>
              <w:t>废气：施工扬尘、施工机械废气、车辆尾气。</w:t>
            </w:r>
          </w:p>
          <w:p>
            <w:pPr>
              <w:ind w:firstLine="480"/>
            </w:pPr>
            <w:r>
              <w:rPr>
                <w:rFonts w:hint="eastAsia"/>
              </w:rPr>
              <w:t>噪声：机械噪声、施工作业噪声、施工车辆噪声。</w:t>
            </w:r>
          </w:p>
          <w:p>
            <w:pPr>
              <w:ind w:firstLine="480"/>
            </w:pPr>
            <w:r>
              <w:rPr>
                <w:rFonts w:hint="eastAsia"/>
              </w:rPr>
              <w:t>固废：施工人员生活垃圾、建筑垃圾等。</w:t>
            </w:r>
          </w:p>
          <w:p>
            <w:pPr>
              <w:ind w:firstLine="480"/>
            </w:pPr>
            <w:r>
              <w:rPr>
                <w:rFonts w:hint="eastAsia"/>
              </w:rPr>
              <w:t>以上污染源和污染物均会对周围产生一定的环境影响，随着施工期的结束，影响也将结束。</w:t>
            </w:r>
          </w:p>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.7.2</w:t>
            </w:r>
            <w:r>
              <w:t>运营期生产工艺流程及产污环节</w:t>
            </w:r>
          </w:p>
          <w:p>
            <w:pPr>
              <w:ind w:firstLine="480"/>
              <w:rPr>
                <w:rFonts w:cs="Times New Roman"/>
                <w:szCs w:val="24"/>
              </w:rPr>
            </w:pPr>
            <w:bookmarkStart w:id="17" w:name="_Hlk228206211"/>
            <w:r>
              <w:rPr>
                <w:rFonts w:hint="eastAsia" w:cs="Times New Roman"/>
                <w:szCs w:val="24"/>
              </w:rPr>
              <w:t>生产工艺较为简单，主要为干粉与少量液体的混合过程，项目生产过程不需加水，仅在常温下搅拌混合，搅拌混合过程物料之间不发生化学反应。</w:t>
            </w:r>
          </w:p>
          <w:p>
            <w:pPr>
              <w:ind w:firstLine="482"/>
              <w:rPr>
                <w:rFonts w:cs="Times New Roman"/>
                <w:b/>
                <w:bCs/>
                <w:szCs w:val="24"/>
              </w:rPr>
            </w:pPr>
            <w:r>
              <w:rPr>
                <w:rFonts w:hint="eastAsia" w:cs="Times New Roman"/>
                <w:b/>
                <w:bCs/>
                <w:szCs w:val="24"/>
              </w:rPr>
              <w:t>（1）粉末道路标线材料生产工艺流程简述</w:t>
            </w:r>
          </w:p>
          <w:p>
            <w:pPr>
              <w:ind w:firstLine="0" w:firstLineChars="0"/>
              <w:jc w:val="center"/>
            </w:pPr>
            <w:r>
              <w:drawing>
                <wp:inline distT="0" distB="0" distL="0" distR="0">
                  <wp:extent cx="5544820" cy="4627245"/>
                  <wp:effectExtent l="19050" t="19050" r="17780" b="209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572149" cy="4650470"/>
                          </a:xfrm>
                          <a:prstGeom prst="rect">
                            <a:avLst/>
                          </a:prstGeom>
                          <a:ln>
                            <a:solidFill>
                              <a:schemeClr val="tx1"/>
                            </a:solidFill>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图2-2  </w:t>
            </w:r>
            <w:r>
              <w:rPr>
                <w:rFonts w:hint="eastAsia" w:cs="Times New Roman"/>
                <w:b/>
                <w:bCs/>
                <w:color w:val="000000" w:themeColor="text1"/>
                <w:sz w:val="21"/>
                <w:szCs w:val="21"/>
                <w14:textFill>
                  <w14:solidFill>
                    <w14:schemeClr w14:val="tx1"/>
                  </w14:solidFill>
                </w14:textFill>
              </w:rPr>
              <w:t>粉末道路标线材料生产工艺流程</w:t>
            </w:r>
            <w:r>
              <w:rPr>
                <w:rFonts w:cs="Times New Roman"/>
                <w:b/>
                <w:bCs/>
                <w:color w:val="000000" w:themeColor="text1"/>
                <w:sz w:val="21"/>
                <w:szCs w:val="21"/>
                <w14:textFill>
                  <w14:solidFill>
                    <w14:schemeClr w14:val="tx1"/>
                  </w14:solidFill>
                </w14:textFill>
              </w:rPr>
              <w:t>及排污环节图</w:t>
            </w:r>
          </w:p>
          <w:bookmarkEnd w:id="17"/>
          <w:p>
            <w:pPr>
              <w:ind w:firstLine="482"/>
              <w:rPr>
                <w:rFonts w:cs="Times New Roman"/>
                <w:szCs w:val="24"/>
              </w:rPr>
            </w:pPr>
            <w:bookmarkStart w:id="18" w:name="_Hlk228206223"/>
            <w:r>
              <w:rPr>
                <w:rFonts w:hint="eastAsia" w:cs="Times New Roman"/>
                <w:b/>
                <w:bCs/>
                <w:szCs w:val="24"/>
              </w:rPr>
              <w:t>外购原材料：</w:t>
            </w:r>
            <w:r>
              <w:rPr>
                <w:rFonts w:hint="eastAsia" w:cs="Times New Roman"/>
                <w:szCs w:val="24"/>
              </w:rPr>
              <w:t>项目原材料均为外购，主要为重钙粉、轻钙粉、C5石油树脂、玻璃珠、有机黄、钛白粉、增塑剂（白油）、PE蜡（聚乙烯蜡）、助剂等。袋装固态原料人工破袋后经提升机送入各自储罐（重钙、轻钙、玻璃珠、C5树脂、钛白粉、有机黄均有对应储罐）；液态白油是灌装。此过程产生废包装材料和少量卸料粉尘；</w:t>
            </w:r>
          </w:p>
          <w:p>
            <w:pPr>
              <w:ind w:firstLine="482"/>
              <w:rPr>
                <w:rFonts w:cs="Times New Roman"/>
                <w:b/>
                <w:bCs/>
                <w:szCs w:val="24"/>
              </w:rPr>
            </w:pPr>
            <w:r>
              <w:rPr>
                <w:rFonts w:hint="eastAsia" w:cs="Times New Roman"/>
                <w:b/>
                <w:bCs/>
                <w:szCs w:val="24"/>
              </w:rPr>
              <w:t>预混：</w:t>
            </w:r>
            <w:r>
              <w:rPr>
                <w:rFonts w:hint="eastAsia" w:cs="Times New Roman"/>
                <w:szCs w:val="24"/>
              </w:rPr>
              <w:t>储罐内的原料（重钙粉、轻钙粉、玻璃珠）进入预混机混合均匀，此过程产生粉尘、噪声。</w:t>
            </w:r>
          </w:p>
          <w:p>
            <w:pPr>
              <w:ind w:firstLine="482"/>
              <w:rPr>
                <w:rFonts w:cs="Times New Roman"/>
                <w:szCs w:val="24"/>
              </w:rPr>
            </w:pPr>
            <w:r>
              <w:rPr>
                <w:rFonts w:hint="eastAsia" w:cs="Times New Roman"/>
                <w:b/>
                <w:bCs/>
                <w:szCs w:val="24"/>
              </w:rPr>
              <w:t>称量：</w:t>
            </w:r>
            <w:r>
              <w:rPr>
                <w:rFonts w:hint="eastAsia" w:cs="Times New Roman"/>
                <w:szCs w:val="24"/>
              </w:rPr>
              <w:t>按照生产既定配方对所有物料进行准确称量。称量过程中粉状物料会产生少量粉尘、设备噪声。</w:t>
            </w:r>
          </w:p>
          <w:p>
            <w:pPr>
              <w:ind w:firstLine="482"/>
              <w:rPr>
                <w:rFonts w:cs="Times New Roman"/>
                <w:szCs w:val="24"/>
              </w:rPr>
            </w:pPr>
            <w:r>
              <w:rPr>
                <w:rFonts w:cs="Times New Roman"/>
                <w:b/>
                <w:bCs/>
                <w:szCs w:val="24"/>
              </w:rPr>
              <w:t>投料：</w:t>
            </w:r>
            <w:r>
              <w:rPr>
                <w:rFonts w:cs="Times New Roman"/>
                <w:szCs w:val="24"/>
              </w:rPr>
              <w:t>依据既定的投料顺序进行机械投料，不可随意更改。先投入重钙粉、轻钙粉、玻璃珠等填料，再投入C5树脂、PE蜡、钛白粉、有机黄，最后投入白油。投料过程会产生粉尘、噪声。</w:t>
            </w:r>
          </w:p>
          <w:p>
            <w:pPr>
              <w:ind w:firstLine="482"/>
              <w:rPr>
                <w:b/>
                <w:bCs/>
                <w:color w:val="000000"/>
              </w:rPr>
            </w:pPr>
            <w:r>
              <w:rPr>
                <w:rFonts w:hint="eastAsia"/>
                <w:b/>
                <w:bCs/>
                <w:color w:val="000000"/>
              </w:rPr>
              <w:t>混合搅拌：</w:t>
            </w:r>
            <w:r>
              <w:rPr>
                <w:rFonts w:hint="eastAsia" w:cs="Times New Roman"/>
                <w:szCs w:val="24"/>
              </w:rPr>
              <w:t>待所有原料进入搅拌机后，关闭进料口，然后进行混合搅拌，使物料混合均匀。常温常压下搅拌30分钟，即得成品。该过程为物理混合过程，不发生化学反应。搅拌过程在密闭设备中进行，仅在搅拌机进料口的呼吸孔处会产生少量逸散粉尘。</w:t>
            </w:r>
          </w:p>
          <w:p>
            <w:pPr>
              <w:ind w:firstLine="482"/>
              <w:rPr>
                <w:rFonts w:cs="Times New Roman"/>
                <w:szCs w:val="24"/>
              </w:rPr>
            </w:pPr>
            <w:r>
              <w:rPr>
                <w:rFonts w:hint="eastAsia" w:cs="Times New Roman"/>
                <w:b/>
                <w:bCs/>
                <w:szCs w:val="24"/>
              </w:rPr>
              <w:t>检验：</w:t>
            </w:r>
            <w:r>
              <w:rPr>
                <w:rFonts w:hint="eastAsia" w:cs="Times New Roman"/>
                <w:szCs w:val="24"/>
              </w:rPr>
              <w:t>搅拌完成后，取样品进行人工检验，检验合格后进入包装工序待售；不合格品返回搅拌机内重新生产</w:t>
            </w:r>
            <w:r>
              <w:rPr>
                <w:rFonts w:cs="Times New Roman"/>
                <w:szCs w:val="24"/>
              </w:rPr>
              <w:t>。</w:t>
            </w:r>
          </w:p>
          <w:p>
            <w:pPr>
              <w:ind w:firstLine="482"/>
              <w:rPr>
                <w:rFonts w:ascii="Segoe UI" w:hAnsi="Segoe UI" w:cs="Segoe UI"/>
                <w:color w:val="0F1115"/>
                <w:shd w:val="clear" w:color="auto" w:fill="FFFFFF"/>
              </w:rPr>
            </w:pPr>
            <w:r>
              <w:rPr>
                <w:rFonts w:hint="eastAsia" w:ascii="Segoe UI" w:hAnsi="Segoe UI" w:cs="Segoe UI"/>
                <w:b/>
                <w:bCs/>
                <w:color w:val="0F1115"/>
                <w:shd w:val="clear" w:color="auto" w:fill="FFFFFF"/>
              </w:rPr>
              <w:t>包</w:t>
            </w:r>
            <w:r>
              <w:rPr>
                <w:rFonts w:ascii="Segoe UI" w:hAnsi="Segoe UI" w:cs="Segoe UI"/>
                <w:b/>
                <w:bCs/>
                <w:color w:val="0F1115"/>
                <w:shd w:val="clear" w:color="auto" w:fill="FFFFFF"/>
              </w:rPr>
              <w:t>装</w:t>
            </w:r>
            <w:r>
              <w:rPr>
                <w:rFonts w:ascii="Segoe UI" w:hAnsi="Segoe UI" w:cs="Segoe UI"/>
                <w:color w:val="0F1115"/>
                <w:shd w:val="clear" w:color="auto" w:fill="FFFFFF"/>
              </w:rPr>
              <w:t>：检验合格的产品经包装机进行袋装，码垛机码垛后入库待售。</w:t>
            </w:r>
          </w:p>
          <w:bookmarkEnd w:id="18"/>
          <w:p>
            <w:pPr>
              <w:ind w:firstLine="482"/>
              <w:rPr>
                <w:rFonts w:cs="Times New Roman"/>
                <w:b/>
                <w:bCs/>
                <w:szCs w:val="24"/>
              </w:rPr>
            </w:pPr>
            <w:bookmarkStart w:id="19" w:name="_Hlk228206735"/>
            <w:r>
              <w:rPr>
                <w:rFonts w:hint="eastAsia" w:cs="Times New Roman"/>
                <w:b/>
                <w:bCs/>
                <w:szCs w:val="24"/>
              </w:rPr>
              <w:t>（</w:t>
            </w:r>
            <w:r>
              <w:rPr>
                <w:rFonts w:cs="Times New Roman"/>
                <w:b/>
                <w:bCs/>
                <w:szCs w:val="24"/>
              </w:rPr>
              <w:t>2</w:t>
            </w:r>
            <w:r>
              <w:rPr>
                <w:rFonts w:hint="eastAsia" w:cs="Times New Roman"/>
                <w:b/>
                <w:bCs/>
                <w:szCs w:val="24"/>
              </w:rPr>
              <w:t>）液态道路标线材料生产工艺流程简述</w:t>
            </w:r>
          </w:p>
          <w:p>
            <w:pPr>
              <w:ind w:firstLine="0" w:firstLineChars="0"/>
              <w:jc w:val="center"/>
              <w:rPr>
                <w:rFonts w:cs="Times New Roman"/>
                <w:b/>
                <w:bCs/>
                <w:color w:val="000000" w:themeColor="text1"/>
                <w:sz w:val="21"/>
                <w:szCs w:val="21"/>
                <w14:textFill>
                  <w14:solidFill>
                    <w14:schemeClr w14:val="tx1"/>
                  </w14:solidFill>
                </w14:textFill>
              </w:rPr>
            </w:pPr>
            <w:r>
              <w:drawing>
                <wp:inline distT="0" distB="0" distL="0" distR="0">
                  <wp:extent cx="5759450" cy="3100070"/>
                  <wp:effectExtent l="19050" t="19050" r="12700" b="241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759450" cy="3100070"/>
                          </a:xfrm>
                          <a:prstGeom prst="rect">
                            <a:avLst/>
                          </a:prstGeom>
                          <a:ln>
                            <a:solidFill>
                              <a:schemeClr val="tx1"/>
                            </a:solidFill>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图2-3  </w:t>
            </w:r>
            <w:r>
              <w:rPr>
                <w:rFonts w:hint="eastAsia" w:cs="Times New Roman"/>
                <w:b/>
                <w:bCs/>
                <w:color w:val="000000" w:themeColor="text1"/>
                <w:sz w:val="21"/>
                <w:szCs w:val="21"/>
                <w14:textFill>
                  <w14:solidFill>
                    <w14:schemeClr w14:val="tx1"/>
                  </w14:solidFill>
                </w14:textFill>
              </w:rPr>
              <w:t>液态道路标线材料生产工艺流程</w:t>
            </w:r>
            <w:r>
              <w:rPr>
                <w:rFonts w:cs="Times New Roman"/>
                <w:b/>
                <w:bCs/>
                <w:color w:val="000000" w:themeColor="text1"/>
                <w:sz w:val="21"/>
                <w:szCs w:val="21"/>
                <w14:textFill>
                  <w14:solidFill>
                    <w14:schemeClr w14:val="tx1"/>
                  </w14:solidFill>
                </w14:textFill>
              </w:rPr>
              <w:t>及排污环节图</w:t>
            </w:r>
          </w:p>
          <w:p>
            <w:pPr>
              <w:ind w:firstLine="482"/>
              <w:rPr>
                <w:rFonts w:cs="Times New Roman"/>
                <w:szCs w:val="24"/>
              </w:rPr>
            </w:pPr>
            <w:r>
              <w:rPr>
                <w:rFonts w:hint="eastAsia" w:cs="Times New Roman"/>
                <w:b/>
                <w:bCs/>
                <w:szCs w:val="24"/>
              </w:rPr>
              <w:t>配方：</w:t>
            </w:r>
            <w:r>
              <w:rPr>
                <w:rFonts w:hint="eastAsia" w:cs="Times New Roman"/>
                <w:szCs w:val="24"/>
              </w:rPr>
              <w:t>把购置回来的各种原材料按一定配比进行称量配料。本项目所用粉状袋装原料包括：重钙、轻钙、滑石粉（超细）、钛白粉、有机黄、玻璃珠、纤维素；液体罐装原料包括：低浓度氨水（25%）、醇醚十二、苯丙乳液、丙二醇、增稠剂、消泡剂、二甲苯、分散剂。</w:t>
            </w:r>
          </w:p>
          <w:p>
            <w:pPr>
              <w:ind w:firstLine="480"/>
              <w:rPr>
                <w:rFonts w:cs="Times New Roman"/>
                <w:szCs w:val="24"/>
              </w:rPr>
            </w:pPr>
            <w:r>
              <w:rPr>
                <w:rFonts w:hint="eastAsia" w:cs="Times New Roman"/>
                <w:szCs w:val="24"/>
              </w:rPr>
              <w:t>在低速下向分散设备中加入消泡剂、纤维素等，高速分散5min，接着加入分散剂、增稠剂、丙二醇、醇酯十二、苯丙乳液、二甲苯、低浓度氨水等各类液态助剂，继续高速分散5min，直至混合均匀、检验合格。</w:t>
            </w:r>
            <w:r>
              <w:rPr>
                <w:rFonts w:ascii="Segoe UI" w:hAnsi="Segoe UI" w:cs="Segoe UI"/>
                <w:color w:val="0F1115"/>
                <w:shd w:val="clear" w:color="auto" w:fill="FFFFFF"/>
              </w:rPr>
              <w:t>在分散过程中会产生非甲烷总烃，而在粉料投料过程中会产生粉尘</w:t>
            </w:r>
            <w:r>
              <w:rPr>
                <w:rFonts w:hint="eastAsia" w:cs="Times New Roman"/>
                <w:szCs w:val="24"/>
              </w:rPr>
              <w:t>。</w:t>
            </w:r>
          </w:p>
          <w:p>
            <w:pPr>
              <w:ind w:firstLine="482"/>
              <w:rPr>
                <w:rFonts w:cs="Times New Roman"/>
                <w:szCs w:val="24"/>
              </w:rPr>
            </w:pPr>
            <w:r>
              <w:rPr>
                <w:rFonts w:hint="eastAsia" w:cs="Times New Roman"/>
                <w:b/>
                <w:bCs/>
                <w:szCs w:val="24"/>
              </w:rPr>
              <w:t>混合搅拌：</w:t>
            </w:r>
            <w:r>
              <w:rPr>
                <w:rFonts w:hint="eastAsia" w:cs="Times New Roman"/>
                <w:szCs w:val="24"/>
              </w:rPr>
              <w:t>根据配方，向搅拌设备依次加入重钙粉、钛白粉、滑石粉、轻钙、有机黄、玻璃珠等粉状原料，然后泵入上一步调配好的液体助剂混合液（含苯丙乳液、醇醚十二、丙二醇、二甲苯、氨水、分散剂、增稠剂、消泡剂等），最后关闭进料口，常温常压下搅拌30min，得到成品。搅拌过程中均为全封闭状态，仅在搅拌机进料口的呼吸孔处会产生少量非甲烷总烃和噪声。</w:t>
            </w:r>
          </w:p>
          <w:p>
            <w:pPr>
              <w:ind w:firstLine="482"/>
              <w:rPr>
                <w:rFonts w:cs="Times New Roman"/>
                <w:szCs w:val="24"/>
              </w:rPr>
            </w:pPr>
            <w:r>
              <w:rPr>
                <w:rFonts w:cs="Times New Roman"/>
                <w:b/>
                <w:bCs/>
                <w:szCs w:val="24"/>
              </w:rPr>
              <w:t>包装入库</w:t>
            </w:r>
            <w:r>
              <w:rPr>
                <w:rFonts w:hint="eastAsia" w:cs="Times New Roman"/>
                <w:b/>
                <w:bCs/>
                <w:szCs w:val="24"/>
              </w:rPr>
              <w:t>：</w:t>
            </w:r>
            <w:r>
              <w:rPr>
                <w:rFonts w:cs="Times New Roman"/>
                <w:szCs w:val="24"/>
              </w:rPr>
              <w:t>产品由自动包装机进行分罐密封，分装好放入产品仓库待售。</w:t>
            </w:r>
          </w:p>
          <w:bookmarkEnd w:id="19"/>
          <w:p>
            <w:pPr>
              <w:ind w:firstLine="482"/>
              <w:rPr>
                <w:rFonts w:ascii="宋体" w:hAnsi="宋体" w:cs="宋体"/>
                <w:b/>
                <w:color w:val="000000"/>
                <w:kern w:val="0"/>
                <w:szCs w:val="24"/>
                <w:lang w:bidi="ar"/>
              </w:rPr>
            </w:pPr>
            <w:r>
              <w:rPr>
                <w:rFonts w:hint="eastAsia" w:cs="Times New Roman"/>
                <w:b/>
                <w:bCs/>
                <w:szCs w:val="24"/>
              </w:rPr>
              <w:t>道路养护材料包括</w:t>
            </w:r>
            <w:r>
              <w:rPr>
                <w:rFonts w:hint="eastAsia" w:ascii="宋体" w:hAnsi="宋体" w:cs="宋体"/>
                <w:b/>
                <w:color w:val="000000"/>
                <w:kern w:val="0"/>
                <w:szCs w:val="24"/>
                <w:lang w:bidi="ar"/>
              </w:rPr>
              <w:t>固体沥青养护、液态沥青养护、固体水泥养护、液态水泥养护环保材料。</w:t>
            </w:r>
          </w:p>
          <w:p>
            <w:pPr>
              <w:ind w:firstLine="482"/>
              <w:rPr>
                <w:rFonts w:ascii="Segoe UI" w:hAnsi="Segoe UI" w:cs="Segoe UI"/>
                <w:b/>
                <w:bCs/>
                <w:color w:val="0F1115"/>
                <w:shd w:val="clear" w:color="auto" w:fill="FFFFFF"/>
              </w:rPr>
            </w:pPr>
            <w:bookmarkStart w:id="20" w:name="_Hlk228207160"/>
            <w:r>
              <w:rPr>
                <w:rFonts w:hint="eastAsia" w:cs="Times New Roman"/>
                <w:b/>
                <w:bCs/>
                <w:szCs w:val="24"/>
              </w:rPr>
              <w:t>（</w:t>
            </w:r>
            <w:r>
              <w:rPr>
                <w:rFonts w:cs="Times New Roman"/>
                <w:b/>
                <w:bCs/>
                <w:szCs w:val="24"/>
              </w:rPr>
              <w:t>3</w:t>
            </w:r>
            <w:r>
              <w:rPr>
                <w:rFonts w:hint="eastAsia" w:cs="Times New Roman"/>
                <w:b/>
                <w:bCs/>
                <w:szCs w:val="24"/>
              </w:rPr>
              <w:t>）</w:t>
            </w:r>
            <w:r>
              <w:rPr>
                <w:rFonts w:ascii="Segoe UI" w:hAnsi="Segoe UI" w:cs="Segoe UI"/>
                <w:b/>
                <w:bCs/>
                <w:color w:val="0F1115"/>
                <w:shd w:val="clear" w:color="auto" w:fill="FFFFFF"/>
              </w:rPr>
              <w:t>固体沥青养护环保材料生产工艺流程简述</w:t>
            </w:r>
          </w:p>
          <w:p>
            <w:pPr>
              <w:ind w:firstLine="0" w:firstLineChars="0"/>
              <w:rPr>
                <w:rFonts w:cs="Times New Roman"/>
                <w:szCs w:val="24"/>
              </w:rPr>
            </w:pPr>
            <w:r>
              <w:drawing>
                <wp:inline distT="0" distB="0" distL="0" distR="0">
                  <wp:extent cx="5759450" cy="3677285"/>
                  <wp:effectExtent l="19050" t="19050" r="12700" b="184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759450" cy="3677285"/>
                          </a:xfrm>
                          <a:prstGeom prst="rect">
                            <a:avLst/>
                          </a:prstGeom>
                          <a:ln>
                            <a:solidFill>
                              <a:schemeClr val="tx1"/>
                            </a:solidFill>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图2-4  </w:t>
            </w:r>
            <w:r>
              <w:rPr>
                <w:rFonts w:hint="eastAsia" w:cs="Times New Roman"/>
                <w:b/>
                <w:bCs/>
                <w:color w:val="000000" w:themeColor="text1"/>
                <w:sz w:val="21"/>
                <w:szCs w:val="21"/>
                <w14:textFill>
                  <w14:solidFill>
                    <w14:schemeClr w14:val="tx1"/>
                  </w14:solidFill>
                </w14:textFill>
              </w:rPr>
              <w:t>固体沥青养护环保材料生产工艺流程</w:t>
            </w:r>
            <w:r>
              <w:rPr>
                <w:rFonts w:cs="Times New Roman"/>
                <w:b/>
                <w:bCs/>
                <w:color w:val="000000" w:themeColor="text1"/>
                <w:sz w:val="21"/>
                <w:szCs w:val="21"/>
                <w14:textFill>
                  <w14:solidFill>
                    <w14:schemeClr w14:val="tx1"/>
                  </w14:solidFill>
                </w14:textFill>
              </w:rPr>
              <w:t>及排污环节图</w:t>
            </w:r>
          </w:p>
          <w:bookmarkEnd w:id="20"/>
          <w:p>
            <w:pPr>
              <w:ind w:firstLine="482"/>
              <w:rPr>
                <w:rFonts w:cs="Times New Roman"/>
                <w:szCs w:val="24"/>
              </w:rPr>
            </w:pPr>
            <w:r>
              <w:rPr>
                <w:rFonts w:hint="eastAsia" w:cs="Times New Roman"/>
                <w:b/>
                <w:bCs/>
                <w:szCs w:val="24"/>
              </w:rPr>
              <w:t>沥青储存与计量：</w:t>
            </w:r>
            <w:r>
              <w:rPr>
                <w:rFonts w:hint="eastAsia" w:cs="Times New Roman"/>
                <w:szCs w:val="24"/>
              </w:rPr>
              <w:t>外购的基质沥青送入沥青保温储存罐暂存，然后由泵转入沥青保温计量罐进行精确计量。</w:t>
            </w:r>
          </w:p>
          <w:p>
            <w:pPr>
              <w:ind w:firstLine="482"/>
              <w:rPr>
                <w:rFonts w:cs="Times New Roman"/>
                <w:szCs w:val="24"/>
              </w:rPr>
            </w:pPr>
            <w:r>
              <w:rPr>
                <w:rFonts w:hint="eastAsia" w:cs="Times New Roman"/>
                <w:b/>
                <w:bCs/>
                <w:szCs w:val="24"/>
              </w:rPr>
              <w:t>冷补液添加：</w:t>
            </w:r>
            <w:r>
              <w:rPr>
                <w:rFonts w:hint="eastAsia" w:cs="Times New Roman"/>
                <w:szCs w:val="24"/>
              </w:rPr>
              <w:t>按配方比例向计量后的沥青中加入冷补液，形成均匀的沥青混合液，此过程会产生非甲烷总烃、沥青烟、苯并[a]芘。</w:t>
            </w:r>
          </w:p>
          <w:p>
            <w:pPr>
              <w:ind w:firstLine="482"/>
              <w:rPr>
                <w:rFonts w:cs="Times New Roman"/>
                <w:szCs w:val="24"/>
              </w:rPr>
            </w:pPr>
            <w:r>
              <w:rPr>
                <w:rFonts w:hint="eastAsia" w:cs="Times New Roman"/>
                <w:b/>
                <w:bCs/>
                <w:szCs w:val="24"/>
              </w:rPr>
              <w:t>石灰岩集料计量：</w:t>
            </w:r>
            <w:r>
              <w:rPr>
                <w:rFonts w:hint="eastAsia" w:cs="Times New Roman"/>
                <w:szCs w:val="24"/>
              </w:rPr>
              <w:t>石灰岩集料经三仓计量秤按配比称重。此过程产生粉尘；</w:t>
            </w:r>
          </w:p>
          <w:p>
            <w:pPr>
              <w:ind w:firstLine="482"/>
              <w:rPr>
                <w:rFonts w:cs="Times New Roman"/>
                <w:szCs w:val="24"/>
              </w:rPr>
            </w:pPr>
            <w:r>
              <w:rPr>
                <w:rFonts w:hint="eastAsia" w:cs="Times New Roman"/>
                <w:b/>
                <w:bCs/>
                <w:szCs w:val="24"/>
              </w:rPr>
              <w:t>集料提升：</w:t>
            </w:r>
            <w:r>
              <w:rPr>
                <w:rFonts w:hint="eastAsia" w:cs="Times New Roman"/>
                <w:szCs w:val="24"/>
              </w:rPr>
              <w:t>称重后的石灰岩集料通过集料提升机输送到搅拌机。</w:t>
            </w:r>
          </w:p>
          <w:p>
            <w:pPr>
              <w:ind w:firstLine="482"/>
              <w:rPr>
                <w:rFonts w:cs="Times New Roman"/>
                <w:szCs w:val="24"/>
              </w:rPr>
            </w:pPr>
            <w:r>
              <w:rPr>
                <w:rFonts w:hint="eastAsia" w:cs="Times New Roman"/>
                <w:b/>
                <w:bCs/>
                <w:szCs w:val="24"/>
              </w:rPr>
              <w:t>混合搅拌：</w:t>
            </w:r>
            <w:r>
              <w:rPr>
                <w:rFonts w:hint="eastAsia" w:cs="Times New Roman"/>
                <w:szCs w:val="24"/>
              </w:rPr>
              <w:t>将沥青混合液与石灰岩集料在搅拌机中充分拌合（不少于300秒），使集料完全被混合液裹覆，形成均匀的冷补料混合料。此过程产生非甲烷总烃、沥青烟、苯并[a]芘；</w:t>
            </w:r>
          </w:p>
          <w:p>
            <w:pPr>
              <w:ind w:firstLine="482"/>
              <w:rPr>
                <w:rFonts w:cs="Times New Roman"/>
                <w:szCs w:val="24"/>
              </w:rPr>
            </w:pPr>
            <w:r>
              <w:rPr>
                <w:rFonts w:hint="eastAsia" w:cs="Times New Roman"/>
                <w:b/>
                <w:bCs/>
                <w:szCs w:val="24"/>
              </w:rPr>
              <w:t>检验：</w:t>
            </w:r>
            <w:r>
              <w:rPr>
                <w:rFonts w:hint="eastAsia" w:cs="Times New Roman"/>
                <w:szCs w:val="24"/>
              </w:rPr>
              <w:t>混合完成后取样人工检验，重点检测混合料均匀度、黏结性等指标，合格产品进入包装工序，不合格品返回搅拌机重新拌合。</w:t>
            </w:r>
          </w:p>
          <w:p>
            <w:pPr>
              <w:ind w:firstLine="482"/>
              <w:rPr>
                <w:rFonts w:cs="Times New Roman"/>
                <w:szCs w:val="24"/>
              </w:rPr>
            </w:pPr>
            <w:r>
              <w:rPr>
                <w:rFonts w:hint="eastAsia" w:cs="Times New Roman"/>
                <w:b/>
                <w:bCs/>
                <w:szCs w:val="24"/>
              </w:rPr>
              <w:t>成品包装：</w:t>
            </w:r>
            <w:r>
              <w:rPr>
                <w:rFonts w:hint="eastAsia" w:cs="Times New Roman"/>
                <w:szCs w:val="24"/>
              </w:rPr>
              <w:t>混合好的冷补料送入成品包装工序，完成包装、码垛后入库储存。</w:t>
            </w:r>
          </w:p>
          <w:p>
            <w:pPr>
              <w:ind w:firstLineChars="83"/>
              <w:rPr>
                <w:rFonts w:cs="Times New Roman"/>
                <w:b/>
                <w:color w:val="000000"/>
                <w:kern w:val="0"/>
                <w:szCs w:val="24"/>
                <w:lang w:bidi="ar"/>
              </w:rPr>
            </w:pPr>
            <w:r>
              <w:rPr>
                <w:rFonts w:cs="Times New Roman"/>
                <w:b/>
                <w:bCs/>
                <w:szCs w:val="24"/>
              </w:rPr>
              <w:t>（4）</w:t>
            </w:r>
            <w:r>
              <w:rPr>
                <w:rFonts w:cs="Times New Roman"/>
                <w:b/>
                <w:color w:val="000000"/>
                <w:kern w:val="0"/>
                <w:szCs w:val="24"/>
                <w:lang w:bidi="ar"/>
              </w:rPr>
              <w:t>液态沥青养护环保材料生产工艺流程简述</w:t>
            </w:r>
          </w:p>
          <w:p>
            <w:pPr>
              <w:ind w:firstLine="0" w:firstLineChars="0"/>
              <w:jc w:val="center"/>
              <w:rPr>
                <w:rFonts w:cs="Times New Roman"/>
                <w:szCs w:val="24"/>
              </w:rPr>
            </w:pPr>
            <w:r>
              <w:drawing>
                <wp:inline distT="0" distB="0" distL="0" distR="0">
                  <wp:extent cx="5759450" cy="3740150"/>
                  <wp:effectExtent l="19050" t="19050" r="12700" b="127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5759450" cy="3740150"/>
                          </a:xfrm>
                          <a:prstGeom prst="rect">
                            <a:avLst/>
                          </a:prstGeom>
                          <a:ln>
                            <a:solidFill>
                              <a:schemeClr val="tx1"/>
                            </a:solidFill>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图2-5  </w:t>
            </w:r>
            <w:r>
              <w:rPr>
                <w:rFonts w:hint="eastAsia" w:cs="Times New Roman"/>
                <w:b/>
                <w:bCs/>
                <w:color w:val="000000" w:themeColor="text1"/>
                <w:sz w:val="21"/>
                <w:szCs w:val="21"/>
                <w14:textFill>
                  <w14:solidFill>
                    <w14:schemeClr w14:val="tx1"/>
                  </w14:solidFill>
                </w14:textFill>
              </w:rPr>
              <w:t>液态沥青养护环保材料生产工艺流程</w:t>
            </w:r>
            <w:r>
              <w:rPr>
                <w:rFonts w:cs="Times New Roman"/>
                <w:b/>
                <w:bCs/>
                <w:color w:val="000000" w:themeColor="text1"/>
                <w:sz w:val="21"/>
                <w:szCs w:val="21"/>
                <w14:textFill>
                  <w14:solidFill>
                    <w14:schemeClr w14:val="tx1"/>
                  </w14:solidFill>
                </w14:textFill>
              </w:rPr>
              <w:t>及排污环节图</w:t>
            </w:r>
          </w:p>
          <w:p>
            <w:pPr>
              <w:ind w:firstLine="482"/>
              <w:rPr>
                <w:rFonts w:cs="Times New Roman"/>
                <w:szCs w:val="24"/>
              </w:rPr>
            </w:pPr>
            <w:r>
              <w:rPr>
                <w:rFonts w:hint="eastAsia" w:cs="Times New Roman"/>
                <w:b/>
                <w:bCs/>
                <w:szCs w:val="24"/>
              </w:rPr>
              <w:t>液体原料准备与加热：</w:t>
            </w:r>
            <w:r>
              <w:rPr>
                <w:rFonts w:hint="eastAsia" w:cs="Times New Roman"/>
                <w:szCs w:val="24"/>
              </w:rPr>
              <w:t>将基质沥青、芳烃油、环氧大豆油、环烷油分别通过各自的储存罐和输送系统，泵入保温储存罐。启动电导热油加热器，对保温储存罐中的混合液体进行加热，控制温度在</w:t>
            </w:r>
            <w:r>
              <w:rPr>
                <w:rFonts w:cs="Times New Roman"/>
                <w:szCs w:val="24"/>
              </w:rPr>
              <w:t>60</w:t>
            </w:r>
            <w:r>
              <w:rPr>
                <w:rFonts w:hint="eastAsia" w:cs="Times New Roman"/>
                <w:szCs w:val="24"/>
              </w:rPr>
              <w:t>~170℃，以保证所有液体组分具有良好的流动性。此过程会产生非甲烷总烃、苯并[a]芘和沥青烟；</w:t>
            </w:r>
          </w:p>
          <w:p>
            <w:pPr>
              <w:ind w:firstLine="482"/>
              <w:rPr>
                <w:rFonts w:cs="Times New Roman"/>
                <w:szCs w:val="24"/>
              </w:rPr>
            </w:pPr>
            <w:r>
              <w:rPr>
                <w:rFonts w:hint="eastAsia" w:cs="Times New Roman"/>
                <w:b/>
                <w:bCs/>
                <w:szCs w:val="24"/>
              </w:rPr>
              <w:t>原料投料与混合：</w:t>
            </w:r>
            <w:r>
              <w:rPr>
                <w:rFonts w:hint="eastAsia" w:cs="Times New Roman"/>
                <w:szCs w:val="24"/>
              </w:rPr>
              <w:t>将袋装的石粉（轻钙）和SBS按配比通过投料口加入搅拌机中。然后将加热后的混合液体泵入搅拌机，与固体原料进行充分搅拌混合。此过程会产生颗粒物（投料粉尘）和非甲烷总烃、苯并[a]芘、沥青烟；</w:t>
            </w:r>
          </w:p>
          <w:p>
            <w:pPr>
              <w:ind w:firstLine="482"/>
              <w:rPr>
                <w:rFonts w:cs="Times New Roman"/>
                <w:szCs w:val="24"/>
              </w:rPr>
            </w:pPr>
            <w:r>
              <w:rPr>
                <w:rFonts w:hint="eastAsia" w:cs="Times New Roman"/>
                <w:b/>
                <w:bCs/>
                <w:szCs w:val="24"/>
              </w:rPr>
              <w:t>高速剪切研磨：</w:t>
            </w:r>
            <w:r>
              <w:rPr>
                <w:rFonts w:hint="eastAsia" w:cs="Times New Roman"/>
                <w:szCs w:val="24"/>
              </w:rPr>
              <w:t>混合后的物料通过胶体磨进行高速剪切研磨，细化SBS、石粉颗粒以及基质沥青中的大分子团聚物，使其均匀分散在油相中，形成稳定的悬浮乳液体系。此过程设备密闭，废气产生较少，但仍可能有无组织逸散；</w:t>
            </w:r>
          </w:p>
          <w:p>
            <w:pPr>
              <w:ind w:firstLine="482"/>
              <w:rPr>
                <w:rFonts w:cs="Times New Roman"/>
                <w:szCs w:val="24"/>
              </w:rPr>
            </w:pPr>
            <w:r>
              <w:rPr>
                <w:rFonts w:hint="eastAsia" w:cs="Times New Roman"/>
                <w:b/>
                <w:bCs/>
                <w:szCs w:val="24"/>
              </w:rPr>
              <w:t>检验：</w:t>
            </w:r>
            <w:r>
              <w:rPr>
                <w:rFonts w:cs="Times New Roman"/>
                <w:szCs w:val="24"/>
              </w:rPr>
              <w:t>研磨后取样人工检验，重点检测混合料均匀度、黏结性、软化点等指标。合格产品进入包装工序，不合格品返回搅拌机重新拌合</w:t>
            </w:r>
            <w:r>
              <w:rPr>
                <w:rFonts w:hint="eastAsia" w:cs="Times New Roman"/>
                <w:szCs w:val="24"/>
              </w:rPr>
              <w:t>；</w:t>
            </w:r>
          </w:p>
          <w:p>
            <w:pPr>
              <w:ind w:firstLine="482"/>
              <w:rPr>
                <w:rFonts w:cs="Times New Roman"/>
                <w:szCs w:val="24"/>
              </w:rPr>
            </w:pPr>
            <w:r>
              <w:rPr>
                <w:rFonts w:cs="Times New Roman"/>
                <w:b/>
                <w:bCs/>
                <w:szCs w:val="24"/>
              </w:rPr>
              <w:t>灌装</w:t>
            </w:r>
            <w:r>
              <w:rPr>
                <w:rFonts w:hint="eastAsia" w:cs="Times New Roman"/>
                <w:b/>
                <w:bCs/>
                <w:szCs w:val="24"/>
              </w:rPr>
              <w:t>：</w:t>
            </w:r>
            <w:r>
              <w:rPr>
                <w:rFonts w:cs="Times New Roman"/>
                <w:szCs w:val="24"/>
              </w:rPr>
              <w:t>检验合格的物料通过输送设备送至自动灌装、封包机完成包装，经自动码垛机码垛后存入成品库</w:t>
            </w:r>
            <w:r>
              <w:rPr>
                <w:rFonts w:hint="eastAsia" w:cs="Times New Roman"/>
                <w:szCs w:val="24"/>
              </w:rPr>
              <w:t>。</w:t>
            </w:r>
          </w:p>
          <w:p>
            <w:pPr>
              <w:ind w:firstLineChars="83"/>
              <w:rPr>
                <w:rFonts w:ascii="宋体" w:hAnsi="宋体" w:cs="宋体"/>
                <w:b/>
                <w:bCs/>
                <w:color w:val="000000"/>
                <w:szCs w:val="24"/>
                <w:lang w:bidi="ar"/>
              </w:rPr>
            </w:pPr>
            <w:r>
              <w:rPr>
                <w:rFonts w:cs="Times New Roman"/>
                <w:b/>
                <w:bCs/>
                <w:szCs w:val="24"/>
              </w:rPr>
              <w:t>（5）</w:t>
            </w:r>
            <w:r>
              <w:rPr>
                <w:rFonts w:hint="eastAsia" w:ascii="宋体" w:hAnsi="宋体" w:cs="宋体"/>
                <w:b/>
                <w:bCs/>
                <w:color w:val="000000"/>
                <w:szCs w:val="24"/>
                <w:lang w:bidi="ar"/>
              </w:rPr>
              <w:t>固体水泥养护环保材料生产工艺流程简述</w:t>
            </w:r>
          </w:p>
          <w:p>
            <w:pPr>
              <w:ind w:firstLine="0" w:firstLineChars="0"/>
              <w:jc w:val="center"/>
              <w:rPr>
                <w:rFonts w:ascii="宋体" w:hAnsi="宋体" w:cs="宋体"/>
                <w:color w:val="000000"/>
                <w:szCs w:val="24"/>
                <w:lang w:bidi="ar"/>
              </w:rPr>
            </w:pPr>
            <w:r>
              <w:drawing>
                <wp:inline distT="0" distB="0" distL="0" distR="0">
                  <wp:extent cx="5626100" cy="2812415"/>
                  <wp:effectExtent l="19050" t="19050" r="12700" b="260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a:srcRect t="12959" b="12944"/>
                          <a:stretch>
                            <a:fillRect/>
                          </a:stretch>
                        </pic:blipFill>
                        <pic:spPr>
                          <a:xfrm>
                            <a:off x="0" y="0"/>
                            <a:ext cx="5637935" cy="2818298"/>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图2-6  </w:t>
            </w:r>
            <w:r>
              <w:rPr>
                <w:rFonts w:hint="eastAsia" w:cs="Times New Roman"/>
                <w:b/>
                <w:bCs/>
                <w:color w:val="000000" w:themeColor="text1"/>
                <w:sz w:val="21"/>
                <w:szCs w:val="21"/>
                <w14:textFill>
                  <w14:solidFill>
                    <w14:schemeClr w14:val="tx1"/>
                  </w14:solidFill>
                </w14:textFill>
              </w:rPr>
              <w:t>固体水泥养护环保材料生产工艺流程</w:t>
            </w:r>
            <w:r>
              <w:rPr>
                <w:rFonts w:cs="Times New Roman"/>
                <w:b/>
                <w:bCs/>
                <w:color w:val="000000" w:themeColor="text1"/>
                <w:sz w:val="21"/>
                <w:szCs w:val="21"/>
                <w14:textFill>
                  <w14:solidFill>
                    <w14:schemeClr w14:val="tx1"/>
                  </w14:solidFill>
                </w14:textFill>
              </w:rPr>
              <w:t>及排污环节图</w:t>
            </w:r>
          </w:p>
          <w:p>
            <w:pPr>
              <w:ind w:firstLine="441" w:firstLineChars="183"/>
              <w:rPr>
                <w:rFonts w:ascii="宋体" w:hAnsi="宋体" w:cs="宋体"/>
                <w:b/>
                <w:bCs/>
                <w:color w:val="000000"/>
                <w:szCs w:val="24"/>
                <w:lang w:bidi="ar"/>
              </w:rPr>
            </w:pPr>
            <w:r>
              <w:rPr>
                <w:rFonts w:hint="eastAsia" w:ascii="宋体" w:hAnsi="宋体" w:cs="宋体"/>
                <w:b/>
                <w:bCs/>
                <w:color w:val="000000"/>
                <w:szCs w:val="24"/>
                <w:lang w:bidi="ar"/>
              </w:rPr>
              <w:t>原料准备与投料：</w:t>
            </w:r>
            <w:r>
              <w:rPr>
                <w:rFonts w:hint="eastAsia" w:ascii="宋体" w:hAnsi="宋体" w:cs="宋体"/>
                <w:color w:val="000000"/>
                <w:szCs w:val="24"/>
                <w:lang w:bidi="ar"/>
              </w:rPr>
              <w:t>砂粉、快凝硅酸盐水泥及纤维拆包后，经投料机投入生产系统，此过程产生粉尘；</w:t>
            </w:r>
          </w:p>
          <w:p>
            <w:pPr>
              <w:ind w:firstLine="441" w:firstLineChars="183"/>
              <w:rPr>
                <w:rFonts w:ascii="宋体" w:hAnsi="宋体" w:cs="宋体"/>
                <w:color w:val="000000"/>
                <w:szCs w:val="24"/>
                <w:lang w:bidi="ar"/>
              </w:rPr>
            </w:pPr>
            <w:r>
              <w:rPr>
                <w:rFonts w:hint="eastAsia" w:ascii="宋体" w:hAnsi="宋体" w:cs="宋体"/>
                <w:b/>
                <w:bCs/>
                <w:color w:val="000000"/>
                <w:szCs w:val="24"/>
                <w:lang w:bidi="ar"/>
              </w:rPr>
              <w:t>原料提升与输送：</w:t>
            </w:r>
            <w:r>
              <w:rPr>
                <w:rFonts w:hint="eastAsia" w:ascii="宋体" w:hAnsi="宋体" w:cs="宋体"/>
                <w:color w:val="000000"/>
                <w:szCs w:val="24"/>
                <w:lang w:bidi="ar"/>
              </w:rPr>
              <w:t>物料通过提升机垂直输送至搅拌设备，此过程产生粉尘；</w:t>
            </w:r>
          </w:p>
          <w:p>
            <w:pPr>
              <w:ind w:firstLine="441" w:firstLineChars="183"/>
              <w:rPr>
                <w:rFonts w:ascii="Segoe UI" w:hAnsi="Segoe UI" w:cs="Segoe UI"/>
                <w:color w:val="0F1115"/>
                <w:shd w:val="clear" w:color="auto" w:fill="FFFFFF"/>
              </w:rPr>
            </w:pPr>
            <w:r>
              <w:rPr>
                <w:rFonts w:ascii="Segoe UI" w:hAnsi="Segoe UI" w:cs="Segoe UI"/>
                <w:b/>
                <w:bCs/>
                <w:color w:val="0F1115"/>
                <w:shd w:val="clear" w:color="auto" w:fill="FFFFFF"/>
              </w:rPr>
              <w:t>混合搅拌</w:t>
            </w:r>
            <w:r>
              <w:rPr>
                <w:rFonts w:hint="eastAsia" w:ascii="Segoe UI" w:hAnsi="Segoe UI" w:cs="Segoe UI"/>
                <w:b/>
                <w:bCs/>
                <w:color w:val="0F1115"/>
                <w:shd w:val="clear" w:color="auto" w:fill="FFFFFF"/>
              </w:rPr>
              <w:t>：</w:t>
            </w:r>
            <w:r>
              <w:rPr>
                <w:rFonts w:hint="eastAsia" w:ascii="Segoe UI" w:hAnsi="Segoe UI" w:cs="Segoe UI"/>
                <w:color w:val="0F1115"/>
                <w:shd w:val="clear" w:color="auto" w:fill="FFFFFF"/>
              </w:rPr>
              <w:t>按比例在搅拌设备中充分混合，形成均质固态混合物（物理反应），此过程产生粉尘；</w:t>
            </w:r>
          </w:p>
          <w:p>
            <w:pPr>
              <w:ind w:firstLine="441" w:firstLineChars="183"/>
              <w:rPr>
                <w:rFonts w:ascii="宋体" w:hAnsi="宋体" w:cs="宋体"/>
                <w:color w:val="000000"/>
                <w:szCs w:val="24"/>
                <w:lang w:bidi="ar"/>
              </w:rPr>
            </w:pPr>
            <w:r>
              <w:rPr>
                <w:rFonts w:hint="eastAsia" w:ascii="Segoe UI" w:hAnsi="Segoe UI" w:cs="Segoe UI"/>
                <w:b/>
                <w:bCs/>
                <w:color w:val="0F1115"/>
                <w:shd w:val="clear" w:color="auto" w:fill="FFFFFF"/>
              </w:rPr>
              <w:t>包装：</w:t>
            </w:r>
            <w:r>
              <w:rPr>
                <w:rFonts w:hint="eastAsia" w:ascii="Segoe UI" w:hAnsi="Segoe UI" w:cs="Segoe UI"/>
                <w:color w:val="0F1115"/>
                <w:shd w:val="clear" w:color="auto" w:fill="FFFFFF"/>
              </w:rPr>
              <w:t>混合均匀的成品经包装机袋装，得到固态水泥基养护材料成品，此过程产生含尘废气。</w:t>
            </w:r>
          </w:p>
          <w:p>
            <w:pPr>
              <w:ind w:firstLineChars="83"/>
              <w:rPr>
                <w:rFonts w:cs="Times New Roman"/>
                <w:b/>
                <w:bCs/>
                <w:color w:val="000000"/>
                <w:szCs w:val="24"/>
                <w:lang w:bidi="ar"/>
              </w:rPr>
            </w:pPr>
            <w:r>
              <w:rPr>
                <w:rFonts w:cs="Times New Roman"/>
                <w:b/>
                <w:bCs/>
                <w:color w:val="000000"/>
                <w:szCs w:val="24"/>
                <w:lang w:bidi="ar"/>
              </w:rPr>
              <w:t>（6）液态水泥养护环保材料生产工艺流程简述</w:t>
            </w:r>
          </w:p>
          <w:p>
            <w:pPr>
              <w:ind w:firstLine="199" w:firstLineChars="83"/>
              <w:rPr>
                <w:rFonts w:cs="Times New Roman"/>
                <w:color w:val="000000"/>
                <w:szCs w:val="24"/>
                <w:lang w:bidi="ar"/>
              </w:rPr>
            </w:pPr>
            <w:r>
              <w:drawing>
                <wp:inline distT="0" distB="0" distL="0" distR="0">
                  <wp:extent cx="5562600" cy="3124835"/>
                  <wp:effectExtent l="19050" t="19050" r="19050" b="184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a:stretch>
                            <a:fillRect/>
                          </a:stretch>
                        </pic:blipFill>
                        <pic:spPr>
                          <a:xfrm>
                            <a:off x="0" y="0"/>
                            <a:ext cx="5573442" cy="3131261"/>
                          </a:xfrm>
                          <a:prstGeom prst="rect">
                            <a:avLst/>
                          </a:prstGeom>
                          <a:ln>
                            <a:solidFill>
                              <a:schemeClr val="tx1"/>
                            </a:solidFill>
                          </a:ln>
                        </pic:spPr>
                      </pic:pic>
                    </a:graphicData>
                  </a:graphic>
                </wp:inline>
              </w:drawing>
            </w:r>
          </w:p>
          <w:p>
            <w:pPr>
              <w:ind w:firstLine="422"/>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 xml:space="preserve">图2-7  </w:t>
            </w:r>
            <w:r>
              <w:rPr>
                <w:rFonts w:hint="eastAsia" w:cs="Times New Roman"/>
                <w:b/>
                <w:bCs/>
                <w:color w:val="000000" w:themeColor="text1"/>
                <w:sz w:val="21"/>
                <w:szCs w:val="21"/>
                <w14:textFill>
                  <w14:solidFill>
                    <w14:schemeClr w14:val="tx1"/>
                  </w14:solidFill>
                </w14:textFill>
              </w:rPr>
              <w:t>液态水泥养护环保材料生产工艺流程</w:t>
            </w:r>
            <w:r>
              <w:rPr>
                <w:rFonts w:cs="Times New Roman"/>
                <w:b/>
                <w:bCs/>
                <w:color w:val="000000" w:themeColor="text1"/>
                <w:sz w:val="21"/>
                <w:szCs w:val="21"/>
                <w14:textFill>
                  <w14:solidFill>
                    <w14:schemeClr w14:val="tx1"/>
                  </w14:solidFill>
                </w14:textFill>
              </w:rPr>
              <w:t>及排污环节图</w:t>
            </w:r>
          </w:p>
          <w:p>
            <w:pPr>
              <w:ind w:firstLine="482"/>
              <w:rPr>
                <w:rFonts w:cs="Times New Roman"/>
                <w:color w:val="000000"/>
                <w:szCs w:val="24"/>
                <w:lang w:bidi="ar"/>
              </w:rPr>
            </w:pPr>
            <w:r>
              <w:rPr>
                <w:rFonts w:cs="Times New Roman"/>
                <w:b/>
                <w:bCs/>
                <w:color w:val="000000"/>
                <w:szCs w:val="24"/>
                <w:lang w:bidi="ar"/>
              </w:rPr>
              <w:t>原料储存与准备：</w:t>
            </w:r>
            <w:r>
              <w:rPr>
                <w:rFonts w:cs="Times New Roman"/>
                <w:color w:val="000000"/>
                <w:szCs w:val="24"/>
                <w:lang w:bidi="ar"/>
              </w:rPr>
              <w:t>高纯度硅烷（液体，罐装）通过管道泵送至厂区原料储存罐中备用，稳定剂（液体，桶装）经人工或气动隔膜泵抽取，也可暂存于小型中间储罐；</w:t>
            </w:r>
          </w:p>
          <w:p>
            <w:pPr>
              <w:ind w:firstLine="482"/>
              <w:rPr>
                <w:rFonts w:cs="Times New Roman"/>
                <w:color w:val="000000"/>
                <w:szCs w:val="24"/>
                <w:lang w:bidi="ar"/>
              </w:rPr>
            </w:pPr>
            <w:r>
              <w:rPr>
                <w:rFonts w:cs="Times New Roman"/>
                <w:b/>
                <w:bCs/>
                <w:color w:val="000000"/>
                <w:szCs w:val="24"/>
                <w:lang w:bidi="ar"/>
              </w:rPr>
              <w:t>搅拌机：</w:t>
            </w:r>
            <w:r>
              <w:rPr>
                <w:rFonts w:cs="Times New Roman"/>
                <w:color w:val="000000"/>
                <w:szCs w:val="24"/>
                <w:lang w:bidi="ar"/>
              </w:rPr>
              <w:t>按配方比例，通过计量泵将硅烷和稳定剂分别从储存罐中精确抽出，输送至搅拌机内，在常温条件下，搅拌机将硅烷与稳定剂充分混合，使稳定剂均匀分散于硅烷中，形成均质液态混合物，该过程为物理搅拌，无需加热或添加其他助剂，此过程会产生少量非甲烷总烃</w:t>
            </w:r>
            <w:r>
              <w:rPr>
                <w:rFonts w:hint="eastAsia" w:cs="Times New Roman"/>
                <w:color w:val="000000"/>
                <w:szCs w:val="24"/>
                <w:lang w:bidi="ar"/>
              </w:rPr>
              <w:t>；</w:t>
            </w:r>
          </w:p>
          <w:p>
            <w:pPr>
              <w:ind w:firstLine="482"/>
              <w:rPr>
                <w:rFonts w:cs="Times New Roman"/>
                <w:color w:val="000000"/>
                <w:szCs w:val="24"/>
                <w:lang w:bidi="ar"/>
              </w:rPr>
            </w:pPr>
            <w:r>
              <w:rPr>
                <w:rFonts w:cs="Times New Roman"/>
                <w:b/>
                <w:bCs/>
                <w:color w:val="000000"/>
                <w:szCs w:val="24"/>
                <w:lang w:bidi="ar"/>
              </w:rPr>
              <w:t>成品灌装：</w:t>
            </w:r>
            <w:r>
              <w:rPr>
                <w:rFonts w:cs="Times New Roman"/>
                <w:color w:val="000000"/>
                <w:szCs w:val="24"/>
                <w:lang w:bidi="ar"/>
              </w:rPr>
              <w:t>混合均匀的液态养护材料经管道输送至成品储存罐暂存。</w:t>
            </w:r>
          </w:p>
          <w:p>
            <w:pPr>
              <w:pStyle w:val="7"/>
            </w:pPr>
            <w:r>
              <w:rPr>
                <w:rFonts w:hint="eastAsia"/>
              </w:rPr>
              <w:t>2</w:t>
            </w:r>
            <w:r>
              <w:t>.7.3</w:t>
            </w:r>
            <w:r>
              <w:rPr>
                <w:rFonts w:hint="eastAsia"/>
              </w:rPr>
              <w:t>产污环节</w:t>
            </w:r>
          </w:p>
          <w:p>
            <w:pPr>
              <w:ind w:firstLine="480"/>
              <w:rPr>
                <w:bCs/>
                <w:color w:val="000000" w:themeColor="text1"/>
                <w:kern w:val="0"/>
                <w14:textFill>
                  <w14:solidFill>
                    <w14:schemeClr w14:val="tx1"/>
                  </w14:solidFill>
                </w14:textFill>
              </w:rPr>
            </w:pPr>
            <w:r>
              <w:rPr>
                <w:rFonts w:hint="eastAsia"/>
                <w:bCs/>
                <w:color w:val="000000" w:themeColor="text1"/>
                <w:kern w:val="0"/>
                <w14:textFill>
                  <w14:solidFill>
                    <w14:schemeClr w14:val="tx1"/>
                  </w14:solidFill>
                </w14:textFill>
              </w:rPr>
              <w:t>本项目主要污染工序见表</w:t>
            </w:r>
            <w:r>
              <w:rPr>
                <w:bCs/>
                <w:color w:val="000000" w:themeColor="text1"/>
                <w:kern w:val="0"/>
                <w14:textFill>
                  <w14:solidFill>
                    <w14:schemeClr w14:val="tx1"/>
                  </w14:solidFill>
                </w14:textFill>
              </w:rPr>
              <w:t>2-13</w:t>
            </w:r>
            <w:r>
              <w:rPr>
                <w:rFonts w:hint="eastAsia"/>
                <w:bCs/>
                <w:color w:val="000000" w:themeColor="text1"/>
                <w:kern w:val="0"/>
                <w14:textFill>
                  <w14:solidFill>
                    <w14:schemeClr w14:val="tx1"/>
                  </w14:solidFill>
                </w14:textFill>
              </w:rPr>
              <w:t>：</w:t>
            </w:r>
          </w:p>
          <w:p>
            <w:pPr>
              <w:pStyle w:val="7"/>
              <w:spacing w:after="0"/>
              <w:jc w:val="center"/>
              <w:rPr>
                <w:rFonts w:cs="Times New Roman"/>
                <w:sz w:val="21"/>
                <w:szCs w:val="21"/>
              </w:rPr>
            </w:pPr>
            <w:r>
              <w:rPr>
                <w:rFonts w:cs="Times New Roman"/>
                <w:sz w:val="21"/>
                <w:szCs w:val="21"/>
              </w:rPr>
              <w:t>表2-13  主要污染工序汇总</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32"/>
              <w:gridCol w:w="2249"/>
              <w:gridCol w:w="1791"/>
              <w:gridCol w:w="23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1255"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污染物类别</w:t>
                  </w: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产污工序</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污染源</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主要污染物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 w:hRule="atLeast"/>
              </w:trPr>
              <w:tc>
                <w:tcPr>
                  <w:tcW w:w="1255"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粉末道路标线材料生产废气</w:t>
                  </w: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拆包卸料、投料及成品分装</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粉尘</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颗粒物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1255" w:type="pct"/>
                  <w:vMerge w:val="restart"/>
                  <w:vAlign w:val="center"/>
                </w:tcPr>
                <w:p>
                  <w:pPr>
                    <w:spacing w:line="240" w:lineRule="auto"/>
                    <w:ind w:firstLine="0" w:firstLineChars="0"/>
                    <w:contextualSpacing/>
                    <w:jc w:val="center"/>
                    <w:rPr>
                      <w:color w:val="000000"/>
                      <w:sz w:val="21"/>
                      <w:szCs w:val="21"/>
                    </w:rPr>
                  </w:pPr>
                  <w:r>
                    <w:rPr>
                      <w:rFonts w:hint="eastAsia"/>
                      <w:color w:val="000000"/>
                      <w:sz w:val="21"/>
                      <w:szCs w:val="21"/>
                    </w:rPr>
                    <w:t>液态道路标线材料生产废气</w:t>
                  </w: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拆包卸料、投料及成品分装</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粉尘</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颗粒物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混合搅拌</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有机废气</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非甲烷总烃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 w:hRule="atLeast"/>
              </w:trPr>
              <w:tc>
                <w:tcPr>
                  <w:tcW w:w="1255" w:type="pct"/>
                  <w:vMerge w:val="restart"/>
                  <w:vAlign w:val="center"/>
                </w:tcPr>
                <w:p>
                  <w:pPr>
                    <w:spacing w:line="240" w:lineRule="auto"/>
                    <w:ind w:firstLine="0" w:firstLineChars="0"/>
                    <w:contextualSpacing/>
                    <w:jc w:val="center"/>
                    <w:rPr>
                      <w:color w:val="000000"/>
                      <w:sz w:val="21"/>
                      <w:szCs w:val="21"/>
                    </w:rPr>
                  </w:pPr>
                  <w:r>
                    <w:rPr>
                      <w:rFonts w:hint="eastAsia"/>
                      <w:color w:val="000000"/>
                      <w:sz w:val="21"/>
                      <w:szCs w:val="21"/>
                    </w:rPr>
                    <w:t>固体（液态）沥青养护环保材料生产废气</w:t>
                  </w: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上料</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粉尘</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颗粒物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沥青罐加热、搅拌</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沥青烟</w:t>
                  </w:r>
                </w:p>
              </w:tc>
              <w:tc>
                <w:tcPr>
                  <w:tcW w:w="1367"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沥青烟、非甲烷总烃、苯并[a]芘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79" w:hRule="atLeast"/>
              </w:trPr>
              <w:tc>
                <w:tcPr>
                  <w:tcW w:w="1255"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固体水泥养护环保材料生产</w:t>
                  </w:r>
                  <w:r>
                    <w:rPr>
                      <w:rFonts w:hint="eastAsia"/>
                      <w:color w:val="000000"/>
                      <w:sz w:val="21"/>
                      <w:szCs w:val="21"/>
                    </w:rPr>
                    <w:t>废气</w:t>
                  </w: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上料</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粉尘</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颗粒物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76" w:hRule="atLeast"/>
              </w:trPr>
              <w:tc>
                <w:tcPr>
                  <w:tcW w:w="1255"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液态水泥养护环保材料生产</w:t>
                  </w:r>
                  <w:r>
                    <w:rPr>
                      <w:rFonts w:hint="eastAsia"/>
                      <w:color w:val="000000"/>
                      <w:sz w:val="21"/>
                      <w:szCs w:val="21"/>
                    </w:rPr>
                    <w:t>废气</w:t>
                  </w: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搅拌</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有机废气</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非甲烷总烃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4" w:hRule="atLeast"/>
              </w:trPr>
              <w:tc>
                <w:tcPr>
                  <w:tcW w:w="1255"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废水</w:t>
                  </w: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员工生活</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生活污水</w:t>
                  </w:r>
                </w:p>
              </w:tc>
              <w:tc>
                <w:tcPr>
                  <w:tcW w:w="1367" w:type="pct"/>
                  <w:vAlign w:val="center"/>
                </w:tcPr>
                <w:p>
                  <w:pPr>
                    <w:spacing w:line="240" w:lineRule="auto"/>
                    <w:ind w:firstLine="0" w:firstLineChars="0"/>
                    <w:contextualSpacing/>
                    <w:jc w:val="center"/>
                    <w:rPr>
                      <w:rFonts w:cs="Times New Roman"/>
                      <w:color w:val="000000"/>
                      <w:sz w:val="21"/>
                      <w:szCs w:val="21"/>
                    </w:rPr>
                  </w:pPr>
                  <w:r>
                    <w:rPr>
                      <w:rFonts w:hint="eastAsia" w:eastAsia="TimesNewRomanPSMT" w:cs="Times New Roman"/>
                      <w:color w:val="000000"/>
                      <w:sz w:val="21"/>
                      <w:szCs w:val="21"/>
                    </w:rPr>
                    <w:t>pH</w:t>
                  </w:r>
                  <w:r>
                    <w:rPr>
                      <w:rFonts w:hint="eastAsia" w:ascii="宋体" w:hAnsi="宋体" w:cs="宋体"/>
                      <w:color w:val="000000"/>
                      <w:sz w:val="21"/>
                      <w:szCs w:val="21"/>
                    </w:rPr>
                    <w:t>、</w:t>
                  </w:r>
                  <w:r>
                    <w:rPr>
                      <w:rFonts w:eastAsia="TimesNewRomanPSMT" w:cs="Times New Roman"/>
                      <w:color w:val="000000"/>
                      <w:sz w:val="21"/>
                      <w:szCs w:val="21"/>
                    </w:rPr>
                    <w:t>COD</w:t>
                  </w:r>
                  <w:r>
                    <w:rPr>
                      <w:rFonts w:cs="Times New Roman"/>
                      <w:color w:val="000000"/>
                      <w:sz w:val="21"/>
                      <w:szCs w:val="21"/>
                    </w:rPr>
                    <w:t>、</w:t>
                  </w:r>
                  <w:r>
                    <w:rPr>
                      <w:rFonts w:eastAsia="TimesNewRomanPSMT" w:cs="Times New Roman"/>
                      <w:color w:val="000000"/>
                      <w:sz w:val="21"/>
                      <w:szCs w:val="21"/>
                    </w:rPr>
                    <w:t>BOD</w:t>
                  </w:r>
                  <w:r>
                    <w:rPr>
                      <w:rFonts w:eastAsia="TimesNewRomanPSMT" w:cs="Times New Roman"/>
                      <w:color w:val="000000"/>
                      <w:sz w:val="21"/>
                      <w:szCs w:val="21"/>
                      <w:vertAlign w:val="subscript"/>
                    </w:rPr>
                    <w:t>5</w:t>
                  </w:r>
                  <w:r>
                    <w:rPr>
                      <w:rFonts w:cs="Times New Roman"/>
                      <w:color w:val="000000"/>
                      <w:sz w:val="21"/>
                      <w:szCs w:val="21"/>
                    </w:rPr>
                    <w:t>、</w:t>
                  </w:r>
                  <w:r>
                    <w:rPr>
                      <w:rFonts w:eastAsia="TimesNewRomanPSMT" w:cs="Times New Roman"/>
                      <w:color w:val="000000"/>
                      <w:sz w:val="21"/>
                      <w:szCs w:val="21"/>
                    </w:rPr>
                    <w:t>NH</w:t>
                  </w:r>
                  <w:r>
                    <w:rPr>
                      <w:rFonts w:hint="eastAsia" w:cs="Times New Roman"/>
                      <w:color w:val="000000"/>
                      <w:sz w:val="21"/>
                      <w:szCs w:val="21"/>
                      <w:vertAlign w:val="subscript"/>
                    </w:rPr>
                    <w:t>3</w:t>
                  </w:r>
                  <w:r>
                    <w:rPr>
                      <w:rFonts w:eastAsia="TimesNewRomanPSMT" w:cs="Times New Roman"/>
                      <w:color w:val="000000"/>
                      <w:sz w:val="21"/>
                      <w:szCs w:val="21"/>
                    </w:rPr>
                    <w:t>-N</w:t>
                  </w:r>
                  <w:r>
                    <w:rPr>
                      <w:rFonts w:cs="Times New Roman"/>
                      <w:color w:val="000000"/>
                      <w:sz w:val="21"/>
                      <w:szCs w:val="21"/>
                    </w:rPr>
                    <w:t>、</w:t>
                  </w:r>
                  <w:r>
                    <w:rPr>
                      <w:rFonts w:eastAsia="TimesNewRomanPSMT" w:cs="Times New Roman"/>
                      <w:color w:val="000000"/>
                      <w:sz w:val="21"/>
                      <w:szCs w:val="21"/>
                    </w:rPr>
                    <w:t>SS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255" w:type="pct"/>
                  <w:vMerge w:val="restart"/>
                  <w:vAlign w:val="center"/>
                </w:tcPr>
                <w:p>
                  <w:pPr>
                    <w:spacing w:line="240" w:lineRule="auto"/>
                    <w:ind w:firstLine="0" w:firstLineChars="0"/>
                    <w:contextualSpacing/>
                    <w:jc w:val="center"/>
                    <w:rPr>
                      <w:color w:val="000000"/>
                      <w:sz w:val="21"/>
                      <w:szCs w:val="21"/>
                    </w:rPr>
                  </w:pPr>
                  <w:r>
                    <w:rPr>
                      <w:rFonts w:hint="eastAsia"/>
                      <w:color w:val="000000"/>
                      <w:sz w:val="21"/>
                      <w:szCs w:val="21"/>
                    </w:rPr>
                    <w:t>固体废物</w:t>
                  </w: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员工生活</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生活垃圾</w:t>
                  </w:r>
                </w:p>
              </w:tc>
              <w:tc>
                <w:tcPr>
                  <w:tcW w:w="1367" w:type="pct"/>
                  <w:vAlign w:val="center"/>
                </w:tcPr>
                <w:p>
                  <w:pPr>
                    <w:spacing w:line="240" w:lineRule="auto"/>
                    <w:ind w:firstLine="0" w:firstLineChars="0"/>
                    <w:contextualSpacing/>
                    <w:jc w:val="center"/>
                    <w:rPr>
                      <w:color w:val="000000"/>
                      <w:sz w:val="21"/>
                      <w:szCs w:val="21"/>
                    </w:rPr>
                  </w:pPr>
                  <w:r>
                    <w:rPr>
                      <w:rFonts w:hint="eastAsia"/>
                      <w:color w:val="000000"/>
                      <w:sz w:val="21"/>
                      <w:szCs w:val="21"/>
                    </w:rPr>
                    <w:t>生活垃圾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22"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原料包装</w:t>
                  </w:r>
                </w:p>
              </w:tc>
              <w:tc>
                <w:tcPr>
                  <w:tcW w:w="105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废包装材料</w:t>
                  </w:r>
                </w:p>
              </w:tc>
              <w:tc>
                <w:tcPr>
                  <w:tcW w:w="1367" w:type="pct"/>
                  <w:vMerge w:val="restart"/>
                  <w:vAlign w:val="center"/>
                </w:tcPr>
                <w:p>
                  <w:pPr>
                    <w:spacing w:line="240" w:lineRule="auto"/>
                    <w:ind w:firstLine="0" w:firstLineChars="0"/>
                    <w:contextualSpacing/>
                    <w:jc w:val="center"/>
                    <w:rPr>
                      <w:color w:val="000000"/>
                      <w:sz w:val="21"/>
                      <w:szCs w:val="21"/>
                    </w:rPr>
                  </w:pPr>
                  <w:r>
                    <w:rPr>
                      <w:rFonts w:hint="eastAsia"/>
                      <w:sz w:val="21"/>
                      <w:szCs w:val="21"/>
                    </w:rPr>
                    <w:t>一般固体废物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44"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color w:val="000000"/>
                      <w:sz w:val="21"/>
                      <w:szCs w:val="21"/>
                    </w:rPr>
                  </w:pPr>
                  <w:r>
                    <w:rPr>
                      <w:rFonts w:hint="eastAsia" w:cs="Times New Roman"/>
                      <w:sz w:val="21"/>
                      <w:szCs w:val="21"/>
                    </w:rPr>
                    <w:t>废气治理设施</w:t>
                  </w:r>
                </w:p>
              </w:tc>
              <w:tc>
                <w:tcPr>
                  <w:tcW w:w="1054" w:type="pct"/>
                  <w:vAlign w:val="center"/>
                </w:tcPr>
                <w:p>
                  <w:pPr>
                    <w:spacing w:line="240" w:lineRule="auto"/>
                    <w:ind w:firstLine="0" w:firstLineChars="0"/>
                    <w:contextualSpacing/>
                    <w:rPr>
                      <w:rFonts w:cs="Times New Roman"/>
                      <w:sz w:val="21"/>
                      <w:szCs w:val="21"/>
                    </w:rPr>
                  </w:pPr>
                  <w:r>
                    <w:rPr>
                      <w:rFonts w:hint="eastAsia"/>
                      <w:color w:val="000000"/>
                      <w:sz w:val="21"/>
                      <w:szCs w:val="21"/>
                    </w:rPr>
                    <w:t>废布袋、</w:t>
                  </w:r>
                  <w:r>
                    <w:rPr>
                      <w:rFonts w:hint="eastAsia" w:cs="Times New Roman"/>
                      <w:sz w:val="21"/>
                      <w:szCs w:val="21"/>
                    </w:rPr>
                    <w:t>布袋集尘</w:t>
                  </w:r>
                </w:p>
              </w:tc>
              <w:tc>
                <w:tcPr>
                  <w:tcW w:w="1367" w:type="pct"/>
                  <w:vMerge w:val="continue"/>
                  <w:vAlign w:val="center"/>
                </w:tcPr>
                <w:p>
                  <w:pPr>
                    <w:spacing w:line="240" w:lineRule="auto"/>
                    <w:ind w:firstLine="0" w:firstLineChars="0"/>
                    <w:contextualSpacing/>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设备维修</w:t>
                  </w:r>
                </w:p>
              </w:tc>
              <w:tc>
                <w:tcPr>
                  <w:tcW w:w="1054" w:type="pct"/>
                  <w:vAlign w:val="center"/>
                </w:tcPr>
                <w:p>
                  <w:pPr>
                    <w:spacing w:line="240" w:lineRule="auto"/>
                    <w:ind w:firstLine="0" w:firstLineChars="0"/>
                    <w:contextualSpacing/>
                    <w:rPr>
                      <w:color w:val="000000"/>
                      <w:sz w:val="21"/>
                      <w:szCs w:val="21"/>
                    </w:rPr>
                  </w:pPr>
                  <w:r>
                    <w:rPr>
                      <w:rFonts w:hint="eastAsia"/>
                      <w:color w:val="000000"/>
                      <w:sz w:val="21"/>
                      <w:szCs w:val="21"/>
                    </w:rPr>
                    <w:t>废机油、沾有废机油的废抹布和废手套、废机油桶、废活性炭</w:t>
                  </w:r>
                </w:p>
              </w:tc>
              <w:tc>
                <w:tcPr>
                  <w:tcW w:w="1367" w:type="pct"/>
                  <w:vMerge w:val="restart"/>
                  <w:vAlign w:val="center"/>
                </w:tcPr>
                <w:p>
                  <w:pPr>
                    <w:spacing w:line="240" w:lineRule="auto"/>
                    <w:ind w:firstLine="0" w:firstLineChars="0"/>
                    <w:contextualSpacing/>
                    <w:jc w:val="center"/>
                    <w:rPr>
                      <w:color w:val="000000"/>
                      <w:sz w:val="21"/>
                      <w:szCs w:val="21"/>
                    </w:rPr>
                  </w:pPr>
                  <w:r>
                    <w:rPr>
                      <w:rFonts w:hint="eastAsia"/>
                      <w:color w:val="000000"/>
                      <w:sz w:val="21"/>
                      <w:szCs w:val="21"/>
                    </w:rPr>
                    <w:t>危险废物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25"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导热油炉</w:t>
                  </w:r>
                </w:p>
              </w:tc>
              <w:tc>
                <w:tcPr>
                  <w:tcW w:w="1054"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废导热油</w:t>
                  </w:r>
                </w:p>
              </w:tc>
              <w:tc>
                <w:tcPr>
                  <w:tcW w:w="1367" w:type="pct"/>
                  <w:vMerge w:val="continue"/>
                  <w:vAlign w:val="center"/>
                </w:tcPr>
                <w:p>
                  <w:pPr>
                    <w:spacing w:line="240" w:lineRule="auto"/>
                    <w:ind w:firstLine="0" w:firstLineChars="0"/>
                    <w:contextualSpacing/>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25" w:hRule="atLeast"/>
              </w:trPr>
              <w:tc>
                <w:tcPr>
                  <w:tcW w:w="1255" w:type="pct"/>
                  <w:vMerge w:val="continue"/>
                  <w:vAlign w:val="center"/>
                </w:tcPr>
                <w:p>
                  <w:pPr>
                    <w:spacing w:line="240" w:lineRule="auto"/>
                    <w:ind w:firstLine="0" w:firstLineChars="0"/>
                    <w:contextualSpacing/>
                    <w:jc w:val="center"/>
                    <w:rPr>
                      <w:color w:val="000000"/>
                      <w:sz w:val="21"/>
                      <w:szCs w:val="21"/>
                    </w:rPr>
                  </w:pPr>
                </w:p>
              </w:tc>
              <w:tc>
                <w:tcPr>
                  <w:tcW w:w="1324"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净化处理设施</w:t>
                  </w:r>
                </w:p>
              </w:tc>
              <w:tc>
                <w:tcPr>
                  <w:tcW w:w="1054" w:type="pct"/>
                  <w:vAlign w:val="center"/>
                </w:tcPr>
                <w:p>
                  <w:pPr>
                    <w:spacing w:line="240" w:lineRule="auto"/>
                    <w:ind w:firstLine="0" w:firstLineChars="0"/>
                    <w:contextualSpacing/>
                    <w:jc w:val="center"/>
                    <w:rPr>
                      <w:rFonts w:cs="Times New Roman"/>
                      <w:sz w:val="21"/>
                      <w:szCs w:val="21"/>
                    </w:rPr>
                  </w:pPr>
                  <w:r>
                    <w:rPr>
                      <w:rFonts w:hint="eastAsia" w:cs="Times New Roman"/>
                      <w:sz w:val="21"/>
                      <w:szCs w:val="21"/>
                    </w:rPr>
                    <w:t>废焦油</w:t>
                  </w:r>
                </w:p>
              </w:tc>
              <w:tc>
                <w:tcPr>
                  <w:tcW w:w="1367" w:type="pct"/>
                  <w:vMerge w:val="continue"/>
                  <w:vAlign w:val="center"/>
                </w:tcPr>
                <w:p>
                  <w:pPr>
                    <w:spacing w:line="240" w:lineRule="auto"/>
                    <w:ind w:firstLine="0" w:firstLineChars="0"/>
                    <w:contextualSpacing/>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1255" w:type="pct"/>
                  <w:vAlign w:val="center"/>
                </w:tcPr>
                <w:p>
                  <w:pPr>
                    <w:spacing w:line="240" w:lineRule="auto"/>
                    <w:ind w:firstLine="0" w:firstLineChars="0"/>
                    <w:contextualSpacing/>
                    <w:jc w:val="center"/>
                    <w:rPr>
                      <w:color w:val="000000"/>
                      <w:sz w:val="21"/>
                      <w:szCs w:val="21"/>
                    </w:rPr>
                  </w:pPr>
                  <w:r>
                    <w:rPr>
                      <w:rFonts w:hint="eastAsia"/>
                      <w:color w:val="000000"/>
                      <w:sz w:val="21"/>
                      <w:szCs w:val="21"/>
                    </w:rPr>
                    <w:t>噪声</w:t>
                  </w:r>
                </w:p>
              </w:tc>
              <w:tc>
                <w:tcPr>
                  <w:tcW w:w="3745" w:type="pct"/>
                  <w:gridSpan w:val="3"/>
                  <w:vAlign w:val="center"/>
                </w:tcPr>
                <w:p>
                  <w:pPr>
                    <w:spacing w:line="240" w:lineRule="auto"/>
                    <w:ind w:firstLine="0" w:firstLineChars="0"/>
                    <w:contextualSpacing/>
                    <w:rPr>
                      <w:color w:val="000000"/>
                      <w:sz w:val="21"/>
                      <w:szCs w:val="21"/>
                    </w:rPr>
                  </w:pPr>
                  <w:r>
                    <w:rPr>
                      <w:rFonts w:hint="eastAsia"/>
                      <w:color w:val="000000"/>
                      <w:sz w:val="21"/>
                      <w:szCs w:val="21"/>
                    </w:rPr>
                    <w:t>本项目运营期噪声污染源主要是来自生产设备的噪声</w:t>
                  </w:r>
                </w:p>
              </w:tc>
            </w:tr>
          </w:tbl>
          <w:p>
            <w:pPr>
              <w:ind w:firstLine="480"/>
              <w:rPr>
                <w:rFonts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457" w:type="dxa"/>
            <w:vAlign w:val="center"/>
          </w:tcPr>
          <w:p>
            <w:pPr>
              <w:widowControl/>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szCs w:val="24"/>
                <w14:textFill>
                  <w14:solidFill>
                    <w14:schemeClr w14:val="tx1"/>
                  </w14:solidFill>
                </w14:textFill>
              </w:rPr>
              <w:t>与项目有关的原有环境污染问题</w:t>
            </w:r>
          </w:p>
        </w:tc>
        <w:tc>
          <w:tcPr>
            <w:tcW w:w="8603" w:type="dxa"/>
            <w:vAlign w:val="center"/>
          </w:tcPr>
          <w:p>
            <w:pPr>
              <w:pStyle w:val="70"/>
              <w:ind w:firstLine="500"/>
              <w:jc w:val="center"/>
              <w:rPr>
                <w:rFonts w:ascii="Segoe UI" w:hAnsi="Segoe UI" w:cs="Segoe UI"/>
                <w:color w:val="0F1115"/>
                <w:sz w:val="24"/>
                <w:szCs w:val="24"/>
                <w:shd w:val="clear" w:color="auto" w:fill="FFFFFF"/>
              </w:rPr>
            </w:pPr>
            <w:r>
              <w:rPr>
                <w:rFonts w:hint="eastAsia" w:ascii="Segoe UI" w:hAnsi="Segoe UI" w:cs="Segoe UI"/>
                <w:color w:val="0F1115"/>
                <w:sz w:val="24"/>
                <w:szCs w:val="24"/>
                <w:shd w:val="clear" w:color="auto" w:fill="FFFFFF"/>
              </w:rPr>
              <w:t>无</w:t>
            </w:r>
          </w:p>
        </w:tc>
      </w:tr>
    </w:tbl>
    <w:p>
      <w:pPr>
        <w:ind w:firstLine="480"/>
        <w:rPr>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pgNumType w:start="1"/>
          <w:cols w:space="425" w:num="1"/>
          <w:docGrid w:type="lines" w:linePitch="326" w:charSpace="0"/>
        </w:sectPr>
      </w:pPr>
    </w:p>
    <w:p>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三、区域环境质量现状、环境保护目标及评价标准</w:t>
      </w:r>
    </w:p>
    <w:tbl>
      <w:tblPr>
        <w:tblStyle w:val="26"/>
        <w:tblW w:w="488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
        <w:gridCol w:w="86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6" w:hRule="atLeast"/>
          <w:jc w:val="center"/>
        </w:trPr>
        <w:tc>
          <w:tcPr>
            <w:tcW w:w="233" w:type="pct"/>
            <w:vAlign w:val="center"/>
          </w:tcPr>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区域</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环境</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质量</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现状</w:t>
            </w:r>
          </w:p>
        </w:tc>
        <w:tc>
          <w:tcPr>
            <w:tcW w:w="4767" w:type="pct"/>
            <w:vAlign w:val="center"/>
          </w:tcPr>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3.环境空气质量评价</w:t>
            </w:r>
          </w:p>
          <w:p>
            <w:pPr>
              <w:keepNext/>
              <w:keepLines/>
              <w:spacing w:before="120" w:after="60" w:line="240" w:lineRule="auto"/>
              <w:ind w:firstLine="0" w:firstLineChars="0"/>
              <w:textAlignment w:val="auto"/>
              <w:outlineLvl w:val="1"/>
              <w:rPr>
                <w:rFonts w:cs="Times New Roman"/>
                <w:b/>
                <w:bCs/>
                <w:color w:val="000000" w:themeColor="text1"/>
                <w:szCs w:val="32"/>
                <w14:textFill>
                  <w14:solidFill>
                    <w14:schemeClr w14:val="tx1"/>
                  </w14:solidFill>
                </w14:textFill>
              </w:rPr>
            </w:pPr>
            <w:r>
              <w:rPr>
                <w:rFonts w:hint="eastAsia" w:cs="Times New Roman"/>
                <w:b/>
                <w:bCs/>
                <w:color w:val="000000" w:themeColor="text1"/>
                <w:szCs w:val="32"/>
                <w14:textFill>
                  <w14:solidFill>
                    <w14:schemeClr w14:val="tx1"/>
                  </w14:solidFill>
                </w14:textFill>
              </w:rPr>
              <w:t>3.1基本污染物环境质量现状评价</w:t>
            </w:r>
          </w:p>
          <w:p>
            <w:pPr>
              <w:adjustRightInd w:val="0"/>
              <w:snapToGrid w:val="0"/>
              <w:ind w:firstLine="480"/>
              <w:rPr>
                <w:kern w:val="0"/>
              </w:rPr>
            </w:pPr>
            <w:r>
              <w:rPr>
                <w:bCs/>
                <w:kern w:val="0"/>
              </w:rPr>
              <w:t>根据《环境影响评价技术导则 大气环境》（HJ2.2-2018），大气常规因子可直接采用国家或地方生态环境主管部门公开发布的评价基准年环境质量公告或环境质量报告中的数据或结论。因此，本次评价采用和静县空气自动监测站2024年全年监测数据，作为基本污染物SO</w:t>
            </w:r>
            <w:r>
              <w:rPr>
                <w:bCs/>
                <w:kern w:val="0"/>
                <w:vertAlign w:val="subscript"/>
              </w:rPr>
              <w:t>2</w:t>
            </w:r>
            <w:r>
              <w:rPr>
                <w:bCs/>
                <w:kern w:val="0"/>
              </w:rPr>
              <w:t>、NO</w:t>
            </w:r>
            <w:r>
              <w:rPr>
                <w:bCs/>
                <w:kern w:val="0"/>
                <w:vertAlign w:val="subscript"/>
              </w:rPr>
              <w:t>2</w:t>
            </w:r>
            <w:r>
              <w:rPr>
                <w:bCs/>
                <w:kern w:val="0"/>
              </w:rPr>
              <w:t>、PM</w:t>
            </w:r>
            <w:r>
              <w:rPr>
                <w:bCs/>
                <w:kern w:val="0"/>
                <w:vertAlign w:val="subscript"/>
              </w:rPr>
              <w:t>10</w:t>
            </w:r>
            <w:r>
              <w:rPr>
                <w:bCs/>
                <w:kern w:val="0"/>
              </w:rPr>
              <w:t>、PM</w:t>
            </w:r>
            <w:r>
              <w:rPr>
                <w:bCs/>
                <w:kern w:val="0"/>
                <w:vertAlign w:val="subscript"/>
              </w:rPr>
              <w:t>2.5</w:t>
            </w:r>
            <w:r>
              <w:rPr>
                <w:bCs/>
                <w:kern w:val="0"/>
              </w:rPr>
              <w:t>、CO和O</w:t>
            </w:r>
            <w:r>
              <w:rPr>
                <w:bCs/>
                <w:kern w:val="0"/>
                <w:vertAlign w:val="subscript"/>
              </w:rPr>
              <w:t>3</w:t>
            </w:r>
            <w:r>
              <w:rPr>
                <w:bCs/>
                <w:kern w:val="0"/>
              </w:rPr>
              <w:t>的环境空气现状评价数据来源，是可行的。基本污染物环境空气质量现状见表3-1</w:t>
            </w:r>
            <w:r>
              <w:rPr>
                <w:rFonts w:hint="eastAsia"/>
                <w:kern w:val="0"/>
              </w:rPr>
              <w:t>。</w:t>
            </w:r>
          </w:p>
          <w:p>
            <w:pPr>
              <w:adjustRightInd w:val="0"/>
              <w:snapToGrid w:val="0"/>
              <w:spacing w:line="240" w:lineRule="auto"/>
              <w:ind w:firstLine="1476" w:firstLineChars="700"/>
              <w:jc w:val="left"/>
              <w:rPr>
                <w:b/>
                <w:kern w:val="0"/>
                <w:sz w:val="21"/>
                <w:szCs w:val="21"/>
              </w:rPr>
            </w:pPr>
            <w:r>
              <w:rPr>
                <w:b/>
                <w:kern w:val="0"/>
                <w:sz w:val="21"/>
                <w:szCs w:val="21"/>
              </w:rPr>
              <w:t>表3-1  区域空气质量现状评价表单位（μg/m³）</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626"/>
              <w:gridCol w:w="1258"/>
              <w:gridCol w:w="1433"/>
              <w:gridCol w:w="1150"/>
              <w:gridCol w:w="10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6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评价因子</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rFonts w:hint="eastAsia"/>
                      <w:bCs/>
                      <w:kern w:val="0"/>
                      <w:sz w:val="21"/>
                      <w:szCs w:val="21"/>
                    </w:rPr>
                    <w:t>评价项目</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浓度</w:t>
                  </w:r>
                </w:p>
                <w:p>
                  <w:pPr>
                    <w:adjustRightInd w:val="0"/>
                    <w:snapToGrid w:val="0"/>
                    <w:spacing w:line="240" w:lineRule="auto"/>
                    <w:ind w:firstLine="0" w:firstLineChars="0"/>
                    <w:jc w:val="center"/>
                    <w:rPr>
                      <w:b/>
                      <w:kern w:val="0"/>
                      <w:sz w:val="21"/>
                      <w:szCs w:val="21"/>
                    </w:rPr>
                  </w:pPr>
                  <w:r>
                    <w:rPr>
                      <w:rFonts w:hint="eastAsia"/>
                      <w:bCs/>
                      <w:kern w:val="0"/>
                      <w:sz w:val="21"/>
                      <w:szCs w:val="21"/>
                    </w:rPr>
                    <w:t>（</w:t>
                  </w:r>
                  <w:r>
                    <w:rPr>
                      <w:bCs/>
                      <w:kern w:val="0"/>
                      <w:sz w:val="21"/>
                      <w:szCs w:val="21"/>
                    </w:rPr>
                    <w:t>ug/m</w:t>
                  </w:r>
                  <w:r>
                    <w:rPr>
                      <w:bCs/>
                      <w:kern w:val="0"/>
                      <w:sz w:val="21"/>
                      <w:szCs w:val="21"/>
                      <w:vertAlign w:val="superscript"/>
                    </w:rPr>
                    <w:t>3</w:t>
                  </w:r>
                  <w:r>
                    <w:rPr>
                      <w:rFonts w:hint="eastAsia"/>
                      <w:bCs/>
                      <w:kern w:val="0"/>
                      <w:sz w:val="21"/>
                      <w:szCs w:val="21"/>
                    </w:rPr>
                    <w:t>）</w:t>
                  </w:r>
                </w:p>
              </w:tc>
              <w:tc>
                <w:tcPr>
                  <w:tcW w:w="1294" w:type="dxa"/>
                  <w:tcBorders>
                    <w:tl2br w:val="nil"/>
                    <w:tr2bl w:val="nil"/>
                  </w:tcBorders>
                  <w:vAlign w:val="center"/>
                </w:tcPr>
                <w:p>
                  <w:pPr>
                    <w:adjustRightInd w:val="0"/>
                    <w:snapToGrid w:val="0"/>
                    <w:spacing w:line="240" w:lineRule="auto"/>
                    <w:ind w:firstLine="0" w:firstLineChars="0"/>
                    <w:rPr>
                      <w:bCs/>
                      <w:kern w:val="0"/>
                      <w:sz w:val="21"/>
                      <w:szCs w:val="21"/>
                    </w:rPr>
                  </w:pPr>
                  <w:r>
                    <w:rPr>
                      <w:rFonts w:hint="eastAsia"/>
                      <w:bCs/>
                      <w:kern w:val="0"/>
                      <w:sz w:val="21"/>
                      <w:szCs w:val="21"/>
                    </w:rPr>
                    <w:t>标准（二级）（</w:t>
                  </w:r>
                  <w:r>
                    <w:rPr>
                      <w:bCs/>
                      <w:kern w:val="0"/>
                      <w:sz w:val="21"/>
                      <w:szCs w:val="21"/>
                    </w:rPr>
                    <w:t>ug/m</w:t>
                  </w:r>
                  <w:r>
                    <w:rPr>
                      <w:bCs/>
                      <w:kern w:val="0"/>
                      <w:sz w:val="21"/>
                      <w:szCs w:val="21"/>
                      <w:vertAlign w:val="superscript"/>
                    </w:rPr>
                    <w:t>3</w:t>
                  </w:r>
                  <w:r>
                    <w:rPr>
                      <w:rFonts w:hint="eastAsia"/>
                      <w:bCs/>
                      <w:kern w:val="0"/>
                      <w:sz w:val="21"/>
                      <w:szCs w:val="21"/>
                    </w:rPr>
                    <w:t>）</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rFonts w:hint="eastAsia"/>
                      <w:bCs/>
                      <w:kern w:val="0"/>
                      <w:sz w:val="21"/>
                      <w:szCs w:val="21"/>
                    </w:rPr>
                    <w:t>占标率</w:t>
                  </w:r>
                  <w:r>
                    <w:rPr>
                      <w:bCs/>
                      <w:kern w:val="0"/>
                      <w:sz w:val="21"/>
                      <w:szCs w:val="21"/>
                    </w:rPr>
                    <w:t>%</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5" w:type="dxa"/>
                  <w:vMerge w:val="restart"/>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SO</w:t>
                  </w:r>
                  <w:r>
                    <w:rPr>
                      <w:bCs/>
                      <w:kern w:val="0"/>
                      <w:sz w:val="21"/>
                      <w:szCs w:val="21"/>
                      <w:vertAlign w:val="subscript"/>
                    </w:rPr>
                    <w:t>2</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5</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60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8</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93" w:hRule="atLeast"/>
                <w:jc w:val="center"/>
              </w:trPr>
              <w:tc>
                <w:tcPr>
                  <w:tcW w:w="765" w:type="dxa"/>
                  <w:vMerge w:val="continue"/>
                  <w:tcBorders>
                    <w:tl2br w:val="nil"/>
                    <w:tr2bl w:val="nil"/>
                  </w:tcBorders>
                  <w:vAlign w:val="center"/>
                </w:tcPr>
                <w:p>
                  <w:pPr>
                    <w:adjustRightInd w:val="0"/>
                    <w:snapToGrid w:val="0"/>
                    <w:spacing w:line="240" w:lineRule="auto"/>
                    <w:ind w:firstLine="0" w:firstLineChars="0"/>
                    <w:jc w:val="center"/>
                    <w:rPr>
                      <w:bCs/>
                      <w:kern w:val="0"/>
                      <w:sz w:val="21"/>
                      <w:szCs w:val="21"/>
                    </w:rPr>
                  </w:pP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24小时平均质量浓度第98百分位数</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12</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150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8</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5" w:type="dxa"/>
                  <w:vMerge w:val="restart"/>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NO</w:t>
                  </w:r>
                  <w:r>
                    <w:rPr>
                      <w:bCs/>
                      <w:kern w:val="0"/>
                      <w:sz w:val="21"/>
                      <w:szCs w:val="21"/>
                      <w:vertAlign w:val="subscript"/>
                    </w:rPr>
                    <w:t>2</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19</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40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48</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93" w:hRule="atLeast"/>
                <w:jc w:val="center"/>
              </w:trPr>
              <w:tc>
                <w:tcPr>
                  <w:tcW w:w="765" w:type="dxa"/>
                  <w:vMerge w:val="continue"/>
                  <w:tcBorders>
                    <w:tl2br w:val="nil"/>
                    <w:tr2bl w:val="nil"/>
                  </w:tcBorders>
                  <w:vAlign w:val="center"/>
                </w:tcPr>
                <w:p>
                  <w:pPr>
                    <w:adjustRightInd w:val="0"/>
                    <w:snapToGrid w:val="0"/>
                    <w:spacing w:line="240" w:lineRule="auto"/>
                    <w:ind w:firstLine="0" w:firstLineChars="0"/>
                    <w:jc w:val="center"/>
                    <w:rPr>
                      <w:bCs/>
                      <w:kern w:val="0"/>
                      <w:sz w:val="21"/>
                      <w:szCs w:val="21"/>
                    </w:rPr>
                  </w:pP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24小时平均质量浓度第98百分位数</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49</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80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61</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5" w:type="dxa"/>
                  <w:vMerge w:val="restart"/>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PM</w:t>
                  </w:r>
                  <w:r>
                    <w:rPr>
                      <w:bCs/>
                      <w:kern w:val="0"/>
                      <w:sz w:val="21"/>
                      <w:szCs w:val="21"/>
                      <w:vertAlign w:val="subscript"/>
                    </w:rPr>
                    <w:t>2.5</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36</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35</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103</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93" w:hRule="atLeast"/>
                <w:jc w:val="center"/>
              </w:trPr>
              <w:tc>
                <w:tcPr>
                  <w:tcW w:w="765" w:type="dxa"/>
                  <w:vMerge w:val="continue"/>
                  <w:tcBorders>
                    <w:tl2br w:val="nil"/>
                    <w:tr2bl w:val="nil"/>
                  </w:tcBorders>
                  <w:vAlign w:val="center"/>
                </w:tcPr>
                <w:p>
                  <w:pPr>
                    <w:adjustRightInd w:val="0"/>
                    <w:snapToGrid w:val="0"/>
                    <w:spacing w:line="240" w:lineRule="auto"/>
                    <w:ind w:firstLine="0" w:firstLineChars="0"/>
                    <w:jc w:val="center"/>
                    <w:rPr>
                      <w:bCs/>
                      <w:kern w:val="0"/>
                      <w:sz w:val="21"/>
                      <w:szCs w:val="21"/>
                    </w:rPr>
                  </w:pP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24小时平均质量浓度第95百分位数</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78</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75</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104</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7" w:hRule="atLeast"/>
                <w:jc w:val="center"/>
              </w:trPr>
              <w:tc>
                <w:tcPr>
                  <w:tcW w:w="765" w:type="dxa"/>
                  <w:vMerge w:val="restart"/>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PM</w:t>
                  </w:r>
                  <w:r>
                    <w:rPr>
                      <w:bCs/>
                      <w:kern w:val="0"/>
                      <w:sz w:val="21"/>
                      <w:szCs w:val="21"/>
                      <w:vertAlign w:val="subscript"/>
                    </w:rPr>
                    <w:t>10</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108</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70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154</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65" w:type="dxa"/>
                  <w:vMerge w:val="continue"/>
                  <w:tcBorders>
                    <w:tl2br w:val="nil"/>
                    <w:tr2bl w:val="nil"/>
                  </w:tcBorders>
                  <w:vAlign w:val="center"/>
                </w:tcPr>
                <w:p>
                  <w:pPr>
                    <w:adjustRightInd w:val="0"/>
                    <w:snapToGrid w:val="0"/>
                    <w:spacing w:line="240" w:lineRule="auto"/>
                    <w:ind w:firstLine="0" w:firstLineChars="0"/>
                    <w:jc w:val="center"/>
                    <w:rPr>
                      <w:bCs/>
                      <w:kern w:val="0"/>
                      <w:sz w:val="21"/>
                      <w:szCs w:val="21"/>
                    </w:rPr>
                  </w:pP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24小时平均质量浓度第95百分位数</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318</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150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212</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7" w:hRule="atLeast"/>
                <w:jc w:val="center"/>
              </w:trPr>
              <w:tc>
                <w:tcPr>
                  <w:tcW w:w="76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CO</w:t>
                  </w:r>
                </w:p>
              </w:tc>
              <w:tc>
                <w:tcPr>
                  <w:tcW w:w="2371" w:type="dxa"/>
                  <w:tcBorders>
                    <w:tl2br w:val="nil"/>
                    <w:tr2bl w:val="nil"/>
                  </w:tcBorders>
                  <w:vAlign w:val="center"/>
                </w:tcPr>
                <w:p>
                  <w:pPr>
                    <w:adjustRightInd w:val="0"/>
                    <w:snapToGrid w:val="0"/>
                    <w:spacing w:line="240" w:lineRule="auto"/>
                    <w:ind w:firstLine="0" w:firstLineChars="0"/>
                    <w:rPr>
                      <w:bCs/>
                      <w:kern w:val="0"/>
                      <w:sz w:val="21"/>
                      <w:szCs w:val="21"/>
                    </w:rPr>
                  </w:pPr>
                  <w:r>
                    <w:rPr>
                      <w:bCs/>
                      <w:kern w:val="0"/>
                      <w:sz w:val="21"/>
                      <w:szCs w:val="21"/>
                    </w:rPr>
                    <w:t>24小时平均质量浓度</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2.2</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4</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55</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O</w:t>
                  </w:r>
                  <w:r>
                    <w:rPr>
                      <w:bCs/>
                      <w:kern w:val="0"/>
                      <w:sz w:val="21"/>
                      <w:szCs w:val="21"/>
                      <w:vertAlign w:val="subscript"/>
                    </w:rPr>
                    <w:t>3</w:t>
                  </w:r>
                </w:p>
              </w:tc>
              <w:tc>
                <w:tcPr>
                  <w:tcW w:w="2371"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rFonts w:hint="eastAsia"/>
                      <w:bCs/>
                      <w:kern w:val="0"/>
                      <w:sz w:val="21"/>
                      <w:szCs w:val="21"/>
                    </w:rPr>
                    <w:t>日最大8小时滑动平均值的第90百分位数</w:t>
                  </w:r>
                </w:p>
              </w:tc>
              <w:tc>
                <w:tcPr>
                  <w:tcW w:w="915"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130</w:t>
                  </w:r>
                </w:p>
              </w:tc>
              <w:tc>
                <w:tcPr>
                  <w:tcW w:w="1294"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160</w:t>
                  </w:r>
                </w:p>
              </w:tc>
              <w:tc>
                <w:tcPr>
                  <w:tcW w:w="103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81</w:t>
                  </w:r>
                </w:p>
              </w:tc>
              <w:tc>
                <w:tcPr>
                  <w:tcW w:w="958" w:type="dxa"/>
                  <w:tcBorders>
                    <w:tl2br w:val="nil"/>
                    <w:tr2bl w:val="nil"/>
                  </w:tcBorders>
                  <w:vAlign w:val="center"/>
                </w:tcPr>
                <w:p>
                  <w:pPr>
                    <w:adjustRightInd w:val="0"/>
                    <w:snapToGrid w:val="0"/>
                    <w:spacing w:line="240" w:lineRule="auto"/>
                    <w:ind w:firstLine="0" w:firstLineChars="0"/>
                    <w:jc w:val="center"/>
                    <w:rPr>
                      <w:bCs/>
                      <w:kern w:val="0"/>
                      <w:sz w:val="21"/>
                      <w:szCs w:val="21"/>
                    </w:rPr>
                  </w:pPr>
                  <w:r>
                    <w:rPr>
                      <w:bCs/>
                      <w:kern w:val="0"/>
                      <w:sz w:val="21"/>
                      <w:szCs w:val="21"/>
                    </w:rPr>
                    <w:t>达标</w:t>
                  </w:r>
                </w:p>
              </w:tc>
            </w:tr>
          </w:tbl>
          <w:p>
            <w:pPr>
              <w:adjustRightInd w:val="0"/>
              <w:snapToGrid w:val="0"/>
              <w:ind w:firstLine="480"/>
            </w:pPr>
            <w:r>
              <w:rPr>
                <w:rFonts w:hint="eastAsia"/>
                <w:bCs/>
                <w:kern w:val="0"/>
              </w:rPr>
              <w:t>和静县空气自动监测站2024年空气质量监测总天数为365天。受沙尘天气影响，PM</w:t>
            </w:r>
            <w:r>
              <w:rPr>
                <w:rFonts w:hint="eastAsia"/>
                <w:bCs/>
                <w:kern w:val="0"/>
                <w:vertAlign w:val="subscript"/>
              </w:rPr>
              <w:t>2</w:t>
            </w:r>
            <w:r>
              <w:rPr>
                <w:bCs/>
                <w:kern w:val="0"/>
                <w:vertAlign w:val="subscript"/>
              </w:rPr>
              <w:t>.</w:t>
            </w:r>
            <w:r>
              <w:rPr>
                <w:rFonts w:hint="eastAsia"/>
                <w:bCs/>
                <w:kern w:val="0"/>
                <w:vertAlign w:val="subscript"/>
              </w:rPr>
              <w:t>5</w:t>
            </w:r>
            <w:r>
              <w:rPr>
                <w:rFonts w:hint="eastAsia"/>
                <w:bCs/>
                <w:kern w:val="0"/>
              </w:rPr>
              <w:t>、PM</w:t>
            </w:r>
            <w:r>
              <w:rPr>
                <w:bCs/>
                <w:kern w:val="0"/>
                <w:vertAlign w:val="subscript"/>
              </w:rPr>
              <w:t>10</w:t>
            </w:r>
            <w:r>
              <w:rPr>
                <w:rFonts w:hint="eastAsia"/>
                <w:bCs/>
                <w:kern w:val="0"/>
              </w:rPr>
              <w:t>年平均及24h平均第95百分位数浓度超过《环境空气质量标准》（GB3095-20</w:t>
            </w:r>
            <w:r>
              <w:rPr>
                <w:bCs/>
                <w:kern w:val="0"/>
              </w:rPr>
              <w:t>12</w:t>
            </w:r>
            <w:r>
              <w:rPr>
                <w:rFonts w:hint="eastAsia"/>
                <w:bCs/>
                <w:kern w:val="0"/>
              </w:rPr>
              <w:t>）二级标准，SO</w:t>
            </w:r>
            <w:r>
              <w:rPr>
                <w:rFonts w:hint="eastAsia"/>
                <w:bCs/>
                <w:kern w:val="0"/>
                <w:vertAlign w:val="subscript"/>
              </w:rPr>
              <w:t>2</w:t>
            </w:r>
            <w:r>
              <w:rPr>
                <w:rFonts w:hint="eastAsia"/>
                <w:bCs/>
                <w:kern w:val="0"/>
              </w:rPr>
              <w:t>、NO</w:t>
            </w:r>
            <w:r>
              <w:rPr>
                <w:rFonts w:hint="eastAsia"/>
                <w:bCs/>
                <w:kern w:val="0"/>
                <w:vertAlign w:val="subscript"/>
              </w:rPr>
              <w:t>2</w:t>
            </w:r>
            <w:r>
              <w:rPr>
                <w:rFonts w:hint="eastAsia"/>
                <w:bCs/>
                <w:kern w:val="0"/>
              </w:rPr>
              <w:t>、CO、O</w:t>
            </w:r>
            <w:r>
              <w:rPr>
                <w:rFonts w:hint="eastAsia"/>
                <w:bCs/>
                <w:kern w:val="0"/>
                <w:vertAlign w:val="subscript"/>
              </w:rPr>
              <w:t>3</w:t>
            </w:r>
            <w:r>
              <w:rPr>
                <w:rFonts w:hint="eastAsia"/>
                <w:bCs/>
                <w:kern w:val="0"/>
              </w:rPr>
              <w:t>等其他监测指标均满足二级标准</w:t>
            </w:r>
            <w:r>
              <w:rPr>
                <w:rFonts w:hint="eastAsia"/>
              </w:rPr>
              <w:t>，因此判断本项目所在区域为不达标区。</w:t>
            </w:r>
          </w:p>
          <w:p>
            <w:pPr>
              <w:adjustRightInd w:val="0"/>
              <w:snapToGrid w:val="0"/>
              <w:ind w:firstLine="480"/>
            </w:pPr>
            <w:r>
              <w:t>根据《环境影响评价技术导则</w:t>
            </w:r>
            <w:r>
              <w:rPr>
                <w:rFonts w:hint="eastAsia"/>
              </w:rPr>
              <w:t xml:space="preserve"> </w:t>
            </w:r>
            <w:r>
              <w:t>大气环境》（HJ2.2-2018）6.4.1.3条规定“可按照HJ663中各评价项目的年评价指标进行判定。年评价指标中的年均浓度和相应百分位数24h平均或8h平均质量浓度满足GB3095中浓度限值要求的即为达标”。</w:t>
            </w:r>
          </w:p>
          <w:p>
            <w:pPr>
              <w:adjustRightInd w:val="0"/>
              <w:snapToGrid w:val="0"/>
              <w:ind w:firstLine="480"/>
            </w:pPr>
            <w:r>
              <w:t>环评报告编制期间，生态环境部新发布了《环境空气质量标准》（GB3095-2026），由于环境空气质量达标判定的基准年（2024年）仍处于旧版标准有效期内，为确保评价工作的时效性、连续性与合规性，现状评价部分仍依据《环境空气质量标准》（GB3095-2012）进行达标判定</w:t>
            </w:r>
            <w:r>
              <w:rPr>
                <w:rFonts w:hint="eastAsia"/>
              </w:rPr>
              <w:t>。</w:t>
            </w:r>
          </w:p>
          <w:p>
            <w:pPr>
              <w:adjustRightInd w:val="0"/>
              <w:snapToGrid w:val="0"/>
              <w:ind w:firstLine="480"/>
              <w:rPr>
                <w:kern w:val="0"/>
              </w:rPr>
            </w:pPr>
            <w:r>
              <w:t>对于环境空气质量不达标区域需提交《大气环境不达标区域削减方案》，根据关</w:t>
            </w:r>
            <w:r>
              <w:rPr>
                <w:kern w:val="0"/>
              </w:rPr>
              <w:t>于将巴音郭楞蒙古自治州吐鲁番市哈密市纳入执行《环境影响评价技术导则大气环境（HJ2.2-2018）》差别化政策范围的复函（环办环评函</w:t>
            </w:r>
            <w:r>
              <w:rPr>
                <w:rFonts w:hint="eastAsia"/>
                <w:kern w:val="0"/>
              </w:rPr>
              <w:t>〔2020〕</w:t>
            </w:r>
            <w:r>
              <w:rPr>
                <w:kern w:val="0"/>
              </w:rPr>
              <w:t>341号），本地区新建项目可不提供颗粒物区域削减方案</w:t>
            </w:r>
            <w:r>
              <w:rPr>
                <w:rFonts w:hint="eastAsia"/>
                <w:kern w:val="0"/>
              </w:rPr>
              <w:t>。</w:t>
            </w:r>
          </w:p>
          <w:p>
            <w:pPr>
              <w:keepNext/>
              <w:keepLines/>
              <w:spacing w:before="120" w:after="60" w:line="240" w:lineRule="auto"/>
              <w:ind w:firstLine="0" w:firstLineChars="0"/>
              <w:textAlignment w:val="auto"/>
              <w:outlineLvl w:val="1"/>
              <w:rPr>
                <w:rFonts w:cs="Times New Roman"/>
                <w:b/>
                <w:bCs/>
                <w:color w:val="000000" w:themeColor="text1"/>
                <w:szCs w:val="32"/>
                <w14:textFill>
                  <w14:solidFill>
                    <w14:schemeClr w14:val="tx1"/>
                  </w14:solidFill>
                </w14:textFill>
              </w:rPr>
            </w:pPr>
            <w:r>
              <w:rPr>
                <w:rFonts w:cs="Times New Roman"/>
                <w:b/>
                <w:bCs/>
                <w:color w:val="000000" w:themeColor="text1"/>
                <w:szCs w:val="32"/>
                <w14:textFill>
                  <w14:solidFill>
                    <w14:schemeClr w14:val="tx1"/>
                  </w14:solidFill>
                </w14:textFill>
              </w:rPr>
              <w:t>3.1.1</w:t>
            </w:r>
            <w:r>
              <w:rPr>
                <w:rFonts w:hint="eastAsia" w:cs="Times New Roman"/>
                <w:b/>
                <w:bCs/>
                <w:color w:val="000000" w:themeColor="text1"/>
                <w:szCs w:val="32"/>
                <w14:textFill>
                  <w14:solidFill>
                    <w14:schemeClr w14:val="tx1"/>
                  </w14:solidFill>
                </w14:textFill>
              </w:rPr>
              <w:t>其他污染物质量现状评价</w:t>
            </w:r>
          </w:p>
          <w:p>
            <w:pPr>
              <w:ind w:firstLine="480"/>
              <w:textAlignment w:val="auto"/>
              <w:rPr>
                <w:rFonts w:cs="Times New Roman"/>
                <w:color w:val="000000"/>
              </w:rPr>
            </w:pPr>
            <w:r>
              <w:rPr>
                <w:rFonts w:cs="Times New Roman"/>
                <w:color w:val="000000"/>
              </w:rPr>
              <w:t>本项目其他大气污染物主要为苯并[a]芘、</w:t>
            </w:r>
            <w:r>
              <w:rPr>
                <w:rFonts w:hint="eastAsia" w:cs="Times New Roman"/>
                <w:color w:val="000000"/>
              </w:rPr>
              <w:t>总悬浮颗粒物（TSP）</w:t>
            </w:r>
            <w:r>
              <w:rPr>
                <w:rFonts w:cs="Times New Roman"/>
                <w:color w:val="000000"/>
              </w:rPr>
              <w:t>。</w:t>
            </w:r>
          </w:p>
          <w:p>
            <w:pPr>
              <w:ind w:firstLine="480"/>
              <w:textAlignment w:val="auto"/>
              <w:rPr>
                <w:rFonts w:cs="Times New Roman"/>
                <w:color w:val="000000"/>
              </w:rPr>
            </w:pPr>
            <w:r>
              <w:rPr>
                <w:rFonts w:cs="Times New Roman"/>
                <w:color w:val="000000"/>
              </w:rPr>
              <w:t>苯并[a]芘监测数据引用《新疆畅卓道路工程有限公司水稳拌合站、LB-4000型环保型沥青站及水泥加工厂建设项目》于2025年12月4日至12月7日的监测结果。总悬浮颗粒物（TSP）监测数据引用《年处理25万吨铁矿石及年处理30万吨工业固废综合利用项目》于2025年7月24日至7月30日的监测结果。</w:t>
            </w:r>
          </w:p>
          <w:p>
            <w:pPr>
              <w:ind w:firstLine="480"/>
              <w:textAlignment w:val="auto"/>
              <w:rPr>
                <w:rFonts w:cs="Times New Roman"/>
                <w:color w:val="000000" w:themeColor="text1"/>
                <w14:textFill>
                  <w14:solidFill>
                    <w14:schemeClr w14:val="tx1"/>
                  </w14:solidFill>
                </w14:textFill>
              </w:rPr>
            </w:pPr>
            <w:r>
              <w:rPr>
                <w:rFonts w:cs="Times New Roman"/>
                <w:color w:val="000000"/>
              </w:rPr>
              <w:t>苯并[a]芘监测点位位于项目厂区西南约963m（坐标：东经86.200806°，北纬42.419642°）；总悬浮颗粒物（TSP）监测点位位于项目厂区东北约1483m（坐标：东经86.226108°，北纬42.436212°）。上述布点符合《建设项目环境影响报告表编制技术指南（污染影响类）（试行）》现状监测要求，监测数据如下：</w:t>
            </w:r>
          </w:p>
          <w:p>
            <w:pPr>
              <w:spacing w:before="163" w:beforeLines="50" w:line="240" w:lineRule="auto"/>
              <w:ind w:firstLine="0" w:firstLineChars="0"/>
              <w:jc w:val="center"/>
              <w:rPr>
                <w:b/>
                <w:color w:val="000000" w:themeColor="text1"/>
                <w:sz w:val="21"/>
                <w14:textFill>
                  <w14:solidFill>
                    <w14:schemeClr w14:val="tx1"/>
                  </w14:solidFill>
                </w14:textFill>
              </w:rPr>
            </w:pPr>
            <w:r>
              <w:rPr>
                <w:rFonts w:hint="eastAsia"/>
                <w:b/>
                <w:color w:val="000000" w:themeColor="text1"/>
                <w:sz w:val="21"/>
                <w14:textFill>
                  <w14:solidFill>
                    <w14:schemeClr w14:val="tx1"/>
                  </w14:solidFill>
                </w14:textFill>
              </w:rPr>
              <w:t>表</w:t>
            </w:r>
            <w:r>
              <w:rPr>
                <w:b/>
                <w:color w:val="000000" w:themeColor="text1"/>
                <w:sz w:val="21"/>
                <w14:textFill>
                  <w14:solidFill>
                    <w14:schemeClr w14:val="tx1"/>
                  </w14:solidFill>
                </w14:textFill>
              </w:rPr>
              <w:t xml:space="preserve">3-2  </w:t>
            </w:r>
            <w:r>
              <w:rPr>
                <w:rFonts w:hint="eastAsia"/>
                <w:b/>
                <w:color w:val="000000" w:themeColor="text1"/>
                <w:sz w:val="21"/>
                <w14:textFill>
                  <w14:solidFill>
                    <w14:schemeClr w14:val="tx1"/>
                  </w14:solidFill>
                </w14:textFill>
              </w:rPr>
              <w:t>特征污染物监测点位基本信息</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72"/>
              <w:gridCol w:w="1514"/>
              <w:gridCol w:w="1363"/>
              <w:gridCol w:w="1368"/>
              <w:gridCol w:w="1390"/>
              <w:gridCol w:w="13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 w:hRule="atLeast"/>
              </w:trPr>
              <w:tc>
                <w:tcPr>
                  <w:tcW w:w="819"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监测点名称</w:t>
                  </w:r>
                </w:p>
              </w:tc>
              <w:tc>
                <w:tcPr>
                  <w:tcW w:w="90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监测因子</w:t>
                  </w:r>
                </w:p>
              </w:tc>
              <w:tc>
                <w:tcPr>
                  <w:tcW w:w="81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监测时段</w:t>
                  </w:r>
                </w:p>
              </w:tc>
              <w:tc>
                <w:tcPr>
                  <w:tcW w:w="817"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相对方位</w:t>
                  </w:r>
                </w:p>
              </w:tc>
              <w:tc>
                <w:tcPr>
                  <w:tcW w:w="830"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相对距离</w:t>
                  </w:r>
                  <w:r>
                    <w:rPr>
                      <w:color w:val="000000" w:themeColor="text1"/>
                      <w:sz w:val="21"/>
                      <w14:textFill>
                        <w14:solidFill>
                          <w14:schemeClr w14:val="tx1"/>
                        </w14:solidFill>
                      </w14:textFill>
                    </w:rPr>
                    <w:t>/m</w:t>
                  </w:r>
                </w:p>
              </w:tc>
              <w:tc>
                <w:tcPr>
                  <w:tcW w:w="816"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数据来源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trPr>
              <w:tc>
                <w:tcPr>
                  <w:tcW w:w="819"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项目厂区西南约963m</w:t>
                  </w:r>
                </w:p>
              </w:tc>
              <w:tc>
                <w:tcPr>
                  <w:tcW w:w="90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苯并[a]芘</w:t>
                  </w:r>
                </w:p>
              </w:tc>
              <w:tc>
                <w:tcPr>
                  <w:tcW w:w="81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日均值</w:t>
                  </w:r>
                </w:p>
              </w:tc>
              <w:tc>
                <w:tcPr>
                  <w:tcW w:w="817"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西南</w:t>
                  </w:r>
                </w:p>
              </w:tc>
              <w:tc>
                <w:tcPr>
                  <w:tcW w:w="830"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963</w:t>
                  </w:r>
                </w:p>
              </w:tc>
              <w:tc>
                <w:tcPr>
                  <w:tcW w:w="816" w:type="pct"/>
                  <w:vMerge w:val="restar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引用数据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819"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项目厂区东北约1483m</w:t>
                  </w:r>
                </w:p>
              </w:tc>
              <w:tc>
                <w:tcPr>
                  <w:tcW w:w="90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总悬浮颗粒物（TSP）</w:t>
                  </w:r>
                </w:p>
              </w:tc>
              <w:tc>
                <w:tcPr>
                  <w:tcW w:w="81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日均值</w:t>
                  </w:r>
                </w:p>
              </w:tc>
              <w:tc>
                <w:tcPr>
                  <w:tcW w:w="817"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东北</w:t>
                  </w:r>
                </w:p>
              </w:tc>
              <w:tc>
                <w:tcPr>
                  <w:tcW w:w="830"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r>
                    <w:rPr>
                      <w:color w:val="000000" w:themeColor="text1"/>
                      <w:sz w:val="21"/>
                      <w14:textFill>
                        <w14:solidFill>
                          <w14:schemeClr w14:val="tx1"/>
                        </w14:solidFill>
                      </w14:textFill>
                    </w:rPr>
                    <w:t>483</w:t>
                  </w:r>
                </w:p>
              </w:tc>
              <w:tc>
                <w:tcPr>
                  <w:tcW w:w="816" w:type="pct"/>
                  <w:vMerge w:val="continue"/>
                  <w:vAlign w:val="center"/>
                </w:tcPr>
                <w:p>
                  <w:pPr>
                    <w:spacing w:line="240" w:lineRule="auto"/>
                    <w:ind w:firstLine="0" w:firstLineChars="0"/>
                    <w:jc w:val="center"/>
                    <w:rPr>
                      <w:color w:val="000000" w:themeColor="text1"/>
                      <w:sz w:val="21"/>
                      <w14:textFill>
                        <w14:solidFill>
                          <w14:schemeClr w14:val="tx1"/>
                        </w14:solidFill>
                      </w14:textFill>
                    </w:rPr>
                  </w:pPr>
                </w:p>
              </w:tc>
            </w:tr>
          </w:tbl>
          <w:p>
            <w:pPr>
              <w:spacing w:before="163" w:beforeLines="50" w:line="240" w:lineRule="auto"/>
              <w:ind w:firstLine="0" w:firstLineChars="0"/>
              <w:jc w:val="center"/>
              <w:rPr>
                <w:b/>
                <w:color w:val="000000" w:themeColor="text1"/>
                <w:sz w:val="21"/>
                <w14:textFill>
                  <w14:solidFill>
                    <w14:schemeClr w14:val="tx1"/>
                  </w14:solidFill>
                </w14:textFill>
              </w:rPr>
            </w:pPr>
            <w:r>
              <w:rPr>
                <w:rFonts w:hint="eastAsia"/>
                <w:b/>
                <w:color w:val="000000" w:themeColor="text1"/>
                <w:sz w:val="21"/>
                <w14:textFill>
                  <w14:solidFill>
                    <w14:schemeClr w14:val="tx1"/>
                  </w14:solidFill>
                </w14:textFill>
              </w:rPr>
              <w:t>表</w:t>
            </w:r>
            <w:r>
              <w:rPr>
                <w:b/>
                <w:color w:val="000000" w:themeColor="text1"/>
                <w:sz w:val="21"/>
                <w14:textFill>
                  <w14:solidFill>
                    <w14:schemeClr w14:val="tx1"/>
                  </w14:solidFill>
                </w14:textFill>
              </w:rPr>
              <w:t>3-3</w:t>
            </w:r>
            <w:r>
              <w:rPr>
                <w:rFonts w:hint="eastAsia"/>
                <w:b/>
                <w:color w:val="000000" w:themeColor="text1"/>
                <w:sz w:val="21"/>
                <w14:textFill>
                  <w14:solidFill>
                    <w14:schemeClr w14:val="tx1"/>
                  </w14:solidFill>
                </w14:textFill>
              </w:rPr>
              <w:t xml:space="preserve">  特征污染物环境质量现状监测结果</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1"/>
              <w:gridCol w:w="1112"/>
              <w:gridCol w:w="727"/>
              <w:gridCol w:w="1255"/>
              <w:gridCol w:w="1630"/>
              <w:gridCol w:w="1161"/>
              <w:gridCol w:w="846"/>
              <w:gridCol w:w="8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49"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监测</w:t>
                  </w:r>
                </w:p>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点位</w:t>
                  </w:r>
                </w:p>
              </w:tc>
              <w:tc>
                <w:tcPr>
                  <w:tcW w:w="664"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污染物</w:t>
                  </w:r>
                </w:p>
              </w:tc>
              <w:tc>
                <w:tcPr>
                  <w:tcW w:w="434"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平均</w:t>
                  </w:r>
                </w:p>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时间</w:t>
                  </w:r>
                </w:p>
              </w:tc>
              <w:tc>
                <w:tcPr>
                  <w:tcW w:w="749"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评价标准</w:t>
                  </w:r>
                  <w:r>
                    <w:rPr>
                      <w:rFonts w:cs="Times New Roman"/>
                      <w:color w:val="000000" w:themeColor="text1"/>
                      <w:sz w:val="21"/>
                      <w14:textFill>
                        <w14:solidFill>
                          <w14:schemeClr w14:val="tx1"/>
                        </w14:solidFill>
                      </w14:textFill>
                    </w:rPr>
                    <w:t>（</w:t>
                  </w:r>
                  <w:r>
                    <w:rPr>
                      <w:rFonts w:hint="eastAsia" w:cs="Times New Roman"/>
                      <w:color w:val="000000" w:themeColor="text1"/>
                      <w:sz w:val="21"/>
                      <w14:textFill>
                        <w14:solidFill>
                          <w14:schemeClr w14:val="tx1"/>
                        </w14:solidFill>
                      </w14:textFill>
                    </w:rPr>
                    <w:t>u</w:t>
                  </w:r>
                  <w:r>
                    <w:rPr>
                      <w:rFonts w:cs="Times New Roman"/>
                      <w:color w:val="000000" w:themeColor="text1"/>
                      <w:sz w:val="21"/>
                      <w14:textFill>
                        <w14:solidFill>
                          <w14:schemeClr w14:val="tx1"/>
                        </w14:solidFill>
                      </w14:textFill>
                    </w:rPr>
                    <w:t>g/m</w:t>
                  </w:r>
                  <w:r>
                    <w:rPr>
                      <w:rFonts w:cs="Times New Roman"/>
                      <w:color w:val="000000" w:themeColor="text1"/>
                      <w:sz w:val="21"/>
                      <w:vertAlign w:val="superscript"/>
                      <w14:textFill>
                        <w14:solidFill>
                          <w14:schemeClr w14:val="tx1"/>
                        </w14:solidFill>
                      </w14:textFill>
                    </w:rPr>
                    <w:t>3</w:t>
                  </w:r>
                  <w:r>
                    <w:rPr>
                      <w:rFonts w:cs="Times New Roman"/>
                      <w:color w:val="000000" w:themeColor="text1"/>
                      <w:sz w:val="21"/>
                      <w14:textFill>
                        <w14:solidFill>
                          <w14:schemeClr w14:val="tx1"/>
                        </w14:solidFill>
                      </w14:textFill>
                    </w:rPr>
                    <w:t>）</w:t>
                  </w:r>
                </w:p>
              </w:tc>
              <w:tc>
                <w:tcPr>
                  <w:tcW w:w="97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监测浓度范围（</w:t>
                  </w:r>
                  <w:r>
                    <w:rPr>
                      <w:rFonts w:hint="eastAsia"/>
                      <w:color w:val="000000" w:themeColor="text1"/>
                      <w:sz w:val="21"/>
                      <w14:textFill>
                        <w14:solidFill>
                          <w14:schemeClr w14:val="tx1"/>
                        </w14:solidFill>
                      </w14:textFill>
                    </w:rPr>
                    <w:t>u</w:t>
                  </w:r>
                  <w:r>
                    <w:rPr>
                      <w:color w:val="000000" w:themeColor="text1"/>
                      <w:sz w:val="21"/>
                      <w14:textFill>
                        <w14:solidFill>
                          <w14:schemeClr w14:val="tx1"/>
                        </w14:solidFill>
                      </w14:textFill>
                    </w:rPr>
                    <w:t>g/m</w:t>
                  </w:r>
                  <w:r>
                    <w:rPr>
                      <w:color w:val="000000" w:themeColor="text1"/>
                      <w:sz w:val="21"/>
                      <w:vertAlign w:val="superscript"/>
                      <w14:textFill>
                        <w14:solidFill>
                          <w14:schemeClr w14:val="tx1"/>
                        </w14:solidFill>
                      </w14:textFill>
                    </w:rPr>
                    <w:t>3</w:t>
                  </w:r>
                  <w:r>
                    <w:rPr>
                      <w:color w:val="000000" w:themeColor="text1"/>
                      <w:sz w:val="21"/>
                      <w14:textFill>
                        <w14:solidFill>
                          <w14:schemeClr w14:val="tx1"/>
                        </w14:solidFill>
                      </w14:textFill>
                    </w:rPr>
                    <w:t>）</w:t>
                  </w:r>
                </w:p>
              </w:tc>
              <w:tc>
                <w:tcPr>
                  <w:tcW w:w="69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最大浓度占标率%</w:t>
                  </w:r>
                </w:p>
              </w:tc>
              <w:tc>
                <w:tcPr>
                  <w:tcW w:w="505"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超标率%</w:t>
                  </w:r>
                </w:p>
              </w:tc>
              <w:tc>
                <w:tcPr>
                  <w:tcW w:w="53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449"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0</w:t>
                  </w:r>
                  <w:r>
                    <w:rPr>
                      <w:color w:val="000000" w:themeColor="text1"/>
                      <w:sz w:val="21"/>
                      <w14:textFill>
                        <w14:solidFill>
                          <w14:schemeClr w14:val="tx1"/>
                        </w14:solidFill>
                      </w14:textFill>
                    </w:rPr>
                    <w:t>1</w:t>
                  </w:r>
                </w:p>
              </w:tc>
              <w:tc>
                <w:tcPr>
                  <w:tcW w:w="664" w:type="pct"/>
                  <w:vAlign w:val="center"/>
                </w:tcPr>
                <w:p>
                  <w:pPr>
                    <w:spacing w:line="240" w:lineRule="auto"/>
                    <w:ind w:firstLine="0" w:firstLineChars="0"/>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苯并[a]芘</w:t>
                  </w:r>
                </w:p>
              </w:tc>
              <w:tc>
                <w:tcPr>
                  <w:tcW w:w="434" w:type="pct"/>
                  <w:vMerge w:val="restar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24小时</w:t>
                  </w:r>
                </w:p>
              </w:tc>
              <w:tc>
                <w:tcPr>
                  <w:tcW w:w="749"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0</w:t>
                  </w:r>
                  <w:r>
                    <w:rPr>
                      <w:color w:val="000000" w:themeColor="text1"/>
                      <w:sz w:val="21"/>
                      <w14:textFill>
                        <w14:solidFill>
                          <w14:schemeClr w14:val="tx1"/>
                        </w14:solidFill>
                      </w14:textFill>
                    </w:rPr>
                    <w:t>.0025</w:t>
                  </w:r>
                </w:p>
              </w:tc>
              <w:tc>
                <w:tcPr>
                  <w:tcW w:w="973"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N</w:t>
                  </w:r>
                  <w:r>
                    <w:rPr>
                      <w:color w:val="000000" w:themeColor="text1"/>
                      <w:sz w:val="21"/>
                      <w14:textFill>
                        <w14:solidFill>
                          <w14:schemeClr w14:val="tx1"/>
                        </w14:solidFill>
                      </w14:textFill>
                    </w:rPr>
                    <w:t>D</w:t>
                  </w:r>
                  <w:r>
                    <w:rPr>
                      <w:rFonts w:hint="eastAsia"/>
                      <w:color w:val="000000" w:themeColor="text1"/>
                      <w:sz w:val="21"/>
                      <w14:textFill>
                        <w14:solidFill>
                          <w14:schemeClr w14:val="tx1"/>
                        </w14:solidFill>
                      </w14:textFill>
                    </w:rPr>
                    <w:t>（未检出）</w:t>
                  </w:r>
                </w:p>
              </w:tc>
              <w:tc>
                <w:tcPr>
                  <w:tcW w:w="693"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w:t>
                  </w:r>
                </w:p>
              </w:tc>
              <w:tc>
                <w:tcPr>
                  <w:tcW w:w="505"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0</w:t>
                  </w:r>
                </w:p>
              </w:tc>
              <w:tc>
                <w:tcPr>
                  <w:tcW w:w="53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rPr>
              <w:tc>
                <w:tcPr>
                  <w:tcW w:w="449"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02</w:t>
                  </w:r>
                </w:p>
              </w:tc>
              <w:tc>
                <w:tcPr>
                  <w:tcW w:w="664"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总悬浮颗粒物（TSP）</w:t>
                  </w:r>
                </w:p>
              </w:tc>
              <w:tc>
                <w:tcPr>
                  <w:tcW w:w="434" w:type="pct"/>
                  <w:vMerge w:val="continue"/>
                  <w:vAlign w:val="center"/>
                </w:tcPr>
                <w:p>
                  <w:pPr>
                    <w:spacing w:line="240" w:lineRule="auto"/>
                    <w:ind w:firstLine="0" w:firstLineChars="0"/>
                    <w:jc w:val="center"/>
                    <w:rPr>
                      <w:color w:val="000000" w:themeColor="text1"/>
                      <w:sz w:val="21"/>
                      <w14:textFill>
                        <w14:solidFill>
                          <w14:schemeClr w14:val="tx1"/>
                        </w14:solidFill>
                      </w14:textFill>
                    </w:rPr>
                  </w:pPr>
                </w:p>
              </w:tc>
              <w:tc>
                <w:tcPr>
                  <w:tcW w:w="749"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300</w:t>
                  </w:r>
                </w:p>
              </w:tc>
              <w:tc>
                <w:tcPr>
                  <w:tcW w:w="97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130~148</w:t>
                  </w:r>
                </w:p>
              </w:tc>
              <w:tc>
                <w:tcPr>
                  <w:tcW w:w="693"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4</w:t>
                  </w:r>
                  <w:r>
                    <w:rPr>
                      <w:color w:val="000000" w:themeColor="text1"/>
                      <w:sz w:val="21"/>
                      <w14:textFill>
                        <w14:solidFill>
                          <w14:schemeClr w14:val="tx1"/>
                        </w14:solidFill>
                      </w14:textFill>
                    </w:rPr>
                    <w:t>9.33</w:t>
                  </w:r>
                </w:p>
              </w:tc>
              <w:tc>
                <w:tcPr>
                  <w:tcW w:w="505" w:type="pct"/>
                  <w:vAlign w:val="center"/>
                </w:tcPr>
                <w:p>
                  <w:pPr>
                    <w:spacing w:line="240" w:lineRule="auto"/>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0</w:t>
                  </w:r>
                </w:p>
              </w:tc>
              <w:tc>
                <w:tcPr>
                  <w:tcW w:w="533" w:type="pct"/>
                  <w:vAlign w:val="center"/>
                </w:tcPr>
                <w:p>
                  <w:pPr>
                    <w:spacing w:line="240" w:lineRule="auto"/>
                    <w:ind w:firstLine="0" w:firstLineChars="0"/>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达标</w:t>
                  </w:r>
                </w:p>
              </w:tc>
            </w:tr>
          </w:tbl>
          <w:p>
            <w:pPr>
              <w:ind w:firstLine="48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从监测结果可知，苯并[a]芘、</w:t>
            </w:r>
            <w:r>
              <w:rPr>
                <w:rFonts w:hint="eastAsia" w:cs="Times New Roman"/>
                <w:color w:val="000000" w:themeColor="text1"/>
                <w14:textFill>
                  <w14:solidFill>
                    <w14:schemeClr w14:val="tx1"/>
                  </w14:solidFill>
                </w14:textFill>
              </w:rPr>
              <w:t>总悬浮颗粒物（TSP）</w:t>
            </w:r>
            <w:r>
              <w:rPr>
                <w:rFonts w:cs="Times New Roman"/>
                <w:color w:val="000000" w:themeColor="text1"/>
                <w14:textFill>
                  <w14:solidFill>
                    <w14:schemeClr w14:val="tx1"/>
                  </w14:solidFill>
                </w14:textFill>
              </w:rPr>
              <w:t>满足《环境空气质量标准》（GB3095-2026）中的二级标准限值要求。</w:t>
            </w:r>
          </w:p>
          <w:p>
            <w:pPr>
              <w:ind w:firstLine="0" w:firstLineChars="0"/>
              <w:rPr>
                <w:color w:val="000000" w:themeColor="text1"/>
                <w14:textFill>
                  <w14:solidFill>
                    <w14:schemeClr w14:val="tx1"/>
                  </w14:solidFill>
                </w14:textFill>
              </w:rPr>
            </w:pPr>
            <w:r>
              <w:rPr>
                <w:rFonts w:hint="eastAsia"/>
                <w:b/>
                <w:color w:val="000000" w:themeColor="text1"/>
                <w14:textFill>
                  <w14:solidFill>
                    <w14:schemeClr w14:val="tx1"/>
                  </w14:solidFill>
                </w14:textFill>
              </w:rPr>
              <w:t>3.2地表水环境质量现状</w:t>
            </w:r>
          </w:p>
          <w:p>
            <w:pPr>
              <w:ind w:firstLine="480"/>
              <w:rPr>
                <w:rFonts w:cs="Times New Roman"/>
                <w:color w:val="000000"/>
              </w:rPr>
            </w:pPr>
            <w:bookmarkStart w:id="21" w:name="_Hlk97245670"/>
            <w:r>
              <w:rPr>
                <w:rFonts w:cs="Times New Roman"/>
                <w:color w:val="000000"/>
              </w:rPr>
              <w:t>根据《巴音郭楞蒙古自治州2024年生态环境状况公报》，2024年，全州地表水监测的31个考核断面（点位）中，Ⅰ~Ⅲ类优良水质断面（点位）占比90.3%，无Ⅳ类水质。6条主要河流19个监测断面中Ⅰ~Ⅲ类优良水质断面占100%，3个重要湖泊（水库）12个监测点位中Ⅰ~Ⅲ类优良水质断面占75%，无劣Ⅴ类水体，湖泊水质影响因子为化学需氧量。</w:t>
            </w:r>
          </w:p>
          <w:p>
            <w:pPr>
              <w:ind w:firstLine="480"/>
              <w:rPr>
                <w:rFonts w:cs="Times New Roman"/>
                <w:color w:val="000000"/>
              </w:rPr>
            </w:pPr>
            <w:r>
              <w:rPr>
                <w:rFonts w:hint="eastAsia" w:cs="Times New Roman"/>
                <w:color w:val="000000"/>
              </w:rPr>
              <w:t>本项目南距乌拉斯台河13km，属于开都河流域。根据《巴音郭楞蒙古自治州2024年生态环境状况公报》，6条主要河流19个监测断面中，</w:t>
            </w:r>
            <w:r>
              <w:rPr>
                <w:rFonts w:cs="Times New Roman"/>
                <w:color w:val="000000"/>
              </w:rPr>
              <w:t>Ⅰ~Ⅲ</w:t>
            </w:r>
            <w:r>
              <w:rPr>
                <w:rFonts w:hint="eastAsia" w:cs="Times New Roman"/>
                <w:color w:val="000000"/>
              </w:rPr>
              <w:t>类水质断面占100%，水质状况良好</w:t>
            </w:r>
            <w:r>
              <w:rPr>
                <w:rFonts w:cs="Times New Roman"/>
                <w:color w:val="000000"/>
              </w:rPr>
              <w:t>。</w:t>
            </w:r>
          </w:p>
          <w:bookmarkEnd w:id="21"/>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3.3声环境质量现状</w:t>
            </w:r>
          </w:p>
          <w:p>
            <w:pPr>
              <w:ind w:firstLine="480"/>
              <w:rPr>
                <w:rFonts w:cs="Times New Roman"/>
                <w:color w:val="000000"/>
              </w:rPr>
            </w:pPr>
            <w:r>
              <w:rPr>
                <w:rFonts w:hint="eastAsia" w:cs="Times New Roman"/>
                <w:color w:val="000000"/>
              </w:rPr>
              <w:t>根据</w:t>
            </w:r>
            <w:r>
              <w:rPr>
                <w:rFonts w:hint="eastAsia" w:cs="Times New Roman"/>
                <w:color w:val="000000"/>
                <w:lang w:val="zh-CN"/>
              </w:rPr>
              <w:t>《建设项目环境影响报告表编制技术指南（污染影响类）（试行）》</w:t>
            </w:r>
            <w:r>
              <w:rPr>
                <w:rFonts w:hint="eastAsia" w:cs="Times New Roman"/>
                <w:color w:val="000000"/>
              </w:rPr>
              <w:t>要求，本项目厂界外50m范围内无声环境敏感目标，无需开展保护目标声环境质量现状监测。</w:t>
            </w:r>
          </w:p>
          <w:p>
            <w:pPr>
              <w:pStyle w:val="7"/>
            </w:pPr>
            <w:r>
              <w:rPr>
                <w:rFonts w:hint="eastAsia"/>
              </w:rPr>
              <w:t>3.4地下水、土壤环境</w:t>
            </w:r>
          </w:p>
          <w:p>
            <w:pPr>
              <w:ind w:firstLine="480"/>
              <w:textAlignment w:val="auto"/>
              <w:rPr>
                <w:rFonts w:cs="Times New Roman"/>
                <w:color w:val="000000" w:themeColor="text1"/>
                <w14:textFill>
                  <w14:solidFill>
                    <w14:schemeClr w14:val="tx1"/>
                  </w14:solidFill>
                </w14:textFill>
              </w:rPr>
            </w:pPr>
            <w:r>
              <w:rPr>
                <w:rFonts w:hint="eastAsia" w:cs="Times New Roman"/>
              </w:rPr>
              <w:t>根据《建设项目环境影响报告表编制技术指南（污染影响类）（试行）》的相关要求：报告表原则上不开展地下水环境和土壤环境质量现状评价，建设项目存在地下水环境污染途径的，应结合污染源、保护目标分布情况开展现</w:t>
            </w:r>
            <w:r>
              <w:rPr>
                <w:rFonts w:cs="Times New Roman"/>
              </w:rPr>
              <w:t>状调查以留作背景值。</w:t>
            </w:r>
            <w:r>
              <w:rPr>
                <w:rFonts w:hint="eastAsia" w:cs="Times New Roman"/>
              </w:rPr>
              <w:t>本项目危险废物贮存库满足《危险废物贮存污染控制标准》（GB18597-2023）中关于防渗防腐的相关规定。在正常工况下，无地下水环境污染途径，因此无需开展地下水环境现状调查，亦不进行土壤和地下水环境质量现状评价</w:t>
            </w:r>
            <w:r>
              <w:rPr>
                <w:rFonts w:hint="eastAsia" w:cs="Times New Roman"/>
                <w:color w:val="000000" w:themeColor="text1"/>
                <w14:textFill>
                  <w14:solidFill>
                    <w14:schemeClr w14:val="tx1"/>
                  </w14:solidFill>
                </w14:textFill>
              </w:rPr>
              <w:t>。</w:t>
            </w:r>
          </w:p>
          <w:p>
            <w:pPr>
              <w:pStyle w:val="7"/>
            </w:pPr>
            <w:r>
              <w:rPr>
                <w:rFonts w:hint="eastAsia"/>
              </w:rPr>
              <w:t>3.5生态环境</w:t>
            </w:r>
          </w:p>
          <w:p>
            <w:pPr>
              <w:ind w:firstLine="48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本项目位于和静工业园区哈尔莫敦矿业片区，占地范围内不涉及生态保护红线、饮用水水源保护区、风景名胜区、文物古迹等生态敏感区，区域内无珍稀濒危野生动植物存在，无生态环境保护目标存在。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233" w:type="pct"/>
            <w:vAlign w:val="center"/>
          </w:tcPr>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环境</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保护</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目标</w:t>
            </w:r>
          </w:p>
        </w:tc>
        <w:tc>
          <w:tcPr>
            <w:tcW w:w="4767" w:type="pct"/>
          </w:tcPr>
          <w:p>
            <w:pPr>
              <w:ind w:firstLine="0" w:firstLineChars="0"/>
              <w:rPr>
                <w:b/>
                <w:bCs/>
              </w:rPr>
            </w:pPr>
            <w:r>
              <w:rPr>
                <w:rFonts w:hint="eastAsia"/>
                <w:b/>
                <w:bCs/>
              </w:rPr>
              <w:t>1.大气环境</w:t>
            </w:r>
          </w:p>
          <w:p>
            <w:pPr>
              <w:ind w:firstLine="480"/>
            </w:pPr>
            <w:r>
              <w:rPr>
                <w:rFonts w:hint="eastAsia"/>
              </w:rPr>
              <w:t>本项目场界外</w:t>
            </w:r>
            <w:r>
              <w:t>500m</w:t>
            </w:r>
            <w:r>
              <w:rPr>
                <w:rFonts w:hint="eastAsia"/>
              </w:rPr>
              <w:t>范围内无自然保护区、风景名胜区、居住区、文化区和农村地区中人群较集中的区域等大气环境保护目标；</w:t>
            </w:r>
          </w:p>
          <w:p>
            <w:pPr>
              <w:ind w:firstLine="0" w:firstLineChars="0"/>
              <w:rPr>
                <w:b/>
                <w:bCs/>
              </w:rPr>
            </w:pPr>
            <w:r>
              <w:rPr>
                <w:rFonts w:hint="eastAsia"/>
                <w:b/>
                <w:bCs/>
              </w:rPr>
              <w:t>2.声环境</w:t>
            </w:r>
          </w:p>
          <w:p>
            <w:pPr>
              <w:ind w:firstLine="480"/>
            </w:pPr>
            <w:r>
              <w:rPr>
                <w:rFonts w:hint="eastAsia"/>
              </w:rPr>
              <w:t>根据《环境影响评价技术导则 声环境》（HJ2.4-2021），声环境敏感目标指医院、学校、机关、科研单位、住宅、自然保护区等对噪声敏感的建筑物或区域。本项目场界外50m范围内无声环境保护目标；</w:t>
            </w:r>
          </w:p>
          <w:p>
            <w:pPr>
              <w:ind w:firstLine="0" w:firstLineChars="0"/>
              <w:rPr>
                <w:b/>
                <w:bCs/>
              </w:rPr>
            </w:pPr>
            <w:r>
              <w:rPr>
                <w:rFonts w:hint="eastAsia"/>
                <w:b/>
                <w:bCs/>
              </w:rPr>
              <w:t>3.地下水环境</w:t>
            </w:r>
          </w:p>
          <w:p>
            <w:pPr>
              <w:ind w:firstLine="480"/>
            </w:pPr>
            <w:r>
              <w:rPr>
                <w:rFonts w:hint="eastAsia"/>
              </w:rPr>
              <w:t>本项目厂界外500m范围内无地下水集中式饮用水水源和热水、矿泉水、温泉等特殊地下水资源；</w:t>
            </w:r>
          </w:p>
          <w:p>
            <w:pPr>
              <w:ind w:firstLine="0" w:firstLineChars="0"/>
              <w:rPr>
                <w:b/>
                <w:bCs/>
              </w:rPr>
            </w:pPr>
            <w:r>
              <w:rPr>
                <w:rFonts w:hint="eastAsia"/>
                <w:b/>
                <w:bCs/>
              </w:rPr>
              <w:t>4.生态环境</w:t>
            </w:r>
          </w:p>
          <w:p>
            <w:pPr>
              <w:ind w:firstLine="480"/>
              <w:rPr>
                <w:color w:val="000000" w:themeColor="text1"/>
                <w14:textFill>
                  <w14:solidFill>
                    <w14:schemeClr w14:val="tx1"/>
                  </w14:solidFill>
                </w14:textFill>
              </w:rPr>
            </w:pPr>
            <w:r>
              <w:rPr>
                <w:rFonts w:hint="eastAsia"/>
              </w:rPr>
              <w:t>本项目位于</w:t>
            </w:r>
            <w:r>
              <w:rPr>
                <w:rFonts w:hint="eastAsia" w:hAnsi="宋体" w:cs="宋体"/>
                <w:szCs w:val="21"/>
              </w:rPr>
              <w:t>和静工业园区哈尔莫敦矿业片区</w:t>
            </w:r>
            <w:r>
              <w:rPr>
                <w:rFonts w:hint="eastAsia"/>
              </w:rPr>
              <w:t>，用地范围内及周边不涉及生态环境保护目标。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jc w:val="center"/>
        </w:trPr>
        <w:tc>
          <w:tcPr>
            <w:tcW w:w="233" w:type="pct"/>
            <w:tcMar>
              <w:left w:w="28" w:type="dxa"/>
              <w:right w:w="28" w:type="dxa"/>
            </w:tcMar>
            <w:vAlign w:val="center"/>
          </w:tcPr>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污染</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物排</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放控</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制标</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准</w:t>
            </w:r>
          </w:p>
        </w:tc>
        <w:tc>
          <w:tcPr>
            <w:tcW w:w="4767" w:type="pct"/>
          </w:tcPr>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1.大气污染物排放标准</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有组织废气颗粒物、非甲烷总烃、沥青烟、苯并[a]芘执行《大气污染物综合排放标准》（GB16297-1996）中表2的排放限值。厂界颗粒物、非甲烷总烃、苯并[a]芘执行《大气污染物综合排放标准》（GB16297-1996）中表2的无组织排放监控浓度限值。</w:t>
            </w:r>
          </w:p>
          <w:p>
            <w:pPr>
              <w:spacing w:line="240" w:lineRule="auto"/>
              <w:ind w:firstLine="422"/>
              <w:jc w:val="center"/>
              <w:rPr>
                <w:b/>
                <w:sz w:val="21"/>
              </w:rPr>
            </w:pPr>
            <w:r>
              <w:rPr>
                <w:rFonts w:hint="eastAsia"/>
                <w:b/>
                <w:sz w:val="21"/>
              </w:rPr>
              <w:t>表3</w:t>
            </w:r>
            <w:r>
              <w:rPr>
                <w:b/>
                <w:sz w:val="21"/>
              </w:rPr>
              <w:t xml:space="preserve">-4  </w:t>
            </w:r>
            <w:r>
              <w:rPr>
                <w:rFonts w:hint="eastAsia"/>
                <w:b/>
                <w:sz w:val="21"/>
              </w:rPr>
              <w:t>《大气污染物综合排放标准》（GB16297-1996）</w:t>
            </w:r>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1784"/>
              <w:gridCol w:w="1338"/>
              <w:gridCol w:w="2080"/>
              <w:gridCol w:w="17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72" w:type="pct"/>
                  <w:vMerge w:val="restart"/>
                  <w:tcBorders>
                    <w:top w:val="single" w:color="auto" w:sz="12" w:space="0"/>
                    <w:left w:val="single" w:color="auto" w:sz="12"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污染物</w:t>
                  </w:r>
                </w:p>
              </w:tc>
              <w:tc>
                <w:tcPr>
                  <w:tcW w:w="1864" w:type="pct"/>
                  <w:gridSpan w:val="2"/>
                  <w:tcBorders>
                    <w:top w:val="single" w:color="auto" w:sz="12" w:space="0"/>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有组织排放限值</w:t>
                  </w:r>
                </w:p>
              </w:tc>
              <w:tc>
                <w:tcPr>
                  <w:tcW w:w="2264" w:type="pct"/>
                  <w:gridSpan w:val="2"/>
                  <w:tcBorders>
                    <w:top w:val="single" w:color="auto" w:sz="12" w:space="0"/>
                    <w:left w:val="single" w:color="auto" w:sz="4" w:space="0"/>
                    <w:right w:val="single" w:color="auto" w:sz="12"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无组织排放监控浓度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2" w:type="pct"/>
                  <w:vMerge w:val="continue"/>
                  <w:tcBorders>
                    <w:top w:val="single" w:color="auto" w:sz="12" w:space="0"/>
                    <w:left w:val="single" w:color="auto" w:sz="12" w:space="0"/>
                    <w:bottom w:val="single" w:color="auto" w:sz="4" w:space="0"/>
                    <w:right w:val="single" w:color="auto" w:sz="4" w:space="0"/>
                  </w:tcBorders>
                  <w:vAlign w:val="center"/>
                </w:tcPr>
                <w:p>
                  <w:pPr>
                    <w:widowControl/>
                    <w:spacing w:line="240" w:lineRule="auto"/>
                    <w:ind w:firstLine="0" w:firstLineChars="0"/>
                    <w:jc w:val="center"/>
                    <w:rPr>
                      <w:rFonts w:cs="Times New Roman"/>
                      <w:sz w:val="21"/>
                      <w:szCs w:val="21"/>
                    </w:rPr>
                  </w:pPr>
                </w:p>
              </w:tc>
              <w:tc>
                <w:tcPr>
                  <w:tcW w:w="1065" w:type="pct"/>
                  <w:tcBorders>
                    <w:top w:val="single" w:color="auto" w:sz="4" w:space="0"/>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最高允许排放浓度（</w:t>
                  </w:r>
                  <w:r>
                    <w:rPr>
                      <w:rFonts w:cs="Times New Roman"/>
                      <w:sz w:val="21"/>
                      <w:szCs w:val="21"/>
                    </w:rPr>
                    <w:t>mg/m</w:t>
                  </w:r>
                  <w:r>
                    <w:rPr>
                      <w:rFonts w:cs="Times New Roman"/>
                      <w:sz w:val="21"/>
                      <w:szCs w:val="21"/>
                      <w:vertAlign w:val="superscript"/>
                    </w:rPr>
                    <w:t>3</w:t>
                  </w:r>
                  <w:r>
                    <w:rPr>
                      <w:rFonts w:hint="eastAsia" w:cs="Times New Roman"/>
                      <w:sz w:val="21"/>
                      <w:szCs w:val="21"/>
                    </w:rPr>
                    <w:t>）</w:t>
                  </w:r>
                </w:p>
              </w:tc>
              <w:tc>
                <w:tcPr>
                  <w:tcW w:w="799" w:type="pct"/>
                  <w:tcBorders>
                    <w:top w:val="single" w:color="auto" w:sz="4" w:space="0"/>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最高允许排放速率（k</w:t>
                  </w:r>
                  <w:r>
                    <w:rPr>
                      <w:rFonts w:cs="Times New Roman"/>
                      <w:sz w:val="21"/>
                      <w:szCs w:val="21"/>
                    </w:rPr>
                    <w:t>g/h</w:t>
                  </w:r>
                  <w:r>
                    <w:rPr>
                      <w:rFonts w:hint="eastAsia" w:cs="Times New Roman"/>
                      <w:sz w:val="21"/>
                      <w:szCs w:val="21"/>
                    </w:rPr>
                    <w:t>）</w:t>
                  </w:r>
                </w:p>
              </w:tc>
              <w:tc>
                <w:tcPr>
                  <w:tcW w:w="124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监控点</w:t>
                  </w:r>
                </w:p>
              </w:tc>
              <w:tc>
                <w:tcPr>
                  <w:tcW w:w="1022" w:type="pct"/>
                  <w:tcBorders>
                    <w:top w:val="single" w:color="auto" w:sz="4" w:space="0"/>
                    <w:left w:val="single" w:color="auto" w:sz="4" w:space="0"/>
                    <w:bottom w:val="single" w:color="auto" w:sz="4" w:space="0"/>
                    <w:right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2" w:type="pct"/>
                  <w:tcBorders>
                    <w:top w:val="single" w:color="auto" w:sz="4" w:space="0"/>
                    <w:left w:val="single" w:color="auto" w:sz="12"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颗粒物</w:t>
                  </w:r>
                </w:p>
              </w:tc>
              <w:tc>
                <w:tcPr>
                  <w:tcW w:w="1065"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1</w:t>
                  </w:r>
                  <w:r>
                    <w:rPr>
                      <w:rFonts w:cs="Times New Roman"/>
                      <w:sz w:val="21"/>
                      <w:szCs w:val="21"/>
                    </w:rPr>
                    <w:t>20</w:t>
                  </w:r>
                </w:p>
              </w:tc>
              <w:tc>
                <w:tcPr>
                  <w:tcW w:w="799"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3</w:t>
                  </w:r>
                  <w:r>
                    <w:rPr>
                      <w:rFonts w:cs="Times New Roman"/>
                      <w:sz w:val="21"/>
                      <w:szCs w:val="21"/>
                    </w:rPr>
                    <w:t>.5</w:t>
                  </w:r>
                </w:p>
              </w:tc>
              <w:tc>
                <w:tcPr>
                  <w:tcW w:w="124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周界外浓度最高点</w:t>
                  </w:r>
                </w:p>
              </w:tc>
              <w:tc>
                <w:tcPr>
                  <w:tcW w:w="1022" w:type="pct"/>
                  <w:tcBorders>
                    <w:top w:val="single" w:color="auto" w:sz="4" w:space="0"/>
                    <w:left w:val="single" w:color="auto" w:sz="4" w:space="0"/>
                    <w:bottom w:val="single" w:color="auto" w:sz="4" w:space="0"/>
                    <w:right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2" w:type="pct"/>
                  <w:tcBorders>
                    <w:top w:val="single" w:color="auto" w:sz="4" w:space="0"/>
                    <w:left w:val="single" w:color="auto" w:sz="12"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非甲烷总烃</w:t>
                  </w:r>
                </w:p>
              </w:tc>
              <w:tc>
                <w:tcPr>
                  <w:tcW w:w="1065"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120</w:t>
                  </w:r>
                </w:p>
              </w:tc>
              <w:tc>
                <w:tcPr>
                  <w:tcW w:w="799"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10</w:t>
                  </w:r>
                </w:p>
              </w:tc>
              <w:tc>
                <w:tcPr>
                  <w:tcW w:w="124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周界外浓度最高点</w:t>
                  </w:r>
                </w:p>
              </w:tc>
              <w:tc>
                <w:tcPr>
                  <w:tcW w:w="1022" w:type="pct"/>
                  <w:tcBorders>
                    <w:top w:val="single" w:color="auto" w:sz="4" w:space="0"/>
                    <w:left w:val="single" w:color="auto" w:sz="4" w:space="0"/>
                    <w:bottom w:val="single" w:color="auto" w:sz="4" w:space="0"/>
                    <w:right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72" w:type="pct"/>
                  <w:tcBorders>
                    <w:top w:val="single" w:color="auto" w:sz="4" w:space="0"/>
                    <w:left w:val="single" w:color="auto" w:sz="12"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沥青烟</w:t>
                  </w:r>
                </w:p>
              </w:tc>
              <w:tc>
                <w:tcPr>
                  <w:tcW w:w="1065"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75</w:t>
                  </w:r>
                </w:p>
              </w:tc>
              <w:tc>
                <w:tcPr>
                  <w:tcW w:w="799" w:type="pct"/>
                  <w:tcBorders>
                    <w:left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0.18</w:t>
                  </w:r>
                </w:p>
              </w:tc>
              <w:tc>
                <w:tcPr>
                  <w:tcW w:w="2264" w:type="pct"/>
                  <w:gridSpan w:val="2"/>
                  <w:tcBorders>
                    <w:top w:val="single" w:color="auto" w:sz="4" w:space="0"/>
                    <w:left w:val="single" w:color="auto" w:sz="4" w:space="0"/>
                    <w:bottom w:val="single" w:color="auto" w:sz="4" w:space="0"/>
                    <w:right w:val="single" w:color="auto" w:sz="12"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生产设备不得有明显无组织排放存在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2" w:type="pct"/>
                  <w:tcBorders>
                    <w:top w:val="single" w:color="auto" w:sz="4" w:space="0"/>
                    <w:left w:val="single" w:color="auto" w:sz="12"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苯并[a</w:t>
                  </w:r>
                  <w:r>
                    <w:rPr>
                      <w:rFonts w:cs="Times New Roman"/>
                      <w:sz w:val="21"/>
                      <w:szCs w:val="21"/>
                    </w:rPr>
                    <w:t>]</w:t>
                  </w:r>
                  <w:r>
                    <w:rPr>
                      <w:rFonts w:hint="eastAsia" w:cs="Times New Roman"/>
                      <w:sz w:val="21"/>
                      <w:szCs w:val="21"/>
                    </w:rPr>
                    <w:t>芘</w:t>
                  </w:r>
                </w:p>
              </w:tc>
              <w:tc>
                <w:tcPr>
                  <w:tcW w:w="1065" w:type="pct"/>
                  <w:tcBorders>
                    <w:left w:val="single" w:color="auto" w:sz="4"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0</w:t>
                  </w:r>
                  <w:r>
                    <w:rPr>
                      <w:rFonts w:cs="Times New Roman"/>
                      <w:sz w:val="21"/>
                      <w:szCs w:val="21"/>
                    </w:rPr>
                    <w:t>.30</w:t>
                  </w:r>
                  <w:r>
                    <w:rPr>
                      <w:rFonts w:hint="eastAsia" w:cs="Times New Roman"/>
                      <w:sz w:val="21"/>
                      <w:szCs w:val="21"/>
                    </w:rPr>
                    <w:t>×</w:t>
                  </w:r>
                  <w:r>
                    <w:rPr>
                      <w:rFonts w:cs="Times New Roman"/>
                      <w:sz w:val="21"/>
                      <w:szCs w:val="21"/>
                    </w:rPr>
                    <w:t>10</w:t>
                  </w:r>
                  <w:r>
                    <w:rPr>
                      <w:rFonts w:cs="Times New Roman"/>
                      <w:sz w:val="21"/>
                      <w:szCs w:val="21"/>
                      <w:vertAlign w:val="superscript"/>
                    </w:rPr>
                    <w:t>-3</w:t>
                  </w:r>
                </w:p>
              </w:tc>
              <w:tc>
                <w:tcPr>
                  <w:tcW w:w="799" w:type="pct"/>
                  <w:tcBorders>
                    <w:left w:val="single" w:color="auto" w:sz="4"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0.050</w:t>
                  </w:r>
                  <w:r>
                    <w:rPr>
                      <w:rFonts w:hint="eastAsia" w:cs="Times New Roman"/>
                      <w:sz w:val="21"/>
                      <w:szCs w:val="21"/>
                    </w:rPr>
                    <w:t>×</w:t>
                  </w:r>
                  <w:r>
                    <w:rPr>
                      <w:rFonts w:cs="Times New Roman"/>
                      <w:sz w:val="21"/>
                      <w:szCs w:val="21"/>
                    </w:rPr>
                    <w:t>10</w:t>
                  </w:r>
                  <w:r>
                    <w:rPr>
                      <w:rFonts w:cs="Times New Roman"/>
                      <w:sz w:val="21"/>
                      <w:szCs w:val="21"/>
                      <w:vertAlign w:val="superscript"/>
                    </w:rPr>
                    <w:t>-3</w:t>
                  </w:r>
                </w:p>
              </w:tc>
              <w:tc>
                <w:tcPr>
                  <w:tcW w:w="1242" w:type="pct"/>
                  <w:tcBorders>
                    <w:top w:val="single" w:color="auto" w:sz="4" w:space="0"/>
                    <w:left w:val="single" w:color="auto" w:sz="4"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周界外浓度最高点</w:t>
                  </w:r>
                </w:p>
              </w:tc>
              <w:tc>
                <w:tcPr>
                  <w:tcW w:w="1022" w:type="pct"/>
                  <w:tcBorders>
                    <w:top w:val="single" w:color="auto" w:sz="4" w:space="0"/>
                    <w:left w:val="single" w:color="auto" w:sz="4" w:space="0"/>
                    <w:bottom w:val="single" w:color="auto" w:sz="12" w:space="0"/>
                    <w:right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0.008ug/m</w:t>
                  </w:r>
                  <w:r>
                    <w:rPr>
                      <w:rFonts w:cs="Times New Roman"/>
                      <w:sz w:val="21"/>
                      <w:szCs w:val="21"/>
                      <w:vertAlign w:val="superscript"/>
                    </w:rPr>
                    <w:t>3</w:t>
                  </w:r>
                </w:p>
              </w:tc>
            </w:tr>
          </w:tbl>
          <w:p>
            <w:pPr>
              <w:adjustRightInd w:val="0"/>
              <w:snapToGrid w:val="0"/>
              <w:ind w:firstLine="480"/>
            </w:pPr>
            <w:r>
              <w:rPr>
                <w:rFonts w:hint="eastAsia" w:cs="Times New Roman"/>
              </w:rPr>
              <w:t>厂区内</w:t>
            </w:r>
            <w:r>
              <w:t>VOC</w:t>
            </w:r>
            <w:r>
              <w:rPr>
                <w:vertAlign w:val="subscript"/>
              </w:rPr>
              <w:t>S</w:t>
            </w:r>
            <w:r>
              <w:rPr>
                <w:rFonts w:hint="eastAsia" w:cs="Times New Roman"/>
              </w:rPr>
              <w:t>排放执行</w:t>
            </w:r>
            <w:r>
              <w:rPr>
                <w:rFonts w:hint="eastAsia"/>
              </w:rPr>
              <w:t>《挥发性有机物无组织排放控制标准》（</w:t>
            </w:r>
            <w:r>
              <w:t>GB37822-2019</w:t>
            </w:r>
            <w:r>
              <w:rPr>
                <w:rFonts w:hint="eastAsia"/>
              </w:rPr>
              <w:t>）表</w:t>
            </w:r>
            <w:r>
              <w:t>A.1</w:t>
            </w:r>
            <w:r>
              <w:rPr>
                <w:rFonts w:hint="eastAsia"/>
              </w:rPr>
              <w:t>厂内</w:t>
            </w:r>
            <w:r>
              <w:t>VOC</w:t>
            </w:r>
            <w:r>
              <w:rPr>
                <w:vertAlign w:val="subscript"/>
              </w:rPr>
              <w:t>S</w:t>
            </w:r>
            <w:r>
              <w:rPr>
                <w:rFonts w:hint="eastAsia"/>
              </w:rPr>
              <w:t>无组织排放限值，详见表</w:t>
            </w:r>
            <w:r>
              <w:t>3-5</w:t>
            </w:r>
            <w:r>
              <w:rPr>
                <w:rFonts w:hint="eastAsia"/>
              </w:rPr>
              <w:t>。</w:t>
            </w:r>
          </w:p>
          <w:p>
            <w:pPr>
              <w:pStyle w:val="39"/>
              <w:spacing w:before="163"/>
              <w:ind w:firstLine="560"/>
              <w:rPr>
                <w:rFonts w:ascii="宋体" w:hAnsi="宋体" w:cs="宋体"/>
                <w:szCs w:val="21"/>
              </w:rPr>
            </w:pPr>
            <w:r>
              <w:rPr>
                <w:rFonts w:hint="eastAsia" w:ascii="宋体" w:hAnsi="宋体" w:cs="宋体"/>
                <w:szCs w:val="21"/>
              </w:rPr>
              <w:t>表</w:t>
            </w:r>
            <w:r>
              <w:rPr>
                <w:rFonts w:cs="Times New Roman"/>
                <w:szCs w:val="21"/>
              </w:rPr>
              <w:t xml:space="preserve">3-5  </w:t>
            </w:r>
            <w:r>
              <w:rPr>
                <w:rFonts w:hint="eastAsia" w:ascii="宋体" w:hAnsi="宋体" w:cs="宋体"/>
                <w:szCs w:val="21"/>
              </w:rPr>
              <w:t>厂区内</w:t>
            </w:r>
            <w:r>
              <w:rPr>
                <w:rFonts w:cs="Times New Roman"/>
                <w:szCs w:val="21"/>
              </w:rPr>
              <w:t>VOC</w:t>
            </w:r>
            <w:r>
              <w:rPr>
                <w:rFonts w:cs="Times New Roman"/>
                <w:szCs w:val="21"/>
                <w:vertAlign w:val="subscript"/>
              </w:rPr>
              <w:t>S</w:t>
            </w:r>
            <w:r>
              <w:rPr>
                <w:rFonts w:hint="eastAsia" w:ascii="宋体" w:hAnsi="宋体" w:cs="宋体"/>
                <w:szCs w:val="21"/>
              </w:rPr>
              <w:t>无组织排放限值</w:t>
            </w:r>
            <w:r>
              <w:rPr>
                <w:rFonts w:hint="eastAsia"/>
                <w:szCs w:val="21"/>
              </w:rPr>
              <w:t>（</w:t>
            </w:r>
            <w:r>
              <w:rPr>
                <w:szCs w:val="21"/>
              </w:rPr>
              <w:t>mg/m³</w:t>
            </w:r>
            <w:r>
              <w:rPr>
                <w:rFonts w:hint="eastAsia"/>
                <w:szCs w:val="21"/>
              </w:rPr>
              <w:t>）</w:t>
            </w:r>
          </w:p>
          <w:tbl>
            <w:tblPr>
              <w:tblStyle w:val="2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1153"/>
              <w:gridCol w:w="3306"/>
              <w:gridCol w:w="25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340" w:type="dxa"/>
                  <w:tcBorders>
                    <w:top w:val="single" w:color="auto" w:sz="12" w:space="0"/>
                    <w:left w:val="single" w:color="auto" w:sz="12"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污染物名称</w:t>
                  </w:r>
                </w:p>
              </w:tc>
              <w:tc>
                <w:tcPr>
                  <w:tcW w:w="1155" w:type="dxa"/>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排放限值</w:t>
                  </w:r>
                </w:p>
              </w:tc>
              <w:tc>
                <w:tcPr>
                  <w:tcW w:w="3315" w:type="dxa"/>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限值含义</w:t>
                  </w:r>
                </w:p>
              </w:tc>
              <w:tc>
                <w:tcPr>
                  <w:tcW w:w="2585" w:type="dxa"/>
                  <w:tcBorders>
                    <w:top w:val="single" w:color="auto" w:sz="12" w:space="0"/>
                    <w:left w:val="single" w:color="auto" w:sz="4" w:space="0"/>
                    <w:bottom w:val="single" w:color="auto" w:sz="4" w:space="0"/>
                    <w:right w:val="single" w:color="auto" w:sz="12" w:space="0"/>
                  </w:tcBorders>
                  <w:vAlign w:val="center"/>
                </w:tcPr>
                <w:p>
                  <w:pPr>
                    <w:pStyle w:val="97"/>
                  </w:pPr>
                  <w:r>
                    <w:rPr>
                      <w:rFonts w:hint="eastAsia"/>
                    </w:rPr>
                    <w:t>无组织排放监控位置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40" w:type="dxa"/>
                  <w:vMerge w:val="restart"/>
                  <w:tcBorders>
                    <w:top w:val="single" w:color="auto" w:sz="4" w:space="0"/>
                    <w:left w:val="single" w:color="auto" w:sz="12"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非甲烷总烃</w:t>
                  </w:r>
                </w:p>
              </w:tc>
              <w:tc>
                <w:tcPr>
                  <w:tcW w:w="115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cs="Times New Roman"/>
                      <w:sz w:val="21"/>
                      <w:szCs w:val="21"/>
                    </w:rPr>
                    <w:t>10</w:t>
                  </w:r>
                </w:p>
              </w:tc>
              <w:tc>
                <w:tcPr>
                  <w:tcW w:w="331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监控点处</w:t>
                  </w:r>
                  <w:r>
                    <w:rPr>
                      <w:rFonts w:cs="Times New Roman"/>
                      <w:sz w:val="21"/>
                      <w:szCs w:val="21"/>
                    </w:rPr>
                    <w:t>1h</w:t>
                  </w:r>
                  <w:r>
                    <w:rPr>
                      <w:rFonts w:hint="eastAsia" w:cs="Times New Roman"/>
                      <w:sz w:val="21"/>
                      <w:szCs w:val="21"/>
                    </w:rPr>
                    <w:t>平均浓度值</w:t>
                  </w:r>
                </w:p>
              </w:tc>
              <w:tc>
                <w:tcPr>
                  <w:tcW w:w="2585" w:type="dxa"/>
                  <w:vMerge w:val="restart"/>
                  <w:tcBorders>
                    <w:top w:val="single" w:color="auto" w:sz="4" w:space="0"/>
                    <w:left w:val="single" w:color="auto" w:sz="4" w:space="0"/>
                    <w:bottom w:val="single" w:color="auto" w:sz="12" w:space="0"/>
                    <w:right w:val="single" w:color="auto" w:sz="12" w:space="0"/>
                  </w:tcBorders>
                  <w:vAlign w:val="center"/>
                </w:tcPr>
                <w:p>
                  <w:pPr>
                    <w:pStyle w:val="97"/>
                  </w:pPr>
                  <w:r>
                    <w:rPr>
                      <w:rFonts w:hint="eastAsia"/>
                    </w:rPr>
                    <w:t>在厂房外设置监控点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0" w:type="auto"/>
                  <w:vMerge w:val="continue"/>
                  <w:tcBorders>
                    <w:top w:val="single" w:color="auto" w:sz="4" w:space="0"/>
                    <w:left w:val="single" w:color="auto" w:sz="12" w:space="0"/>
                    <w:bottom w:val="single" w:color="auto" w:sz="12" w:space="0"/>
                    <w:right w:val="single" w:color="auto" w:sz="4" w:space="0"/>
                  </w:tcBorders>
                  <w:vAlign w:val="center"/>
                </w:tcPr>
                <w:p>
                  <w:pPr>
                    <w:spacing w:line="240" w:lineRule="auto"/>
                    <w:ind w:firstLine="0" w:firstLineChars="0"/>
                    <w:jc w:val="center"/>
                    <w:rPr>
                      <w:rFonts w:cs="Times New Roman"/>
                      <w:sz w:val="21"/>
                      <w:szCs w:val="21"/>
                    </w:rPr>
                  </w:pPr>
                </w:p>
              </w:tc>
              <w:tc>
                <w:tcPr>
                  <w:tcW w:w="1155" w:type="dxa"/>
                  <w:tcBorders>
                    <w:top w:val="single" w:color="auto" w:sz="4" w:space="0"/>
                    <w:left w:val="single" w:color="auto" w:sz="4" w:space="0"/>
                    <w:bottom w:val="single" w:color="auto" w:sz="12" w:space="0"/>
                    <w:right w:val="single" w:color="auto" w:sz="4" w:space="0"/>
                  </w:tcBorders>
                  <w:vAlign w:val="center"/>
                </w:tcPr>
                <w:p>
                  <w:pPr>
                    <w:pStyle w:val="97"/>
                    <w:widowControl w:val="0"/>
                    <w:rPr>
                      <w:kern w:val="2"/>
                      <w:szCs w:val="21"/>
                    </w:rPr>
                  </w:pPr>
                  <w:r>
                    <w:rPr>
                      <w:kern w:val="2"/>
                      <w:szCs w:val="21"/>
                    </w:rPr>
                    <w:t>30</w:t>
                  </w:r>
                </w:p>
              </w:tc>
              <w:tc>
                <w:tcPr>
                  <w:tcW w:w="3315" w:type="dxa"/>
                  <w:tcBorders>
                    <w:top w:val="single" w:color="auto" w:sz="4" w:space="0"/>
                    <w:left w:val="single" w:color="auto" w:sz="4" w:space="0"/>
                    <w:bottom w:val="single" w:color="auto" w:sz="12" w:space="0"/>
                    <w:right w:val="single" w:color="auto" w:sz="4" w:space="0"/>
                  </w:tcBorders>
                  <w:vAlign w:val="center"/>
                </w:tcPr>
                <w:p>
                  <w:pPr>
                    <w:pStyle w:val="97"/>
                    <w:widowControl w:val="0"/>
                    <w:rPr>
                      <w:kern w:val="2"/>
                      <w:szCs w:val="21"/>
                    </w:rPr>
                  </w:pPr>
                  <w:r>
                    <w:rPr>
                      <w:rFonts w:hint="eastAsia"/>
                      <w:kern w:val="2"/>
                      <w:szCs w:val="21"/>
                    </w:rPr>
                    <w:t>监控点处任意一次浓度值</w:t>
                  </w:r>
                </w:p>
              </w:tc>
              <w:tc>
                <w:tcPr>
                  <w:tcW w:w="0" w:type="auto"/>
                  <w:vMerge w:val="continue"/>
                  <w:tcBorders>
                    <w:top w:val="single" w:color="auto" w:sz="4" w:space="0"/>
                    <w:left w:val="single" w:color="auto" w:sz="4" w:space="0"/>
                    <w:bottom w:val="single" w:color="auto" w:sz="12" w:space="0"/>
                    <w:right w:val="single" w:color="auto" w:sz="12" w:space="0"/>
                  </w:tcBorders>
                  <w:vAlign w:val="center"/>
                </w:tcPr>
                <w:p>
                  <w:pPr>
                    <w:widowControl/>
                    <w:spacing w:line="240" w:lineRule="auto"/>
                    <w:ind w:firstLine="0" w:firstLineChars="0"/>
                    <w:jc w:val="left"/>
                    <w:rPr>
                      <w:rFonts w:cs="Times New Roman"/>
                      <w:kern w:val="0"/>
                      <w:sz w:val="21"/>
                      <w:szCs w:val="20"/>
                    </w:rPr>
                  </w:pPr>
                </w:p>
              </w:tc>
            </w:tr>
          </w:tbl>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2.废水</w:t>
            </w:r>
          </w:p>
          <w:p>
            <w:pPr>
              <w:ind w:firstLine="480"/>
              <w:rPr>
                <w:rFonts w:cs="Times New Roman"/>
              </w:rPr>
            </w:pPr>
            <w:r>
              <w:rPr>
                <w:rFonts w:hint="eastAsia" w:cs="Times New Roman"/>
              </w:rPr>
              <w:t>生活污水经化粪池预处理后，排入园区管网，最终进入和静县污水处理厂处理。</w:t>
            </w:r>
          </w:p>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3.噪声排放标准</w:t>
            </w:r>
          </w:p>
          <w:p>
            <w:pPr>
              <w:ind w:firstLine="480"/>
              <w:rPr>
                <w:color w:val="000000" w:themeColor="text1"/>
                <w14:textFill>
                  <w14:solidFill>
                    <w14:schemeClr w14:val="tx1"/>
                  </w14:solidFill>
                </w14:textFill>
              </w:rPr>
            </w:pPr>
            <w:r>
              <w:rPr>
                <w:color w:val="000000" w:themeColor="text1"/>
                <w14:textFill>
                  <w14:solidFill>
                    <w14:schemeClr w14:val="tx1"/>
                  </w14:solidFill>
                </w14:textFill>
              </w:rPr>
              <w:t>项目施工期噪声执行《</w:t>
            </w:r>
            <w:r>
              <w:rPr>
                <w:rFonts w:hint="eastAsia"/>
                <w:color w:val="000000" w:themeColor="text1"/>
                <w14:textFill>
                  <w14:solidFill>
                    <w14:schemeClr w14:val="tx1"/>
                  </w14:solidFill>
                </w14:textFill>
              </w:rPr>
              <w:t>建筑施工噪声排放标准</w:t>
            </w:r>
            <w:r>
              <w:rPr>
                <w:color w:val="000000" w:themeColor="text1"/>
                <w14:textFill>
                  <w14:solidFill>
                    <w14:schemeClr w14:val="tx1"/>
                  </w14:solidFill>
                </w14:textFill>
              </w:rPr>
              <w:t>》（GB12523-20</w:t>
            </w:r>
            <w:r>
              <w:rPr>
                <w:rFonts w:hint="eastAsia"/>
                <w:color w:val="000000" w:themeColor="text1"/>
                <w14:textFill>
                  <w14:solidFill>
                    <w14:schemeClr w14:val="tx1"/>
                  </w14:solidFill>
                </w14:textFill>
              </w:rPr>
              <w:t>25</w:t>
            </w:r>
            <w:r>
              <w:rPr>
                <w:color w:val="000000" w:themeColor="text1"/>
                <w14:textFill>
                  <w14:solidFill>
                    <w14:schemeClr w14:val="tx1"/>
                  </w14:solidFill>
                </w14:textFill>
              </w:rPr>
              <w:t>），详见表</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运营期噪声执行《工业企业厂界环境噪声排放标准》（GB12348-2008）中</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类标准，标准值见表</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-7。</w:t>
            </w:r>
          </w:p>
          <w:p>
            <w:pPr>
              <w:pStyle w:val="39"/>
              <w:spacing w:before="163"/>
              <w:rPr>
                <w:color w:val="000000" w:themeColor="text1"/>
                <w14:textFill>
                  <w14:solidFill>
                    <w14:schemeClr w14:val="tx1"/>
                  </w14:solidFill>
                </w14:textFill>
              </w:rPr>
            </w:pPr>
            <w:r>
              <w:rPr>
                <w:rFonts w:hint="eastAsia"/>
                <w:color w:val="000000" w:themeColor="text1"/>
                <w14:textFill>
                  <w14:solidFill>
                    <w14:schemeClr w14:val="tx1"/>
                  </w14:solidFill>
                </w14:textFill>
              </w:rPr>
              <w:t>表3-</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 xml:space="preserve">  建筑施工噪声排放限值   单位：dB（A</w:t>
            </w:r>
            <w:r>
              <w:rPr>
                <w:color w:val="000000" w:themeColor="text1"/>
                <w14:textFill>
                  <w14:solidFill>
                    <w14:schemeClr w14:val="tx1"/>
                  </w14:solidFill>
                </w14:textFill>
              </w:rPr>
              <w:t>）</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750"/>
              <w:gridCol w:w="36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 w:hRule="atLeast"/>
              </w:trPr>
              <w:tc>
                <w:tcPr>
                  <w:tcW w:w="2836"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昼间</w:t>
                  </w:r>
                </w:p>
              </w:tc>
              <w:tc>
                <w:tcPr>
                  <w:tcW w:w="2164"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 w:hRule="atLeast"/>
              </w:trPr>
              <w:tc>
                <w:tcPr>
                  <w:tcW w:w="2836"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70</w:t>
                  </w:r>
                </w:p>
              </w:tc>
              <w:tc>
                <w:tcPr>
                  <w:tcW w:w="2164"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55</w:t>
                  </w:r>
                </w:p>
              </w:tc>
            </w:tr>
          </w:tbl>
          <w:p>
            <w:pPr>
              <w:pStyle w:val="39"/>
              <w:spacing w:before="163"/>
              <w:rPr>
                <w:color w:val="000000" w:themeColor="text1"/>
                <w14:textFill>
                  <w14:solidFill>
                    <w14:schemeClr w14:val="tx1"/>
                  </w14:solidFill>
                </w14:textFill>
              </w:rPr>
            </w:pPr>
            <w:r>
              <w:rPr>
                <w:rFonts w:hint="eastAsia"/>
                <w:color w:val="000000" w:themeColor="text1"/>
                <w14:textFill>
                  <w14:solidFill>
                    <w14:schemeClr w14:val="tx1"/>
                  </w14:solidFill>
                </w14:textFill>
              </w:rPr>
              <w:t>表3-</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 xml:space="preserve">  工业企业厂界环境噪声排放标准 等效声级dB（A</w:t>
            </w:r>
            <w:r>
              <w:rPr>
                <w:color w:val="000000" w:themeColor="text1"/>
                <w14:textFill>
                  <w14:solidFill>
                    <w14:schemeClr w14:val="tx1"/>
                  </w14:solidFill>
                </w14:textFill>
              </w:rPr>
              <w:t>）</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21"/>
              <w:gridCol w:w="3662"/>
              <w:gridCol w:w="27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1147"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类别</w:t>
                  </w:r>
                </w:p>
              </w:tc>
              <w:tc>
                <w:tcPr>
                  <w:tcW w:w="2186"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昼间</w:t>
                  </w:r>
                </w:p>
              </w:tc>
              <w:tc>
                <w:tcPr>
                  <w:tcW w:w="1667"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 w:hRule="atLeast"/>
              </w:trPr>
              <w:tc>
                <w:tcPr>
                  <w:tcW w:w="1147"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3类</w:t>
                  </w:r>
                </w:p>
              </w:tc>
              <w:tc>
                <w:tcPr>
                  <w:tcW w:w="2186"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65</w:t>
                  </w:r>
                </w:p>
              </w:tc>
              <w:tc>
                <w:tcPr>
                  <w:tcW w:w="1667" w:type="pct"/>
                  <w:tcBorders>
                    <w:tl2br w:val="nil"/>
                    <w:tr2bl w:val="nil"/>
                  </w:tcBorders>
                  <w:vAlign w:val="center"/>
                </w:tcPr>
                <w:p>
                  <w:pPr>
                    <w:spacing w:line="240" w:lineRule="auto"/>
                    <w:ind w:firstLine="0" w:firstLineChars="0"/>
                    <w:contextualSpacing/>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55</w:t>
                  </w:r>
                </w:p>
              </w:tc>
            </w:tr>
          </w:tbl>
          <w:p>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4.固体废物</w:t>
            </w:r>
          </w:p>
          <w:p>
            <w:pPr>
              <w:ind w:firstLine="480"/>
              <w:rPr>
                <w:color w:val="000000" w:themeColor="text1"/>
                <w14:textFill>
                  <w14:solidFill>
                    <w14:schemeClr w14:val="tx1"/>
                  </w14:solidFill>
                </w14:textFill>
              </w:rPr>
            </w:pPr>
            <w:r>
              <w:rPr>
                <w:rFonts w:hint="eastAsia"/>
              </w:rPr>
              <w:t>一般工业固体废物暂存参照执行《一般工业固体废物贮存和填埋污染控制标准》（GB18599-2020）中的“其贮存过程应满足相应防渗漏、防雨淋、防扬尘等环境保护要求”；危险废物执行《危险废物贮存污染控制标准》（GB18597-2023）中关于贮存库的相关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0" w:hRule="atLeast"/>
          <w:jc w:val="center"/>
        </w:trPr>
        <w:tc>
          <w:tcPr>
            <w:tcW w:w="233" w:type="pct"/>
            <w:vAlign w:val="center"/>
          </w:tcPr>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总量</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控制</w:t>
            </w:r>
          </w:p>
          <w:p>
            <w:pPr>
              <w:adjustRightInd w:val="0"/>
              <w:snapToGrid w:val="0"/>
              <w:spacing w:line="240" w:lineRule="auto"/>
              <w:ind w:firstLine="0" w:firstLineChars="0"/>
              <w:jc w:val="center"/>
              <w:textAlignment w:val="auto"/>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指标</w:t>
            </w:r>
          </w:p>
        </w:tc>
        <w:tc>
          <w:tcPr>
            <w:tcW w:w="4767" w:type="pct"/>
          </w:tcPr>
          <w:p>
            <w:pPr>
              <w:ind w:firstLine="480"/>
              <w:textAlignment w:val="auto"/>
              <w:rPr>
                <w:rFonts w:cs="Times New Roman"/>
                <w:color w:val="000000" w:themeColor="text1"/>
                <w:kern w:val="0"/>
                <w:lang w:bidi="ar"/>
                <w14:textFill>
                  <w14:solidFill>
                    <w14:schemeClr w14:val="tx1"/>
                  </w14:solidFill>
                </w14:textFill>
              </w:rPr>
            </w:pPr>
            <w:r>
              <w:rPr>
                <w:rFonts w:hint="eastAsia" w:cs="Times New Roman"/>
                <w:color w:val="000000" w:themeColor="text1"/>
                <w:kern w:val="0"/>
                <w:lang w:bidi="ar"/>
                <w14:textFill>
                  <w14:solidFill>
                    <w14:schemeClr w14:val="tx1"/>
                  </w14:solidFill>
                </w14:textFill>
              </w:rPr>
              <w:t>根据《“十五五”污染减排工作方案编制技术指南》，废气污染物总量控制因子为NOx和VOCs，废水污染物总量控制因子为COD和总磷。</w:t>
            </w:r>
          </w:p>
          <w:p>
            <w:pPr>
              <w:ind w:firstLine="480"/>
              <w:textAlignment w:val="auto"/>
              <w:rPr>
                <w:rFonts w:cs="Times New Roman"/>
                <w:color w:val="000000" w:themeColor="text1"/>
                <w:szCs w:val="24"/>
                <w14:textFill>
                  <w14:solidFill>
                    <w14:schemeClr w14:val="tx1"/>
                  </w14:solidFill>
                </w14:textFill>
              </w:rPr>
            </w:pPr>
            <w:r>
              <w:rPr>
                <w:rFonts w:hint="eastAsia" w:cs="Times New Roman"/>
                <w:color w:val="000000" w:themeColor="text1"/>
                <w:kern w:val="0"/>
                <w:lang w:bidi="ar"/>
                <w14:textFill>
                  <w14:solidFill>
                    <w14:schemeClr w14:val="tx1"/>
                  </w14:solidFill>
                </w14:textFill>
              </w:rPr>
              <w:t>本项目采用电加热导热油炉，生产过程中不产生NOx，申请VOCs总量控制指标为0.385t/a</w:t>
            </w:r>
            <w:r>
              <w:rPr>
                <w:rFonts w:hint="eastAsia" w:cs="Times New Roman"/>
                <w:color w:val="000000" w:themeColor="text1"/>
                <w:szCs w:val="24"/>
                <w14:textFill>
                  <w14:solidFill>
                    <w14:schemeClr w14:val="tx1"/>
                  </w14:solidFill>
                </w14:textFill>
              </w:rPr>
              <w:t>。</w:t>
            </w:r>
          </w:p>
          <w:p>
            <w:pPr>
              <w:adjustRightInd w:val="0"/>
              <w:snapToGrid w:val="0"/>
              <w:spacing w:line="500" w:lineRule="exact"/>
              <w:ind w:firstLine="500"/>
              <w:rPr>
                <w:rFonts w:cs="Times New Roman"/>
                <w:color w:val="000000" w:themeColor="text1"/>
                <w:sz w:val="25"/>
                <w:szCs w:val="25"/>
                <w14:textFill>
                  <w14:solidFill>
                    <w14:schemeClr w14:val="tx1"/>
                  </w14:solidFill>
                </w14:textFill>
              </w:rPr>
            </w:pPr>
            <w:r>
              <w:rPr>
                <w:rFonts w:hint="eastAsia" w:cs="Times New Roman"/>
                <w:color w:val="000000" w:themeColor="text1"/>
                <w:sz w:val="25"/>
                <w:szCs w:val="25"/>
                <w14:textFill>
                  <w14:solidFill>
                    <w14:schemeClr w14:val="tx1"/>
                  </w14:solidFill>
                </w14:textFill>
              </w:rPr>
              <w:t>本项目生产过程中无工艺废水产生及外排，外排废水仅为生活污水，经化粪池预处理后排入园区管网，最终进入和静县污水处理厂处理。COD、总磷排放总量纳入和静县污水处理厂统一管理，本项目不单独申请COD和总磷总量控制指标。</w:t>
            </w: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pStyle w:val="2"/>
            </w:pPr>
          </w:p>
          <w:p>
            <w:pPr>
              <w:ind w:firstLine="480"/>
            </w:pPr>
          </w:p>
          <w:p>
            <w:pPr>
              <w:ind w:firstLine="480"/>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tc>
      </w:tr>
    </w:tbl>
    <w:p>
      <w:pPr>
        <w:pStyle w:val="5"/>
        <w:numPr>
          <w:ilvl w:val="0"/>
          <w:numId w:val="1"/>
        </w:numPr>
        <w:rPr>
          <w:color w:val="000000" w:themeColor="text1"/>
          <w14:textFill>
            <w14:solidFill>
              <w14:schemeClr w14:val="tx1"/>
            </w14:solidFill>
          </w14:textFill>
        </w:rPr>
      </w:pPr>
      <w:r>
        <w:rPr>
          <w:rFonts w:hint="eastAsia"/>
          <w:color w:val="000000" w:themeColor="text1"/>
          <w14:textFill>
            <w14:solidFill>
              <w14:schemeClr w14:val="tx1"/>
            </w14:solidFill>
          </w14:textFill>
        </w:rPr>
        <w:t>主要环境影响和保护措施</w:t>
      </w:r>
    </w:p>
    <w:tbl>
      <w:tblPr>
        <w:tblStyle w:val="26"/>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79"/>
        <w:gridCol w:w="89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58" w:type="pct"/>
            <w:tcMar>
              <w:left w:w="28" w:type="dxa"/>
              <w:right w:w="28" w:type="dxa"/>
            </w:tcMar>
            <w:vAlign w:val="center"/>
          </w:tcPr>
          <w:p>
            <w:pPr>
              <w:widowControl/>
              <w:adjustRightInd w:val="0"/>
              <w:snapToGrid w:val="0"/>
              <w:spacing w:line="240" w:lineRule="auto"/>
              <w:ind w:firstLine="0" w:firstLineChars="0"/>
              <w:jc w:val="center"/>
              <w:textAlignment w:val="auto"/>
              <w:rPr>
                <w:rFonts w:ascii="宋体" w:hAnsi="宋体" w:cs="宋体"/>
                <w:szCs w:val="24"/>
              </w:rPr>
            </w:pPr>
            <w:r>
              <w:rPr>
                <w:rFonts w:hint="eastAsia" w:ascii="宋体" w:hAnsi="宋体" w:cs="宋体"/>
                <w:szCs w:val="24"/>
              </w:rPr>
              <w:t>施工</w:t>
            </w:r>
          </w:p>
          <w:p>
            <w:pPr>
              <w:widowControl/>
              <w:adjustRightInd w:val="0"/>
              <w:snapToGrid w:val="0"/>
              <w:spacing w:line="240" w:lineRule="auto"/>
              <w:ind w:firstLine="0" w:firstLineChars="0"/>
              <w:jc w:val="center"/>
              <w:textAlignment w:val="auto"/>
              <w:rPr>
                <w:rFonts w:ascii="宋体" w:hAnsi="宋体" w:cs="宋体"/>
                <w:szCs w:val="24"/>
              </w:rPr>
            </w:pPr>
            <w:r>
              <w:rPr>
                <w:rFonts w:hint="eastAsia" w:ascii="宋体" w:hAnsi="宋体" w:cs="宋体"/>
                <w:szCs w:val="24"/>
              </w:rPr>
              <w:t>期环</w:t>
            </w:r>
          </w:p>
          <w:p>
            <w:pPr>
              <w:widowControl/>
              <w:adjustRightInd w:val="0"/>
              <w:snapToGrid w:val="0"/>
              <w:spacing w:line="240" w:lineRule="auto"/>
              <w:ind w:firstLine="0" w:firstLineChars="0"/>
              <w:jc w:val="center"/>
              <w:textAlignment w:val="auto"/>
              <w:rPr>
                <w:rFonts w:ascii="宋体" w:hAnsi="宋体" w:cs="宋体"/>
                <w:szCs w:val="24"/>
              </w:rPr>
            </w:pPr>
            <w:r>
              <w:rPr>
                <w:rFonts w:hint="eastAsia" w:ascii="宋体" w:hAnsi="宋体" w:cs="宋体"/>
                <w:szCs w:val="24"/>
              </w:rPr>
              <w:t>境保</w:t>
            </w:r>
          </w:p>
          <w:p>
            <w:pPr>
              <w:widowControl/>
              <w:adjustRightInd w:val="0"/>
              <w:snapToGrid w:val="0"/>
              <w:spacing w:line="240" w:lineRule="auto"/>
              <w:ind w:firstLine="0" w:firstLineChars="0"/>
              <w:jc w:val="center"/>
              <w:textAlignment w:val="auto"/>
              <w:rPr>
                <w:rFonts w:ascii="宋体" w:hAnsi="宋体" w:cs="宋体"/>
                <w:szCs w:val="24"/>
              </w:rPr>
            </w:pPr>
            <w:r>
              <w:rPr>
                <w:rFonts w:hint="eastAsia" w:ascii="宋体" w:hAnsi="宋体" w:cs="宋体"/>
                <w:szCs w:val="24"/>
              </w:rPr>
              <w:t>护措</w:t>
            </w:r>
          </w:p>
          <w:p>
            <w:pPr>
              <w:widowControl/>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szCs w:val="24"/>
              </w:rPr>
              <w:t>施</w:t>
            </w:r>
          </w:p>
        </w:tc>
        <w:tc>
          <w:tcPr>
            <w:tcW w:w="4841" w:type="pct"/>
          </w:tcPr>
          <w:p>
            <w:pPr>
              <w:adjustRightInd w:val="0"/>
              <w:snapToGrid w:val="0"/>
              <w:ind w:firstLine="0" w:firstLineChars="0"/>
              <w:textAlignment w:val="auto"/>
              <w:rPr>
                <w:rFonts w:cs="Times New Roman"/>
                <w:b/>
                <w:bCs/>
                <w:snapToGrid w:val="0"/>
                <w:color w:val="000000"/>
                <w:kern w:val="0"/>
                <w:szCs w:val="24"/>
                <w:lang w:bidi="ar"/>
              </w:rPr>
            </w:pPr>
            <w:bookmarkStart w:id="22" w:name="_Toc517195126"/>
            <w:r>
              <w:rPr>
                <w:rFonts w:cs="Times New Roman"/>
                <w:b/>
                <w:bCs/>
                <w:snapToGrid w:val="0"/>
                <w:color w:val="000000"/>
                <w:kern w:val="0"/>
                <w:szCs w:val="24"/>
                <w:lang w:bidi="ar"/>
              </w:rPr>
              <w:t>4.1施工期环境保护措施</w:t>
            </w:r>
          </w:p>
          <w:p>
            <w:pPr>
              <w:adjustRightInd w:val="0"/>
              <w:snapToGrid w:val="0"/>
              <w:ind w:firstLine="0" w:firstLineChars="0"/>
              <w:textAlignment w:val="auto"/>
              <w:rPr>
                <w:rFonts w:cs="Times New Roman"/>
                <w:bCs/>
                <w:szCs w:val="24"/>
              </w:rPr>
            </w:pPr>
            <w:r>
              <w:rPr>
                <w:rFonts w:cs="Times New Roman"/>
                <w:b/>
                <w:szCs w:val="24"/>
              </w:rPr>
              <w:t>4.1.</w:t>
            </w:r>
            <w:r>
              <w:rPr>
                <w:rFonts w:hint="eastAsia" w:cs="Times New Roman"/>
                <w:b/>
                <w:szCs w:val="24"/>
              </w:rPr>
              <w:t>1施工期</w:t>
            </w:r>
            <w:r>
              <w:rPr>
                <w:rFonts w:cs="Times New Roman"/>
                <w:b/>
                <w:szCs w:val="24"/>
              </w:rPr>
              <w:t>废</w:t>
            </w:r>
            <w:r>
              <w:rPr>
                <w:rFonts w:hint="eastAsia" w:cs="Times New Roman"/>
                <w:b/>
                <w:szCs w:val="24"/>
              </w:rPr>
              <w:t>气</w:t>
            </w:r>
            <w:r>
              <w:rPr>
                <w:rFonts w:cs="Times New Roman"/>
                <w:b/>
                <w:szCs w:val="24"/>
              </w:rPr>
              <w:t>污染防治措施</w:t>
            </w:r>
          </w:p>
          <w:p>
            <w:pPr>
              <w:adjustRightInd w:val="0"/>
              <w:snapToGrid w:val="0"/>
              <w:ind w:firstLine="480"/>
              <w:textAlignment w:val="auto"/>
              <w:rPr>
                <w:rFonts w:cs="Times New Roman"/>
                <w:bCs/>
                <w:szCs w:val="24"/>
              </w:rPr>
            </w:pPr>
            <w:r>
              <w:rPr>
                <w:rFonts w:hint="eastAsia"/>
              </w:rPr>
              <w:t>施工期大气污染源主要包括施工扬尘、运输车辆尾气、施工机械燃油废气等。应采取以下防治措施：</w:t>
            </w:r>
          </w:p>
          <w:p>
            <w:pPr>
              <w:adjustRightInd w:val="0"/>
              <w:snapToGrid w:val="0"/>
              <w:ind w:firstLine="480"/>
              <w:textAlignment w:val="auto"/>
            </w:pPr>
            <w:r>
              <w:rPr>
                <w:rFonts w:hint="eastAsia"/>
              </w:rPr>
              <w:t>（1）施工机械及运输车辆尾气</w:t>
            </w:r>
          </w:p>
          <w:p>
            <w:pPr>
              <w:adjustRightInd w:val="0"/>
              <w:snapToGrid w:val="0"/>
              <w:ind w:firstLine="480"/>
              <w:textAlignment w:val="auto"/>
            </w:pPr>
            <w:r>
              <w:rPr>
                <w:rFonts w:hint="eastAsia"/>
              </w:rPr>
              <w:t>施工机械（如挖掘机、起重机、自卸汽车等）和运输车辆以柴油为燃料，运行过程中会排放</w:t>
            </w:r>
            <w:r>
              <w:t>CO</w:t>
            </w:r>
            <w:r>
              <w:rPr>
                <w:rFonts w:hint="eastAsia"/>
              </w:rPr>
              <w:t>、</w:t>
            </w:r>
            <w:r>
              <w:t>NOx</w:t>
            </w:r>
            <w:r>
              <w:rPr>
                <w:rFonts w:hint="eastAsia"/>
              </w:rPr>
              <w:t>、</w:t>
            </w:r>
            <w:r>
              <w:t>HC</w:t>
            </w:r>
            <w:r>
              <w:rPr>
                <w:rFonts w:hint="eastAsia"/>
              </w:rPr>
              <w:t>、</w:t>
            </w:r>
            <w:r>
              <w:t>SO₂</w:t>
            </w:r>
            <w:r>
              <w:rPr>
                <w:rFonts w:hint="eastAsia"/>
              </w:rPr>
              <w:t>、烟尘等污染物，属间断性无组织排放。项目所在区域地势平坦开阔，空气流通良好，废气易于扩散，对周边环境空气质量影响较小。为减少尾气影响，应采取以下控制措施：严禁使用已淘汰排放标准的非道路移动机械，杜绝“冒黑烟”现象；使用正规渠道油品，严禁使用非标油；合理控制施工车辆进出频次，避免集中作业，最大限度降低尾气累积影响。</w:t>
            </w:r>
          </w:p>
          <w:p>
            <w:pPr>
              <w:adjustRightInd w:val="0"/>
              <w:snapToGrid w:val="0"/>
              <w:ind w:firstLine="480"/>
              <w:textAlignment w:val="auto"/>
              <w:rPr>
                <w:rFonts w:cs="Times New Roman"/>
              </w:rPr>
            </w:pPr>
            <w:r>
              <w:rPr>
                <w:rFonts w:cs="Times New Roman"/>
              </w:rPr>
              <w:t>（2）扬尘污染防控</w:t>
            </w:r>
          </w:p>
          <w:p>
            <w:pPr>
              <w:adjustRightInd w:val="0"/>
              <w:snapToGrid w:val="0"/>
              <w:ind w:firstLine="480"/>
              <w:textAlignment w:val="auto"/>
              <w:rPr>
                <w:rFonts w:cs="Times New Roman"/>
              </w:rPr>
            </w:pPr>
            <w:r>
              <w:rPr>
                <w:rFonts w:cs="Times New Roman"/>
              </w:rPr>
              <w:t>施工过程中产生的扬尘主要来源于土方开挖与回填、物料搬运、道路运输及露天堆放等环节。</w:t>
            </w:r>
            <w:r>
              <w:rPr>
                <w:rFonts w:cs="Times New Roman"/>
                <w:color w:val="0F1115"/>
                <w:shd w:val="clear" w:color="auto" w:fill="FFFFFF"/>
              </w:rPr>
              <w:t>根据《新疆维吾尔自治区2025年空气质量持续改善行动实施方案》，</w:t>
            </w:r>
            <w:r>
              <w:rPr>
                <w:rFonts w:hint="eastAsia" w:cs="Times New Roman"/>
              </w:rPr>
              <w:t>施工场地严格落实“六个百分百”要求</w:t>
            </w:r>
            <w:r>
              <w:rPr>
                <w:rFonts w:cs="Times New Roman"/>
              </w:rPr>
              <w:t>，落实以下防尘降尘措施：</w:t>
            </w:r>
          </w:p>
          <w:p>
            <w:pPr>
              <w:adjustRightInd w:val="0"/>
              <w:snapToGrid w:val="0"/>
              <w:ind w:firstLine="480"/>
              <w:textAlignment w:val="auto"/>
            </w:pPr>
            <w:r>
              <w:rPr>
                <w:rFonts w:hint="eastAsia"/>
              </w:rPr>
              <w:t>①落实扬尘管控责任：施工单位应制定《施工扬尘污染防治实施方案》，明确责任人，落实施工全过程扬尘管控要求，确保文明施工、绿色施工。</w:t>
            </w:r>
          </w:p>
          <w:p>
            <w:pPr>
              <w:adjustRightInd w:val="0"/>
              <w:snapToGrid w:val="0"/>
              <w:ind w:firstLine="480"/>
              <w:textAlignment w:val="auto"/>
            </w:pPr>
            <w:r>
              <w:rPr>
                <w:rFonts w:hint="eastAsia"/>
              </w:rPr>
              <w:t>②实行封闭施工：施工现场应设置高度不低于2.5m的硬质围挡，实行全封闭管理。围挡应坚固、稳定、整洁。脚手架外侧应采用符合标准的密目式安全网进行封闭，且封闭高度应高于作业面，并同步搭设。安全网须清洗维护，保持清洁完好，防止建筑垃圾和粉尘外溢。</w:t>
            </w:r>
          </w:p>
          <w:p>
            <w:pPr>
              <w:adjustRightInd w:val="0"/>
              <w:snapToGrid w:val="0"/>
              <w:ind w:firstLine="480"/>
              <w:textAlignment w:val="auto"/>
            </w:pPr>
            <w:r>
              <w:rPr>
                <w:rFonts w:hint="eastAsia"/>
              </w:rPr>
              <w:t>③加强物料管理：施工现场建筑材料、构件、料具应按总平面布置分类码放整齐；水泥及其他易产生扬尘的细颗粒物必须密闭存放或采用防尘布全覆盖，防止风力扬散。</w:t>
            </w:r>
          </w:p>
          <w:p>
            <w:pPr>
              <w:adjustRightInd w:val="0"/>
              <w:snapToGrid w:val="0"/>
              <w:ind w:firstLine="480"/>
              <w:textAlignment w:val="auto"/>
            </w:pPr>
            <w:r>
              <w:rPr>
                <w:rFonts w:hint="eastAsia"/>
              </w:rPr>
              <w:t>④实施湿法作业：土方作业时应采取洒水抑尘措施；主要施工道路清扫并洒水保湿，保持路面湿润；施工现场出入口设置车辆冲洗装置，确保出入车辆冲洗，严禁带泥上路；对撒落渣土及时清理，减少二次扬尘。</w:t>
            </w:r>
          </w:p>
          <w:p>
            <w:pPr>
              <w:adjustRightInd w:val="0"/>
              <w:snapToGrid w:val="0"/>
              <w:ind w:firstLine="480"/>
              <w:textAlignment w:val="auto"/>
            </w:pPr>
            <w:r>
              <w:rPr>
                <w:rFonts w:hint="eastAsia"/>
              </w:rPr>
              <w:t>⑤硬化场地与车辆管理：施工现场主要道路及材料加工区地面应进行硬化处理；裸露地面及临时堆土区应采取覆盖、固化或绿化等防尘措施；渣土车辆必须密闭运输，严禁超载、遗撒；运输车辆限速行驶，禁止鸣笛，减少扰民。</w:t>
            </w:r>
          </w:p>
          <w:p>
            <w:pPr>
              <w:adjustRightInd w:val="0"/>
              <w:snapToGrid w:val="0"/>
              <w:ind w:firstLine="0" w:firstLineChars="0"/>
              <w:textAlignment w:val="auto"/>
              <w:rPr>
                <w:rFonts w:cs="Times New Roman"/>
                <w:bCs/>
                <w:szCs w:val="24"/>
              </w:rPr>
            </w:pPr>
            <w:r>
              <w:rPr>
                <w:rFonts w:cs="Times New Roman"/>
                <w:b/>
                <w:szCs w:val="24"/>
              </w:rPr>
              <w:t>4.1.2</w:t>
            </w:r>
            <w:r>
              <w:rPr>
                <w:rFonts w:hint="eastAsia" w:cs="Times New Roman"/>
                <w:b/>
                <w:szCs w:val="24"/>
              </w:rPr>
              <w:t>施工期</w:t>
            </w:r>
            <w:r>
              <w:rPr>
                <w:rFonts w:cs="Times New Roman"/>
                <w:b/>
                <w:szCs w:val="24"/>
              </w:rPr>
              <w:t>废水污染防治措施</w:t>
            </w:r>
          </w:p>
          <w:p>
            <w:pPr>
              <w:adjustRightInd w:val="0"/>
              <w:snapToGrid w:val="0"/>
              <w:ind w:firstLine="480"/>
              <w:textAlignment w:val="auto"/>
              <w:rPr>
                <w:rFonts w:cs="Times New Roman"/>
                <w:bCs/>
                <w:szCs w:val="24"/>
              </w:rPr>
            </w:pPr>
            <w:r>
              <w:rPr>
                <w:rFonts w:cs="Times New Roman"/>
                <w:bCs/>
                <w:szCs w:val="24"/>
              </w:rPr>
              <w:t>（1）施工废水</w:t>
            </w:r>
          </w:p>
          <w:p>
            <w:pPr>
              <w:adjustRightInd w:val="0"/>
              <w:snapToGrid w:val="0"/>
              <w:ind w:firstLine="480"/>
              <w:textAlignment w:val="auto"/>
              <w:rPr>
                <w:rFonts w:cs="Times New Roman"/>
                <w:bCs/>
                <w:szCs w:val="24"/>
              </w:rPr>
            </w:pPr>
            <w:r>
              <w:rPr>
                <w:rFonts w:hint="eastAsia"/>
                <w:bCs/>
              </w:rPr>
              <w:t>施工废水主要为混凝土养护废水和设备、工具清洗废水，产生量较小，主要污染物为悬浮物。工地应设置临时沉淀池，少量施工废水不得直接排放，需集中收集，并经过沉淀池沉淀处理后，用于洒水抑尘。施工结束后，应及时拆除临时沉淀池。通过以上措施，可确保施工期废水无乱排现象</w:t>
            </w:r>
            <w:r>
              <w:rPr>
                <w:rFonts w:cs="Times New Roman"/>
                <w:bCs/>
                <w:szCs w:val="24"/>
              </w:rPr>
              <w:t>。</w:t>
            </w:r>
          </w:p>
          <w:p>
            <w:pPr>
              <w:adjustRightInd w:val="0"/>
              <w:snapToGrid w:val="0"/>
              <w:ind w:firstLine="480"/>
              <w:textAlignment w:val="auto"/>
              <w:rPr>
                <w:rFonts w:cs="Times New Roman"/>
                <w:bCs/>
                <w:szCs w:val="24"/>
              </w:rPr>
            </w:pPr>
            <w:r>
              <w:rPr>
                <w:rFonts w:cs="Times New Roman"/>
                <w:bCs/>
                <w:szCs w:val="24"/>
              </w:rPr>
              <w:t>（2）</w:t>
            </w:r>
            <w:r>
              <w:rPr>
                <w:rFonts w:hint="eastAsia" w:cs="Times New Roman"/>
                <w:bCs/>
                <w:szCs w:val="24"/>
              </w:rPr>
              <w:t>生活污水</w:t>
            </w:r>
          </w:p>
          <w:p>
            <w:pPr>
              <w:adjustRightInd w:val="0"/>
              <w:snapToGrid w:val="0"/>
              <w:ind w:firstLine="480"/>
              <w:textAlignment w:val="auto"/>
              <w:rPr>
                <w:rFonts w:cs="Times New Roman"/>
                <w:szCs w:val="24"/>
              </w:rPr>
            </w:pPr>
            <w:r>
              <w:rPr>
                <w:rFonts w:cs="Times New Roman"/>
                <w:szCs w:val="24"/>
              </w:rPr>
              <w:t>项目施工人员不在项目区住宿，不设置施工生活区，无施工生活</w:t>
            </w:r>
            <w:r>
              <w:rPr>
                <w:rFonts w:hint="eastAsia" w:cs="Times New Roman"/>
                <w:szCs w:val="24"/>
              </w:rPr>
              <w:t>污水</w:t>
            </w:r>
            <w:r>
              <w:rPr>
                <w:rFonts w:cs="Times New Roman"/>
                <w:szCs w:val="24"/>
              </w:rPr>
              <w:t>产生。</w:t>
            </w:r>
          </w:p>
          <w:p>
            <w:pPr>
              <w:adjustRightInd w:val="0"/>
              <w:snapToGrid w:val="0"/>
              <w:ind w:firstLine="0" w:firstLineChars="0"/>
              <w:textAlignment w:val="auto"/>
              <w:rPr>
                <w:rFonts w:cs="Times New Roman"/>
                <w:b/>
                <w:bCs/>
                <w:szCs w:val="24"/>
              </w:rPr>
            </w:pPr>
            <w:r>
              <w:rPr>
                <w:rFonts w:cs="Times New Roman"/>
                <w:b/>
                <w:bCs/>
                <w:szCs w:val="24"/>
              </w:rPr>
              <w:t>4.1.3</w:t>
            </w:r>
            <w:r>
              <w:rPr>
                <w:rFonts w:hint="eastAsia" w:cs="Times New Roman"/>
                <w:b/>
                <w:bCs/>
                <w:szCs w:val="24"/>
              </w:rPr>
              <w:t>施工期</w:t>
            </w:r>
            <w:r>
              <w:rPr>
                <w:rFonts w:cs="Times New Roman"/>
                <w:b/>
                <w:bCs/>
                <w:szCs w:val="24"/>
              </w:rPr>
              <w:t>噪声防治措施</w:t>
            </w:r>
          </w:p>
          <w:p>
            <w:pPr>
              <w:adjustRightInd w:val="0"/>
              <w:snapToGrid w:val="0"/>
              <w:ind w:firstLine="480"/>
              <w:textAlignment w:val="auto"/>
              <w:rPr>
                <w:rFonts w:cs="Times New Roman"/>
                <w:bCs/>
                <w:szCs w:val="24"/>
              </w:rPr>
            </w:pPr>
            <w:r>
              <w:rPr>
                <w:rFonts w:hint="eastAsia" w:cs="Times New Roman"/>
                <w:bCs/>
                <w:szCs w:val="24"/>
              </w:rPr>
              <w:t>施工噪声主要来自机械设备运行及运输车辆进出。为减轻噪声影响，应采取以下措施：</w:t>
            </w:r>
          </w:p>
          <w:p>
            <w:pPr>
              <w:adjustRightInd w:val="0"/>
              <w:snapToGrid w:val="0"/>
              <w:ind w:firstLine="480"/>
              <w:textAlignment w:val="auto"/>
              <w:rPr>
                <w:rFonts w:cs="Times New Roman"/>
                <w:bCs/>
                <w:szCs w:val="24"/>
              </w:rPr>
            </w:pPr>
            <w:r>
              <w:rPr>
                <w:rFonts w:cs="Times New Roman"/>
                <w:bCs/>
                <w:szCs w:val="24"/>
              </w:rPr>
              <w:t>（1）合理安排施工时间，应尽可能避免大量高噪声设备同时施工，使用高噪声设备的施工阶段应尽量安排在白天，无特殊施工要求，夜间不施工；</w:t>
            </w:r>
          </w:p>
          <w:p>
            <w:pPr>
              <w:adjustRightInd w:val="0"/>
              <w:snapToGrid w:val="0"/>
              <w:ind w:firstLine="480"/>
              <w:textAlignment w:val="auto"/>
              <w:rPr>
                <w:rFonts w:cs="Times New Roman"/>
                <w:bCs/>
                <w:szCs w:val="24"/>
              </w:rPr>
            </w:pPr>
            <w:r>
              <w:rPr>
                <w:rFonts w:cs="Times New Roman"/>
                <w:bCs/>
                <w:szCs w:val="24"/>
              </w:rPr>
              <w:t>（2）合理布置施工现场，应避免在施工现场的同一地点安排大量的高噪声设备，造成局部声级过高</w:t>
            </w:r>
            <w:r>
              <w:rPr>
                <w:rFonts w:hint="eastAsia" w:cs="Times New Roman"/>
                <w:bCs/>
                <w:szCs w:val="24"/>
              </w:rPr>
              <w:t>；</w:t>
            </w:r>
          </w:p>
          <w:p>
            <w:pPr>
              <w:adjustRightInd w:val="0"/>
              <w:snapToGrid w:val="0"/>
              <w:ind w:firstLine="480"/>
              <w:textAlignment w:val="auto"/>
              <w:rPr>
                <w:rFonts w:cs="Times New Roman"/>
                <w:bCs/>
                <w:szCs w:val="24"/>
              </w:rPr>
            </w:pPr>
            <w:r>
              <w:rPr>
                <w:rFonts w:cs="Times New Roman"/>
                <w:bCs/>
                <w:szCs w:val="24"/>
              </w:rPr>
              <w:t>（3）施工设备选型时尽量采用低噪声设备，如振捣器采用高频振捣器等；</w:t>
            </w:r>
          </w:p>
          <w:p>
            <w:pPr>
              <w:adjustRightInd w:val="0"/>
              <w:snapToGrid w:val="0"/>
              <w:ind w:firstLine="480"/>
              <w:textAlignment w:val="auto"/>
              <w:rPr>
                <w:rFonts w:cs="Times New Roman"/>
                <w:bCs/>
                <w:szCs w:val="24"/>
              </w:rPr>
            </w:pPr>
            <w:r>
              <w:rPr>
                <w:rFonts w:cs="Times New Roman"/>
                <w:bCs/>
                <w:szCs w:val="24"/>
              </w:rPr>
              <w:t>（4）对动力机械设备进行维修和养护，避免因松动部件振动或消声器损坏而加大设备工作时的声级；</w:t>
            </w:r>
          </w:p>
          <w:p>
            <w:pPr>
              <w:adjustRightInd w:val="0"/>
              <w:snapToGrid w:val="0"/>
              <w:ind w:firstLine="480"/>
              <w:textAlignment w:val="auto"/>
              <w:rPr>
                <w:rFonts w:cs="Times New Roman"/>
                <w:bCs/>
                <w:szCs w:val="24"/>
              </w:rPr>
            </w:pPr>
            <w:r>
              <w:rPr>
                <w:rFonts w:cs="Times New Roman"/>
                <w:bCs/>
                <w:szCs w:val="24"/>
              </w:rPr>
              <w:t>（5）模板、支架拆卸过程中，遵守作业规定，减少碰撞</w:t>
            </w:r>
            <w:r>
              <w:rPr>
                <w:rFonts w:hint="eastAsia" w:cs="Times New Roman"/>
                <w:bCs/>
                <w:szCs w:val="24"/>
              </w:rPr>
              <w:t>噪声</w:t>
            </w:r>
            <w:r>
              <w:rPr>
                <w:rFonts w:cs="Times New Roman"/>
                <w:bCs/>
                <w:szCs w:val="24"/>
              </w:rPr>
              <w:t>；尽量少用哨子、喇叭、笛等指挥作业，减少人为噪声；</w:t>
            </w:r>
          </w:p>
          <w:p>
            <w:pPr>
              <w:adjustRightInd w:val="0"/>
              <w:snapToGrid w:val="0"/>
              <w:ind w:firstLine="480"/>
              <w:textAlignment w:val="auto"/>
              <w:rPr>
                <w:rFonts w:cs="Times New Roman"/>
                <w:bCs/>
                <w:szCs w:val="24"/>
              </w:rPr>
            </w:pPr>
            <w:r>
              <w:rPr>
                <w:rFonts w:cs="Times New Roman"/>
                <w:bCs/>
                <w:szCs w:val="24"/>
              </w:rPr>
              <w:t>（6）尽量减少运输车辆夜间的运输量，运输车辆在进入施工区附近区域后，要适当降低车速，避免或杜绝鸣笛。</w:t>
            </w:r>
          </w:p>
          <w:p>
            <w:pPr>
              <w:ind w:firstLine="0" w:firstLineChars="0"/>
              <w:rPr>
                <w:rFonts w:cs="Times New Roman"/>
                <w:bCs/>
                <w:kern w:val="0"/>
                <w:szCs w:val="24"/>
              </w:rPr>
            </w:pPr>
            <w:r>
              <w:rPr>
                <w:rFonts w:cs="Times New Roman"/>
                <w:b/>
                <w:szCs w:val="24"/>
              </w:rPr>
              <w:t>4.1.4</w:t>
            </w:r>
            <w:r>
              <w:rPr>
                <w:rFonts w:hint="eastAsia" w:cs="Times New Roman"/>
                <w:b/>
                <w:szCs w:val="24"/>
              </w:rPr>
              <w:t>施工期固体废物</w:t>
            </w:r>
            <w:r>
              <w:rPr>
                <w:rFonts w:cs="Times New Roman"/>
                <w:b/>
                <w:szCs w:val="24"/>
              </w:rPr>
              <w:t>污染防治措施</w:t>
            </w:r>
          </w:p>
          <w:p>
            <w:pPr>
              <w:ind w:firstLine="480"/>
              <w:textAlignment w:val="auto"/>
              <w:rPr>
                <w:rFonts w:cs="Times New Roman"/>
                <w:szCs w:val="24"/>
              </w:rPr>
            </w:pPr>
            <w:r>
              <w:rPr>
                <w:rFonts w:hint="eastAsia" w:cs="Times New Roman"/>
                <w:szCs w:val="24"/>
              </w:rPr>
              <w:t>施工期产生的固体废物主要包括建筑垃圾和施工人员生活垃圾。</w:t>
            </w:r>
          </w:p>
          <w:p>
            <w:pPr>
              <w:ind w:firstLine="480"/>
              <w:textAlignment w:val="auto"/>
              <w:rPr>
                <w:rFonts w:cs="Times New Roman"/>
                <w:szCs w:val="24"/>
              </w:rPr>
            </w:pPr>
            <w:r>
              <w:rPr>
                <w:rFonts w:hint="eastAsia" w:cs="Times New Roman"/>
                <w:szCs w:val="24"/>
              </w:rPr>
              <w:t>（1）建筑垃圾</w:t>
            </w:r>
          </w:p>
          <w:p>
            <w:pPr>
              <w:ind w:firstLine="480"/>
              <w:textAlignment w:val="auto"/>
              <w:rPr>
                <w:rFonts w:cs="Times New Roman"/>
                <w:szCs w:val="24"/>
              </w:rPr>
            </w:pPr>
            <w:r>
              <w:rPr>
                <w:rFonts w:hint="eastAsia" w:cs="Times New Roman"/>
                <w:szCs w:val="24"/>
              </w:rPr>
              <w:t>建筑垃圾主要包括碎砖块、废混凝土、废弃包装材料、边角料等。各施工队伍应对建筑垃圾分类收集，及时清运至当地环卫部门指定场所处置。施工过程中产生的土方主要用于后期回填及场地平整，多余弃土应及时清运。在厂区北侧设置临时土方堆存区，堆存期间应使用防尘网全覆盖，并配合洒水降尘措施，防止扬尘和土方流失。</w:t>
            </w:r>
          </w:p>
          <w:p>
            <w:pPr>
              <w:ind w:firstLine="480"/>
              <w:textAlignment w:val="auto"/>
              <w:rPr>
                <w:rFonts w:cs="Times New Roman"/>
                <w:szCs w:val="24"/>
              </w:rPr>
            </w:pPr>
            <w:r>
              <w:rPr>
                <w:rFonts w:hint="eastAsia" w:cs="Times New Roman"/>
                <w:szCs w:val="24"/>
              </w:rPr>
              <w:t>（2）生活垃圾</w:t>
            </w:r>
          </w:p>
          <w:p>
            <w:pPr>
              <w:ind w:firstLine="480"/>
              <w:textAlignment w:val="auto"/>
              <w:rPr>
                <w:rFonts w:cs="Times New Roman"/>
                <w:szCs w:val="24"/>
              </w:rPr>
            </w:pPr>
            <w:r>
              <w:rPr>
                <w:rFonts w:hint="eastAsia" w:cs="Times New Roman"/>
                <w:szCs w:val="24"/>
              </w:rPr>
              <w:t>施工高峰期日均施工人数约10人，人均生活垃圾产生量按0.5kg/人·d计，则日产生量约为5kg（即0.005t），整个施工期（按</w:t>
            </w:r>
            <w:r>
              <w:rPr>
                <w:rFonts w:cs="Times New Roman"/>
                <w:szCs w:val="24"/>
              </w:rPr>
              <w:t>12</w:t>
            </w:r>
            <w:r>
              <w:rPr>
                <w:rFonts w:hint="eastAsia" w:cs="Times New Roman"/>
                <w:szCs w:val="24"/>
              </w:rPr>
              <w:t>个月计，约</w:t>
            </w:r>
            <w:r>
              <w:rPr>
                <w:rFonts w:cs="Times New Roman"/>
                <w:szCs w:val="24"/>
              </w:rPr>
              <w:t>360</w:t>
            </w:r>
            <w:r>
              <w:rPr>
                <w:rFonts w:hint="eastAsia" w:cs="Times New Roman"/>
                <w:szCs w:val="24"/>
              </w:rPr>
              <w:t>天）生活垃圾总产生量约为</w:t>
            </w:r>
            <w:r>
              <w:rPr>
                <w:rFonts w:cs="Times New Roman"/>
                <w:szCs w:val="24"/>
              </w:rPr>
              <w:t>1.8</w:t>
            </w:r>
            <w:r>
              <w:rPr>
                <w:rFonts w:hint="eastAsia" w:cs="Times New Roman"/>
                <w:szCs w:val="24"/>
              </w:rPr>
              <w:t>t。</w:t>
            </w:r>
          </w:p>
          <w:p>
            <w:pPr>
              <w:ind w:firstLine="480"/>
              <w:rPr>
                <w:snapToGrid w:val="0"/>
              </w:rPr>
            </w:pPr>
            <w:r>
              <w:rPr>
                <w:rFonts w:hint="eastAsia" w:cs="Times New Roman"/>
                <w:szCs w:val="24"/>
              </w:rPr>
              <w:t>施工单位应在现场设置带盖生活垃圾收集箱，集中收集后委托当地环卫部门清运处理，做到日产日清，防止蚊蝇滋生和异味扩散</w:t>
            </w:r>
            <w:bookmarkEnd w:id="22"/>
            <w:r>
              <w:rPr>
                <w:rFonts w:hint="eastAsia"/>
                <w:snapToGrid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0" w:hRule="atLeast"/>
          <w:jc w:val="center"/>
        </w:trPr>
        <w:tc>
          <w:tcPr>
            <w:tcW w:w="158" w:type="pct"/>
            <w:tcMar>
              <w:left w:w="28" w:type="dxa"/>
              <w:right w:w="28" w:type="dxa"/>
            </w:tcMar>
            <w:vAlign w:val="center"/>
          </w:tcPr>
          <w:p>
            <w:pPr>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bCs/>
                <w:szCs w:val="24"/>
              </w:rPr>
              <w:t>运营</w:t>
            </w:r>
          </w:p>
          <w:p>
            <w:pPr>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bCs/>
                <w:szCs w:val="24"/>
              </w:rPr>
              <w:t>期环</w:t>
            </w:r>
          </w:p>
          <w:p>
            <w:pPr>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bCs/>
                <w:szCs w:val="24"/>
              </w:rPr>
              <w:t>境影</w:t>
            </w:r>
          </w:p>
          <w:p>
            <w:pPr>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bCs/>
                <w:szCs w:val="24"/>
              </w:rPr>
              <w:t>响和</w:t>
            </w:r>
          </w:p>
          <w:p>
            <w:pPr>
              <w:adjustRightInd w:val="0"/>
              <w:snapToGrid w:val="0"/>
              <w:spacing w:line="240" w:lineRule="auto"/>
              <w:ind w:firstLine="0" w:firstLineChars="0"/>
              <w:jc w:val="center"/>
              <w:textAlignment w:val="auto"/>
              <w:rPr>
                <w:rFonts w:ascii="宋体" w:hAnsi="宋体" w:cs="宋体"/>
                <w:bCs/>
                <w:szCs w:val="24"/>
              </w:rPr>
            </w:pPr>
            <w:r>
              <w:rPr>
                <w:rFonts w:hint="eastAsia" w:ascii="宋体" w:hAnsi="宋体" w:cs="宋体"/>
                <w:bCs/>
                <w:szCs w:val="24"/>
              </w:rPr>
              <w:t>保护</w:t>
            </w:r>
          </w:p>
          <w:p>
            <w:pPr>
              <w:widowControl/>
              <w:adjustRightInd w:val="0"/>
              <w:snapToGrid w:val="0"/>
              <w:spacing w:line="240" w:lineRule="auto"/>
              <w:ind w:firstLine="0" w:firstLineChars="0"/>
              <w:jc w:val="center"/>
              <w:textAlignment w:val="auto"/>
              <w:rPr>
                <w:rFonts w:ascii="宋体" w:hAnsi="宋体" w:cs="宋体"/>
                <w:szCs w:val="24"/>
              </w:rPr>
            </w:pPr>
            <w:r>
              <w:rPr>
                <w:rFonts w:hint="eastAsia" w:ascii="宋体" w:hAnsi="宋体" w:cs="宋体"/>
                <w:bCs/>
                <w:szCs w:val="24"/>
              </w:rPr>
              <w:t>措施</w:t>
            </w:r>
          </w:p>
        </w:tc>
        <w:tc>
          <w:tcPr>
            <w:tcW w:w="4841" w:type="pct"/>
          </w:tcPr>
          <w:p>
            <w:pPr>
              <w:pStyle w:val="6"/>
            </w:pPr>
            <w:r>
              <w:rPr>
                <w:rFonts w:hint="eastAsia"/>
              </w:rPr>
              <w:t>4</w:t>
            </w:r>
            <w:r>
              <w:t>.2</w:t>
            </w:r>
            <w:r>
              <w:rPr>
                <w:rFonts w:hint="eastAsia"/>
              </w:rPr>
              <w:t>运营期环境影响和保护措施</w:t>
            </w:r>
          </w:p>
          <w:p>
            <w:pPr>
              <w:pStyle w:val="6"/>
            </w:pPr>
            <w:r>
              <w:t>4.2.1</w:t>
            </w:r>
            <w:r>
              <w:rPr>
                <w:rFonts w:hint="eastAsia"/>
              </w:rPr>
              <w:t>大气环境影响分析及保护措施</w:t>
            </w:r>
          </w:p>
          <w:p>
            <w:pPr>
              <w:ind w:firstLine="0" w:firstLineChars="0"/>
              <w:rPr>
                <w:b/>
                <w:bCs/>
              </w:rPr>
            </w:pPr>
            <w:r>
              <w:rPr>
                <w:rFonts w:hint="eastAsia"/>
                <w:b/>
                <w:bCs/>
              </w:rPr>
              <w:t>4</w:t>
            </w:r>
            <w:r>
              <w:rPr>
                <w:b/>
                <w:bCs/>
              </w:rPr>
              <w:t>.2.1.1</w:t>
            </w:r>
            <w:r>
              <w:rPr>
                <w:rFonts w:hint="eastAsia"/>
                <w:b/>
                <w:bCs/>
              </w:rPr>
              <w:t>废气源强分析</w:t>
            </w:r>
          </w:p>
          <w:p>
            <w:pPr>
              <w:ind w:firstLine="482"/>
              <w:rPr>
                <w:rFonts w:cs="Times New Roman"/>
                <w:b/>
                <w:bCs/>
              </w:rPr>
            </w:pPr>
            <w:r>
              <w:rPr>
                <w:rFonts w:hint="eastAsia" w:cs="Times New Roman"/>
                <w:b/>
                <w:bCs/>
              </w:rPr>
              <w:t>（1）粉末道路标线材料生产废气</w:t>
            </w:r>
          </w:p>
          <w:p>
            <w:pPr>
              <w:ind w:firstLine="480"/>
              <w:rPr>
                <w:rFonts w:cs="Times New Roman"/>
              </w:rPr>
            </w:pPr>
            <w:r>
              <w:rPr>
                <w:rFonts w:hint="eastAsia" w:cs="Times New Roman"/>
              </w:rPr>
              <w:t>粉末道路标线材料生产产生的废气主要为各类粉料拆包卸料、投料及成品分装产生的粉尘。其中混合搅拌过程均在密闭设备中进行，粉尘量很少，可以忽略不计。所用原辅材料中，C</w:t>
            </w:r>
            <w:r>
              <w:rPr>
                <w:rFonts w:hint="eastAsia" w:cs="Times New Roman"/>
                <w:vertAlign w:val="subscript"/>
              </w:rPr>
              <w:t>5</w:t>
            </w:r>
            <w:r>
              <w:rPr>
                <w:rFonts w:hint="eastAsia" w:cs="Times New Roman"/>
              </w:rPr>
              <w:t>树脂、PE蜡为固体粒状物料，重钙粉、轻钙粉等为无机粉料，增塑剂（白油）在常温搅拌条件下不挥发非甲烷总烃。</w:t>
            </w:r>
          </w:p>
          <w:p>
            <w:pPr>
              <w:ind w:firstLine="480"/>
              <w:rPr>
                <w:szCs w:val="21"/>
              </w:rPr>
            </w:pPr>
            <w:r>
              <w:rPr>
                <w:rFonts w:hint="eastAsia"/>
                <w:szCs w:val="21"/>
              </w:rPr>
              <w:t>①粉料拆包卸料粉尘</w:t>
            </w:r>
          </w:p>
          <w:p>
            <w:pPr>
              <w:ind w:firstLine="480"/>
              <w:rPr>
                <w:szCs w:val="21"/>
              </w:rPr>
            </w:pPr>
            <w:r>
              <w:rPr>
                <w:rFonts w:hint="eastAsia"/>
                <w:szCs w:val="21"/>
              </w:rPr>
              <w:t>参考《逸散性工业粉尘控制技术》第222页表13-2中原料卸料产污系数，取0.2kg/t原料。项目粉料用量为30228t/a，则拆包卸料粉尘产生量为6.0456t/a</w:t>
            </w:r>
            <w:r>
              <w:rPr>
                <w:szCs w:val="21"/>
              </w:rPr>
              <w:t>。</w:t>
            </w:r>
          </w:p>
          <w:p>
            <w:pPr>
              <w:ind w:firstLine="480"/>
              <w:rPr>
                <w:szCs w:val="21"/>
              </w:rPr>
            </w:pPr>
            <w:r>
              <w:rPr>
                <w:rFonts w:hint="eastAsia"/>
                <w:szCs w:val="21"/>
              </w:rPr>
              <w:t>②粉料投料粉尘</w:t>
            </w:r>
          </w:p>
          <w:p>
            <w:pPr>
              <w:ind w:firstLine="480"/>
              <w:rPr>
                <w:szCs w:val="21"/>
              </w:rPr>
            </w:pPr>
            <w:r>
              <w:rPr>
                <w:rFonts w:hint="eastAsia"/>
                <w:szCs w:val="21"/>
              </w:rPr>
              <w:t>参考《逸散性工业粉尘控制技术》表22-1中“装水泥、砂和粒料入搅拌机”的颗粒物排放系数，取0.02kg/t原料。项目粉料投料量为30228t/a，则投料粉尘产生量为0.6046t/a。</w:t>
            </w:r>
          </w:p>
          <w:p>
            <w:pPr>
              <w:ind w:firstLine="480"/>
              <w:rPr>
                <w:szCs w:val="21"/>
              </w:rPr>
            </w:pPr>
            <w:r>
              <w:rPr>
                <w:rFonts w:hint="eastAsia"/>
                <w:szCs w:val="21"/>
              </w:rPr>
              <w:t>③分装粉尘</w:t>
            </w:r>
          </w:p>
          <w:p>
            <w:pPr>
              <w:ind w:firstLine="480"/>
              <w:rPr>
                <w:szCs w:val="21"/>
              </w:rPr>
            </w:pPr>
            <w:r>
              <w:rPr>
                <w:rFonts w:hint="eastAsia"/>
                <w:szCs w:val="21"/>
              </w:rPr>
              <w:t>参考《逸散性工业粉尘控制技术》表13-2中水泥袋装产污系数，取0.005kg/t产品。项目成品分装量为30228t/a（与粉料用量一致），则分装粉尘产生量为0.1511t/a。</w:t>
            </w:r>
          </w:p>
          <w:p>
            <w:pPr>
              <w:ind w:firstLine="480"/>
              <w:rPr>
                <w:szCs w:val="21"/>
              </w:rPr>
            </w:pPr>
            <w:r>
              <w:rPr>
                <w:rFonts w:hint="eastAsia"/>
                <w:szCs w:val="21"/>
              </w:rPr>
              <w:t>粉末道路标线材料生产产生的颗粒物总计为6.8013t/a，全部经集气罩收集，再经布袋除尘器处理后由15米高排气筒（D</w:t>
            </w:r>
            <w:r>
              <w:rPr>
                <w:szCs w:val="21"/>
              </w:rPr>
              <w:t>A001</w:t>
            </w:r>
            <w:r>
              <w:rPr>
                <w:rFonts w:hint="eastAsia"/>
                <w:szCs w:val="21"/>
              </w:rPr>
              <w:t>）排放。根据《排放源统计调查产排污核算方法系数手册》中“3099其他非金属矿物制品制造行业系数表”，袋式除尘技术效率为99%，本项目布袋除尘器处理效率取99%，集气罩收集效率按80%计，风机风量按10000m³/h计，则粉末道路标线材料生产有组织颗粒物排放量为0.054t/a，排放速率为0.025kg/h，排放浓度为2.5mg/m³。无组织颗粒物排放量为1.360t/a，排放速率为0</w:t>
            </w:r>
            <w:r>
              <w:rPr>
                <w:szCs w:val="21"/>
              </w:rPr>
              <w:t>.630kg/h</w:t>
            </w:r>
            <w:r>
              <w:rPr>
                <w:rFonts w:hint="eastAsia"/>
                <w:bCs/>
              </w:rPr>
              <w:t>。</w:t>
            </w:r>
          </w:p>
          <w:p>
            <w:pPr>
              <w:ind w:firstLine="482"/>
              <w:rPr>
                <w:rFonts w:cs="Times New Roman"/>
                <w:b/>
                <w:bCs/>
              </w:rPr>
            </w:pPr>
            <w:r>
              <w:rPr>
                <w:rFonts w:hint="eastAsia" w:cs="Times New Roman"/>
                <w:b/>
                <w:bCs/>
              </w:rPr>
              <w:t>（2）液态道路标线材料生产废气</w:t>
            </w:r>
          </w:p>
          <w:p>
            <w:pPr>
              <w:ind w:firstLine="480"/>
              <w:rPr>
                <w:szCs w:val="21"/>
              </w:rPr>
            </w:pPr>
            <w:r>
              <w:rPr>
                <w:rFonts w:hint="eastAsia"/>
                <w:szCs w:val="21"/>
              </w:rPr>
              <w:t>液态道路标线材料生产废气</w:t>
            </w:r>
            <w:r>
              <w:rPr>
                <w:szCs w:val="21"/>
              </w:rPr>
              <w:t>主要为各类粉料拆包卸料、投料及成品分装产生的粉尘；高速分散及混合搅拌工序会产生有机废气，搅拌设备为全封闭状态，仅在投料口呼吸孔处有少量废气逸出。主要污染物为颗粒物、非甲烷总烃</w:t>
            </w:r>
            <w:r>
              <w:rPr>
                <w:rFonts w:hint="eastAsia"/>
                <w:szCs w:val="21"/>
              </w:rPr>
              <w:t>。</w:t>
            </w:r>
          </w:p>
          <w:p>
            <w:pPr>
              <w:ind w:firstLine="480"/>
              <w:rPr>
                <w:szCs w:val="21"/>
              </w:rPr>
            </w:pPr>
            <w:r>
              <w:rPr>
                <w:rFonts w:hint="eastAsia"/>
                <w:szCs w:val="21"/>
              </w:rPr>
              <w:t>①粉料拆包卸料粉尘</w:t>
            </w:r>
          </w:p>
          <w:p>
            <w:pPr>
              <w:ind w:firstLine="480"/>
              <w:rPr>
                <w:szCs w:val="21"/>
              </w:rPr>
            </w:pPr>
            <w:r>
              <w:rPr>
                <w:rFonts w:hint="eastAsia"/>
                <w:szCs w:val="21"/>
              </w:rPr>
              <w:t>参考《逸散性工业粉尘控制技术》第222页表13-2中原料卸料产污系数，取0.2kg/t（卸料）。项目粉料用量为</w:t>
            </w:r>
            <w:r>
              <w:rPr>
                <w:szCs w:val="21"/>
              </w:rPr>
              <w:t>4870</w:t>
            </w:r>
            <w:r>
              <w:rPr>
                <w:rFonts w:hint="eastAsia"/>
                <w:szCs w:val="21"/>
              </w:rPr>
              <w:t>t/a，则拆包卸料粉尘产生量为</w:t>
            </w:r>
            <w:r>
              <w:rPr>
                <w:szCs w:val="21"/>
              </w:rPr>
              <w:t>0.974</w:t>
            </w:r>
            <w:r>
              <w:rPr>
                <w:rFonts w:hint="eastAsia"/>
                <w:szCs w:val="21"/>
              </w:rPr>
              <w:t>t/a</w:t>
            </w:r>
            <w:r>
              <w:rPr>
                <w:szCs w:val="21"/>
              </w:rPr>
              <w:t>。</w:t>
            </w:r>
          </w:p>
          <w:p>
            <w:pPr>
              <w:ind w:firstLine="480"/>
              <w:rPr>
                <w:szCs w:val="21"/>
              </w:rPr>
            </w:pPr>
            <w:r>
              <w:rPr>
                <w:rFonts w:hint="eastAsia"/>
                <w:szCs w:val="21"/>
              </w:rPr>
              <w:t>②粉料投料粉尘</w:t>
            </w:r>
          </w:p>
          <w:p>
            <w:pPr>
              <w:ind w:firstLine="480"/>
              <w:rPr>
                <w:szCs w:val="21"/>
              </w:rPr>
            </w:pPr>
            <w:r>
              <w:rPr>
                <w:rFonts w:hint="eastAsia"/>
                <w:szCs w:val="21"/>
              </w:rPr>
              <w:t>参考《逸散性工业粉尘控制技术》表22-1中“装水泥、砂和粒料入搅拌机”的颗粒物排放系数，取0.02kg/t（装料）。项目粉料投料量为</w:t>
            </w:r>
            <w:r>
              <w:rPr>
                <w:szCs w:val="21"/>
              </w:rPr>
              <w:t>4870</w:t>
            </w:r>
            <w:r>
              <w:rPr>
                <w:rFonts w:hint="eastAsia"/>
                <w:szCs w:val="21"/>
              </w:rPr>
              <w:t>t/a，则投料粉尘产生量为</w:t>
            </w:r>
            <w:r>
              <w:rPr>
                <w:szCs w:val="21"/>
              </w:rPr>
              <w:t>0.097</w:t>
            </w:r>
            <w:r>
              <w:rPr>
                <w:rFonts w:hint="eastAsia"/>
                <w:szCs w:val="21"/>
              </w:rPr>
              <w:t>t/a。</w:t>
            </w:r>
          </w:p>
          <w:p>
            <w:pPr>
              <w:ind w:firstLine="480"/>
              <w:rPr>
                <w:szCs w:val="21"/>
              </w:rPr>
            </w:pPr>
            <w:r>
              <w:rPr>
                <w:rFonts w:hint="eastAsia"/>
                <w:szCs w:val="21"/>
              </w:rPr>
              <w:t>③分装粉尘</w:t>
            </w:r>
          </w:p>
          <w:p>
            <w:pPr>
              <w:ind w:firstLine="480"/>
              <w:rPr>
                <w:szCs w:val="21"/>
              </w:rPr>
            </w:pPr>
            <w:r>
              <w:rPr>
                <w:rFonts w:hint="eastAsia"/>
                <w:szCs w:val="21"/>
              </w:rPr>
              <w:t>参考《逸散性工业粉尘控制技术》表13-2中水泥装袋产污系数，取0.005kg/t。项目成品分装量为</w:t>
            </w:r>
            <w:r>
              <w:rPr>
                <w:szCs w:val="21"/>
              </w:rPr>
              <w:t>4870</w:t>
            </w:r>
            <w:r>
              <w:rPr>
                <w:rFonts w:hint="eastAsia"/>
                <w:szCs w:val="21"/>
              </w:rPr>
              <w:t>t/a（与粉料用量一致），则分装粉尘产生量为0.</w:t>
            </w:r>
            <w:r>
              <w:rPr>
                <w:szCs w:val="21"/>
              </w:rPr>
              <w:t>024</w:t>
            </w:r>
            <w:r>
              <w:rPr>
                <w:rFonts w:hint="eastAsia"/>
                <w:szCs w:val="21"/>
              </w:rPr>
              <w:t>t/a。</w:t>
            </w:r>
          </w:p>
          <w:p>
            <w:pPr>
              <w:ind w:firstLine="480"/>
              <w:rPr>
                <w:szCs w:val="21"/>
              </w:rPr>
            </w:pPr>
            <w:r>
              <w:rPr>
                <w:rFonts w:hint="eastAsia"/>
                <w:szCs w:val="21"/>
              </w:rPr>
              <w:t>液态道路标线材料生产粉料用量较小，拆包卸料、投料及成品分装产生的颗粒物（产生量1.095t/a）全部经集气罩收集，再经布袋除尘器处理后由15米高排气筒（DA001）排放。处理后年排放量为0.009t/a，排放速率为0.004kg/h，排放浓度为0.42mg/m³。无组织颗粒物排放量为0.219t/a，排放速率为0.101kg/h。</w:t>
            </w:r>
          </w:p>
          <w:p>
            <w:pPr>
              <w:ind w:firstLine="480"/>
              <w:rPr>
                <w:szCs w:val="21"/>
              </w:rPr>
            </w:pPr>
            <w:r>
              <w:rPr>
                <w:szCs w:val="21"/>
              </w:rPr>
              <w:fldChar w:fldCharType="begin"/>
            </w:r>
            <w:r>
              <w:rPr>
                <w:szCs w:val="21"/>
              </w:rPr>
              <w:instrText xml:space="preserve"> </w:instrText>
            </w:r>
            <w:r>
              <w:rPr>
                <w:rFonts w:hint="eastAsia"/>
                <w:szCs w:val="21"/>
              </w:rPr>
              <w:instrText xml:space="preserve">= 4 \* GB3</w:instrText>
            </w:r>
            <w:r>
              <w:rPr>
                <w:szCs w:val="21"/>
              </w:rPr>
              <w:instrText xml:space="preserve"> </w:instrText>
            </w:r>
            <w:r>
              <w:rPr>
                <w:szCs w:val="21"/>
              </w:rPr>
              <w:fldChar w:fldCharType="separate"/>
            </w:r>
            <w:r>
              <w:rPr>
                <w:rFonts w:hint="eastAsia"/>
                <w:szCs w:val="21"/>
              </w:rPr>
              <w:t>④</w:t>
            </w:r>
            <w:r>
              <w:rPr>
                <w:szCs w:val="21"/>
              </w:rPr>
              <w:fldChar w:fldCharType="end"/>
            </w:r>
            <w:r>
              <w:rPr>
                <w:rFonts w:hint="eastAsia"/>
                <w:szCs w:val="21"/>
              </w:rPr>
              <w:t>混合搅拌废气</w:t>
            </w:r>
          </w:p>
          <w:p>
            <w:pPr>
              <w:pStyle w:val="78"/>
              <w:ind w:firstLine="480"/>
              <w:rPr>
                <w:rFonts w:ascii="Times New Roman" w:hAnsi="Times New Roman" w:cs="Times New Roman"/>
                <w:color w:val="0F1115"/>
                <w:shd w:val="clear" w:color="auto" w:fill="FFFFFF"/>
              </w:rPr>
            </w:pPr>
            <w:r>
              <w:rPr>
                <w:rFonts w:hint="eastAsia" w:ascii="Times New Roman" w:hAnsi="Times New Roman"/>
                <w:szCs w:val="21"/>
              </w:rPr>
              <w:t>项目液体</w:t>
            </w:r>
            <w:r>
              <w:rPr>
                <w:rFonts w:hint="eastAsia" w:ascii="Times New Roman" w:hAnsi="Times New Roman" w:cs="Times New Roman"/>
              </w:rPr>
              <w:t>物料搅拌工序产生有机废气（以非甲烷总烃计）。根据《排放源统计调查产排污核算方法和系数手册》，非金属矿物制品业未发布挥发性有机物产污系数。根据《生态环境统计技术规范 排放源统计》（HJ772-2022），对没有对应产排污系数的，可选择相似产排污系数或采用物料衡算法。考虑到本项目产品为水性路面标线材料，生产工艺为常温物理混合，且须执行《路面标线材料有害物质限量》（JT/T1326-2020）标准，本次评价优先采用产品质量标准反推法对VOCs源强进行核算</w:t>
            </w:r>
            <w:r>
              <w:rPr>
                <w:rFonts w:ascii="Times New Roman" w:hAnsi="Times New Roman" w:cs="Times New Roman"/>
                <w:color w:val="0F1115"/>
                <w:shd w:val="clear" w:color="auto" w:fill="FFFFFF"/>
              </w:rPr>
              <w:t>。</w:t>
            </w:r>
          </w:p>
          <w:p>
            <w:pPr>
              <w:pStyle w:val="78"/>
              <w:ind w:firstLine="480"/>
              <w:rPr>
                <w:rFonts w:ascii="Times New Roman" w:hAnsi="Times New Roman" w:cs="Times New Roman"/>
              </w:rPr>
            </w:pPr>
            <w:r>
              <w:rPr>
                <w:rFonts w:ascii="Times New Roman" w:hAnsi="Times New Roman" w:cs="Times New Roman"/>
                <w:color w:val="0F1115"/>
                <w:shd w:val="clear" w:color="auto" w:fill="FFFFFF"/>
              </w:rPr>
              <w:t>根据该标准，溶水性路面标线涂料的VOCs含量限值为≤100mg/kg。环评阶段按最不利原则取上限值0.1kg/t进行源强核算</w:t>
            </w:r>
            <w:r>
              <w:rPr>
                <w:rFonts w:hint="eastAsia" w:ascii="Times New Roman" w:hAnsi="Times New Roman" w:cs="Times New Roman"/>
                <w:color w:val="0F1115"/>
                <w:shd w:val="clear" w:color="auto" w:fill="FFFFFF"/>
              </w:rPr>
              <w:t>，</w:t>
            </w:r>
            <w:r>
              <w:rPr>
                <w:rFonts w:hint="eastAsia" w:ascii="Times New Roman" w:hAnsi="Times New Roman" w:cs="Times New Roman"/>
              </w:rPr>
              <w:t>项目液态道路标线材料产品为</w:t>
            </w:r>
            <w:r>
              <w:rPr>
                <w:rFonts w:ascii="Times New Roman" w:hAnsi="Times New Roman" w:cs="Times New Roman"/>
              </w:rPr>
              <w:t>6000</w:t>
            </w:r>
            <w:r>
              <w:rPr>
                <w:rFonts w:hint="eastAsia" w:ascii="Times New Roman" w:hAnsi="Times New Roman" w:cs="Times New Roman"/>
              </w:rPr>
              <w:t>吨</w:t>
            </w:r>
            <w:r>
              <w:rPr>
                <w:rFonts w:ascii="Times New Roman" w:hAnsi="Times New Roman" w:cs="Times New Roman"/>
              </w:rPr>
              <w:t>/</w:t>
            </w:r>
            <w:r>
              <w:rPr>
                <w:rFonts w:hint="eastAsia" w:ascii="Times New Roman" w:hAnsi="Times New Roman" w:cs="Times New Roman"/>
              </w:rPr>
              <w:t>年，则非甲烷总烃产生</w:t>
            </w:r>
            <w:r>
              <w:rPr>
                <w:rFonts w:ascii="Times New Roman" w:hAnsi="Times New Roman" w:cs="Times New Roman"/>
              </w:rPr>
              <w:t>量为0.6t/a。</w:t>
            </w:r>
            <w:r>
              <w:rPr>
                <w:rFonts w:ascii="Times New Roman" w:hAnsi="Times New Roman" w:cs="Times New Roman"/>
                <w:szCs w:val="21"/>
              </w:rPr>
              <w:t>非甲烷总烃全部经负压收集，再经二级活性炭吸附装置处理后由15米高排气筒（DA002）排放</w:t>
            </w:r>
            <w:r>
              <w:rPr>
                <w:rFonts w:hint="eastAsia"/>
                <w:szCs w:val="21"/>
              </w:rPr>
              <w:t>。</w:t>
            </w:r>
          </w:p>
          <w:p>
            <w:pPr>
              <w:ind w:firstLine="480"/>
              <w:rPr>
                <w:szCs w:val="21"/>
              </w:rPr>
            </w:pPr>
            <w:r>
              <w:rPr>
                <w:rFonts w:hint="eastAsia" w:cs="Times New Roman"/>
                <w:szCs w:val="24"/>
              </w:rPr>
              <w:t>根</w:t>
            </w:r>
            <w:r>
              <w:rPr>
                <w:rFonts w:cs="Times New Roman"/>
                <w:szCs w:val="24"/>
              </w:rPr>
              <w:t>据《主要污染物总量减排核算技术指南（2021年版）》表2-1，一次性活性炭吸附工艺的VOCs去除率通用系数为30%。本项目两级活性炭吸附装置，总去除率=η₁+（1-η₁）×η₂</w:t>
            </w:r>
            <w:r>
              <w:rPr>
                <w:rFonts w:hint="eastAsia" w:cs="Times New Roman"/>
                <w:szCs w:val="24"/>
              </w:rPr>
              <w:t>=</w:t>
            </w:r>
            <w:r>
              <w:rPr>
                <w:rFonts w:cs="Times New Roman"/>
                <w:szCs w:val="24"/>
              </w:rPr>
              <w:t>51%</w:t>
            </w:r>
            <w:r>
              <w:rPr>
                <w:rFonts w:hint="eastAsia" w:cs="Times New Roman"/>
                <w:szCs w:val="24"/>
              </w:rPr>
              <w:t>，负压收集效率按</w:t>
            </w:r>
            <w:r>
              <w:rPr>
                <w:rFonts w:cs="Times New Roman"/>
                <w:szCs w:val="24"/>
              </w:rPr>
              <w:t>90%</w:t>
            </w:r>
            <w:r>
              <w:rPr>
                <w:rFonts w:hint="eastAsia" w:cs="Times New Roman"/>
                <w:szCs w:val="24"/>
              </w:rPr>
              <w:t>计，风机按照</w:t>
            </w:r>
            <w:r>
              <w:rPr>
                <w:rFonts w:cs="Times New Roman"/>
                <w:szCs w:val="24"/>
              </w:rPr>
              <w:t>10000m</w:t>
            </w:r>
            <w:r>
              <w:rPr>
                <w:rFonts w:cs="Times New Roman"/>
                <w:szCs w:val="24"/>
                <w:vertAlign w:val="superscript"/>
              </w:rPr>
              <w:t>3</w:t>
            </w:r>
            <w:r>
              <w:rPr>
                <w:rFonts w:cs="Times New Roman"/>
                <w:szCs w:val="24"/>
              </w:rPr>
              <w:t>/h</w:t>
            </w:r>
            <w:r>
              <w:rPr>
                <w:rFonts w:hint="eastAsia" w:cs="Times New Roman"/>
                <w:szCs w:val="24"/>
              </w:rPr>
              <w:t>计。项目</w:t>
            </w:r>
            <w:r>
              <w:rPr>
                <w:rFonts w:hint="eastAsia"/>
              </w:rPr>
              <w:t>年运行</w:t>
            </w:r>
            <w:r>
              <w:rPr>
                <w:color w:val="000000" w:themeColor="text1"/>
                <w14:textFill>
                  <w14:solidFill>
                    <w14:schemeClr w14:val="tx1"/>
                  </w14:solidFill>
                </w14:textFill>
              </w:rPr>
              <w:t>270</w:t>
            </w:r>
            <w:r>
              <w:rPr>
                <w:rFonts w:hint="eastAsia"/>
                <w:color w:val="000000" w:themeColor="text1"/>
                <w14:textFill>
                  <w14:solidFill>
                    <w14:schemeClr w14:val="tx1"/>
                  </w14:solidFill>
                </w14:textFill>
              </w:rPr>
              <w:t>，每天</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个小时</w:t>
            </w:r>
            <w:r>
              <w:rPr>
                <w:rFonts w:hint="eastAsia"/>
                <w:bCs/>
              </w:rPr>
              <w:t>，项目有组织的非甲烷总烃排放量</w:t>
            </w:r>
            <w:r>
              <w:rPr>
                <w:rFonts w:hint="eastAsia"/>
              </w:rPr>
              <w:t>为</w:t>
            </w:r>
            <w:r>
              <w:t>0.265t/a</w:t>
            </w:r>
            <w:r>
              <w:rPr>
                <w:rFonts w:hint="eastAsia"/>
              </w:rPr>
              <w:t>，排放速率为</w:t>
            </w:r>
            <w:r>
              <w:t>0.123kg/h</w:t>
            </w:r>
            <w:r>
              <w:rPr>
                <w:rFonts w:hint="eastAsia"/>
              </w:rPr>
              <w:t>，排放浓度为</w:t>
            </w:r>
            <w:r>
              <w:t>12.3mg/m</w:t>
            </w:r>
            <w:r>
              <w:rPr>
                <w:vertAlign w:val="superscript"/>
              </w:rPr>
              <w:t>3</w:t>
            </w:r>
            <w:r>
              <w:rPr>
                <w:rFonts w:hint="eastAsia"/>
              </w:rPr>
              <w:t>。</w:t>
            </w:r>
            <w:r>
              <w:rPr>
                <w:rFonts w:hint="eastAsia"/>
                <w:szCs w:val="21"/>
              </w:rPr>
              <w:t>无组织非甲烷总烃排放量为</w:t>
            </w:r>
            <w:r>
              <w:rPr>
                <w:szCs w:val="21"/>
              </w:rPr>
              <w:t>0.06</w:t>
            </w:r>
            <w:r>
              <w:rPr>
                <w:rFonts w:hint="eastAsia"/>
                <w:szCs w:val="21"/>
              </w:rPr>
              <w:t>t/a，排放速率为0</w:t>
            </w:r>
            <w:r>
              <w:rPr>
                <w:szCs w:val="21"/>
              </w:rPr>
              <w:t>.028kg/h</w:t>
            </w:r>
            <w:r>
              <w:rPr>
                <w:rFonts w:hint="eastAsia"/>
                <w:bCs/>
              </w:rPr>
              <w:t>。</w:t>
            </w:r>
          </w:p>
          <w:p>
            <w:pPr>
              <w:ind w:firstLine="482"/>
              <w:rPr>
                <w:rFonts w:cs="Times New Roman"/>
                <w:b/>
                <w:bCs/>
              </w:rPr>
            </w:pPr>
            <w:r>
              <w:rPr>
                <w:rFonts w:hint="eastAsia" w:cs="Times New Roman"/>
                <w:b/>
                <w:bCs/>
              </w:rPr>
              <w:t>（3）固体沥青养护环保材料生产废气</w:t>
            </w:r>
          </w:p>
          <w:p>
            <w:pPr>
              <w:ind w:firstLine="480"/>
              <w:rPr>
                <w:rFonts w:cs="Times New Roman"/>
              </w:rPr>
            </w:pPr>
            <w:r>
              <w:rPr>
                <w:rFonts w:hint="eastAsia" w:cs="Times New Roman"/>
              </w:rPr>
              <w:t>项目石灰岩</w:t>
            </w:r>
            <w:r>
              <w:rPr>
                <w:rFonts w:hint="eastAsia"/>
                <w:szCs w:val="21"/>
              </w:rPr>
              <w:t>和冷补料上料过程中会产生少量颗粒物</w:t>
            </w:r>
            <w:r>
              <w:rPr>
                <w:rFonts w:hint="eastAsia" w:cs="Times New Roman"/>
              </w:rPr>
              <w:t>。沥青罐加热、搅拌等过程中均会产生沥青烟气。</w:t>
            </w:r>
          </w:p>
          <w:p>
            <w:pPr>
              <w:ind w:firstLine="480"/>
              <w:rPr>
                <w:rFonts w:cs="Times New Roman"/>
              </w:rPr>
            </w:pPr>
            <w:r>
              <w:rPr>
                <w:rFonts w:hint="eastAsia" w:cs="Times New Roman"/>
              </w:rPr>
              <w:t>沥青烟是一种黄色的烟雾状物质，是一种含有大量多环芳烃以及少量氧、氮、硫的杂环混合物，通常以气溶胶形式存在于空气之中。沥青烟中含有数千种物质，目前已分析出主要成分有苯并[a]芘、苯并蒽、咔唑等80多种多环芳烃类碳氢化合物。主要特征污染物为沥青烟、苯并[a]芘、VOCs（以非甲烷总烃计）等。</w:t>
            </w:r>
          </w:p>
          <w:p>
            <w:pPr>
              <w:ind w:firstLine="480"/>
              <w:rPr>
                <w:szCs w:val="21"/>
              </w:rPr>
            </w:pPr>
            <w:r>
              <w:rPr>
                <w:rFonts w:cs="Times New Roman"/>
              </w:rPr>
              <w:fldChar w:fldCharType="begin"/>
            </w:r>
            <w:r>
              <w:rPr>
                <w:rFonts w:cs="Times New Roman"/>
              </w:rPr>
              <w:instrText xml:space="preserve"> </w:instrText>
            </w:r>
            <w:r>
              <w:rPr>
                <w:rFonts w:hint="eastAsia" w:cs="Times New Roman"/>
              </w:rPr>
              <w:instrText xml:space="preserve">= 1 \* GB3</w:instrText>
            </w:r>
            <w:r>
              <w:rPr>
                <w:rFonts w:cs="Times New Roman"/>
              </w:rPr>
              <w:instrText xml:space="preserve"> </w:instrText>
            </w:r>
            <w:r>
              <w:rPr>
                <w:rFonts w:cs="Times New Roman"/>
              </w:rPr>
              <w:fldChar w:fldCharType="separate"/>
            </w:r>
            <w:r>
              <w:rPr>
                <w:rFonts w:hint="eastAsia" w:cs="Times New Roman"/>
              </w:rPr>
              <w:t>①</w:t>
            </w:r>
            <w:r>
              <w:rPr>
                <w:rFonts w:cs="Times New Roman"/>
              </w:rPr>
              <w:fldChar w:fldCharType="end"/>
            </w:r>
            <w:r>
              <w:rPr>
                <w:rFonts w:hint="eastAsia" w:cs="Times New Roman"/>
              </w:rPr>
              <w:t>石灰岩</w:t>
            </w:r>
            <w:r>
              <w:rPr>
                <w:rFonts w:hint="eastAsia"/>
                <w:szCs w:val="21"/>
              </w:rPr>
              <w:t>和冷补料上料粉尘</w:t>
            </w:r>
          </w:p>
          <w:p>
            <w:pPr>
              <w:ind w:firstLine="480"/>
              <w:rPr>
                <w:szCs w:val="21"/>
              </w:rPr>
            </w:pPr>
            <w:r>
              <w:rPr>
                <w:rFonts w:hint="eastAsia"/>
                <w:szCs w:val="21"/>
              </w:rPr>
              <w:t>根据《逸散性工业粉，尘控制技术》表22-1中“装水泥、砂和粒料入搅拌机”颗粒物排放系数为0.02kg/t，本项目石灰岩和冷补料使用量共计</w:t>
            </w:r>
            <w:r>
              <w:rPr>
                <w:szCs w:val="21"/>
              </w:rPr>
              <w:t>604</w:t>
            </w:r>
            <w:r>
              <w:rPr>
                <w:rFonts w:hint="eastAsia"/>
                <w:szCs w:val="21"/>
              </w:rPr>
              <w:t>0t，则颗粒物产生量为</w:t>
            </w:r>
            <w:r>
              <w:rPr>
                <w:szCs w:val="21"/>
              </w:rPr>
              <w:t>0.1208</w:t>
            </w:r>
            <w:r>
              <w:rPr>
                <w:rFonts w:hint="eastAsia"/>
                <w:szCs w:val="21"/>
              </w:rPr>
              <w:t>t/a。</w:t>
            </w:r>
          </w:p>
          <w:p>
            <w:pPr>
              <w:ind w:firstLine="480"/>
              <w:rPr>
                <w:rFonts w:cs="Times New Roman"/>
              </w:rPr>
            </w:pPr>
            <w:r>
              <w:rPr>
                <w:szCs w:val="21"/>
              </w:rPr>
              <w:fldChar w:fldCharType="begin"/>
            </w:r>
            <w:r>
              <w:rPr>
                <w:szCs w:val="21"/>
              </w:rPr>
              <w:instrText xml:space="preserve"> </w:instrText>
            </w:r>
            <w:r>
              <w:rPr>
                <w:rFonts w:hint="eastAsia"/>
                <w:szCs w:val="21"/>
              </w:rPr>
              <w:instrText xml:space="preserve">= 2 \* GB3</w:instrText>
            </w:r>
            <w:r>
              <w:rPr>
                <w:szCs w:val="21"/>
              </w:rPr>
              <w:instrText xml:space="preserve"> </w:instrText>
            </w:r>
            <w:r>
              <w:rPr>
                <w:szCs w:val="21"/>
              </w:rPr>
              <w:fldChar w:fldCharType="separate"/>
            </w:r>
            <w:r>
              <w:rPr>
                <w:rFonts w:hint="eastAsia"/>
                <w:szCs w:val="21"/>
              </w:rPr>
              <w:t>②</w:t>
            </w:r>
            <w:r>
              <w:rPr>
                <w:szCs w:val="21"/>
              </w:rPr>
              <w:fldChar w:fldCharType="end"/>
            </w:r>
            <w:r>
              <w:rPr>
                <w:rFonts w:hint="eastAsia" w:cs="Times New Roman"/>
              </w:rPr>
              <w:t>沥青烟</w:t>
            </w:r>
          </w:p>
          <w:p>
            <w:pPr>
              <w:ind w:firstLine="480"/>
              <w:rPr>
                <w:szCs w:val="21"/>
              </w:rPr>
            </w:pPr>
            <w:r>
              <w:rPr>
                <w:rFonts w:hint="eastAsia"/>
                <w:szCs w:val="21"/>
              </w:rPr>
              <w:t>根据《拌合过程中沥青烟释放量的考察研究》（&lt;广东化学&gt;2013年15期），每吨沥青拌合过程中沥青烟排放系数约为1425.498mg/kg（约1.425kg/t），固体沥青养护环保材料生产沥青使用量为</w:t>
            </w:r>
            <w:r>
              <w:rPr>
                <w:szCs w:val="21"/>
              </w:rPr>
              <w:t>270</w:t>
            </w:r>
            <w:r>
              <w:rPr>
                <w:rFonts w:hint="eastAsia"/>
                <w:szCs w:val="21"/>
              </w:rPr>
              <w:t>t，则沥青烟产生量为</w:t>
            </w:r>
            <w:r>
              <w:rPr>
                <w:szCs w:val="21"/>
              </w:rPr>
              <w:t>0.3848</w:t>
            </w:r>
            <w:r>
              <w:rPr>
                <w:rFonts w:hint="eastAsia"/>
                <w:szCs w:val="21"/>
              </w:rPr>
              <w:t>t/a。</w:t>
            </w:r>
          </w:p>
          <w:p>
            <w:pPr>
              <w:ind w:firstLine="480"/>
              <w:rPr>
                <w:rFonts w:cs="Times New Roman"/>
              </w:rPr>
            </w:pPr>
            <w:r>
              <w:rPr>
                <w:rFonts w:cs="Times New Roman"/>
              </w:rPr>
              <w:fldChar w:fldCharType="begin"/>
            </w:r>
            <w:r>
              <w:rPr>
                <w:rFonts w:cs="Times New Roman"/>
              </w:rPr>
              <w:instrText xml:space="preserve"> </w:instrText>
            </w:r>
            <w:r>
              <w:rPr>
                <w:rFonts w:hint="eastAsia" w:cs="Times New Roman"/>
              </w:rPr>
              <w:instrText xml:space="preserve">= 3 \* GB3</w:instrText>
            </w:r>
            <w:r>
              <w:rPr>
                <w:rFonts w:cs="Times New Roman"/>
              </w:rPr>
              <w:instrText xml:space="preserve"> </w:instrText>
            </w:r>
            <w:r>
              <w:rPr>
                <w:rFonts w:cs="Times New Roman"/>
              </w:rPr>
              <w:fldChar w:fldCharType="separate"/>
            </w:r>
            <w:r>
              <w:rPr>
                <w:rFonts w:hint="eastAsia" w:cs="Times New Roman"/>
              </w:rPr>
              <w:t>③</w:t>
            </w:r>
            <w:r>
              <w:rPr>
                <w:rFonts w:cs="Times New Roman"/>
              </w:rPr>
              <w:fldChar w:fldCharType="end"/>
            </w:r>
            <w:r>
              <w:rPr>
                <w:rFonts w:hint="eastAsia" w:cs="Times New Roman"/>
              </w:rPr>
              <w:t>非甲烷总烃</w:t>
            </w:r>
          </w:p>
          <w:p>
            <w:pPr>
              <w:ind w:firstLine="480"/>
              <w:rPr>
                <w:rFonts w:cs="Times New Roman"/>
              </w:rPr>
            </w:pPr>
            <w:r>
              <w:rPr>
                <w:rFonts w:cs="Times New Roman"/>
              </w:rPr>
              <w:t>根据《沥青烟气净化研究》（李昌建等，全国恶臭污染测试与控制研讨会，2005）中相关内容，沥青烟气和沥青组分近似，沥青烟气中挥发分占比约63.72%～78.09%，本次评价有机废气按沥青烟气的70%计，则项目VOCs（以非甲烷总烃表征）产生量为0.2694t/a。</w:t>
            </w:r>
          </w:p>
          <w:p>
            <w:pPr>
              <w:ind w:firstLine="480"/>
              <w:rPr>
                <w:rFonts w:cs="Times New Roman"/>
              </w:rPr>
            </w:pPr>
            <w:r>
              <w:rPr>
                <w:rFonts w:cs="Times New Roman"/>
              </w:rPr>
              <w:fldChar w:fldCharType="begin"/>
            </w:r>
            <w:r>
              <w:rPr>
                <w:rFonts w:cs="Times New Roman"/>
              </w:rPr>
              <w:instrText xml:space="preserve"> = 4 \* GB3 </w:instrText>
            </w:r>
            <w:r>
              <w:rPr>
                <w:rFonts w:cs="Times New Roman"/>
              </w:rPr>
              <w:fldChar w:fldCharType="separate"/>
            </w:r>
            <w:r>
              <w:rPr>
                <w:rFonts w:hint="eastAsia" w:cs="Times New Roman"/>
              </w:rPr>
              <w:t>④</w:t>
            </w:r>
            <w:r>
              <w:rPr>
                <w:rFonts w:cs="Times New Roman"/>
              </w:rPr>
              <w:fldChar w:fldCharType="end"/>
            </w:r>
            <w:r>
              <w:rPr>
                <w:rFonts w:cs="Times New Roman"/>
                <w:color w:val="000000"/>
              </w:rPr>
              <w:t>苯并[a]芘</w:t>
            </w:r>
          </w:p>
          <w:p>
            <w:pPr>
              <w:ind w:firstLine="480"/>
              <w:rPr>
                <w:rFonts w:cs="Times New Roman"/>
              </w:rPr>
            </w:pPr>
            <w:r>
              <w:rPr>
                <w:rFonts w:hint="eastAsia" w:cs="Times New Roman"/>
              </w:rPr>
              <w:t>参考雅安市生态环境局《关于年产30万吨沥青混凝土生产项目环境影响评价文件审批意见的公示》（2015年1月20日），该公示依据《工业生产中的有害物质手册》第一卷（化学工业出版社，1987年12月出版）及《有机化合物污染化学》（清华大学出版社，1990年8月出版），每吨石油沥青在加热过程中苯并[a]芘的产生量为0.10~0.15g。本项目沥青年用量为</w:t>
            </w:r>
            <w:r>
              <w:rPr>
                <w:rFonts w:cs="Times New Roman"/>
              </w:rPr>
              <w:t>270</w:t>
            </w:r>
            <w:r>
              <w:rPr>
                <w:rFonts w:hint="eastAsia" w:cs="Times New Roman"/>
              </w:rPr>
              <w:t>t，按最不利原则取上限值0.15g/t进行源强核算，则苯并[a]芘产生量为0.000</w:t>
            </w:r>
            <w:r>
              <w:rPr>
                <w:rFonts w:cs="Times New Roman"/>
              </w:rPr>
              <w:t>04</w:t>
            </w:r>
            <w:r>
              <w:rPr>
                <w:rFonts w:hint="eastAsia" w:cs="Times New Roman"/>
              </w:rPr>
              <w:t>t/a。</w:t>
            </w:r>
          </w:p>
          <w:p>
            <w:pPr>
              <w:ind w:firstLine="482"/>
              <w:rPr>
                <w:rFonts w:cs="Times New Roman"/>
                <w:b/>
                <w:bCs/>
              </w:rPr>
            </w:pPr>
            <w:r>
              <w:rPr>
                <w:rFonts w:hint="eastAsia" w:cs="Times New Roman"/>
                <w:b/>
                <w:bCs/>
              </w:rPr>
              <w:t>（4）液态沥青养护环保材料生产废气</w:t>
            </w:r>
          </w:p>
          <w:p>
            <w:pPr>
              <w:ind w:firstLine="480"/>
              <w:rPr>
                <w:rFonts w:cs="Times New Roman"/>
              </w:rPr>
            </w:pPr>
            <w:r>
              <w:rPr>
                <w:rFonts w:hint="eastAsia" w:cs="Times New Roman"/>
              </w:rPr>
              <w:t>液态沥青养护环保材料生产使用的石粉（轻钙）</w:t>
            </w:r>
            <w:r>
              <w:rPr>
                <w:rFonts w:hint="eastAsia"/>
                <w:szCs w:val="21"/>
              </w:rPr>
              <w:t>和</w:t>
            </w:r>
            <w:r>
              <w:rPr>
                <w:szCs w:val="21"/>
              </w:rPr>
              <w:t>SBS</w:t>
            </w:r>
            <w:r>
              <w:rPr>
                <w:rFonts w:hint="eastAsia"/>
                <w:szCs w:val="21"/>
              </w:rPr>
              <w:t>上料过程中会产生少量粉尘</w:t>
            </w:r>
            <w:r>
              <w:rPr>
                <w:rFonts w:hint="eastAsia" w:cs="Times New Roman"/>
              </w:rPr>
              <w:t>。沥青罐保温、加热、搅拌等过程中均会产生沥青烟气。</w:t>
            </w:r>
          </w:p>
          <w:p>
            <w:pPr>
              <w:ind w:firstLine="480"/>
              <w:rPr>
                <w:szCs w:val="21"/>
              </w:rPr>
            </w:pPr>
            <w:r>
              <w:rPr>
                <w:rFonts w:cs="Times New Roman"/>
              </w:rPr>
              <w:fldChar w:fldCharType="begin"/>
            </w:r>
            <w:r>
              <w:rPr>
                <w:rFonts w:cs="Times New Roman"/>
              </w:rPr>
              <w:instrText xml:space="preserve"> </w:instrText>
            </w:r>
            <w:r>
              <w:rPr>
                <w:rFonts w:hint="eastAsia" w:cs="Times New Roman"/>
              </w:rPr>
              <w:instrText xml:space="preserve">= 1 \* GB3</w:instrText>
            </w:r>
            <w:r>
              <w:rPr>
                <w:rFonts w:cs="Times New Roman"/>
              </w:rPr>
              <w:instrText xml:space="preserve"> </w:instrText>
            </w:r>
            <w:r>
              <w:rPr>
                <w:rFonts w:cs="Times New Roman"/>
              </w:rPr>
              <w:fldChar w:fldCharType="separate"/>
            </w:r>
            <w:r>
              <w:rPr>
                <w:rFonts w:hint="eastAsia" w:cs="Times New Roman"/>
              </w:rPr>
              <w:t>①</w:t>
            </w:r>
            <w:r>
              <w:rPr>
                <w:rFonts w:cs="Times New Roman"/>
              </w:rPr>
              <w:fldChar w:fldCharType="end"/>
            </w:r>
            <w:r>
              <w:rPr>
                <w:rFonts w:hint="eastAsia" w:cs="Times New Roman"/>
              </w:rPr>
              <w:t>石灰岩</w:t>
            </w:r>
            <w:r>
              <w:rPr>
                <w:rFonts w:hint="eastAsia"/>
                <w:szCs w:val="21"/>
              </w:rPr>
              <w:t>和冷补料上料粉尘</w:t>
            </w:r>
          </w:p>
          <w:p>
            <w:pPr>
              <w:ind w:firstLine="480"/>
              <w:rPr>
                <w:szCs w:val="21"/>
              </w:rPr>
            </w:pPr>
            <w:r>
              <w:rPr>
                <w:rFonts w:hint="eastAsia"/>
                <w:szCs w:val="21"/>
              </w:rPr>
              <w:t>根据《逸散性工业粉，尘控制技术》表22-1中“装水泥、砂和粒料入搅拌机”颗粒物排放系数为0.02kg/t，本项目石粉（轻钙）和</w:t>
            </w:r>
            <w:r>
              <w:rPr>
                <w:szCs w:val="21"/>
              </w:rPr>
              <w:t>SBS</w:t>
            </w:r>
            <w:r>
              <w:rPr>
                <w:rFonts w:hint="eastAsia"/>
                <w:szCs w:val="21"/>
              </w:rPr>
              <w:t>使用量共计</w:t>
            </w:r>
            <w:r>
              <w:rPr>
                <w:szCs w:val="21"/>
              </w:rPr>
              <w:t>120</w:t>
            </w:r>
            <w:r>
              <w:rPr>
                <w:rFonts w:hint="eastAsia"/>
                <w:szCs w:val="21"/>
              </w:rPr>
              <w:t>0t，则颗粒物产生量为</w:t>
            </w:r>
            <w:r>
              <w:rPr>
                <w:szCs w:val="21"/>
              </w:rPr>
              <w:t>0.024</w:t>
            </w:r>
            <w:r>
              <w:rPr>
                <w:rFonts w:hint="eastAsia"/>
                <w:szCs w:val="21"/>
              </w:rPr>
              <w:t>t/a。</w:t>
            </w:r>
          </w:p>
          <w:p>
            <w:pPr>
              <w:ind w:firstLine="480"/>
              <w:rPr>
                <w:rFonts w:cs="Times New Roman"/>
              </w:rPr>
            </w:pPr>
            <w:r>
              <w:rPr>
                <w:szCs w:val="21"/>
              </w:rPr>
              <w:fldChar w:fldCharType="begin"/>
            </w:r>
            <w:r>
              <w:rPr>
                <w:szCs w:val="21"/>
              </w:rPr>
              <w:instrText xml:space="preserve"> </w:instrText>
            </w:r>
            <w:r>
              <w:rPr>
                <w:rFonts w:hint="eastAsia"/>
                <w:szCs w:val="21"/>
              </w:rPr>
              <w:instrText xml:space="preserve">= 2 \* GB3</w:instrText>
            </w:r>
            <w:r>
              <w:rPr>
                <w:szCs w:val="21"/>
              </w:rPr>
              <w:instrText xml:space="preserve"> </w:instrText>
            </w:r>
            <w:r>
              <w:rPr>
                <w:szCs w:val="21"/>
              </w:rPr>
              <w:fldChar w:fldCharType="separate"/>
            </w:r>
            <w:r>
              <w:rPr>
                <w:rFonts w:hint="eastAsia"/>
                <w:szCs w:val="21"/>
              </w:rPr>
              <w:t>②</w:t>
            </w:r>
            <w:r>
              <w:rPr>
                <w:szCs w:val="21"/>
              </w:rPr>
              <w:fldChar w:fldCharType="end"/>
            </w:r>
            <w:r>
              <w:rPr>
                <w:rFonts w:hint="eastAsia" w:cs="Times New Roman"/>
              </w:rPr>
              <w:t>沥青烟</w:t>
            </w:r>
          </w:p>
          <w:p>
            <w:pPr>
              <w:ind w:firstLine="480"/>
              <w:rPr>
                <w:szCs w:val="21"/>
              </w:rPr>
            </w:pPr>
            <w:r>
              <w:rPr>
                <w:rFonts w:hint="eastAsia"/>
                <w:szCs w:val="21"/>
              </w:rPr>
              <w:t>根据《拌合过程中沥青烟释放量的考察研究》（&lt;广东化学&gt;2013年15期），每吨沥青拌合过程中沥青烟排放系数约为1425.498mg/kg（约1.425kg/t），液态沥青养护环保材料生产沥青使用量为</w:t>
            </w:r>
            <w:r>
              <w:rPr>
                <w:szCs w:val="21"/>
              </w:rPr>
              <w:t>1000</w:t>
            </w:r>
            <w:r>
              <w:rPr>
                <w:rFonts w:hint="eastAsia"/>
                <w:szCs w:val="21"/>
              </w:rPr>
              <w:t>t，则沥青烟产生量为</w:t>
            </w:r>
            <w:r>
              <w:rPr>
                <w:szCs w:val="21"/>
              </w:rPr>
              <w:t>1.425</w:t>
            </w:r>
            <w:r>
              <w:rPr>
                <w:rFonts w:hint="eastAsia"/>
                <w:szCs w:val="21"/>
              </w:rPr>
              <w:t>t/a。</w:t>
            </w:r>
          </w:p>
          <w:p>
            <w:pPr>
              <w:ind w:firstLine="480"/>
              <w:rPr>
                <w:rFonts w:cs="Times New Roman"/>
              </w:rPr>
            </w:pPr>
            <w:r>
              <w:rPr>
                <w:rFonts w:cs="Times New Roman"/>
              </w:rPr>
              <w:fldChar w:fldCharType="begin"/>
            </w:r>
            <w:r>
              <w:rPr>
                <w:rFonts w:cs="Times New Roman"/>
              </w:rPr>
              <w:instrText xml:space="preserve"> </w:instrText>
            </w:r>
            <w:r>
              <w:rPr>
                <w:rFonts w:hint="eastAsia" w:cs="Times New Roman"/>
              </w:rPr>
              <w:instrText xml:space="preserve">= 3 \* GB3</w:instrText>
            </w:r>
            <w:r>
              <w:rPr>
                <w:rFonts w:cs="Times New Roman"/>
              </w:rPr>
              <w:instrText xml:space="preserve"> </w:instrText>
            </w:r>
            <w:r>
              <w:rPr>
                <w:rFonts w:cs="Times New Roman"/>
              </w:rPr>
              <w:fldChar w:fldCharType="separate"/>
            </w:r>
            <w:r>
              <w:rPr>
                <w:rFonts w:hint="eastAsia" w:cs="Times New Roman"/>
              </w:rPr>
              <w:t>③</w:t>
            </w:r>
            <w:r>
              <w:rPr>
                <w:rFonts w:cs="Times New Roman"/>
              </w:rPr>
              <w:fldChar w:fldCharType="end"/>
            </w:r>
            <w:r>
              <w:rPr>
                <w:rFonts w:hint="eastAsia" w:cs="Times New Roman"/>
              </w:rPr>
              <w:t>非甲烷总烃</w:t>
            </w:r>
          </w:p>
          <w:p>
            <w:pPr>
              <w:ind w:firstLine="480"/>
              <w:rPr>
                <w:rFonts w:cs="Times New Roman"/>
              </w:rPr>
            </w:pPr>
            <w:r>
              <w:rPr>
                <w:rFonts w:cs="Times New Roman"/>
              </w:rPr>
              <w:t>根据《沥青烟气净化研究》（李昌建等，全国恶臭污染测试与控制研讨会，2005）中相关内容，沥青烟气和沥青组分近似，沥青烟气中挥发分占比约63.72%～78.09%，本次评价有机废气按沥青烟气的70%计</w:t>
            </w:r>
            <w:r>
              <w:rPr>
                <w:rFonts w:hint="eastAsia" w:cs="Times New Roman"/>
              </w:rPr>
              <w:t>，</w:t>
            </w:r>
            <w:r>
              <w:rPr>
                <w:rFonts w:cs="Times New Roman"/>
              </w:rPr>
              <w:t>则项目VOCs（以非甲烷总烃表征）产生量为0.9975t/a。</w:t>
            </w:r>
          </w:p>
          <w:p>
            <w:pPr>
              <w:ind w:firstLine="480"/>
              <w:rPr>
                <w:rFonts w:cs="Times New Roman"/>
              </w:rPr>
            </w:pPr>
            <w:r>
              <w:rPr>
                <w:rFonts w:cs="Times New Roman"/>
              </w:rPr>
              <w:fldChar w:fldCharType="begin"/>
            </w:r>
            <w:r>
              <w:rPr>
                <w:rFonts w:cs="Times New Roman"/>
              </w:rPr>
              <w:instrText xml:space="preserve"> </w:instrText>
            </w:r>
            <w:r>
              <w:rPr>
                <w:rFonts w:hint="eastAsia" w:cs="Times New Roman"/>
              </w:rPr>
              <w:instrText xml:space="preserve">= 4 \* GB3</w:instrText>
            </w:r>
            <w:r>
              <w:rPr>
                <w:rFonts w:cs="Times New Roman"/>
              </w:rPr>
              <w:instrText xml:space="preserve"> </w:instrText>
            </w:r>
            <w:r>
              <w:rPr>
                <w:rFonts w:cs="Times New Roman"/>
              </w:rPr>
              <w:fldChar w:fldCharType="separate"/>
            </w:r>
            <w:r>
              <w:rPr>
                <w:rFonts w:hint="eastAsia" w:cs="Times New Roman"/>
              </w:rPr>
              <w:t>④</w:t>
            </w:r>
            <w:r>
              <w:rPr>
                <w:rFonts w:cs="Times New Roman"/>
              </w:rPr>
              <w:fldChar w:fldCharType="end"/>
            </w:r>
            <w:r>
              <w:rPr>
                <w:rFonts w:hint="eastAsia"/>
                <w:color w:val="000000"/>
              </w:rPr>
              <w:t>苯并</w:t>
            </w:r>
            <w:r>
              <w:rPr>
                <w:rFonts w:ascii="TimesNewRomanPSMT" w:hAnsi="TimesNewRomanPSMT"/>
                <w:color w:val="000000"/>
              </w:rPr>
              <w:t>[a]</w:t>
            </w:r>
            <w:r>
              <w:rPr>
                <w:rFonts w:hint="eastAsia"/>
                <w:color w:val="000000"/>
              </w:rPr>
              <w:t>芘</w:t>
            </w:r>
          </w:p>
          <w:p>
            <w:pPr>
              <w:ind w:firstLine="480"/>
              <w:rPr>
                <w:rFonts w:cs="Times New Roman"/>
              </w:rPr>
            </w:pPr>
            <w:r>
              <w:rPr>
                <w:rFonts w:hint="eastAsia" w:cs="Times New Roman"/>
              </w:rPr>
              <w:t>参考雅安市生态环境局《关于年产30万吨沥青混凝土生产项目环境影响评价文件审批意见的公示》（2015年1月20日），该公示依据《工业生产中的有害物质手册》第一卷（化学工业出版社，1987年12月出版）及《有机化合物污染化学》（清华大学出版社，1990年8月出版），每吨石油沥青在加热过程中苯并[a]芘的产生量为0.10~0.15g。本项目沥青年用量为1000t，按最不利原则取上限值0.15g/t进行源强核算，则苯并[a]芘产生量为0.00015t/a。</w:t>
            </w:r>
          </w:p>
          <w:p>
            <w:pPr>
              <w:ind w:firstLine="480"/>
              <w:rPr>
                <w:rFonts w:cs="Times New Roman"/>
              </w:rPr>
            </w:pPr>
            <w:r>
              <w:rPr>
                <w:rFonts w:hint="eastAsia" w:cs="Times New Roman"/>
              </w:rPr>
              <w:t>固体（液态）沥青养护环保材料生产均采用自动化、全封闭生产线。涉及高温沥青的搅拌、加热及冷却过程均设置在密闭负压空间内，以减少废气无组织散逸。全密闭收集方案可确保项目生产过程中废气收集效率不低于95%。废气通过密闭收集罩和管道引至“电捕焦油器+二级活性炭吸附”净化装置，最终通过1根15m高排气筒DA00</w:t>
            </w:r>
            <w:r>
              <w:rPr>
                <w:rFonts w:cs="Times New Roman"/>
              </w:rPr>
              <w:t>2</w:t>
            </w:r>
            <w:r>
              <w:rPr>
                <w:rFonts w:hint="eastAsia" w:cs="Times New Roman"/>
              </w:rPr>
              <w:t>排放（</w:t>
            </w:r>
            <w:r>
              <w:rPr>
                <w:rFonts w:cs="Times New Roman"/>
              </w:rPr>
              <w:t>风机风量为10000m³/h）。全密闭收集方案确保项目生产过程中废气收集效率不低于95%，年运行时间2160h。</w:t>
            </w:r>
          </w:p>
          <w:p>
            <w:pPr>
              <w:ind w:firstLine="480"/>
              <w:rPr>
                <w:rFonts w:cs="Times New Roman"/>
                <w:color w:val="000000"/>
              </w:rPr>
            </w:pPr>
            <w:r>
              <w:rPr>
                <w:rFonts w:hint="eastAsia" w:cs="Times New Roman"/>
                <w:color w:val="000000"/>
              </w:rPr>
              <w:t>本项目“电捕焦油器+二级活性炭吸附”装置处理效率类比《彩色沥青、乳化沥青、道路标线涂料、标识标牌生产制作建设项目》。类比项目与本项目生产工艺相似，均涉及沥青储罐、沥青搅拌、拌合、包装、加热等环节，其废气处理措施与本项目一致（电捕焦油器+二级活性炭吸附）。根据该报告表，其废气处理措施对沥青烟、苯并[a]芘、非甲烷总烃的净化效率为</w:t>
            </w:r>
            <w:r>
              <w:rPr>
                <w:rFonts w:cs="Times New Roman"/>
                <w:color w:val="000000"/>
              </w:rPr>
              <w:t>90</w:t>
            </w:r>
            <w:r>
              <w:rPr>
                <w:rFonts w:hint="eastAsia" w:cs="Times New Roman"/>
                <w:color w:val="000000"/>
              </w:rPr>
              <w:t>%。</w:t>
            </w:r>
          </w:p>
          <w:p>
            <w:pPr>
              <w:ind w:firstLine="480"/>
              <w:rPr>
                <w:rFonts w:cs="Times New Roman"/>
              </w:rPr>
            </w:pPr>
            <w:r>
              <w:rPr>
                <w:rFonts w:hint="eastAsia" w:cs="Times New Roman"/>
              </w:rPr>
              <w:t>固体（液态）沥青养护环保材料生产沥青烟产生共计为1</w:t>
            </w:r>
            <w:r>
              <w:rPr>
                <w:rFonts w:cs="Times New Roman"/>
              </w:rPr>
              <w:t>.8097t/a</w:t>
            </w:r>
            <w:r>
              <w:rPr>
                <w:rFonts w:hint="eastAsia" w:cs="Times New Roman"/>
              </w:rPr>
              <w:t>、非甲烷总烃1</w:t>
            </w:r>
            <w:r>
              <w:rPr>
                <w:rFonts w:cs="Times New Roman"/>
              </w:rPr>
              <w:t>.2669t/a</w:t>
            </w:r>
            <w:r>
              <w:rPr>
                <w:rFonts w:hint="eastAsia" w:cs="Times New Roman"/>
              </w:rPr>
              <w:t>、</w:t>
            </w:r>
            <w:r>
              <w:rPr>
                <w:rFonts w:hint="eastAsia" w:cs="Times New Roman"/>
                <w:color w:val="000000"/>
              </w:rPr>
              <w:t>苯并[a]芘</w:t>
            </w:r>
            <w:r>
              <w:rPr>
                <w:rFonts w:cs="Times New Roman"/>
              </w:rPr>
              <w:t>0.0002t/a</w:t>
            </w:r>
            <w:r>
              <w:rPr>
                <w:rFonts w:hint="eastAsia" w:cs="Times New Roman"/>
              </w:rPr>
              <w:t>。管道收集效率为9</w:t>
            </w:r>
            <w:r>
              <w:rPr>
                <w:rFonts w:cs="Times New Roman"/>
              </w:rPr>
              <w:t>5</w:t>
            </w:r>
            <w:r>
              <w:rPr>
                <w:rFonts w:hint="eastAsia" w:cs="Times New Roman"/>
              </w:rPr>
              <w:t>%计、则沥青烟排放量0</w:t>
            </w:r>
            <w:r>
              <w:rPr>
                <w:rFonts w:cs="Times New Roman"/>
              </w:rPr>
              <w:t>.172t/a</w:t>
            </w:r>
            <w:r>
              <w:rPr>
                <w:rFonts w:hint="eastAsia" w:cs="Times New Roman"/>
              </w:rPr>
              <w:t>，排放速率0</w:t>
            </w:r>
            <w:r>
              <w:rPr>
                <w:rFonts w:cs="Times New Roman"/>
              </w:rPr>
              <w:t>.08kg/h</w:t>
            </w:r>
            <w:r>
              <w:rPr>
                <w:rFonts w:hint="eastAsia" w:cs="Times New Roman"/>
              </w:rPr>
              <w:t>，排放浓度</w:t>
            </w:r>
            <w:r>
              <w:rPr>
                <w:rFonts w:cs="Times New Roman"/>
              </w:rPr>
              <w:t>8mg/m</w:t>
            </w:r>
            <w:r>
              <w:rPr>
                <w:rFonts w:cs="Times New Roman"/>
                <w:vertAlign w:val="superscript"/>
              </w:rPr>
              <w:t>3</w:t>
            </w:r>
            <w:r>
              <w:rPr>
                <w:rFonts w:hint="eastAsia" w:cs="Times New Roman"/>
              </w:rPr>
              <w:t>。非甲烷总烃排放量</w:t>
            </w:r>
            <w:r>
              <w:rPr>
                <w:rFonts w:cs="Times New Roman"/>
              </w:rPr>
              <w:t>0.120t/a</w:t>
            </w:r>
            <w:r>
              <w:rPr>
                <w:rFonts w:hint="eastAsia" w:cs="Times New Roman"/>
              </w:rPr>
              <w:t>，排放速率0</w:t>
            </w:r>
            <w:r>
              <w:rPr>
                <w:rFonts w:cs="Times New Roman"/>
              </w:rPr>
              <w:t>.056kg/h</w:t>
            </w:r>
            <w:r>
              <w:rPr>
                <w:rFonts w:hint="eastAsia" w:cs="Times New Roman"/>
              </w:rPr>
              <w:t>，5</w:t>
            </w:r>
            <w:r>
              <w:rPr>
                <w:rFonts w:cs="Times New Roman"/>
              </w:rPr>
              <w:t>.5mg/m</w:t>
            </w:r>
            <w:r>
              <w:rPr>
                <w:rFonts w:cs="Times New Roman"/>
                <w:vertAlign w:val="superscript"/>
              </w:rPr>
              <w:t>3</w:t>
            </w:r>
            <w:r>
              <w:rPr>
                <w:rFonts w:hint="eastAsia" w:cs="Times New Roman"/>
              </w:rPr>
              <w:t>。</w:t>
            </w:r>
            <w:r>
              <w:rPr>
                <w:rFonts w:hint="eastAsia" w:cs="Times New Roman"/>
                <w:color w:val="000000"/>
              </w:rPr>
              <w:t>苯并[a]芘</w:t>
            </w:r>
            <w:r>
              <w:rPr>
                <w:rFonts w:hint="eastAsia" w:cs="Times New Roman"/>
              </w:rPr>
              <w:t>排放量</w:t>
            </w:r>
            <w:r>
              <w:rPr>
                <w:rFonts w:cs="Times New Roman"/>
              </w:rPr>
              <w:t>0.00002t/a</w:t>
            </w:r>
            <w:r>
              <w:rPr>
                <w:rFonts w:hint="eastAsia" w:cs="Times New Roman"/>
              </w:rPr>
              <w:t>，排放速率0</w:t>
            </w:r>
            <w:r>
              <w:rPr>
                <w:rFonts w:cs="Times New Roman"/>
              </w:rPr>
              <w:t>.000009kg/h</w:t>
            </w:r>
            <w:r>
              <w:rPr>
                <w:rFonts w:hint="eastAsia" w:cs="Times New Roman"/>
              </w:rPr>
              <w:t>，</w:t>
            </w:r>
            <w:r>
              <w:rPr>
                <w:rFonts w:cs="Times New Roman"/>
              </w:rPr>
              <w:t>0.00088mg/m</w:t>
            </w:r>
            <w:r>
              <w:rPr>
                <w:rFonts w:cs="Times New Roman"/>
                <w:vertAlign w:val="superscript"/>
              </w:rPr>
              <w:t>3</w:t>
            </w:r>
            <w:r>
              <w:rPr>
                <w:rFonts w:hint="eastAsia" w:cs="Times New Roman"/>
              </w:rPr>
              <w:t>。</w:t>
            </w:r>
            <w:r>
              <w:rPr>
                <w:rFonts w:hint="eastAsia"/>
                <w:color w:val="000000"/>
              </w:rPr>
              <w:t>项目有组织废气采用管道收集输送，管道“跑冒滴漏”现象会产生无组织废气，主要成分为非甲烷总烃及苯并</w:t>
            </w:r>
            <w:r>
              <w:rPr>
                <w:rFonts w:ascii="TimesNewRomanPSMT" w:hAnsi="TimesNewRomanPSMT"/>
                <w:color w:val="000000"/>
              </w:rPr>
              <w:t>[a]</w:t>
            </w:r>
            <w:r>
              <w:rPr>
                <w:rFonts w:hint="eastAsia"/>
                <w:color w:val="000000"/>
              </w:rPr>
              <w:t>芘，由于标准要求项目生产设备不得有明显沥青烟无组织排放存在，企业采取相关措施保证生产设备密封性，确保无明显无组织沥青烟存在，则此部分无组织污染物排放量仅考虑</w:t>
            </w:r>
            <w:r>
              <w:rPr>
                <w:rFonts w:ascii="TimesNewRomanPSMT" w:hAnsi="TimesNewRomanPSMT"/>
                <w:color w:val="000000"/>
              </w:rPr>
              <w:t>VOCs</w:t>
            </w:r>
            <w:r>
              <w:rPr>
                <w:rFonts w:hint="eastAsia"/>
                <w:color w:val="000000"/>
              </w:rPr>
              <w:t>和苯并</w:t>
            </w:r>
            <w:r>
              <w:rPr>
                <w:rFonts w:ascii="TimesNewRomanPSMT" w:hAnsi="TimesNewRomanPSMT"/>
                <w:color w:val="000000"/>
              </w:rPr>
              <w:t>[a]</w:t>
            </w:r>
            <w:r>
              <w:rPr>
                <w:rFonts w:hint="eastAsia"/>
                <w:color w:val="000000"/>
              </w:rPr>
              <w:t>芘，则项目无组织废气排放总量为：</w:t>
            </w:r>
            <w:r>
              <w:rPr>
                <w:rFonts w:ascii="TimesNewRomanPSMT" w:hAnsi="TimesNewRomanPSMT"/>
                <w:color w:val="000000"/>
              </w:rPr>
              <w:t>VOCs0.06t/a</w:t>
            </w:r>
            <w:r>
              <w:rPr>
                <w:rFonts w:hint="eastAsia"/>
                <w:color w:val="000000"/>
              </w:rPr>
              <w:t>、苯并</w:t>
            </w:r>
            <w:r>
              <w:rPr>
                <w:rFonts w:ascii="TimesNewRomanPSMT" w:hAnsi="TimesNewRomanPSMT"/>
                <w:color w:val="000000"/>
              </w:rPr>
              <w:t>[a]</w:t>
            </w:r>
            <w:r>
              <w:rPr>
                <w:rFonts w:hint="eastAsia"/>
                <w:color w:val="000000"/>
              </w:rPr>
              <w:t>芘</w:t>
            </w:r>
            <w:r>
              <w:rPr>
                <w:rFonts w:ascii="TimesNewRomanPSMT" w:hAnsi="TimesNewRomanPSMT"/>
                <w:color w:val="000000"/>
              </w:rPr>
              <w:t>0.00001t/a</w:t>
            </w:r>
            <w:r>
              <w:rPr>
                <w:rFonts w:hint="eastAsia" w:ascii="TimesNewRomanPSMT" w:hAnsi="TimesNewRomanPSMT"/>
                <w:color w:val="000000"/>
              </w:rPr>
              <w:t>。</w:t>
            </w:r>
          </w:p>
          <w:p>
            <w:pPr>
              <w:ind w:firstLine="482"/>
              <w:rPr>
                <w:rFonts w:cs="Times New Roman"/>
                <w:b/>
                <w:bCs/>
              </w:rPr>
            </w:pPr>
            <w:r>
              <w:rPr>
                <w:rFonts w:hint="eastAsia" w:cs="Times New Roman"/>
                <w:b/>
                <w:bCs/>
              </w:rPr>
              <w:t>（5）固体水泥养护环保材料生产废气</w:t>
            </w:r>
          </w:p>
          <w:p>
            <w:pPr>
              <w:ind w:firstLine="480"/>
              <w:rPr>
                <w:szCs w:val="21"/>
              </w:rPr>
            </w:pPr>
            <w:r>
              <w:rPr>
                <w:rFonts w:hint="eastAsia" w:cs="Times New Roman"/>
              </w:rPr>
              <w:t>固体水泥养护环保材料生产使用的砂粉、快凝硅酸盐水泥、纤维在上料过程中会产生少量粉尘。</w:t>
            </w:r>
          </w:p>
          <w:p>
            <w:pPr>
              <w:ind w:firstLine="480"/>
              <w:rPr>
                <w:szCs w:val="21"/>
              </w:rPr>
            </w:pPr>
            <w:r>
              <w:rPr>
                <w:rFonts w:hint="eastAsia"/>
                <w:szCs w:val="21"/>
              </w:rPr>
              <w:t>根据《逸散性工业粉尘控制技术》表22-1中“装水泥、砂和粒料入搅拌机”颗粒物排放系数为0.02kg/t，本项目粉料使用量共计490t，则颗粒物产生量为0.0098t/a，0</w:t>
            </w:r>
            <w:r>
              <w:rPr>
                <w:szCs w:val="21"/>
              </w:rPr>
              <w:t>.0045</w:t>
            </w:r>
            <w:r>
              <w:rPr>
                <w:rFonts w:hint="eastAsia"/>
                <w:szCs w:val="21"/>
              </w:rPr>
              <w:t>kg/</w:t>
            </w:r>
            <w:r>
              <w:rPr>
                <w:szCs w:val="21"/>
              </w:rPr>
              <w:t>h</w:t>
            </w:r>
            <w:r>
              <w:rPr>
                <w:rFonts w:hint="eastAsia"/>
                <w:szCs w:val="21"/>
              </w:rPr>
              <w:t>。以无组织形式排放。</w:t>
            </w:r>
          </w:p>
          <w:p>
            <w:pPr>
              <w:ind w:firstLine="482"/>
              <w:rPr>
                <w:rFonts w:cs="Times New Roman"/>
                <w:b/>
                <w:bCs/>
              </w:rPr>
            </w:pPr>
            <w:r>
              <w:rPr>
                <w:rFonts w:hint="eastAsia" w:cs="Times New Roman"/>
                <w:b/>
                <w:bCs/>
              </w:rPr>
              <w:t>（6）液态水泥养护环保材料生产废气</w:t>
            </w:r>
          </w:p>
          <w:p>
            <w:pPr>
              <w:ind w:firstLine="480"/>
              <w:rPr>
                <w:rFonts w:cs="Times New Roman"/>
              </w:rPr>
            </w:pPr>
            <w:r>
              <w:rPr>
                <w:rFonts w:hint="eastAsia" w:cs="Times New Roman"/>
              </w:rPr>
              <w:t>液态水泥养护环保材料生产搅拌过程中会产生少量非甲烷总烃，搅拌废气</w:t>
            </w:r>
            <w:r>
              <w:rPr>
                <w:rFonts w:hint="eastAsia" w:cs="Times New Roman"/>
                <w:color w:val="0F1115"/>
                <w:shd w:val="clear" w:color="auto" w:fill="FFFFFF"/>
              </w:rPr>
              <w:t>参考《</w:t>
            </w:r>
            <w:r>
              <w:rPr>
                <w:rFonts w:hint="eastAsia" w:cs="Times New Roman"/>
              </w:rPr>
              <w:t>环境影响评价实用技术指南》（李爱贞、周兆驹、林国栋等编著，机械工业出版社，</w:t>
            </w:r>
            <w:r>
              <w:rPr>
                <w:rFonts w:cs="Times New Roman"/>
              </w:rPr>
              <w:t>2008</w:t>
            </w:r>
            <w:r>
              <w:rPr>
                <w:rFonts w:hint="eastAsia" w:cs="Times New Roman"/>
              </w:rPr>
              <w:t>年</w:t>
            </w:r>
            <w:r>
              <w:rPr>
                <w:rFonts w:cs="Times New Roman"/>
              </w:rPr>
              <w:t>4</w:t>
            </w:r>
            <w:r>
              <w:rPr>
                <w:rFonts w:hint="eastAsia" w:cs="Times New Roman"/>
              </w:rPr>
              <w:t>月，第</w:t>
            </w:r>
            <w:r>
              <w:rPr>
                <w:rFonts w:cs="Times New Roman"/>
              </w:rPr>
              <w:t>22</w:t>
            </w:r>
            <w:r>
              <w:rPr>
                <w:rFonts w:hint="eastAsia" w:cs="Times New Roman"/>
              </w:rPr>
              <w:t>页）中建议无组织排放的比例为：按原料年用量或产品年产量</w:t>
            </w:r>
            <w:r>
              <w:rPr>
                <w:rFonts w:cs="Times New Roman"/>
              </w:rPr>
              <w:t>0.1‰~0.4‰</w:t>
            </w:r>
            <w:r>
              <w:rPr>
                <w:rFonts w:hint="eastAsia" w:cs="Times New Roman"/>
                <w:color w:val="0F1115"/>
                <w:shd w:val="clear" w:color="auto" w:fill="FFFFFF"/>
              </w:rPr>
              <w:t>进行核算</w:t>
            </w:r>
            <w:r>
              <w:rPr>
                <w:rFonts w:hint="eastAsia" w:cs="Times New Roman"/>
              </w:rPr>
              <w:t>，</w:t>
            </w:r>
            <w:r>
              <w:rPr>
                <w:rFonts w:hint="eastAsia" w:cs="Times New Roman"/>
                <w:color w:val="0F1115"/>
                <w:shd w:val="clear" w:color="auto" w:fill="FFFFFF"/>
              </w:rPr>
              <w:t>为考虑最不利情况，取最大值</w:t>
            </w:r>
            <w:r>
              <w:rPr>
                <w:rFonts w:cs="Times New Roman"/>
                <w:color w:val="0F1115"/>
                <w:shd w:val="clear" w:color="auto" w:fill="FFFFFF"/>
              </w:rPr>
              <w:t>0.4‰</w:t>
            </w:r>
            <w:r>
              <w:rPr>
                <w:rFonts w:hint="eastAsia" w:cs="Times New Roman"/>
                <w:color w:val="0F1115"/>
                <w:shd w:val="clear" w:color="auto" w:fill="FFFFFF"/>
              </w:rPr>
              <w:t>，</w:t>
            </w:r>
            <w:r>
              <w:rPr>
                <w:rFonts w:hint="eastAsia" w:cs="Times New Roman"/>
              </w:rPr>
              <w:t>原料使用量为</w:t>
            </w:r>
            <w:r>
              <w:rPr>
                <w:rFonts w:cs="Times New Roman"/>
              </w:rPr>
              <w:t>10t/a</w:t>
            </w:r>
            <w:r>
              <w:rPr>
                <w:rFonts w:hint="eastAsia" w:cs="Times New Roman"/>
              </w:rPr>
              <w:t>，则非甲烷总烃的产生量为</w:t>
            </w:r>
            <w:r>
              <w:rPr>
                <w:rFonts w:cs="Times New Roman"/>
              </w:rPr>
              <w:t>0.004t/a</w:t>
            </w:r>
            <w:r>
              <w:rPr>
                <w:rFonts w:hint="eastAsia" w:cs="Times New Roman"/>
              </w:rPr>
              <w:t>，排放速率为</w:t>
            </w:r>
            <w:r>
              <w:rPr>
                <w:rFonts w:cs="Times New Roman"/>
              </w:rPr>
              <w:t>0.002kg/h</w:t>
            </w:r>
            <w:r>
              <w:rPr>
                <w:rFonts w:hint="eastAsia" w:cs="Times New Roman"/>
              </w:rPr>
              <w:t>。该部分废气在车间内以无组织形式排放。</w:t>
            </w:r>
          </w:p>
          <w:p>
            <w:pPr>
              <w:adjustRightInd w:val="0"/>
              <w:snapToGrid w:val="0"/>
              <w:spacing w:line="240" w:lineRule="auto"/>
              <w:ind w:firstLine="0" w:firstLineChars="0"/>
              <w:jc w:val="center"/>
              <w:textAlignment w:val="auto"/>
              <w:rPr>
                <w:rFonts w:cs="Times New Roman"/>
                <w:b/>
                <w:sz w:val="21"/>
                <w:szCs w:val="21"/>
              </w:rPr>
            </w:pPr>
            <w:r>
              <w:rPr>
                <w:rFonts w:cs="Times New Roman"/>
                <w:b/>
                <w:sz w:val="21"/>
                <w:szCs w:val="21"/>
              </w:rPr>
              <w:t>表4-1  项目废气产生及排放情况表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36"/>
              <w:gridCol w:w="649"/>
              <w:gridCol w:w="649"/>
              <w:gridCol w:w="458"/>
              <w:gridCol w:w="1403"/>
              <w:gridCol w:w="674"/>
              <w:gridCol w:w="1512"/>
              <w:gridCol w:w="802"/>
              <w:gridCol w:w="613"/>
              <w:gridCol w:w="14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序号</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产生工序及装置</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产污环节</w:t>
                  </w: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污染物</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种类</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污染物</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产生量</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排放</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形式</w:t>
                  </w:r>
                </w:p>
              </w:tc>
              <w:tc>
                <w:tcPr>
                  <w:tcW w:w="87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治理措施</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处理效率</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是否为可行技术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污染物排放量、速率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251"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p>
              </w:tc>
              <w:tc>
                <w:tcPr>
                  <w:tcW w:w="37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粉末道路标线材料生产</w:t>
                  </w:r>
                </w:p>
              </w:tc>
              <w:tc>
                <w:tcPr>
                  <w:tcW w:w="374" w:type="pct"/>
                  <w:vMerge w:val="restar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拆包卸料、投料及成品分装</w:t>
                  </w:r>
                </w:p>
              </w:tc>
              <w:tc>
                <w:tcPr>
                  <w:tcW w:w="26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颗粒物</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bookmarkStart w:id="23" w:name="_Hlk219310327"/>
                  <w:r>
                    <w:rPr>
                      <w:rFonts w:cs="Times New Roman"/>
                      <w:sz w:val="21"/>
                      <w:szCs w:val="21"/>
                    </w:rPr>
                    <w:t>6.8013t/a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3.149</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314.9mg/m</w:t>
                  </w:r>
                  <w:r>
                    <w:rPr>
                      <w:rFonts w:cs="Times New Roman"/>
                      <w:sz w:val="21"/>
                      <w:szCs w:val="21"/>
                      <w:vertAlign w:val="superscript"/>
                    </w:rPr>
                    <w:t>3</w:t>
                  </w:r>
                  <w:bookmarkEnd w:id="23"/>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有</w:t>
                  </w:r>
                  <w:r>
                    <w:rPr>
                      <w:rFonts w:cs="Times New Roman"/>
                      <w:sz w:val="21"/>
                      <w:szCs w:val="21"/>
                    </w:rPr>
                    <w:t>组织</w:t>
                  </w:r>
                </w:p>
              </w:tc>
              <w:tc>
                <w:tcPr>
                  <w:tcW w:w="871"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集气罩+布袋除尘器处理后，由15m高排气筒（D</w:t>
                  </w:r>
                  <w:r>
                    <w:rPr>
                      <w:rFonts w:cs="Times New Roman"/>
                      <w:sz w:val="21"/>
                      <w:szCs w:val="21"/>
                    </w:rPr>
                    <w:t>A001</w:t>
                  </w:r>
                  <w:r>
                    <w:rPr>
                      <w:rFonts w:hint="eastAsia" w:cs="Times New Roman"/>
                      <w:sz w:val="21"/>
                      <w:szCs w:val="21"/>
                    </w:rPr>
                    <w:t>）排放</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99</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0.054t/a</w:t>
                  </w:r>
                </w:p>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w:t>
                  </w:r>
                  <w:r>
                    <w:rPr>
                      <w:rFonts w:cs="Times New Roman"/>
                      <w:sz w:val="21"/>
                      <w:szCs w:val="21"/>
                    </w:rPr>
                    <w:t>025</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2.5mg/m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 w:hRule="atLeast"/>
                <w:jc w:val="center"/>
              </w:trPr>
              <w:tc>
                <w:tcPr>
                  <w:tcW w:w="251"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1.360</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0.630</w:t>
                  </w:r>
                  <w:r>
                    <w:rPr>
                      <w:rFonts w:hint="eastAsia" w:cs="Times New Roman"/>
                      <w:sz w:val="21"/>
                      <w:szCs w:val="21"/>
                    </w:rPr>
                    <w:t>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车间采取全封闭措施，利用自然沉降和洒水抑尘减少颗粒物，同时加强通风</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1.360</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0.630</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6"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2</w:t>
                  </w:r>
                </w:p>
              </w:tc>
              <w:tc>
                <w:tcPr>
                  <w:tcW w:w="37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液态道路标线材料生产</w:t>
                  </w:r>
                </w:p>
              </w:tc>
              <w:tc>
                <w:tcPr>
                  <w:tcW w:w="37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拆包卸料、投料及成品分装</w:t>
                  </w:r>
                </w:p>
              </w:tc>
              <w:tc>
                <w:tcPr>
                  <w:tcW w:w="26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颗粒物</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1.095t/a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0.507</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50.7mg/m</w:t>
                  </w:r>
                  <w:r>
                    <w:rPr>
                      <w:rFonts w:cs="Times New Roman"/>
                      <w:sz w:val="21"/>
                      <w:szCs w:val="21"/>
                      <w:vertAlign w:val="superscript"/>
                    </w:rPr>
                    <w:t>3</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有</w:t>
                  </w:r>
                  <w:r>
                    <w:rPr>
                      <w:rFonts w:cs="Times New Roman"/>
                      <w:sz w:val="21"/>
                      <w:szCs w:val="21"/>
                    </w:rPr>
                    <w:t>组织</w:t>
                  </w:r>
                </w:p>
              </w:tc>
              <w:tc>
                <w:tcPr>
                  <w:tcW w:w="871"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集气罩+布袋除尘器处理后，由15m高排气筒（DA001）排放</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99</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0.009t/a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0.004</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0.42mg/m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3</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0.219</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0.101</w:t>
                  </w:r>
                  <w:r>
                    <w:rPr>
                      <w:rFonts w:hint="eastAsia" w:cs="Times New Roman"/>
                      <w:sz w:val="21"/>
                      <w:szCs w:val="21"/>
                    </w:rPr>
                    <w:t>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车间采取全封闭措施，利用自然沉降和洒水抑尘减少颗粒物，同时加强通风</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0.219</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0.101</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4</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混合搅拌</w:t>
                  </w:r>
                </w:p>
              </w:tc>
              <w:tc>
                <w:tcPr>
                  <w:tcW w:w="26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非甲烷总烃</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0.6t/a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0.28</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28mg/m</w:t>
                  </w:r>
                  <w:r>
                    <w:rPr>
                      <w:rFonts w:cs="Times New Roman"/>
                      <w:sz w:val="21"/>
                      <w:szCs w:val="21"/>
                      <w:vertAlign w:val="superscript"/>
                    </w:rPr>
                    <w:t>3</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有</w:t>
                  </w:r>
                  <w:r>
                    <w:rPr>
                      <w:rFonts w:cs="Times New Roman"/>
                      <w:sz w:val="21"/>
                      <w:szCs w:val="21"/>
                    </w:rPr>
                    <w:t>组织</w:t>
                  </w:r>
                </w:p>
              </w:tc>
              <w:tc>
                <w:tcPr>
                  <w:tcW w:w="871"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负压收集+两级活性炭吸附装置，由15m高排气筒（DA00</w:t>
                  </w:r>
                  <w:r>
                    <w:rPr>
                      <w:rFonts w:cs="Times New Roman"/>
                      <w:sz w:val="21"/>
                      <w:szCs w:val="21"/>
                    </w:rPr>
                    <w:t>2</w:t>
                  </w:r>
                  <w:r>
                    <w:rPr>
                      <w:rFonts w:hint="eastAsia" w:cs="Times New Roman"/>
                      <w:sz w:val="21"/>
                      <w:szCs w:val="21"/>
                    </w:rPr>
                    <w:t>）排放</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51</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0.265t/a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0.123</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12.3mg/m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5</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0.06</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0.028</w:t>
                  </w:r>
                  <w:r>
                    <w:rPr>
                      <w:rFonts w:hint="eastAsia" w:cs="Times New Roman"/>
                      <w:sz w:val="21"/>
                      <w:szCs w:val="21"/>
                    </w:rPr>
                    <w:t>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车间采取全封闭措施，同时加强通风</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0.06</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0.028</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42"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6</w:t>
                  </w:r>
                </w:p>
              </w:tc>
              <w:tc>
                <w:tcPr>
                  <w:tcW w:w="374" w:type="pct"/>
                  <w:vMerge w:val="restar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固体（液态）沥青养护环保材料生产</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上料</w:t>
                  </w: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颗粒物</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0.1</w:t>
                  </w:r>
                  <w:r>
                    <w:rPr>
                      <w:rFonts w:cs="Times New Roman"/>
                      <w:sz w:val="21"/>
                      <w:szCs w:val="21"/>
                    </w:rPr>
                    <w:t>45</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0.0</w:t>
                  </w:r>
                  <w:r>
                    <w:rPr>
                      <w:rFonts w:cs="Times New Roman"/>
                      <w:sz w:val="21"/>
                      <w:szCs w:val="21"/>
                    </w:rPr>
                    <w:t>7</w:t>
                  </w:r>
                  <w:r>
                    <w:rPr>
                      <w:rFonts w:hint="eastAsia" w:cs="Times New Roman"/>
                      <w:sz w:val="21"/>
                      <w:szCs w:val="21"/>
                    </w:rPr>
                    <w:t>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Align w:val="center"/>
                </w:tcPr>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车间采取全封闭措施，利用自然沉降和洒水抑尘减少颗粒物，同时加强通风</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0.1</w:t>
                  </w:r>
                  <w:r>
                    <w:rPr>
                      <w:rFonts w:cs="Times New Roman"/>
                      <w:sz w:val="21"/>
                      <w:szCs w:val="21"/>
                    </w:rPr>
                    <w:t>45</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0.0</w:t>
                  </w:r>
                  <w:r>
                    <w:rPr>
                      <w:rFonts w:cs="Times New Roman"/>
                      <w:sz w:val="21"/>
                      <w:szCs w:val="21"/>
                    </w:rPr>
                    <w:t>7</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7</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沥青罐加热、搅拌</w:t>
                  </w: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沥青烟</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1.8097t/a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0.838</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83.8mg/m</w:t>
                  </w:r>
                  <w:r>
                    <w:rPr>
                      <w:rFonts w:cs="Times New Roman"/>
                      <w:sz w:val="21"/>
                      <w:szCs w:val="21"/>
                      <w:vertAlign w:val="superscript"/>
                    </w:rPr>
                    <w:t>3</w:t>
                  </w:r>
                </w:p>
              </w:tc>
              <w:tc>
                <w:tcPr>
                  <w:tcW w:w="388" w:type="pct"/>
                  <w:vMerge w:val="restart"/>
                  <w:vAlign w:val="center"/>
                </w:tcPr>
                <w:p>
                  <w:pPr>
                    <w:adjustRightInd w:val="0"/>
                    <w:snapToGrid w:val="0"/>
                    <w:spacing w:line="240" w:lineRule="auto"/>
                    <w:ind w:firstLine="0" w:firstLineChars="0"/>
                    <w:rPr>
                      <w:rFonts w:cs="Times New Roman"/>
                      <w:sz w:val="21"/>
                      <w:szCs w:val="21"/>
                    </w:rPr>
                  </w:pPr>
                  <w:r>
                    <w:rPr>
                      <w:rFonts w:hint="eastAsia" w:cs="Times New Roman"/>
                      <w:sz w:val="21"/>
                      <w:szCs w:val="21"/>
                    </w:rPr>
                    <w:t>有</w:t>
                  </w:r>
                  <w:r>
                    <w:rPr>
                      <w:rFonts w:cs="Times New Roman"/>
                      <w:sz w:val="21"/>
                      <w:szCs w:val="21"/>
                    </w:rPr>
                    <w:t>组织</w:t>
                  </w:r>
                </w:p>
              </w:tc>
              <w:tc>
                <w:tcPr>
                  <w:tcW w:w="871" w:type="pct"/>
                  <w:vMerge w:val="restart"/>
                  <w:vAlign w:val="center"/>
                </w:tcPr>
                <w:p>
                  <w:pPr>
                    <w:adjustRightInd w:val="0"/>
                    <w:snapToGrid w:val="0"/>
                    <w:spacing w:line="240" w:lineRule="auto"/>
                    <w:ind w:firstLine="0" w:firstLineChars="0"/>
                    <w:rPr>
                      <w:rFonts w:cs="Times New Roman"/>
                      <w:sz w:val="21"/>
                      <w:szCs w:val="21"/>
                    </w:rPr>
                  </w:pPr>
                  <w:r>
                    <w:rPr>
                      <w:rFonts w:hint="eastAsia" w:cs="Times New Roman"/>
                      <w:sz w:val="21"/>
                      <w:szCs w:val="21"/>
                    </w:rPr>
                    <w:t>管道收集+两级活性炭吸附装置，由15m高排气筒（DA00</w:t>
                  </w:r>
                  <w:r>
                    <w:rPr>
                      <w:rFonts w:cs="Times New Roman"/>
                      <w:sz w:val="21"/>
                      <w:szCs w:val="21"/>
                    </w:rPr>
                    <w:t>2</w:t>
                  </w:r>
                  <w:r>
                    <w:rPr>
                      <w:rFonts w:hint="eastAsia" w:cs="Times New Roman"/>
                      <w:sz w:val="21"/>
                      <w:szCs w:val="21"/>
                    </w:rPr>
                    <w:t>）排放</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9</w:t>
                  </w:r>
                  <w:r>
                    <w:rPr>
                      <w:rFonts w:cs="Times New Roman"/>
                      <w:sz w:val="21"/>
                      <w:szCs w:val="21"/>
                    </w:rPr>
                    <w:t>0</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0.172t/a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0.08</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8.0mg/m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8</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非甲烷总烃</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1.2669t/a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0.585</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58.6mg/m</w:t>
                  </w:r>
                  <w:r>
                    <w:rPr>
                      <w:rFonts w:cs="Times New Roman"/>
                      <w:sz w:val="21"/>
                      <w:szCs w:val="21"/>
                      <w:vertAlign w:val="superscript"/>
                    </w:rPr>
                    <w:t>3</w:t>
                  </w:r>
                </w:p>
              </w:tc>
              <w:tc>
                <w:tcPr>
                  <w:tcW w:w="388"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71"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9</w:t>
                  </w:r>
                  <w:r>
                    <w:rPr>
                      <w:rFonts w:cs="Times New Roman"/>
                      <w:sz w:val="21"/>
                      <w:szCs w:val="21"/>
                    </w:rPr>
                    <w:t>0</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0.120t/a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0.056</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5.5mg/m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9</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苯并[a]芘</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0.0002t/a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0.00009</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0.009mg/m</w:t>
                  </w:r>
                  <w:r>
                    <w:rPr>
                      <w:rFonts w:cs="Times New Roman"/>
                      <w:sz w:val="21"/>
                      <w:szCs w:val="21"/>
                      <w:vertAlign w:val="superscript"/>
                    </w:rPr>
                    <w:t>3</w:t>
                  </w:r>
                </w:p>
              </w:tc>
              <w:tc>
                <w:tcPr>
                  <w:tcW w:w="388"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71"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9</w:t>
                  </w:r>
                  <w:r>
                    <w:rPr>
                      <w:rFonts w:cs="Times New Roman"/>
                      <w:sz w:val="21"/>
                      <w:szCs w:val="21"/>
                    </w:rPr>
                    <w:t>0</w:t>
                  </w: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是</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0.00002t/a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0.000009</w:t>
                  </w:r>
                  <w:r>
                    <w:rPr>
                      <w:rFonts w:hint="eastAsia" w:cs="Times New Roman"/>
                      <w:sz w:val="21"/>
                      <w:szCs w:val="21"/>
                    </w:rPr>
                    <w:t>kg/h</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0.00088mg/m</w:t>
                  </w:r>
                  <w:r>
                    <w:rPr>
                      <w:rFonts w:cs="Times New Roman"/>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r>
                    <w:rPr>
                      <w:rFonts w:cs="Times New Roman"/>
                      <w:sz w:val="21"/>
                      <w:szCs w:val="21"/>
                    </w:rPr>
                    <w:t>0</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非甲烷总烃</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0.06</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0.0</w:t>
                  </w:r>
                  <w:r>
                    <w:rPr>
                      <w:rFonts w:cs="Times New Roman"/>
                      <w:sz w:val="21"/>
                      <w:szCs w:val="21"/>
                    </w:rPr>
                    <w:t>3</w:t>
                  </w:r>
                  <w:r>
                    <w:rPr>
                      <w:rFonts w:hint="eastAsia" w:cs="Times New Roman"/>
                      <w:sz w:val="21"/>
                      <w:szCs w:val="21"/>
                    </w:rPr>
                    <w:t>kg/h</w:t>
                  </w:r>
                </w:p>
              </w:tc>
              <w:tc>
                <w:tcPr>
                  <w:tcW w:w="388"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加强沥青搅拌机的密封性</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0.06</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0.0</w:t>
                  </w:r>
                  <w:r>
                    <w:rPr>
                      <w:rFonts w:cs="Times New Roman"/>
                      <w:sz w:val="21"/>
                      <w:szCs w:val="21"/>
                    </w:rPr>
                    <w:t>3</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r>
                    <w:rPr>
                      <w:rFonts w:cs="Times New Roman"/>
                      <w:sz w:val="21"/>
                      <w:szCs w:val="21"/>
                    </w:rPr>
                    <w:t>1</w:t>
                  </w: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374"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苯并[a]芘</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0.00001</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0.000005</w:t>
                  </w:r>
                  <w:r>
                    <w:rPr>
                      <w:rFonts w:hint="eastAsia" w:cs="Times New Roman"/>
                      <w:sz w:val="21"/>
                      <w:szCs w:val="21"/>
                    </w:rPr>
                    <w:t>kg/h</w:t>
                  </w:r>
                </w:p>
              </w:tc>
              <w:tc>
                <w:tcPr>
                  <w:tcW w:w="388"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871"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0.00001</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0.000005</w:t>
                  </w:r>
                  <w:r>
                    <w:rPr>
                      <w:rFonts w:hint="eastAsia" w:cs="Times New Roman"/>
                      <w:sz w:val="21"/>
                      <w:szCs w:val="21"/>
                    </w:rPr>
                    <w:t>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r>
                    <w:rPr>
                      <w:rFonts w:cs="Times New Roman"/>
                      <w:sz w:val="21"/>
                      <w:szCs w:val="21"/>
                    </w:rPr>
                    <w:t>2</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固体水泥养护环保材料生产</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上料</w:t>
                  </w: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颗粒物</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0.0098</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0.0045kg/h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Merge w:val="restar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车间采取全封闭措施，利用自然沉降和洒水抑尘减少颗粒物，同时加强通风</w:t>
                  </w: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0.0098</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0.0045kg/h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251"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r>
                    <w:rPr>
                      <w:rFonts w:cs="Times New Roman"/>
                      <w:sz w:val="21"/>
                      <w:szCs w:val="21"/>
                    </w:rPr>
                    <w:t>3</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液态水泥养护环保材料生产</w:t>
                  </w:r>
                </w:p>
              </w:tc>
              <w:tc>
                <w:tcPr>
                  <w:tcW w:w="37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搅拌</w:t>
                  </w:r>
                </w:p>
              </w:tc>
              <w:tc>
                <w:tcPr>
                  <w:tcW w:w="264"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非甲烷总烃</w:t>
                  </w:r>
                </w:p>
              </w:tc>
              <w:tc>
                <w:tcPr>
                  <w:tcW w:w="808"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0.004</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0.02</w:t>
                  </w:r>
                  <w:r>
                    <w:rPr>
                      <w:rFonts w:hint="eastAsia" w:cs="Times New Roman"/>
                      <w:sz w:val="21"/>
                      <w:szCs w:val="21"/>
                    </w:rPr>
                    <w:t>kg/h</w:t>
                  </w:r>
                </w:p>
              </w:tc>
              <w:tc>
                <w:tcPr>
                  <w:tcW w:w="388"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无</w:t>
                  </w:r>
                  <w:r>
                    <w:rPr>
                      <w:rFonts w:cs="Times New Roman"/>
                      <w:sz w:val="21"/>
                      <w:szCs w:val="21"/>
                    </w:rPr>
                    <w:t>组织</w:t>
                  </w:r>
                </w:p>
              </w:tc>
              <w:tc>
                <w:tcPr>
                  <w:tcW w:w="871" w:type="pct"/>
                  <w:vMerge w:val="continue"/>
                  <w:vAlign w:val="center"/>
                </w:tcPr>
                <w:p>
                  <w:pPr>
                    <w:adjustRightInd w:val="0"/>
                    <w:snapToGrid w:val="0"/>
                    <w:spacing w:line="240" w:lineRule="auto"/>
                    <w:ind w:firstLine="0" w:firstLineChars="0"/>
                    <w:jc w:val="center"/>
                    <w:textAlignment w:val="auto"/>
                    <w:rPr>
                      <w:rFonts w:cs="Times New Roman"/>
                      <w:sz w:val="21"/>
                      <w:szCs w:val="21"/>
                    </w:rPr>
                  </w:pPr>
                </w:p>
              </w:tc>
              <w:tc>
                <w:tcPr>
                  <w:tcW w:w="462"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353"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w:t>
                  </w:r>
                </w:p>
              </w:tc>
              <w:tc>
                <w:tcPr>
                  <w:tcW w:w="856"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0.004</w:t>
                  </w:r>
                  <w:r>
                    <w:rPr>
                      <w:rFonts w:hint="eastAsia" w:cs="Times New Roman"/>
                      <w:sz w:val="21"/>
                      <w:szCs w:val="21"/>
                    </w:rPr>
                    <w:t>t/a</w:t>
                  </w:r>
                </w:p>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0.02</w:t>
                  </w:r>
                  <w:r>
                    <w:rPr>
                      <w:rFonts w:hint="eastAsia" w:cs="Times New Roman"/>
                      <w:sz w:val="21"/>
                      <w:szCs w:val="21"/>
                    </w:rPr>
                    <w:t>kg/h</w:t>
                  </w:r>
                </w:p>
              </w:tc>
            </w:tr>
          </w:tbl>
          <w:p>
            <w:pPr>
              <w:ind w:firstLine="0" w:firstLineChars="0"/>
              <w:rPr>
                <w:b/>
                <w:bCs/>
              </w:rPr>
            </w:pPr>
            <w:r>
              <w:rPr>
                <w:rFonts w:hint="eastAsia"/>
                <w:b/>
                <w:bCs/>
              </w:rPr>
              <w:t>4.2.1.2排放口基本情况</w:t>
            </w:r>
          </w:p>
          <w:p>
            <w:pPr>
              <w:ind w:firstLine="480"/>
            </w:pPr>
            <w:r>
              <w:rPr>
                <w:rFonts w:hint="eastAsia"/>
              </w:rPr>
              <w:t>该项目建成运营期间，有组织污染源排放口基本情况及排放标准见表4</w:t>
            </w:r>
            <w:r>
              <w:t>-2</w:t>
            </w:r>
            <w:r>
              <w:rPr>
                <w:rFonts w:hint="eastAsia"/>
              </w:rPr>
              <w:t>。</w:t>
            </w:r>
          </w:p>
          <w:p>
            <w:pPr>
              <w:pStyle w:val="13"/>
              <w:spacing w:line="240" w:lineRule="auto"/>
              <w:ind w:firstLine="198" w:firstLineChars="94"/>
              <w:jc w:val="center"/>
            </w:pPr>
            <w:r>
              <w:rPr>
                <w:rFonts w:hint="eastAsia"/>
                <w:b/>
                <w:bCs/>
                <w:sz w:val="21"/>
                <w:szCs w:val="21"/>
              </w:rPr>
              <w:t>表4-</w:t>
            </w:r>
            <w:r>
              <w:rPr>
                <w:b/>
                <w:bCs/>
                <w:sz w:val="21"/>
                <w:szCs w:val="21"/>
              </w:rPr>
              <w:t>2</w:t>
            </w:r>
            <w:r>
              <w:rPr>
                <w:rFonts w:hint="eastAsia"/>
                <w:b/>
                <w:bCs/>
                <w:sz w:val="21"/>
                <w:szCs w:val="21"/>
              </w:rPr>
              <w:t xml:space="preserve">  排放口基本情况一览表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5"/>
              <w:gridCol w:w="853"/>
              <w:gridCol w:w="508"/>
              <w:gridCol w:w="1222"/>
              <w:gridCol w:w="1239"/>
              <w:gridCol w:w="816"/>
              <w:gridCol w:w="816"/>
              <w:gridCol w:w="875"/>
              <w:gridCol w:w="435"/>
              <w:gridCol w:w="150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740" w:type="pct"/>
                  <w:gridSpan w:val="2"/>
                  <w:tcBorders>
                    <w:top w:val="single" w:color="auto" w:sz="12" w:space="0"/>
                    <w:left w:val="single" w:color="auto" w:sz="12"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污染源</w:t>
                  </w:r>
                </w:p>
              </w:tc>
              <w:tc>
                <w:tcPr>
                  <w:tcW w:w="292" w:type="pct"/>
                  <w:vMerge w:val="restar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污染物</w:t>
                  </w:r>
                </w:p>
              </w:tc>
              <w:tc>
                <w:tcPr>
                  <w:tcW w:w="702" w:type="pct"/>
                  <w:vMerge w:val="restar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排放标准（mg/m</w:t>
                  </w:r>
                  <w:r>
                    <w:rPr>
                      <w:rFonts w:cs="Times New Roman"/>
                      <w:sz w:val="21"/>
                      <w:szCs w:val="21"/>
                      <w:vertAlign w:val="superscript"/>
                    </w:rPr>
                    <w:t>3</w:t>
                  </w:r>
                  <w:r>
                    <w:rPr>
                      <w:rFonts w:cs="Times New Roman"/>
                      <w:sz w:val="21"/>
                      <w:szCs w:val="21"/>
                    </w:rPr>
                    <w:t>）</w:t>
                  </w:r>
                </w:p>
              </w:tc>
              <w:tc>
                <w:tcPr>
                  <w:tcW w:w="712" w:type="pct"/>
                  <w:vMerge w:val="restar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排放速率限值（kg/h）</w:t>
                  </w:r>
                </w:p>
              </w:tc>
              <w:tc>
                <w:tcPr>
                  <w:tcW w:w="1441" w:type="pct"/>
                  <w:gridSpan w:val="3"/>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排气筒参数</w:t>
                  </w:r>
                </w:p>
              </w:tc>
              <w:tc>
                <w:tcPr>
                  <w:tcW w:w="250" w:type="pct"/>
                  <w:vMerge w:val="restar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排气筒类型</w:t>
                  </w:r>
                </w:p>
              </w:tc>
              <w:tc>
                <w:tcPr>
                  <w:tcW w:w="863" w:type="pct"/>
                  <w:vMerge w:val="restart"/>
                  <w:tcBorders>
                    <w:top w:val="single" w:color="auto" w:sz="12" w:space="0"/>
                    <w:left w:val="single" w:color="auto" w:sz="6" w:space="0"/>
                    <w:bottom w:val="single" w:color="auto" w:sz="6" w:space="0"/>
                    <w:right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排气筒坐标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12" w:hRule="atLeast"/>
                <w:jc w:val="center"/>
              </w:trPr>
              <w:tc>
                <w:tcPr>
                  <w:tcW w:w="250" w:type="pct"/>
                  <w:tcBorders>
                    <w:top w:val="single" w:color="auto" w:sz="6" w:space="0"/>
                    <w:left w:val="single" w:color="auto" w:sz="12"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名称</w:t>
                  </w:r>
                </w:p>
              </w:tc>
              <w:tc>
                <w:tcPr>
                  <w:tcW w:w="490"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编号</w:t>
                  </w:r>
                </w:p>
              </w:tc>
              <w:tc>
                <w:tcPr>
                  <w:tcW w:w="292" w:type="pct"/>
                  <w:vMerge w:val="continue"/>
                  <w:tcBorders>
                    <w:top w:val="single" w:color="auto" w:sz="4" w:space="0"/>
                    <w:left w:val="single" w:color="auto" w:sz="6" w:space="0"/>
                    <w:bottom w:val="single" w:color="auto" w:sz="6" w:space="0"/>
                    <w:right w:val="single" w:color="auto" w:sz="6" w:space="0"/>
                  </w:tcBorders>
                  <w:vAlign w:val="center"/>
                </w:tcPr>
                <w:p>
                  <w:pPr>
                    <w:widowControl/>
                    <w:spacing w:line="240" w:lineRule="auto"/>
                    <w:ind w:firstLine="0" w:firstLineChars="0"/>
                    <w:jc w:val="center"/>
                    <w:rPr>
                      <w:rFonts w:cs="Times New Roman"/>
                      <w:sz w:val="21"/>
                      <w:szCs w:val="21"/>
                    </w:rPr>
                  </w:pPr>
                </w:p>
              </w:tc>
              <w:tc>
                <w:tcPr>
                  <w:tcW w:w="702" w:type="pct"/>
                  <w:vMerge w:val="continue"/>
                  <w:tcBorders>
                    <w:top w:val="single" w:color="auto" w:sz="4" w:space="0"/>
                    <w:left w:val="single" w:color="auto" w:sz="6" w:space="0"/>
                    <w:bottom w:val="single" w:color="auto" w:sz="6" w:space="0"/>
                    <w:right w:val="single" w:color="auto" w:sz="6" w:space="0"/>
                  </w:tcBorders>
                  <w:vAlign w:val="center"/>
                </w:tcPr>
                <w:p>
                  <w:pPr>
                    <w:widowControl/>
                    <w:spacing w:line="240" w:lineRule="auto"/>
                    <w:ind w:firstLine="0" w:firstLineChars="0"/>
                    <w:jc w:val="center"/>
                    <w:rPr>
                      <w:rFonts w:cs="Times New Roman"/>
                      <w:sz w:val="21"/>
                      <w:szCs w:val="21"/>
                    </w:rPr>
                  </w:pPr>
                </w:p>
              </w:tc>
              <w:tc>
                <w:tcPr>
                  <w:tcW w:w="712" w:type="pct"/>
                  <w:vMerge w:val="continue"/>
                  <w:tcBorders>
                    <w:top w:val="single" w:color="auto" w:sz="4" w:space="0"/>
                    <w:left w:val="single" w:color="auto" w:sz="6" w:space="0"/>
                    <w:bottom w:val="single" w:color="auto" w:sz="6" w:space="0"/>
                    <w:right w:val="single" w:color="auto" w:sz="6" w:space="0"/>
                  </w:tcBorders>
                  <w:vAlign w:val="center"/>
                </w:tcPr>
                <w:p>
                  <w:pPr>
                    <w:widowControl/>
                    <w:spacing w:line="240" w:lineRule="auto"/>
                    <w:ind w:firstLine="0" w:firstLineChars="0"/>
                    <w:jc w:val="center"/>
                    <w:rPr>
                      <w:rFonts w:cs="Times New Roman"/>
                      <w:sz w:val="21"/>
                      <w:szCs w:val="21"/>
                    </w:rPr>
                  </w:pPr>
                </w:p>
              </w:tc>
              <w:tc>
                <w:tcPr>
                  <w:tcW w:w="469"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高（m）</w:t>
                  </w:r>
                </w:p>
              </w:tc>
              <w:tc>
                <w:tcPr>
                  <w:tcW w:w="469"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内径（m）</w:t>
                  </w:r>
                </w:p>
              </w:tc>
              <w:tc>
                <w:tcPr>
                  <w:tcW w:w="50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温度（℃）</w:t>
                  </w:r>
                </w:p>
              </w:tc>
              <w:tc>
                <w:tcPr>
                  <w:tcW w:w="250" w:type="pct"/>
                  <w:vMerge w:val="continue"/>
                  <w:tcBorders>
                    <w:top w:val="single" w:color="auto" w:sz="4" w:space="0"/>
                    <w:left w:val="single" w:color="auto" w:sz="6" w:space="0"/>
                    <w:bottom w:val="single" w:color="auto" w:sz="6" w:space="0"/>
                    <w:right w:val="single" w:color="auto" w:sz="6" w:space="0"/>
                  </w:tcBorders>
                  <w:vAlign w:val="center"/>
                </w:tcPr>
                <w:p>
                  <w:pPr>
                    <w:widowControl/>
                    <w:spacing w:line="240" w:lineRule="auto"/>
                    <w:ind w:firstLine="0" w:firstLineChars="0"/>
                    <w:jc w:val="center"/>
                    <w:rPr>
                      <w:rFonts w:cs="Times New Roman"/>
                      <w:sz w:val="21"/>
                      <w:szCs w:val="21"/>
                    </w:rPr>
                  </w:pPr>
                </w:p>
              </w:tc>
              <w:tc>
                <w:tcPr>
                  <w:tcW w:w="863" w:type="pct"/>
                  <w:vMerge w:val="continue"/>
                  <w:tcBorders>
                    <w:top w:val="single" w:color="auto" w:sz="4" w:space="0"/>
                    <w:left w:val="single" w:color="auto" w:sz="6" w:space="0"/>
                    <w:bottom w:val="single" w:color="auto" w:sz="6" w:space="0"/>
                    <w:right w:val="single" w:color="auto" w:sz="12" w:space="0"/>
                  </w:tcBorders>
                  <w:vAlign w:val="center"/>
                </w:tcPr>
                <w:p>
                  <w:pPr>
                    <w:widowControl/>
                    <w:spacing w:line="240" w:lineRule="auto"/>
                    <w:ind w:firstLine="0" w:firstLineChars="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22" w:hRule="atLeast"/>
                <w:jc w:val="center"/>
              </w:trPr>
              <w:tc>
                <w:tcPr>
                  <w:tcW w:w="250" w:type="pct"/>
                  <w:tcBorders>
                    <w:top w:val="single" w:color="auto" w:sz="6" w:space="0"/>
                    <w:left w:val="single" w:color="auto" w:sz="12"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布袋除尘器</w:t>
                  </w:r>
                  <w:r>
                    <w:rPr>
                      <w:rFonts w:cs="Times New Roman"/>
                      <w:sz w:val="21"/>
                      <w:szCs w:val="21"/>
                    </w:rPr>
                    <w:t>排气筒</w:t>
                  </w:r>
                </w:p>
              </w:tc>
              <w:tc>
                <w:tcPr>
                  <w:tcW w:w="490"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DA001</w:t>
                  </w:r>
                </w:p>
              </w:tc>
              <w:tc>
                <w:tcPr>
                  <w:tcW w:w="29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颗粒物</w:t>
                  </w:r>
                </w:p>
              </w:tc>
              <w:tc>
                <w:tcPr>
                  <w:tcW w:w="70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1</w:t>
                  </w:r>
                  <w:r>
                    <w:rPr>
                      <w:rFonts w:cs="Times New Roman"/>
                      <w:sz w:val="21"/>
                      <w:szCs w:val="21"/>
                    </w:rPr>
                    <w:t>20</w:t>
                  </w:r>
                </w:p>
              </w:tc>
              <w:tc>
                <w:tcPr>
                  <w:tcW w:w="71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3.5</w:t>
                  </w:r>
                </w:p>
              </w:tc>
              <w:tc>
                <w:tcPr>
                  <w:tcW w:w="469"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15</w:t>
                  </w:r>
                </w:p>
              </w:tc>
              <w:tc>
                <w:tcPr>
                  <w:tcW w:w="469"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0.5</w:t>
                  </w:r>
                </w:p>
              </w:tc>
              <w:tc>
                <w:tcPr>
                  <w:tcW w:w="50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常温</w:t>
                  </w:r>
                </w:p>
              </w:tc>
              <w:tc>
                <w:tcPr>
                  <w:tcW w:w="250"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一般排放口</w:t>
                  </w:r>
                </w:p>
              </w:tc>
              <w:tc>
                <w:tcPr>
                  <w:tcW w:w="863" w:type="pct"/>
                  <w:tcBorders>
                    <w:top w:val="single" w:color="auto" w:sz="6" w:space="0"/>
                    <w:left w:val="single" w:color="auto" w:sz="6" w:space="0"/>
                    <w:bottom w:val="single" w:color="auto" w:sz="6" w:space="0"/>
                    <w:right w:val="single" w:color="auto" w:sz="12" w:space="0"/>
                  </w:tcBorders>
                  <w:vAlign w:val="center"/>
                </w:tcPr>
                <w:p>
                  <w:pPr>
                    <w:spacing w:line="240" w:lineRule="auto"/>
                    <w:ind w:firstLine="0" w:firstLineChars="0"/>
                    <w:rPr>
                      <w:rFonts w:cs="Times New Roman"/>
                      <w:sz w:val="21"/>
                      <w:szCs w:val="21"/>
                    </w:rPr>
                  </w:pPr>
                  <w:r>
                    <w:rPr>
                      <w:rFonts w:hint="eastAsia" w:cs="Times New Roman"/>
                      <w:sz w:val="21"/>
                      <w:szCs w:val="21"/>
                    </w:rPr>
                    <w:t>E86.209158</w:t>
                  </w:r>
                </w:p>
                <w:p>
                  <w:pPr>
                    <w:spacing w:line="240" w:lineRule="auto"/>
                    <w:ind w:firstLine="0" w:firstLineChars="0"/>
                    <w:rPr>
                      <w:rFonts w:cs="Times New Roman"/>
                      <w:sz w:val="21"/>
                      <w:szCs w:val="21"/>
                      <w:highlight w:val="yellow"/>
                    </w:rPr>
                  </w:pPr>
                  <w:r>
                    <w:rPr>
                      <w:rFonts w:hint="eastAsia" w:cs="Times New Roman"/>
                      <w:sz w:val="21"/>
                      <w:szCs w:val="21"/>
                    </w:rPr>
                    <w:t>N42.425818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14" w:hRule="atLeast"/>
                <w:jc w:val="center"/>
              </w:trPr>
              <w:tc>
                <w:tcPr>
                  <w:tcW w:w="250" w:type="pct"/>
                  <w:vMerge w:val="restart"/>
                  <w:tcBorders>
                    <w:top w:val="single" w:color="auto" w:sz="6" w:space="0"/>
                    <w:left w:val="single" w:color="auto" w:sz="12"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活性炭吸附装置</w:t>
                  </w:r>
                  <w:r>
                    <w:rPr>
                      <w:rFonts w:cs="Times New Roman"/>
                      <w:sz w:val="21"/>
                      <w:szCs w:val="21"/>
                    </w:rPr>
                    <w:t>排气筒</w:t>
                  </w:r>
                </w:p>
              </w:tc>
              <w:tc>
                <w:tcPr>
                  <w:tcW w:w="490" w:type="pct"/>
                  <w:vMerge w:val="restar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D</w:t>
                  </w:r>
                  <w:r>
                    <w:rPr>
                      <w:rFonts w:cs="Times New Roman"/>
                      <w:sz w:val="21"/>
                      <w:szCs w:val="21"/>
                    </w:rPr>
                    <w:t>A002</w:t>
                  </w:r>
                </w:p>
              </w:tc>
              <w:tc>
                <w:tcPr>
                  <w:tcW w:w="29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非甲烷总烃</w:t>
                  </w:r>
                </w:p>
              </w:tc>
              <w:tc>
                <w:tcPr>
                  <w:tcW w:w="702" w:type="pc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1</w:t>
                  </w:r>
                  <w:r>
                    <w:rPr>
                      <w:rFonts w:cs="Times New Roman"/>
                      <w:sz w:val="21"/>
                      <w:szCs w:val="21"/>
                    </w:rPr>
                    <w:t>20</w:t>
                  </w:r>
                </w:p>
              </w:tc>
              <w:tc>
                <w:tcPr>
                  <w:tcW w:w="712" w:type="pc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1</w:t>
                  </w:r>
                  <w:r>
                    <w:rPr>
                      <w:rFonts w:cs="Times New Roman"/>
                      <w:sz w:val="21"/>
                      <w:szCs w:val="21"/>
                    </w:rPr>
                    <w:t>0</w:t>
                  </w:r>
                </w:p>
              </w:tc>
              <w:tc>
                <w:tcPr>
                  <w:tcW w:w="469" w:type="pct"/>
                  <w:vMerge w:val="restar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1</w:t>
                  </w:r>
                  <w:r>
                    <w:rPr>
                      <w:rFonts w:cs="Times New Roman"/>
                      <w:sz w:val="21"/>
                      <w:szCs w:val="21"/>
                    </w:rPr>
                    <w:t>5</w:t>
                  </w:r>
                </w:p>
              </w:tc>
              <w:tc>
                <w:tcPr>
                  <w:tcW w:w="469" w:type="pct"/>
                  <w:vMerge w:val="restar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0</w:t>
                  </w:r>
                  <w:r>
                    <w:rPr>
                      <w:rFonts w:cs="Times New Roman"/>
                      <w:sz w:val="21"/>
                      <w:szCs w:val="21"/>
                    </w:rPr>
                    <w:t>.5</w:t>
                  </w:r>
                </w:p>
              </w:tc>
              <w:tc>
                <w:tcPr>
                  <w:tcW w:w="502" w:type="pct"/>
                  <w:vMerge w:val="restar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常温</w:t>
                  </w:r>
                </w:p>
              </w:tc>
              <w:tc>
                <w:tcPr>
                  <w:tcW w:w="250" w:type="pct"/>
                  <w:vMerge w:val="restart"/>
                  <w:tcBorders>
                    <w:top w:val="single" w:color="auto" w:sz="6" w:space="0"/>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一般排放口</w:t>
                  </w:r>
                </w:p>
              </w:tc>
              <w:tc>
                <w:tcPr>
                  <w:tcW w:w="863" w:type="pct"/>
                  <w:vMerge w:val="restart"/>
                  <w:tcBorders>
                    <w:top w:val="single" w:color="auto" w:sz="6" w:space="0"/>
                    <w:left w:val="single" w:color="auto" w:sz="6" w:space="0"/>
                    <w:right w:val="single" w:color="auto" w:sz="12" w:space="0"/>
                  </w:tcBorders>
                  <w:vAlign w:val="center"/>
                </w:tcPr>
                <w:p>
                  <w:pPr>
                    <w:spacing w:line="240" w:lineRule="auto"/>
                    <w:ind w:firstLine="0" w:firstLineChars="0"/>
                    <w:rPr>
                      <w:rFonts w:cs="Times New Roman"/>
                      <w:sz w:val="21"/>
                      <w:szCs w:val="21"/>
                    </w:rPr>
                  </w:pPr>
                  <w:r>
                    <w:rPr>
                      <w:rFonts w:hint="eastAsia" w:cs="Times New Roman"/>
                      <w:sz w:val="21"/>
                      <w:szCs w:val="21"/>
                    </w:rPr>
                    <w:t>E86.209405</w:t>
                  </w:r>
                </w:p>
                <w:p>
                  <w:pPr>
                    <w:spacing w:line="240" w:lineRule="auto"/>
                    <w:ind w:firstLine="0" w:firstLineChars="0"/>
                    <w:rPr>
                      <w:rFonts w:cs="Times New Roman"/>
                      <w:sz w:val="21"/>
                      <w:szCs w:val="21"/>
                    </w:rPr>
                  </w:pPr>
                  <w:r>
                    <w:rPr>
                      <w:rFonts w:hint="eastAsia" w:cs="Times New Roman"/>
                      <w:sz w:val="21"/>
                      <w:szCs w:val="21"/>
                    </w:rPr>
                    <w:t>N42.425785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82" w:hRule="atLeast"/>
                <w:jc w:val="center"/>
              </w:trPr>
              <w:tc>
                <w:tcPr>
                  <w:tcW w:w="250" w:type="pct"/>
                  <w:vMerge w:val="continue"/>
                  <w:tcBorders>
                    <w:left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490" w:type="pct"/>
                  <w:vMerge w:val="continue"/>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p>
              </w:tc>
              <w:tc>
                <w:tcPr>
                  <w:tcW w:w="29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hint="eastAsia"/>
                      <w:color w:val="000000"/>
                      <w:sz w:val="21"/>
                      <w:szCs w:val="21"/>
                    </w:rPr>
                    <w:t>苯并[a]芘</w:t>
                  </w:r>
                </w:p>
              </w:tc>
              <w:tc>
                <w:tcPr>
                  <w:tcW w:w="702" w:type="pct"/>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0.30×10</w:t>
                  </w:r>
                  <w:r>
                    <w:rPr>
                      <w:rFonts w:cs="Times New Roman"/>
                      <w:sz w:val="21"/>
                      <w:szCs w:val="21"/>
                      <w:vertAlign w:val="superscript"/>
                    </w:rPr>
                    <w:t>-3</w:t>
                  </w:r>
                </w:p>
              </w:tc>
              <w:tc>
                <w:tcPr>
                  <w:tcW w:w="712" w:type="pct"/>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0.050×10</w:t>
                  </w:r>
                  <w:r>
                    <w:rPr>
                      <w:rFonts w:cs="Times New Roman"/>
                      <w:sz w:val="21"/>
                      <w:szCs w:val="21"/>
                      <w:vertAlign w:val="superscript"/>
                    </w:rPr>
                    <w:t>-3</w:t>
                  </w:r>
                </w:p>
              </w:tc>
              <w:tc>
                <w:tcPr>
                  <w:tcW w:w="469" w:type="pct"/>
                  <w:vMerge w:val="continue"/>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p>
              </w:tc>
              <w:tc>
                <w:tcPr>
                  <w:tcW w:w="469" w:type="pct"/>
                  <w:vMerge w:val="continue"/>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p>
              </w:tc>
              <w:tc>
                <w:tcPr>
                  <w:tcW w:w="502" w:type="pct"/>
                  <w:vMerge w:val="continue"/>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p>
              </w:tc>
              <w:tc>
                <w:tcPr>
                  <w:tcW w:w="250" w:type="pct"/>
                  <w:vMerge w:val="continue"/>
                  <w:tcBorders>
                    <w:left w:val="single" w:color="auto" w:sz="6" w:space="0"/>
                    <w:right w:val="single" w:color="auto" w:sz="6" w:space="0"/>
                  </w:tcBorders>
                  <w:vAlign w:val="center"/>
                </w:tcPr>
                <w:p>
                  <w:pPr>
                    <w:spacing w:line="240" w:lineRule="auto"/>
                    <w:ind w:firstLine="0" w:firstLineChars="0"/>
                    <w:jc w:val="center"/>
                    <w:rPr>
                      <w:rFonts w:cs="Times New Roman"/>
                      <w:sz w:val="21"/>
                      <w:szCs w:val="21"/>
                    </w:rPr>
                  </w:pPr>
                </w:p>
              </w:tc>
              <w:tc>
                <w:tcPr>
                  <w:tcW w:w="863" w:type="pct"/>
                  <w:vMerge w:val="continue"/>
                  <w:tcBorders>
                    <w:left w:val="single" w:color="auto" w:sz="6" w:space="0"/>
                    <w:right w:val="single" w:color="auto" w:sz="12" w:space="0"/>
                  </w:tcBorders>
                  <w:vAlign w:val="center"/>
                </w:tcPr>
                <w:p>
                  <w:pPr>
                    <w:spacing w:line="240" w:lineRule="auto"/>
                    <w:ind w:firstLine="0" w:firstLineChars="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82" w:hRule="atLeast"/>
                <w:jc w:val="center"/>
              </w:trPr>
              <w:tc>
                <w:tcPr>
                  <w:tcW w:w="250" w:type="pct"/>
                  <w:vMerge w:val="continue"/>
                  <w:tcBorders>
                    <w:left w:val="single" w:color="auto" w:sz="12"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490" w:type="pct"/>
                  <w:vMerge w:val="continue"/>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292" w:type="pct"/>
                  <w:tcBorders>
                    <w:top w:val="single" w:color="auto" w:sz="6" w:space="0"/>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r>
                    <w:rPr>
                      <w:rFonts w:hint="eastAsia" w:cs="Times New Roman"/>
                      <w:sz w:val="21"/>
                      <w:szCs w:val="21"/>
                    </w:rPr>
                    <w:t>沥青烟</w:t>
                  </w:r>
                </w:p>
              </w:tc>
              <w:tc>
                <w:tcPr>
                  <w:tcW w:w="702" w:type="pct"/>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75</w:t>
                  </w:r>
                </w:p>
              </w:tc>
              <w:tc>
                <w:tcPr>
                  <w:tcW w:w="712" w:type="pct"/>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r>
                    <w:rPr>
                      <w:rFonts w:cs="Times New Roman"/>
                      <w:sz w:val="21"/>
                      <w:szCs w:val="21"/>
                    </w:rPr>
                    <w:t>0.18</w:t>
                  </w:r>
                </w:p>
              </w:tc>
              <w:tc>
                <w:tcPr>
                  <w:tcW w:w="469" w:type="pct"/>
                  <w:vMerge w:val="continue"/>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469" w:type="pct"/>
                  <w:vMerge w:val="continue"/>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502" w:type="pct"/>
                  <w:vMerge w:val="continue"/>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250" w:type="pct"/>
                  <w:vMerge w:val="continue"/>
                  <w:tcBorders>
                    <w:left w:val="single" w:color="auto" w:sz="6" w:space="0"/>
                    <w:bottom w:val="single" w:color="auto" w:sz="12" w:space="0"/>
                    <w:right w:val="single" w:color="auto" w:sz="6" w:space="0"/>
                  </w:tcBorders>
                  <w:vAlign w:val="center"/>
                </w:tcPr>
                <w:p>
                  <w:pPr>
                    <w:spacing w:line="240" w:lineRule="auto"/>
                    <w:ind w:firstLine="0" w:firstLineChars="0"/>
                    <w:jc w:val="center"/>
                    <w:rPr>
                      <w:rFonts w:cs="Times New Roman"/>
                      <w:sz w:val="21"/>
                      <w:szCs w:val="21"/>
                    </w:rPr>
                  </w:pPr>
                </w:p>
              </w:tc>
              <w:tc>
                <w:tcPr>
                  <w:tcW w:w="863" w:type="pct"/>
                  <w:vMerge w:val="continue"/>
                  <w:tcBorders>
                    <w:left w:val="single" w:color="auto" w:sz="6" w:space="0"/>
                    <w:bottom w:val="single" w:color="auto" w:sz="12" w:space="0"/>
                    <w:right w:val="single" w:color="auto" w:sz="12" w:space="0"/>
                  </w:tcBorders>
                  <w:vAlign w:val="center"/>
                </w:tcPr>
                <w:p>
                  <w:pPr>
                    <w:spacing w:line="240" w:lineRule="auto"/>
                    <w:ind w:firstLine="0" w:firstLineChars="0"/>
                    <w:jc w:val="center"/>
                    <w:rPr>
                      <w:rFonts w:cs="Times New Roman"/>
                      <w:sz w:val="21"/>
                      <w:szCs w:val="21"/>
                    </w:rPr>
                  </w:pPr>
                </w:p>
              </w:tc>
            </w:tr>
          </w:tbl>
          <w:p>
            <w:pPr>
              <w:ind w:firstLine="0" w:firstLineChars="0"/>
              <w:rPr>
                <w:b/>
                <w:bCs/>
              </w:rPr>
            </w:pPr>
            <w:r>
              <w:rPr>
                <w:rFonts w:hint="eastAsia"/>
                <w:b/>
                <w:bCs/>
              </w:rPr>
              <w:t>4</w:t>
            </w:r>
            <w:r>
              <w:rPr>
                <w:b/>
                <w:bCs/>
              </w:rPr>
              <w:t>.2.1.3</w:t>
            </w:r>
            <w:r>
              <w:rPr>
                <w:rFonts w:hint="eastAsia"/>
                <w:b/>
                <w:bCs/>
              </w:rPr>
              <w:t>达标分析</w:t>
            </w:r>
          </w:p>
          <w:p>
            <w:pPr>
              <w:ind w:firstLine="480"/>
              <w:rPr>
                <w:rFonts w:cs="Times New Roman"/>
                <w:color w:val="000000"/>
              </w:rPr>
            </w:pPr>
            <w:r>
              <w:rPr>
                <w:rFonts w:cs="Times New Roman"/>
                <w:color w:val="000000"/>
              </w:rPr>
              <w:t>废气主要为两类：粉料卸料、投料、上料过程产生的颗粒物，以及</w:t>
            </w:r>
            <w:r>
              <w:rPr>
                <w:rFonts w:hint="eastAsia" w:cs="Times New Roman"/>
              </w:rPr>
              <w:t>沥青罐保温、加热、搅拌等过程中产生</w:t>
            </w:r>
            <w:r>
              <w:rPr>
                <w:rFonts w:cs="Times New Roman"/>
                <w:color w:val="000000"/>
              </w:rPr>
              <w:t>的非甲烷总</w:t>
            </w:r>
            <w:r>
              <w:rPr>
                <w:rFonts w:hint="eastAsia" w:cs="Times New Roman"/>
                <w:color w:val="000000"/>
              </w:rPr>
              <w:t>烃</w:t>
            </w:r>
            <w:r>
              <w:rPr>
                <w:rFonts w:cs="Times New Roman"/>
                <w:color w:val="000000"/>
              </w:rPr>
              <w:t>、沥青烟、</w:t>
            </w:r>
            <w:r>
              <w:rPr>
                <w:rFonts w:hint="eastAsia" w:cs="Times New Roman"/>
                <w:color w:val="000000"/>
              </w:rPr>
              <w:t>苯并[a]芘</w:t>
            </w:r>
            <w:r>
              <w:rPr>
                <w:rFonts w:cs="Times New Roman"/>
                <w:color w:val="000000"/>
              </w:rPr>
              <w:t>。</w:t>
            </w:r>
            <w:r>
              <w:rPr>
                <w:rFonts w:cs="Times New Roman"/>
                <w:color w:val="0F1115"/>
                <w:shd w:val="clear" w:color="auto" w:fill="FFFFFF"/>
              </w:rPr>
              <w:t>粉料卸料、投料、上料产生的颗粒物废气经布袋除尘器处理后，通过一根15m高排气筒（DA001）排放。沥青加热、搅拌工序及沥青罐产生的沥青烟气引入</w:t>
            </w:r>
            <w:r>
              <w:rPr>
                <w:rFonts w:hint="eastAsia" w:cs="Times New Roman"/>
                <w:color w:val="0F1115"/>
                <w:shd w:val="clear" w:color="auto" w:fill="FFFFFF"/>
              </w:rPr>
              <w:t>“</w:t>
            </w:r>
            <w:r>
              <w:rPr>
                <w:rFonts w:hint="eastAsia"/>
              </w:rPr>
              <w:t>电捕焦油器</w:t>
            </w:r>
            <w:r>
              <w:rPr>
                <w:rFonts w:cs="Times New Roman"/>
                <w:color w:val="0F1115"/>
                <w:shd w:val="clear" w:color="auto" w:fill="FFFFFF"/>
              </w:rPr>
              <w:t>+二级活性炭吸附</w:t>
            </w:r>
            <w:r>
              <w:rPr>
                <w:rFonts w:hint="eastAsia" w:cs="Times New Roman"/>
                <w:color w:val="0F1115"/>
                <w:shd w:val="clear" w:color="auto" w:fill="FFFFFF"/>
              </w:rPr>
              <w:t>”</w:t>
            </w:r>
            <w:r>
              <w:rPr>
                <w:rFonts w:cs="Times New Roman"/>
                <w:color w:val="0F1115"/>
                <w:shd w:val="clear" w:color="auto" w:fill="FFFFFF"/>
              </w:rPr>
              <w:t>复合装置处理后，通过一根15m高排气筒（DA002）排</w:t>
            </w:r>
            <w:r>
              <w:rPr>
                <w:rFonts w:ascii="Segoe UI" w:hAnsi="Segoe UI" w:cs="Segoe UI"/>
                <w:color w:val="0F1115"/>
                <w:shd w:val="clear" w:color="auto" w:fill="FFFFFF"/>
              </w:rPr>
              <w:t>放</w:t>
            </w:r>
            <w:r>
              <w:rPr>
                <w:rFonts w:hint="eastAsia" w:ascii="Segoe UI" w:hAnsi="Segoe UI" w:cs="Segoe UI"/>
                <w:color w:val="0F1115"/>
                <w:shd w:val="clear" w:color="auto" w:fill="FFFFFF"/>
              </w:rPr>
              <w:t>。</w:t>
            </w:r>
          </w:p>
          <w:p>
            <w:pPr>
              <w:ind w:firstLine="480"/>
              <w:rPr>
                <w:color w:val="000000"/>
              </w:rPr>
            </w:pPr>
            <w:r>
              <w:rPr>
                <w:rFonts w:hint="eastAsia"/>
                <w:color w:val="000000"/>
              </w:rPr>
              <w:t>（1）粉尘治理措施</w:t>
            </w:r>
          </w:p>
          <w:p>
            <w:pPr>
              <w:ind w:firstLine="480"/>
            </w:pPr>
            <w:r>
              <w:rPr>
                <w:rFonts w:hint="eastAsia"/>
                <w:color w:val="000000"/>
              </w:rPr>
              <w:t>布袋除尘器的工作原理是过滤材料通过弹性碰撞、扩散和筛分作用，把烟气中悬浮的粉尘过滤下来。布袋除尘器具有占地空间小，煤种适应性强，不受燃料变化、粉尘浓度和烟气物化成分的影响，已经粗细尘全收，除尘效率高，一般可达</w:t>
            </w:r>
            <w:r>
              <w:rPr>
                <w:rFonts w:ascii="TimesNewRomanPSMT" w:hAnsi="TimesNewRomanPSMT"/>
                <w:color w:val="000000"/>
              </w:rPr>
              <w:t>99.9%</w:t>
            </w:r>
            <w:r>
              <w:rPr>
                <w:rFonts w:hint="eastAsia"/>
                <w:color w:val="000000"/>
              </w:rPr>
              <w:t>以上的优点。布袋除尘器由灰斗、上箱体、中箱体、下箱体等部分组成，上、中、下箱体为分 室结构。工作时，含尘气体由进风道进入灰斗，粗尘粒直接落入灰斗底部，细尘粒随气流转折向上进入中、下箱体，粉尘积附在滤袋外表面，过滤后的气体进入上箱体至净气集合管排风道，经排风机排至大气或进入后续处理工段。</w:t>
            </w:r>
          </w:p>
          <w:p>
            <w:pPr>
              <w:ind w:firstLine="480"/>
            </w:pPr>
            <w:r>
              <w:rPr>
                <w:rFonts w:hint="eastAsia"/>
                <w:color w:val="000000"/>
              </w:rPr>
              <w:t>布袋除尘器的优点主要是：收尘效率高、性能稳定；由于是布袋收尘，当一个布袋出现故障时，可以及时马上更换布袋，避免颗粒物非正常排放；结构简单、容易制造、投资少。</w:t>
            </w:r>
          </w:p>
          <w:p>
            <w:pPr>
              <w:ind w:firstLine="480"/>
            </w:pPr>
            <w:r>
              <w:rPr>
                <w:rFonts w:hint="eastAsia"/>
              </w:rPr>
              <w:t>建项目含尘废气经布袋除尘器除尘后，颗粒物排放浓度能够满足《大气污染物综合排放标准》（GB16297-1996）中表2的排放限值要求；</w:t>
            </w:r>
          </w:p>
          <w:p>
            <w:pPr>
              <w:ind w:firstLine="480"/>
            </w:pPr>
            <w:r>
              <w:rPr>
                <w:rFonts w:hint="eastAsia"/>
              </w:rPr>
              <w:t>布袋除尘器属于《排污许可证申请与核发技术规范石墨及其他非金属矿物制品制造》（HJ1119-2020）提供的污染防治可行技术，因此本项目除尘使用布袋除尘器是可行的。</w:t>
            </w:r>
          </w:p>
          <w:p>
            <w:pPr>
              <w:ind w:firstLine="480"/>
            </w:pPr>
            <w:r>
              <w:rPr>
                <w:rFonts w:hint="eastAsia"/>
              </w:rPr>
              <w:t>（2）</w:t>
            </w:r>
            <w:r>
              <w:rPr>
                <w:rFonts w:hint="eastAsia" w:cs="Times New Roman"/>
              </w:rPr>
              <w:t>沥青罐保温、加热、搅拌等废气</w:t>
            </w:r>
          </w:p>
          <w:p>
            <w:pPr>
              <w:ind w:firstLine="480"/>
            </w:pPr>
            <w:r>
              <w:rPr>
                <w:rFonts w:hint="eastAsia"/>
              </w:rPr>
              <w:t>本项目沥青储罐采用电加热进行保温，产生的储罐废气采用“电捕焦油器+二级活性炭吸附装置”处理后经1根15m高排气筒DA002高空排放。搅拌废气收集后经废气支管汇入总管，与沥青储罐废气共用一套处理装置进行处理。</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沥青罐产生的烟气经管道进入电捕焦油器，设备内部设有高压直流电场（电晕极和沉淀极）。在高压静电作用下，电晕极周围发生电晕放电，使气体电离生成大量正负离子</w:t>
            </w:r>
            <w:r>
              <w:rPr>
                <w:rFonts w:hint="eastAsia"/>
              </w:rPr>
              <w:t>。烟气中的焦油雾滴、颗粒物等通过电场时与离子碰撞而荷电，在电场力驱动下向带相反电荷的沉淀极（集尘极）运动，并被吸附于极板表面。被捕集的焦油雾滴在极板上凝聚成液滴，依靠自身重力沿极板流下，从设备底部排油口排出回收，实现废气净化。该过程可高效去除烟气中的焦油、苯并[a]芘及颗粒物，对沥青烟和VOCs亦有显著捕集作用。处理后烟气进入后续活性炭吸附装置进一步净化。电捕焦油器运行过程中无需喷淋液体，无废水产生，仅需清洗电极。</w:t>
            </w:r>
          </w:p>
          <w:p>
            <w:pPr>
              <w:ind w:firstLine="480"/>
              <w:rPr>
                <w:color w:val="000000"/>
              </w:rPr>
            </w:pPr>
            <w:r>
              <w:rPr>
                <w:rFonts w:hint="eastAsia"/>
                <w:color w:val="000000"/>
              </w:rPr>
              <w:t>活性炭吸附法是最早的去除有机溶剂的方法，适用于低浓度废气处理，用活性炭作为吸附剂，把废气中的有机物吸附到固相表面进行吸附浓缩，从而达到净化废气的方法。活性炭是去除有机溶剂废气的最适宜的吸附剂，因为其他吸附剂的分子结构具有极性，既具有亲水性，易选择吸附大气中的水分，而有机溶剂是非极性或极性较弱，其吸附率低</w:t>
            </w:r>
            <w:r>
              <w:rPr>
                <w:rFonts w:cs="Times New Roman"/>
                <w:color w:val="000000"/>
              </w:rPr>
              <w:t>；而活性炭具有疏水性，其表面由无数细孔群组成，比表面积比其他吸附剂大，一般为600</w:t>
            </w:r>
            <w:r>
              <w:rPr>
                <w:rFonts w:hint="eastAsia" w:cs="Times New Roman"/>
                <w:color w:val="000000"/>
              </w:rPr>
              <w:t>—</w:t>
            </w:r>
            <w:r>
              <w:rPr>
                <w:rFonts w:cs="Times New Roman"/>
                <w:color w:val="000000"/>
              </w:rPr>
              <w:t>1500</w:t>
            </w:r>
            <w:r>
              <w:rPr>
                <w:rFonts w:hint="eastAsia" w:cs="Times New Roman"/>
                <w:color w:val="000000"/>
              </w:rPr>
              <w:t>m</w:t>
            </w:r>
            <w:r>
              <w:rPr>
                <w:rFonts w:hint="eastAsia" w:cs="Times New Roman"/>
                <w:color w:val="000000"/>
                <w:vertAlign w:val="superscript"/>
              </w:rPr>
              <w:t>2</w:t>
            </w:r>
            <w:r>
              <w:rPr>
                <w:rFonts w:cs="Times New Roman"/>
                <w:color w:val="000000"/>
              </w:rPr>
              <w:t>/g，因而具有优异的吸附性能。在有机废气处理过程中，活性炭常被用来吸附烷烃、烯烃、芳香烃、酮、醛、氯代烃、酯以及挥发性有机物（VOCs）。本工艺所采用的活性炭吸附床采用新型活性炭，该活性炭比表面积和孔隙率打，吸附能力强，具有较好的</w:t>
            </w:r>
            <w:r>
              <w:rPr>
                <w:rFonts w:hint="eastAsia"/>
                <w:color w:val="000000"/>
              </w:rPr>
              <w:t>机械强度、化学稳定性，净化效率高。有机废气通过吸附床，与活性炭接触，废气中的有机污染物被吸附在活性炭表面，从而从气流中脱离出来，达到净化效果。从活性炭吸附床排出的气流已达排放标准，可直接排放。“电捕焦油器+二级活性炭吸附装置”属于《排污许可证申请与核发技术规范石墨及其他非金属矿物制品制造》（HJ1119-2020）提供的污染防治可行技术。由以上分析可知，沥青烟气经</w:t>
            </w:r>
            <w:r>
              <w:rPr>
                <w:rFonts w:ascii="TimesNewRomanPSMT" w:hAnsi="TimesNewRomanPSMT"/>
                <w:color w:val="000000"/>
              </w:rPr>
              <w:t>“</w:t>
            </w:r>
            <w:r>
              <w:rPr>
                <w:rFonts w:hint="eastAsia"/>
                <w:color w:val="000000"/>
              </w:rPr>
              <w:t>电捕焦油器</w:t>
            </w:r>
            <w:r>
              <w:rPr>
                <w:rFonts w:ascii="TimesNewRomanPSMT" w:hAnsi="TimesNewRomanPSMT"/>
                <w:color w:val="000000"/>
              </w:rPr>
              <w:t>+</w:t>
            </w:r>
            <w:r>
              <w:rPr>
                <w:rFonts w:hint="eastAsia"/>
                <w:color w:val="000000"/>
              </w:rPr>
              <w:t>活性炭吸附装置</w:t>
            </w:r>
            <w:r>
              <w:rPr>
                <w:rFonts w:ascii="TimesNewRomanPSMT" w:hAnsi="TimesNewRomanPSMT"/>
                <w:color w:val="000000"/>
              </w:rPr>
              <w:t>”</w:t>
            </w:r>
            <w:r>
              <w:rPr>
                <w:rFonts w:hint="eastAsia"/>
                <w:color w:val="000000"/>
              </w:rPr>
              <w:t>处理，从环保技术角度分析是可行合理的。</w:t>
            </w:r>
          </w:p>
          <w:p>
            <w:pPr>
              <w:ind w:firstLine="480"/>
            </w:pPr>
            <w:r>
              <w:rPr>
                <w:rFonts w:hint="eastAsia"/>
              </w:rPr>
              <w:t>（3）无组织废气治理措施</w:t>
            </w:r>
          </w:p>
          <w:p>
            <w:pPr>
              <w:ind w:firstLine="480"/>
            </w:pPr>
            <w:r>
              <w:rPr>
                <w:rFonts w:hint="eastAsia"/>
              </w:rPr>
              <w:t>合理布置车间，将产生无组织废气的污染源布置在远离厂界的位置，以减少无组织废气对厂界周围环境的影响；同时通过提高集气效率、加强车间通风等措施进行处理。</w:t>
            </w:r>
          </w:p>
          <w:p>
            <w:pPr>
              <w:ind w:firstLine="480"/>
            </w:pPr>
            <w:r>
              <w:rPr>
                <w:rFonts w:hint="eastAsia"/>
              </w:rPr>
              <w:t>加强对操作工的培训和管理，确保废气的捕集率，以减少人为因素造成的废气无组织排放。</w:t>
            </w:r>
          </w:p>
          <w:p>
            <w:pPr>
              <w:ind w:firstLine="480"/>
            </w:pPr>
            <w:r>
              <w:rPr>
                <w:rFonts w:hint="eastAsia"/>
              </w:rPr>
              <w:t>在厂区外侧设置绿化带，种植对有机废气具有良好吸附效果的植被，以降低无组织排放的影响。</w:t>
            </w:r>
          </w:p>
          <w:p>
            <w:pPr>
              <w:ind w:firstLine="480"/>
            </w:pPr>
            <w:r>
              <w:rPr>
                <w:rFonts w:hint="eastAsia"/>
              </w:rPr>
              <w:t>此外，车间采取全封闭措施，利用自然沉降和洒水抑尘减少颗粒物，同时加强通风，并提高沥青搅拌机的密封性。</w:t>
            </w:r>
          </w:p>
          <w:p>
            <w:pPr>
              <w:ind w:firstLine="480"/>
            </w:pPr>
            <w:r>
              <w:rPr>
                <w:rFonts w:hint="eastAsia"/>
              </w:rPr>
              <w:t>通过以上措施，可有效减少无组织废气的排放，使无组织排放的废气满足相应排放标准要求，从而减轻对周围大气环境的影响。</w:t>
            </w:r>
          </w:p>
          <w:p>
            <w:pPr>
              <w:ind w:firstLine="0" w:firstLineChars="0"/>
              <w:rPr>
                <w:rFonts w:cs="Times New Roman"/>
              </w:rPr>
            </w:pPr>
            <w:r>
              <w:rPr>
                <w:rFonts w:hint="eastAsia"/>
                <w:b/>
                <w:bCs/>
              </w:rPr>
              <w:t>4</w:t>
            </w:r>
            <w:r>
              <w:rPr>
                <w:b/>
                <w:bCs/>
              </w:rPr>
              <w:t>.2.1.3</w:t>
            </w:r>
            <w:r>
              <w:rPr>
                <w:rFonts w:hint="eastAsia"/>
                <w:b/>
                <w:bCs/>
              </w:rPr>
              <w:t>非正常工况污染源强分析</w:t>
            </w:r>
          </w:p>
          <w:p>
            <w:pPr>
              <w:ind w:firstLine="480"/>
              <w:rPr>
                <w:color w:val="000000"/>
              </w:rPr>
            </w:pPr>
            <w:r>
              <w:rPr>
                <w:rFonts w:hint="eastAsia"/>
              </w:rPr>
              <w:t>本项目非正常排放考虑布袋除尘器和电捕焦油器+二级活性炭吸附装置故障时（处理效率为0），废气直接排放；非正常工况下，废气排放情况见下表。</w:t>
            </w:r>
          </w:p>
          <w:p>
            <w:pPr>
              <w:spacing w:before="163" w:beforeLines="50" w:line="240" w:lineRule="auto"/>
              <w:ind w:firstLine="480" w:firstLineChars="0"/>
              <w:jc w:val="center"/>
              <w:rPr>
                <w:b/>
                <w:bCs/>
                <w:sz w:val="21"/>
                <w:szCs w:val="21"/>
              </w:rPr>
            </w:pPr>
            <w:r>
              <w:rPr>
                <w:rFonts w:hint="eastAsia"/>
                <w:b/>
                <w:bCs/>
                <w:sz w:val="21"/>
                <w:szCs w:val="21"/>
              </w:rPr>
              <w:t>表4-</w:t>
            </w:r>
            <w:r>
              <w:rPr>
                <w:b/>
                <w:bCs/>
                <w:sz w:val="21"/>
                <w:szCs w:val="21"/>
              </w:rPr>
              <w:t>3</w:t>
            </w:r>
            <w:r>
              <w:rPr>
                <w:rFonts w:hint="eastAsia"/>
                <w:b/>
                <w:bCs/>
                <w:sz w:val="21"/>
                <w:szCs w:val="21"/>
              </w:rPr>
              <w:t xml:space="preserve">  项目生产设施开停炉机（机）等非正常情况</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113"/>
              <w:gridCol w:w="790"/>
              <w:gridCol w:w="780"/>
              <w:gridCol w:w="722"/>
              <w:gridCol w:w="882"/>
              <w:gridCol w:w="780"/>
              <w:gridCol w:w="1131"/>
              <w:gridCol w:w="1026"/>
              <w:gridCol w:w="6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0" w:type="pct"/>
                  <w:tcBorders>
                    <w:top w:val="single" w:color="auto" w:sz="12" w:space="0"/>
                    <w:left w:val="single" w:color="auto" w:sz="12"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污染源</w:t>
                  </w:r>
                </w:p>
              </w:tc>
              <w:tc>
                <w:tcPr>
                  <w:tcW w:w="648" w:type="pct"/>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污染因子</w:t>
                  </w:r>
                </w:p>
              </w:tc>
              <w:tc>
                <w:tcPr>
                  <w:tcW w:w="918" w:type="pct"/>
                  <w:gridSpan w:val="2"/>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产生情况</w:t>
                  </w:r>
                </w:p>
              </w:tc>
              <w:tc>
                <w:tcPr>
                  <w:tcW w:w="423" w:type="pct"/>
                  <w:vMerge w:val="restart"/>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治理措施及治理效率</w:t>
                  </w:r>
                </w:p>
              </w:tc>
              <w:tc>
                <w:tcPr>
                  <w:tcW w:w="971" w:type="pct"/>
                  <w:gridSpan w:val="2"/>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排放情况</w:t>
                  </w:r>
                </w:p>
              </w:tc>
              <w:tc>
                <w:tcPr>
                  <w:tcW w:w="1187" w:type="pct"/>
                  <w:gridSpan w:val="2"/>
                  <w:tcBorders>
                    <w:top w:val="single" w:color="auto" w:sz="12"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sz w:val="21"/>
                      <w:szCs w:val="21"/>
                    </w:rPr>
                  </w:pPr>
                  <w:r>
                    <w:rPr>
                      <w:rFonts w:hint="eastAsia"/>
                      <w:sz w:val="21"/>
                      <w:szCs w:val="21"/>
                    </w:rPr>
                    <w:t>标准值</w:t>
                  </w:r>
                </w:p>
              </w:tc>
              <w:tc>
                <w:tcPr>
                  <w:tcW w:w="362" w:type="pct"/>
                  <w:vMerge w:val="restart"/>
                  <w:tcBorders>
                    <w:top w:val="single" w:color="auto" w:sz="12" w:space="0"/>
                    <w:left w:val="single" w:color="auto" w:sz="4" w:space="0"/>
                    <w:right w:val="single" w:color="auto" w:sz="12" w:space="0"/>
                  </w:tcBorders>
                  <w:vAlign w:val="center"/>
                </w:tcPr>
                <w:p>
                  <w:pPr>
                    <w:spacing w:line="240" w:lineRule="auto"/>
                    <w:ind w:firstLine="0" w:firstLineChars="0"/>
                    <w:jc w:val="center"/>
                    <w:textAlignment w:val="auto"/>
                    <w:rPr>
                      <w:sz w:val="21"/>
                      <w:szCs w:val="21"/>
                    </w:rPr>
                  </w:pPr>
                  <w:r>
                    <w:rPr>
                      <w:rFonts w:hint="eastAsia"/>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0" w:type="pct"/>
                  <w:vMerge w:val="restart"/>
                  <w:tcBorders>
                    <w:top w:val="single" w:color="auto" w:sz="4" w:space="0"/>
                    <w:left w:val="single" w:color="auto" w:sz="12"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DA001</w:t>
                  </w:r>
                </w:p>
              </w:tc>
              <w:tc>
                <w:tcPr>
                  <w:tcW w:w="648"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颗粒物</w:t>
                  </w:r>
                </w:p>
              </w:tc>
              <w:tc>
                <w:tcPr>
                  <w:tcW w:w="46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排放速率kg/h</w:t>
                  </w:r>
                </w:p>
              </w:tc>
              <w:tc>
                <w:tcPr>
                  <w:tcW w:w="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产生浓度mg/m</w:t>
                  </w:r>
                  <w:r>
                    <w:rPr>
                      <w:rFonts w:cs="Times New Roman"/>
                      <w:sz w:val="21"/>
                      <w:szCs w:val="21"/>
                      <w:vertAlign w:val="superscript"/>
                    </w:rPr>
                    <w:t>3</w:t>
                  </w:r>
                </w:p>
              </w:tc>
              <w:tc>
                <w:tcPr>
                  <w:tcW w:w="0" w:type="auto"/>
                  <w:vMerge w:val="continue"/>
                  <w:tcBorders>
                    <w:top w:val="single" w:color="auto" w:sz="12"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p>
              </w:tc>
              <w:tc>
                <w:tcPr>
                  <w:tcW w:w="5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排放速率kg/h</w:t>
                  </w:r>
                </w:p>
              </w:tc>
              <w:tc>
                <w:tcPr>
                  <w:tcW w:w="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w:t>
                  </w:r>
                </w:p>
                <w:p>
                  <w:pPr>
                    <w:spacing w:line="240" w:lineRule="auto"/>
                    <w:ind w:firstLine="0" w:firstLineChars="0"/>
                    <w:jc w:val="center"/>
                    <w:textAlignment w:val="auto"/>
                    <w:rPr>
                      <w:rFonts w:cs="Times New Roman"/>
                      <w:sz w:val="21"/>
                      <w:szCs w:val="21"/>
                    </w:rPr>
                  </w:pPr>
                  <w:r>
                    <w:rPr>
                      <w:rFonts w:cs="Times New Roman"/>
                      <w:sz w:val="21"/>
                      <w:szCs w:val="21"/>
                    </w:rPr>
                    <w:t>浓度mg/m</w:t>
                  </w:r>
                  <w:r>
                    <w:rPr>
                      <w:rFonts w:cs="Times New Roman"/>
                      <w:sz w:val="21"/>
                      <w:szCs w:val="21"/>
                      <w:vertAlign w:val="superscript"/>
                    </w:rPr>
                    <w:t>3</w:t>
                  </w:r>
                </w:p>
              </w:tc>
              <w:tc>
                <w:tcPr>
                  <w:tcW w:w="62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排放速率kg/h</w:t>
                  </w:r>
                </w:p>
              </w:tc>
              <w:tc>
                <w:tcPr>
                  <w:tcW w:w="56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w:t>
                  </w:r>
                </w:p>
                <w:p>
                  <w:pPr>
                    <w:spacing w:line="240" w:lineRule="auto"/>
                    <w:ind w:firstLine="0" w:firstLineChars="0"/>
                    <w:jc w:val="center"/>
                    <w:textAlignment w:val="auto"/>
                    <w:rPr>
                      <w:rFonts w:cs="Times New Roman"/>
                      <w:sz w:val="21"/>
                      <w:szCs w:val="21"/>
                    </w:rPr>
                  </w:pPr>
                  <w:r>
                    <w:rPr>
                      <w:rFonts w:cs="Times New Roman"/>
                      <w:sz w:val="21"/>
                      <w:szCs w:val="21"/>
                    </w:rPr>
                    <w:t>浓度mg/m</w:t>
                  </w:r>
                  <w:r>
                    <w:rPr>
                      <w:rFonts w:cs="Times New Roman"/>
                      <w:sz w:val="21"/>
                      <w:szCs w:val="21"/>
                      <w:vertAlign w:val="superscript"/>
                    </w:rPr>
                    <w:t>3</w:t>
                  </w:r>
                </w:p>
              </w:tc>
              <w:tc>
                <w:tcPr>
                  <w:tcW w:w="362" w:type="pct"/>
                  <w:vMerge w:val="continue"/>
                  <w:tcBorders>
                    <w:left w:val="single" w:color="auto" w:sz="4" w:space="0"/>
                    <w:bottom w:val="single" w:color="auto" w:sz="4" w:space="0"/>
                    <w:right w:val="single" w:color="auto" w:sz="12" w:space="0"/>
                  </w:tcBorders>
                  <w:vAlign w:val="center"/>
                </w:tcPr>
                <w:p>
                  <w:pPr>
                    <w:spacing w:line="240" w:lineRule="auto"/>
                    <w:ind w:firstLine="0" w:firstLineChars="0"/>
                    <w:jc w:val="center"/>
                    <w:textAlignment w:val="auto"/>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490" w:type="pct"/>
                  <w:vMerge w:val="continue"/>
                  <w:tcBorders>
                    <w:top w:val="single" w:color="auto" w:sz="4" w:space="0"/>
                    <w:left w:val="single" w:color="auto" w:sz="12"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p>
              </w:tc>
              <w:tc>
                <w:tcPr>
                  <w:tcW w:w="46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3.66</w:t>
                  </w:r>
                </w:p>
              </w:tc>
              <w:tc>
                <w:tcPr>
                  <w:tcW w:w="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366</w:t>
                  </w:r>
                </w:p>
              </w:tc>
              <w:tc>
                <w:tcPr>
                  <w:tcW w:w="423" w:type="pct"/>
                  <w:tcBorders>
                    <w:top w:val="single" w:color="auto" w:sz="4" w:space="0"/>
                    <w:left w:val="single" w:color="auto" w:sz="4" w:space="0"/>
                    <w:right w:val="single" w:color="auto" w:sz="4" w:space="0"/>
                  </w:tcBorders>
                  <w:vAlign w:val="center"/>
                </w:tcPr>
                <w:p>
                  <w:pPr>
                    <w:spacing w:line="240" w:lineRule="auto"/>
                    <w:ind w:firstLine="0" w:firstLineChars="0"/>
                    <w:textAlignment w:val="auto"/>
                    <w:rPr>
                      <w:rFonts w:cs="Times New Roman"/>
                      <w:sz w:val="21"/>
                      <w:szCs w:val="21"/>
                    </w:rPr>
                  </w:pPr>
                  <w:r>
                    <w:rPr>
                      <w:rFonts w:cs="Times New Roman"/>
                      <w:sz w:val="21"/>
                      <w:szCs w:val="21"/>
                    </w:rPr>
                    <w:t>布袋除尘器（除尘效率0）</w:t>
                  </w:r>
                </w:p>
              </w:tc>
              <w:tc>
                <w:tcPr>
                  <w:tcW w:w="5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3.66</w:t>
                  </w:r>
                </w:p>
              </w:tc>
              <w:tc>
                <w:tcPr>
                  <w:tcW w:w="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366</w:t>
                  </w:r>
                </w:p>
              </w:tc>
              <w:tc>
                <w:tcPr>
                  <w:tcW w:w="62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3.5</w:t>
                  </w:r>
                </w:p>
              </w:tc>
              <w:tc>
                <w:tcPr>
                  <w:tcW w:w="56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120</w:t>
                  </w:r>
                </w:p>
              </w:tc>
              <w:tc>
                <w:tcPr>
                  <w:tcW w:w="0" w:type="auto"/>
                  <w:tcBorders>
                    <w:top w:val="single" w:color="auto" w:sz="4" w:space="0"/>
                    <w:left w:val="single" w:color="auto" w:sz="4" w:space="0"/>
                    <w:bottom w:val="single" w:color="auto" w:sz="4" w:space="0"/>
                    <w:right w:val="single" w:color="auto" w:sz="12" w:space="0"/>
                  </w:tcBorders>
                  <w:vAlign w:val="center"/>
                </w:tcPr>
                <w:p>
                  <w:pPr>
                    <w:widowControl/>
                    <w:spacing w:line="240" w:lineRule="auto"/>
                    <w:ind w:firstLine="0" w:firstLineChars="0"/>
                    <w:jc w:val="center"/>
                    <w:textAlignment w:val="auto"/>
                    <w:rPr>
                      <w:sz w:val="21"/>
                      <w:szCs w:val="21"/>
                    </w:rPr>
                  </w:pPr>
                  <w:r>
                    <w:rPr>
                      <w:rFonts w:hint="eastAsia"/>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90" w:type="pct"/>
                  <w:vMerge w:val="restart"/>
                  <w:tcBorders>
                    <w:left w:val="single" w:color="auto" w:sz="12"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r>
                    <w:rPr>
                      <w:rFonts w:cs="Times New Roman"/>
                      <w:sz w:val="21"/>
                      <w:szCs w:val="21"/>
                    </w:rPr>
                    <w:t>DA002</w:t>
                  </w:r>
                </w:p>
              </w:tc>
              <w:tc>
                <w:tcPr>
                  <w:tcW w:w="64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r>
                    <w:rPr>
                      <w:rFonts w:cs="Times New Roman"/>
                      <w:sz w:val="21"/>
                      <w:szCs w:val="21"/>
                    </w:rPr>
                    <w:t>沥青烟</w:t>
                  </w:r>
                </w:p>
              </w:tc>
              <w:tc>
                <w:tcPr>
                  <w:tcW w:w="462"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0.838</w:t>
                  </w:r>
                </w:p>
              </w:tc>
              <w:tc>
                <w:tcPr>
                  <w:tcW w:w="456"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83.8</w:t>
                  </w:r>
                </w:p>
              </w:tc>
              <w:tc>
                <w:tcPr>
                  <w:tcW w:w="423" w:type="pct"/>
                  <w:vMerge w:val="restart"/>
                  <w:tcBorders>
                    <w:top w:val="single" w:color="auto" w:sz="4" w:space="0"/>
                    <w:left w:val="single" w:color="auto" w:sz="4" w:space="0"/>
                    <w:right w:val="single" w:color="auto" w:sz="4" w:space="0"/>
                  </w:tcBorders>
                  <w:vAlign w:val="center"/>
                </w:tcPr>
                <w:p>
                  <w:pPr>
                    <w:spacing w:line="240" w:lineRule="auto"/>
                    <w:ind w:firstLine="0" w:firstLineChars="0"/>
                    <w:textAlignment w:val="auto"/>
                    <w:rPr>
                      <w:rFonts w:cs="Times New Roman"/>
                      <w:sz w:val="21"/>
                      <w:szCs w:val="21"/>
                    </w:rPr>
                  </w:pPr>
                  <w:r>
                    <w:rPr>
                      <w:rFonts w:hint="eastAsia" w:cs="Times New Roman"/>
                      <w:sz w:val="21"/>
                      <w:szCs w:val="21"/>
                    </w:rPr>
                    <w:t>电捕焦油器+</w:t>
                  </w:r>
                  <w:r>
                    <w:rPr>
                      <w:rFonts w:cs="Times New Roman"/>
                      <w:sz w:val="21"/>
                      <w:szCs w:val="21"/>
                    </w:rPr>
                    <w:t>二级活性炭吸附装置（处理效率0）</w:t>
                  </w:r>
                </w:p>
              </w:tc>
              <w:tc>
                <w:tcPr>
                  <w:tcW w:w="515"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0.838</w:t>
                  </w:r>
                </w:p>
              </w:tc>
              <w:tc>
                <w:tcPr>
                  <w:tcW w:w="456"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83.8</w:t>
                  </w:r>
                </w:p>
              </w:tc>
              <w:tc>
                <w:tcPr>
                  <w:tcW w:w="624"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0.18</w:t>
                  </w:r>
                </w:p>
              </w:tc>
              <w:tc>
                <w:tcPr>
                  <w:tcW w:w="563" w:type="pct"/>
                  <w:tcBorders>
                    <w:top w:val="single" w:color="auto" w:sz="4" w:space="0"/>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75</w:t>
                  </w:r>
                </w:p>
              </w:tc>
              <w:tc>
                <w:tcPr>
                  <w:tcW w:w="0" w:type="auto"/>
                  <w:tcBorders>
                    <w:top w:val="single" w:color="auto" w:sz="4" w:space="0"/>
                    <w:left w:val="single" w:color="auto" w:sz="4" w:space="0"/>
                    <w:right w:val="single" w:color="auto" w:sz="12" w:space="0"/>
                  </w:tcBorders>
                  <w:vAlign w:val="center"/>
                </w:tcPr>
                <w:p>
                  <w:pPr>
                    <w:widowControl/>
                    <w:spacing w:line="240" w:lineRule="auto"/>
                    <w:ind w:firstLine="0" w:firstLineChars="0"/>
                    <w:jc w:val="center"/>
                    <w:textAlignment w:val="auto"/>
                    <w:rPr>
                      <w:sz w:val="21"/>
                      <w:szCs w:val="21"/>
                    </w:rPr>
                  </w:pPr>
                  <w:r>
                    <w:rPr>
                      <w:rFonts w:hint="eastAsia"/>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90" w:type="pct"/>
                  <w:vMerge w:val="continue"/>
                  <w:tcBorders>
                    <w:left w:val="single" w:color="auto" w:sz="12"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p>
              </w:tc>
              <w:tc>
                <w:tcPr>
                  <w:tcW w:w="64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r>
                    <w:rPr>
                      <w:rFonts w:cs="Times New Roman"/>
                      <w:sz w:val="21"/>
                      <w:szCs w:val="21"/>
                    </w:rPr>
                    <w:t>非甲烷总烃</w:t>
                  </w:r>
                </w:p>
              </w:tc>
              <w:tc>
                <w:tcPr>
                  <w:tcW w:w="462"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0.86</w:t>
                  </w:r>
                </w:p>
              </w:tc>
              <w:tc>
                <w:tcPr>
                  <w:tcW w:w="456"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86</w:t>
                  </w:r>
                </w:p>
              </w:tc>
              <w:tc>
                <w:tcPr>
                  <w:tcW w:w="423" w:type="pct"/>
                  <w:vMerge w:val="continue"/>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p>
              </w:tc>
              <w:tc>
                <w:tcPr>
                  <w:tcW w:w="515"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0.86</w:t>
                  </w:r>
                </w:p>
              </w:tc>
              <w:tc>
                <w:tcPr>
                  <w:tcW w:w="456"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86</w:t>
                  </w:r>
                </w:p>
              </w:tc>
              <w:tc>
                <w:tcPr>
                  <w:tcW w:w="624"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10</w:t>
                  </w:r>
                </w:p>
              </w:tc>
              <w:tc>
                <w:tcPr>
                  <w:tcW w:w="563"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120</w:t>
                  </w:r>
                </w:p>
              </w:tc>
              <w:tc>
                <w:tcPr>
                  <w:tcW w:w="0" w:type="auto"/>
                  <w:tcBorders>
                    <w:left w:val="single" w:color="auto" w:sz="4" w:space="0"/>
                    <w:right w:val="single" w:color="auto" w:sz="12" w:space="0"/>
                  </w:tcBorders>
                  <w:vAlign w:val="center"/>
                </w:tcPr>
                <w:p>
                  <w:pPr>
                    <w:widowControl/>
                    <w:spacing w:line="240" w:lineRule="auto"/>
                    <w:ind w:firstLine="0" w:firstLineChars="0"/>
                    <w:jc w:val="center"/>
                    <w:textAlignment w:val="auto"/>
                    <w:rPr>
                      <w:sz w:val="21"/>
                      <w:szCs w:val="21"/>
                    </w:rPr>
                  </w:pPr>
                  <w:r>
                    <w:rPr>
                      <w:rFonts w:hint="eastAsia"/>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490" w:type="pct"/>
                  <w:vMerge w:val="continue"/>
                  <w:tcBorders>
                    <w:left w:val="single" w:color="auto" w:sz="12"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p>
              </w:tc>
              <w:tc>
                <w:tcPr>
                  <w:tcW w:w="64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auto"/>
                    <w:rPr>
                      <w:rFonts w:cs="Times New Roman"/>
                      <w:sz w:val="21"/>
                      <w:szCs w:val="21"/>
                    </w:rPr>
                  </w:pPr>
                  <w:r>
                    <w:rPr>
                      <w:rFonts w:cs="Times New Roman"/>
                      <w:sz w:val="21"/>
                      <w:szCs w:val="21"/>
                    </w:rPr>
                    <w:t>苯并[a]芘</w:t>
                  </w:r>
                </w:p>
              </w:tc>
              <w:tc>
                <w:tcPr>
                  <w:tcW w:w="462" w:type="pct"/>
                  <w:tcBorders>
                    <w:left w:val="single" w:color="auto" w:sz="4" w:space="0"/>
                    <w:right w:val="single" w:color="auto" w:sz="4" w:space="0"/>
                  </w:tcBorders>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9×10</w:t>
                  </w:r>
                  <w:r>
                    <w:rPr>
                      <w:rFonts w:cs="Times New Roman"/>
                      <w:sz w:val="21"/>
                      <w:szCs w:val="21"/>
                      <w:vertAlign w:val="superscript"/>
                    </w:rPr>
                    <w:t>-5</w:t>
                  </w:r>
                </w:p>
              </w:tc>
              <w:tc>
                <w:tcPr>
                  <w:tcW w:w="456"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0.009</w:t>
                  </w:r>
                </w:p>
              </w:tc>
              <w:tc>
                <w:tcPr>
                  <w:tcW w:w="423" w:type="pct"/>
                  <w:vMerge w:val="continue"/>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p>
              </w:tc>
              <w:tc>
                <w:tcPr>
                  <w:tcW w:w="515"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9×10</w:t>
                  </w:r>
                  <w:r>
                    <w:rPr>
                      <w:rFonts w:cs="Times New Roman"/>
                      <w:sz w:val="21"/>
                      <w:szCs w:val="21"/>
                      <w:vertAlign w:val="superscript"/>
                    </w:rPr>
                    <w:t>-5</w:t>
                  </w:r>
                </w:p>
              </w:tc>
              <w:tc>
                <w:tcPr>
                  <w:tcW w:w="456"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0.009</w:t>
                  </w:r>
                </w:p>
              </w:tc>
              <w:tc>
                <w:tcPr>
                  <w:tcW w:w="624"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0.050×10</w:t>
                  </w:r>
                  <w:r>
                    <w:rPr>
                      <w:rFonts w:cs="Times New Roman"/>
                      <w:sz w:val="21"/>
                      <w:szCs w:val="21"/>
                      <w:vertAlign w:val="superscript"/>
                    </w:rPr>
                    <w:t>-3</w:t>
                  </w:r>
                </w:p>
              </w:tc>
              <w:tc>
                <w:tcPr>
                  <w:tcW w:w="563" w:type="pct"/>
                  <w:tcBorders>
                    <w:left w:val="single" w:color="auto" w:sz="4" w:space="0"/>
                    <w:right w:val="single" w:color="auto" w:sz="4" w:space="0"/>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0.30×10</w:t>
                  </w:r>
                  <w:r>
                    <w:rPr>
                      <w:rFonts w:cs="Times New Roman"/>
                      <w:sz w:val="21"/>
                      <w:szCs w:val="21"/>
                      <w:vertAlign w:val="superscript"/>
                    </w:rPr>
                    <w:t>-3</w:t>
                  </w:r>
                </w:p>
              </w:tc>
              <w:tc>
                <w:tcPr>
                  <w:tcW w:w="0" w:type="auto"/>
                  <w:tcBorders>
                    <w:left w:val="single" w:color="auto" w:sz="4" w:space="0"/>
                    <w:right w:val="single" w:color="auto" w:sz="12" w:space="0"/>
                  </w:tcBorders>
                  <w:vAlign w:val="center"/>
                </w:tcPr>
                <w:p>
                  <w:pPr>
                    <w:widowControl/>
                    <w:spacing w:line="240" w:lineRule="auto"/>
                    <w:ind w:firstLine="0" w:firstLineChars="0"/>
                    <w:jc w:val="center"/>
                    <w:textAlignment w:val="auto"/>
                    <w:rPr>
                      <w:sz w:val="21"/>
                      <w:szCs w:val="21"/>
                    </w:rPr>
                  </w:pPr>
                  <w:r>
                    <w:rPr>
                      <w:rFonts w:hint="eastAsia"/>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000" w:type="pct"/>
                  <w:gridSpan w:val="10"/>
                  <w:tcBorders>
                    <w:top w:val="single" w:color="auto" w:sz="4" w:space="0"/>
                    <w:left w:val="single" w:color="auto" w:sz="12" w:space="0"/>
                    <w:bottom w:val="single" w:color="auto" w:sz="12" w:space="0"/>
                    <w:right w:val="single" w:color="auto" w:sz="12" w:space="0"/>
                  </w:tcBorders>
                  <w:vAlign w:val="center"/>
                </w:tcPr>
                <w:p>
                  <w:pPr>
                    <w:spacing w:line="240" w:lineRule="auto"/>
                    <w:ind w:firstLine="0" w:firstLineChars="0"/>
                    <w:textAlignment w:val="auto"/>
                    <w:rPr>
                      <w:sz w:val="21"/>
                      <w:szCs w:val="21"/>
                    </w:rPr>
                  </w:pPr>
                  <w:r>
                    <w:rPr>
                      <w:rFonts w:hint="eastAsia"/>
                      <w:b/>
                      <w:bCs/>
                      <w:sz w:val="18"/>
                      <w:szCs w:val="18"/>
                    </w:rPr>
                    <w:t>备注：按单次故障持续时间0.5h，每年发生3次估算非正常排放量</w:t>
                  </w:r>
                </w:p>
              </w:tc>
            </w:tr>
          </w:tbl>
          <w:p>
            <w:pPr>
              <w:ind w:firstLine="480"/>
              <w:rPr>
                <w:color w:val="000000"/>
              </w:rPr>
            </w:pPr>
            <w:r>
              <w:rPr>
                <w:rFonts w:hint="eastAsia"/>
                <w:color w:val="000000"/>
              </w:rPr>
              <w:t>企业拟制定环保设施操作规程，严格操作制度；加强巡检，及时发现隐患；环保设施故障时，应立即进行抢修，若短时间内不能修复，相应产污设备应停止运行，防止废气超标排放，污染大气环境。</w:t>
            </w:r>
          </w:p>
          <w:p>
            <w:pPr>
              <w:pStyle w:val="6"/>
            </w:pPr>
            <w:r>
              <w:t>4.2.2废水</w:t>
            </w:r>
            <w:r>
              <w:rPr>
                <w:rFonts w:hint="eastAsia"/>
              </w:rPr>
              <w:t>环境影响分析及保护措施</w:t>
            </w:r>
          </w:p>
          <w:p>
            <w:pPr>
              <w:ind w:firstLine="480"/>
              <w:rPr>
                <w:rFonts w:cs="Times New Roman"/>
              </w:rPr>
            </w:pPr>
            <w:r>
              <w:rPr>
                <w:rFonts w:hint="eastAsia" w:cs="Times New Roman"/>
              </w:rPr>
              <w:t>本项目产生的废水主要为生活污水</w:t>
            </w:r>
            <w:r>
              <w:rPr>
                <w:rFonts w:cs="Times New Roman"/>
              </w:rPr>
              <w:t>。</w:t>
            </w:r>
          </w:p>
          <w:p>
            <w:pPr>
              <w:ind w:firstLine="480"/>
              <w:rPr>
                <w:color w:val="000000" w:themeColor="text1"/>
                <w14:textFill>
                  <w14:solidFill>
                    <w14:schemeClr w14:val="tx1"/>
                  </w14:solidFill>
                </w14:textFill>
              </w:rPr>
            </w:pPr>
            <w:r>
              <w:rPr>
                <w:rFonts w:hint="eastAsia"/>
              </w:rPr>
              <w:t>生活污水产生量按照产生系数0.8计，则生活污水排放量为</w:t>
            </w:r>
            <w:r>
              <w:t>1.28</w:t>
            </w:r>
            <w:r>
              <w:rPr>
                <w:rFonts w:hint="eastAsia"/>
              </w:rPr>
              <w:t>m</w:t>
            </w:r>
            <w:r>
              <w:rPr>
                <w:rFonts w:hint="eastAsia"/>
                <w:vertAlign w:val="superscript"/>
              </w:rPr>
              <w:t>3</w:t>
            </w:r>
            <w:r>
              <w:rPr>
                <w:rFonts w:hint="eastAsia"/>
              </w:rPr>
              <w:t>/d，</w:t>
            </w:r>
            <w:r>
              <w:t>345.6</w:t>
            </w:r>
            <w:r>
              <w:rPr>
                <w:rFonts w:hint="eastAsia"/>
              </w:rPr>
              <w:t>m</w:t>
            </w:r>
            <w:r>
              <w:rPr>
                <w:rFonts w:hint="eastAsia"/>
                <w:vertAlign w:val="superscript"/>
              </w:rPr>
              <w:t>3</w:t>
            </w:r>
            <w:r>
              <w:rPr>
                <w:rFonts w:hint="eastAsia"/>
              </w:rPr>
              <w:t>/a</w:t>
            </w:r>
            <w:r>
              <w:rPr>
                <w:rFonts w:hint="eastAsia"/>
                <w:color w:val="000000" w:themeColor="text1"/>
                <w14:textFill>
                  <w14:solidFill>
                    <w14:schemeClr w14:val="tx1"/>
                  </w14:solidFill>
                </w14:textFill>
              </w:rPr>
              <w:t>。生活污水</w:t>
            </w:r>
            <w:r>
              <w:rPr>
                <w:rFonts w:hint="eastAsia"/>
              </w:rPr>
              <w:t>进入厂区化粪池进行预处理后，排入园区管网，最终进入和静县污水处理厂处理</w:t>
            </w:r>
          </w:p>
          <w:p>
            <w:pPr>
              <w:ind w:firstLine="480"/>
            </w:pPr>
            <w:r>
              <w:rPr>
                <w:rFonts w:hint="eastAsia"/>
              </w:rPr>
              <w:t>主要污染物为COD</w:t>
            </w:r>
            <w:r>
              <w:rPr>
                <w:color w:val="000000" w:themeColor="text1"/>
                <w:sz w:val="21"/>
                <w:szCs w:val="21"/>
                <w14:textFill>
                  <w14:solidFill>
                    <w14:schemeClr w14:val="tx1"/>
                  </w14:solidFill>
                </w14:textFill>
              </w:rPr>
              <w:t>cr</w:t>
            </w:r>
            <w:r>
              <w:rPr>
                <w:rFonts w:hint="eastAsia"/>
              </w:rPr>
              <w:t>、BOD</w:t>
            </w:r>
            <w:r>
              <w:rPr>
                <w:rFonts w:hint="eastAsia"/>
                <w:vertAlign w:val="subscript"/>
              </w:rPr>
              <w:t>5</w:t>
            </w:r>
            <w:r>
              <w:rPr>
                <w:rFonts w:hint="eastAsia"/>
              </w:rPr>
              <w:t>、氨氮、SS等。典型生活污水主要污染物产生浓度COD</w:t>
            </w:r>
            <w:r>
              <w:rPr>
                <w:color w:val="000000" w:themeColor="text1"/>
                <w:sz w:val="21"/>
                <w:szCs w:val="21"/>
                <w14:textFill>
                  <w14:solidFill>
                    <w14:schemeClr w14:val="tx1"/>
                  </w14:solidFill>
                </w14:textFill>
              </w:rPr>
              <w:t>cr</w:t>
            </w:r>
            <w:r>
              <w:rPr>
                <w:rFonts w:hint="eastAsia"/>
              </w:rPr>
              <w:t>400mg</w:t>
            </w:r>
            <w:r>
              <w:t>/</w:t>
            </w:r>
            <w:r>
              <w:rPr>
                <w:rFonts w:hint="eastAsia"/>
              </w:rPr>
              <w:t>L、BOD</w:t>
            </w:r>
            <w:r>
              <w:rPr>
                <w:vertAlign w:val="subscript"/>
              </w:rPr>
              <w:t>5</w:t>
            </w:r>
            <w:r>
              <w:rPr>
                <w:rFonts w:hint="eastAsia"/>
              </w:rPr>
              <w:t>200mg</w:t>
            </w:r>
            <w:r>
              <w:t>/</w:t>
            </w:r>
            <w:r>
              <w:rPr>
                <w:rFonts w:hint="eastAsia"/>
              </w:rPr>
              <w:t>L、SS220mg/L、NH</w:t>
            </w:r>
            <w:r>
              <w:rPr>
                <w:vertAlign w:val="subscript"/>
              </w:rPr>
              <w:t>3</w:t>
            </w:r>
            <w:r>
              <w:rPr>
                <w:rFonts w:hint="eastAsia"/>
              </w:rPr>
              <w:t>-N25mg</w:t>
            </w:r>
            <w:r>
              <w:t>/L</w:t>
            </w:r>
            <w:r>
              <w:rPr>
                <w:rFonts w:hint="eastAsia"/>
              </w:rPr>
              <w:t>。污染物的产生情况见下表。</w:t>
            </w:r>
          </w:p>
          <w:p>
            <w:pPr>
              <w:spacing w:before="163" w:beforeLines="50" w:line="240" w:lineRule="auto"/>
              <w:ind w:firstLine="0" w:firstLineChars="0"/>
              <w:jc w:val="center"/>
              <w:rPr>
                <w:b/>
                <w:sz w:val="21"/>
              </w:rPr>
            </w:pPr>
            <w:r>
              <w:rPr>
                <w:rFonts w:hint="eastAsia"/>
                <w:b/>
                <w:sz w:val="21"/>
              </w:rPr>
              <w:t>表</w:t>
            </w:r>
            <w:r>
              <w:rPr>
                <w:b/>
                <w:sz w:val="21"/>
              </w:rPr>
              <w:t xml:space="preserve">4-4  </w:t>
            </w:r>
            <w:r>
              <w:rPr>
                <w:rFonts w:hint="eastAsia"/>
                <w:b/>
                <w:sz w:val="21"/>
              </w:rPr>
              <w:t>项目生活污水排放量一览表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572"/>
              <w:gridCol w:w="976"/>
              <w:gridCol w:w="1131"/>
              <w:gridCol w:w="1077"/>
              <w:gridCol w:w="846"/>
              <w:gridCol w:w="1152"/>
              <w:gridCol w:w="1092"/>
              <w:gridCol w:w="967"/>
              <w:gridCol w:w="86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污染源</w:t>
                  </w:r>
                </w:p>
              </w:tc>
              <w:tc>
                <w:tcPr>
                  <w:tcW w:w="567"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污染物</w:t>
                  </w:r>
                </w:p>
              </w:tc>
              <w:tc>
                <w:tcPr>
                  <w:tcW w:w="1281" w:type="pct"/>
                  <w:gridSpan w:val="2"/>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进水</w:t>
                  </w:r>
                </w:p>
              </w:tc>
              <w:tc>
                <w:tcPr>
                  <w:tcW w:w="492"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治理措施</w:t>
                  </w:r>
                </w:p>
              </w:tc>
              <w:tc>
                <w:tcPr>
                  <w:tcW w:w="668"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去除</w:t>
                  </w:r>
                </w:p>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效率（</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w:t>
                  </w:r>
                </w:p>
              </w:tc>
              <w:tc>
                <w:tcPr>
                  <w:tcW w:w="1154" w:type="pct"/>
                  <w:gridSpan w:val="2"/>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出水</w:t>
                  </w:r>
                </w:p>
              </w:tc>
              <w:tc>
                <w:tcPr>
                  <w:tcW w:w="504"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是否为可行技术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67"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浓度（</w:t>
                  </w:r>
                  <w:r>
                    <w:rPr>
                      <w:color w:val="000000" w:themeColor="text1"/>
                      <w:sz w:val="21"/>
                      <w:szCs w:val="21"/>
                      <w14:textFill>
                        <w14:solidFill>
                          <w14:schemeClr w14:val="tx1"/>
                        </w14:solidFill>
                      </w14:textFill>
                    </w:rPr>
                    <w:t>mg/L</w:t>
                  </w:r>
                  <w:r>
                    <w:rPr>
                      <w:rFonts w:hint="eastAsia"/>
                      <w:color w:val="000000" w:themeColor="text1"/>
                      <w:sz w:val="21"/>
                      <w:szCs w:val="21"/>
                      <w14:textFill>
                        <w14:solidFill>
                          <w14:schemeClr w14:val="tx1"/>
                        </w14:solidFill>
                      </w14:textFill>
                    </w:rPr>
                    <w:t>）</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发生量（</w:t>
                  </w:r>
                  <w:r>
                    <w:rPr>
                      <w:color w:val="000000" w:themeColor="text1"/>
                      <w:sz w:val="21"/>
                      <w:szCs w:val="21"/>
                      <w14:textFill>
                        <w14:solidFill>
                          <w14:schemeClr w14:val="tx1"/>
                        </w14:solidFill>
                      </w14:textFill>
                    </w:rPr>
                    <w:t>t/a</w:t>
                  </w:r>
                  <w:r>
                    <w:rPr>
                      <w:rFonts w:hint="eastAsia"/>
                      <w:color w:val="000000" w:themeColor="text1"/>
                      <w:sz w:val="21"/>
                      <w:szCs w:val="21"/>
                      <w14:textFill>
                        <w14:solidFill>
                          <w14:schemeClr w14:val="tx1"/>
                        </w14:solidFill>
                      </w14:textFill>
                    </w:rPr>
                    <w:t>）</w:t>
                  </w:r>
                </w:p>
              </w:tc>
              <w:tc>
                <w:tcPr>
                  <w:tcW w:w="492"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668"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93" w:type="pct"/>
                  <w:vAlign w:val="center"/>
                </w:tcPr>
                <w:p>
                  <w:pPr>
                    <w:spacing w:line="240" w:lineRule="auto"/>
                    <w:ind w:firstLine="0" w:firstLineChars="0"/>
                    <w:contextualSpacing/>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浓度（</w:t>
                  </w:r>
                  <w:r>
                    <w:rPr>
                      <w:color w:val="000000" w:themeColor="text1"/>
                      <w:sz w:val="21"/>
                      <w:szCs w:val="21"/>
                      <w14:textFill>
                        <w14:solidFill>
                          <w14:schemeClr w14:val="tx1"/>
                        </w14:solidFill>
                      </w14:textFill>
                    </w:rPr>
                    <w:t>mg/L</w:t>
                  </w:r>
                  <w:r>
                    <w:rPr>
                      <w:rFonts w:hint="eastAsia"/>
                      <w:color w:val="000000" w:themeColor="text1"/>
                      <w:sz w:val="21"/>
                      <w:szCs w:val="21"/>
                      <w14:textFill>
                        <w14:solidFill>
                          <w14:schemeClr w14:val="tx1"/>
                        </w14:solidFill>
                      </w14:textFill>
                    </w:rPr>
                    <w:t>）</w:t>
                  </w:r>
                </w:p>
              </w:tc>
              <w:tc>
                <w:tcPr>
                  <w:tcW w:w="560" w:type="pct"/>
                  <w:vAlign w:val="center"/>
                </w:tcPr>
                <w:p>
                  <w:pPr>
                    <w:spacing w:line="240" w:lineRule="auto"/>
                    <w:ind w:firstLine="0" w:firstLineChars="0"/>
                    <w:contextualSpacing/>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发生量（</w:t>
                  </w:r>
                  <w:r>
                    <w:rPr>
                      <w:color w:val="000000" w:themeColor="text1"/>
                      <w:sz w:val="21"/>
                      <w:szCs w:val="21"/>
                      <w14:textFill>
                        <w14:solidFill>
                          <w14:schemeClr w14:val="tx1"/>
                        </w14:solidFill>
                      </w14:textFill>
                    </w:rPr>
                    <w:t>t/a</w:t>
                  </w:r>
                  <w:r>
                    <w:rPr>
                      <w:rFonts w:hint="eastAsia"/>
                      <w:color w:val="000000" w:themeColor="text1"/>
                      <w:sz w:val="21"/>
                      <w:szCs w:val="21"/>
                      <w14:textFill>
                        <w14:solidFill>
                          <w14:schemeClr w14:val="tx1"/>
                        </w14:solidFill>
                      </w14:textFill>
                    </w:rPr>
                    <w:t>）</w:t>
                  </w:r>
                </w:p>
              </w:tc>
              <w:tc>
                <w:tcPr>
                  <w:tcW w:w="50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生活污水</w:t>
                  </w:r>
                </w:p>
              </w:tc>
              <w:tc>
                <w:tcPr>
                  <w:tcW w:w="567"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废水</w:t>
                  </w: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345.6</w:t>
                  </w:r>
                </w:p>
              </w:tc>
              <w:tc>
                <w:tcPr>
                  <w:tcW w:w="492"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cs="Times New Roman"/>
                      <w:snapToGrid w:val="0"/>
                      <w:kern w:val="0"/>
                      <w:sz w:val="21"/>
                      <w:szCs w:val="24"/>
                    </w:rPr>
                    <w:t>化粪池</w:t>
                  </w:r>
                </w:p>
              </w:tc>
              <w:tc>
                <w:tcPr>
                  <w:tcW w:w="668"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593"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560"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345.6</w:t>
                  </w:r>
                </w:p>
              </w:tc>
              <w:tc>
                <w:tcPr>
                  <w:tcW w:w="504" w:type="pct"/>
                  <w:vMerge w:val="restar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67"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CODcr</w:t>
                  </w: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400</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0.138</w:t>
                  </w:r>
                </w:p>
              </w:tc>
              <w:tc>
                <w:tcPr>
                  <w:tcW w:w="492" w:type="pct"/>
                  <w:vMerge w:val="continue"/>
                  <w:vAlign w:val="center"/>
                </w:tcPr>
                <w:p>
                  <w:pPr>
                    <w:spacing w:line="240" w:lineRule="auto"/>
                    <w:ind w:firstLine="0" w:firstLineChars="0"/>
                    <w:contextualSpacing/>
                    <w:jc w:val="center"/>
                    <w:rPr>
                      <w:color w:val="FF0000"/>
                      <w:sz w:val="21"/>
                      <w:szCs w:val="21"/>
                    </w:rPr>
                  </w:pPr>
                </w:p>
              </w:tc>
              <w:tc>
                <w:tcPr>
                  <w:tcW w:w="668"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w:t>
                  </w:r>
                </w:p>
              </w:tc>
              <w:tc>
                <w:tcPr>
                  <w:tcW w:w="593"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360</w:t>
                  </w:r>
                </w:p>
              </w:tc>
              <w:tc>
                <w:tcPr>
                  <w:tcW w:w="560"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0.124</w:t>
                  </w:r>
                </w:p>
              </w:tc>
              <w:tc>
                <w:tcPr>
                  <w:tcW w:w="504" w:type="pct"/>
                  <w:vMerge w:val="continue"/>
                  <w:vAlign w:val="center"/>
                </w:tcPr>
                <w:p>
                  <w:pPr>
                    <w:spacing w:line="240" w:lineRule="auto"/>
                    <w:ind w:firstLine="0" w:firstLineChars="0"/>
                    <w:contextualSpacing/>
                    <w:jc w:val="center"/>
                    <w:rPr>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67"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BOD</w:t>
                  </w:r>
                  <w:r>
                    <w:rPr>
                      <w:color w:val="000000" w:themeColor="text1"/>
                      <w:sz w:val="21"/>
                      <w:szCs w:val="21"/>
                      <w:vertAlign w:val="subscript"/>
                      <w14:textFill>
                        <w14:solidFill>
                          <w14:schemeClr w14:val="tx1"/>
                        </w14:solidFill>
                      </w14:textFill>
                    </w:rPr>
                    <w:t>5</w:t>
                  </w: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00</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0.069</w:t>
                  </w:r>
                </w:p>
              </w:tc>
              <w:tc>
                <w:tcPr>
                  <w:tcW w:w="492" w:type="pct"/>
                  <w:vMerge w:val="continue"/>
                  <w:vAlign w:val="center"/>
                </w:tcPr>
                <w:p>
                  <w:pPr>
                    <w:spacing w:line="240" w:lineRule="auto"/>
                    <w:ind w:firstLine="0" w:firstLineChars="0"/>
                    <w:contextualSpacing/>
                    <w:jc w:val="center"/>
                    <w:rPr>
                      <w:color w:val="FF0000"/>
                      <w:sz w:val="21"/>
                      <w:szCs w:val="21"/>
                    </w:rPr>
                  </w:pPr>
                </w:p>
              </w:tc>
              <w:tc>
                <w:tcPr>
                  <w:tcW w:w="668"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w:t>
                  </w:r>
                </w:p>
              </w:tc>
              <w:tc>
                <w:tcPr>
                  <w:tcW w:w="593"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180</w:t>
                  </w:r>
                </w:p>
              </w:tc>
              <w:tc>
                <w:tcPr>
                  <w:tcW w:w="560"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0.062</w:t>
                  </w:r>
                </w:p>
              </w:tc>
              <w:tc>
                <w:tcPr>
                  <w:tcW w:w="504" w:type="pct"/>
                  <w:vMerge w:val="continue"/>
                  <w:vAlign w:val="center"/>
                </w:tcPr>
                <w:p>
                  <w:pPr>
                    <w:spacing w:line="240" w:lineRule="auto"/>
                    <w:ind w:firstLine="0" w:firstLineChars="0"/>
                    <w:contextualSpacing/>
                    <w:jc w:val="center"/>
                    <w:rPr>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67"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SS</w:t>
                  </w: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220</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0.0760</w:t>
                  </w:r>
                </w:p>
              </w:tc>
              <w:tc>
                <w:tcPr>
                  <w:tcW w:w="492" w:type="pct"/>
                  <w:vMerge w:val="continue"/>
                  <w:vAlign w:val="center"/>
                </w:tcPr>
                <w:p>
                  <w:pPr>
                    <w:spacing w:line="240" w:lineRule="auto"/>
                    <w:ind w:firstLine="0" w:firstLineChars="0"/>
                    <w:contextualSpacing/>
                    <w:jc w:val="center"/>
                    <w:rPr>
                      <w:color w:val="FF0000"/>
                      <w:sz w:val="21"/>
                      <w:szCs w:val="21"/>
                    </w:rPr>
                  </w:pPr>
                </w:p>
              </w:tc>
              <w:tc>
                <w:tcPr>
                  <w:tcW w:w="668"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25</w:t>
                  </w:r>
                </w:p>
              </w:tc>
              <w:tc>
                <w:tcPr>
                  <w:tcW w:w="593"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165</w:t>
                  </w:r>
                </w:p>
              </w:tc>
              <w:tc>
                <w:tcPr>
                  <w:tcW w:w="560"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0.057</w:t>
                  </w:r>
                </w:p>
              </w:tc>
              <w:tc>
                <w:tcPr>
                  <w:tcW w:w="504" w:type="pct"/>
                  <w:vMerge w:val="continue"/>
                  <w:vAlign w:val="center"/>
                </w:tcPr>
                <w:p>
                  <w:pPr>
                    <w:spacing w:line="240" w:lineRule="auto"/>
                    <w:ind w:firstLine="0" w:firstLineChars="0"/>
                    <w:contextualSpacing/>
                    <w:jc w:val="center"/>
                    <w:rPr>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334" w:type="pct"/>
                  <w:vMerge w:val="continue"/>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p>
              </w:tc>
              <w:tc>
                <w:tcPr>
                  <w:tcW w:w="567"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NH</w:t>
                  </w:r>
                  <w:r>
                    <w:rPr>
                      <w:color w:val="000000" w:themeColor="text1"/>
                      <w:sz w:val="21"/>
                      <w:szCs w:val="21"/>
                      <w:vertAlign w:val="subscript"/>
                      <w14:textFill>
                        <w14:solidFill>
                          <w14:schemeClr w14:val="tx1"/>
                        </w14:solidFill>
                      </w14:textFill>
                    </w:rPr>
                    <w:t>3</w:t>
                  </w:r>
                  <w:r>
                    <w:rPr>
                      <w:color w:val="000000" w:themeColor="text1"/>
                      <w:sz w:val="21"/>
                      <w:szCs w:val="21"/>
                      <w14:textFill>
                        <w14:solidFill>
                          <w14:schemeClr w14:val="tx1"/>
                        </w14:solidFill>
                      </w14:textFill>
                    </w:rPr>
                    <w:t>-N</w:t>
                  </w:r>
                </w:p>
              </w:tc>
              <w:tc>
                <w:tcPr>
                  <w:tcW w:w="656"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25</w:t>
                  </w:r>
                </w:p>
              </w:tc>
              <w:tc>
                <w:tcPr>
                  <w:tcW w:w="625"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0.009</w:t>
                  </w:r>
                </w:p>
              </w:tc>
              <w:tc>
                <w:tcPr>
                  <w:tcW w:w="492" w:type="pct"/>
                  <w:vMerge w:val="continue"/>
                  <w:vAlign w:val="center"/>
                </w:tcPr>
                <w:p>
                  <w:pPr>
                    <w:spacing w:line="240" w:lineRule="auto"/>
                    <w:ind w:firstLine="0" w:firstLineChars="0"/>
                    <w:contextualSpacing/>
                    <w:jc w:val="center"/>
                    <w:rPr>
                      <w:color w:val="FF0000"/>
                      <w:sz w:val="21"/>
                      <w:szCs w:val="21"/>
                    </w:rPr>
                  </w:pPr>
                </w:p>
              </w:tc>
              <w:tc>
                <w:tcPr>
                  <w:tcW w:w="668"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593"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24.25</w:t>
                  </w:r>
                </w:p>
              </w:tc>
              <w:tc>
                <w:tcPr>
                  <w:tcW w:w="560" w:type="pct"/>
                  <w:vAlign w:val="center"/>
                </w:tcPr>
                <w:p>
                  <w:pPr>
                    <w:spacing w:line="240" w:lineRule="auto"/>
                    <w:ind w:firstLine="0" w:firstLineChars="0"/>
                    <w:contextualSpacing/>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0.008</w:t>
                  </w:r>
                </w:p>
              </w:tc>
              <w:tc>
                <w:tcPr>
                  <w:tcW w:w="504" w:type="pct"/>
                  <w:vMerge w:val="continue"/>
                  <w:vAlign w:val="center"/>
                </w:tcPr>
                <w:p>
                  <w:pPr>
                    <w:spacing w:line="240" w:lineRule="auto"/>
                    <w:ind w:firstLine="0" w:firstLineChars="0"/>
                    <w:contextualSpacing/>
                    <w:jc w:val="center"/>
                    <w:rPr>
                      <w:color w:val="FF0000"/>
                      <w:sz w:val="21"/>
                      <w:szCs w:val="21"/>
                    </w:rPr>
                  </w:pPr>
                </w:p>
              </w:tc>
            </w:tr>
          </w:tbl>
          <w:p>
            <w:pPr>
              <w:autoSpaceDE w:val="0"/>
              <w:autoSpaceDN w:val="0"/>
              <w:adjustRightInd w:val="0"/>
              <w:snapToGrid w:val="0"/>
              <w:spacing w:line="240" w:lineRule="auto"/>
              <w:ind w:firstLine="0" w:firstLineChars="0"/>
              <w:jc w:val="center"/>
              <w:textAlignment w:val="auto"/>
              <w:rPr>
                <w:rFonts w:cs="Times New Roman"/>
                <w:b/>
                <w:bCs/>
                <w:sz w:val="21"/>
                <w:szCs w:val="21"/>
              </w:rPr>
            </w:pPr>
            <w:r>
              <w:rPr>
                <w:rFonts w:cs="Times New Roman"/>
                <w:b/>
                <w:bCs/>
                <w:sz w:val="21"/>
                <w:szCs w:val="21"/>
              </w:rPr>
              <w:t>表4-5</w:t>
            </w:r>
            <w:r>
              <w:rPr>
                <w:rFonts w:hint="eastAsia" w:cs="Times New Roman"/>
                <w:b/>
                <w:bCs/>
                <w:sz w:val="21"/>
                <w:szCs w:val="21"/>
              </w:rPr>
              <w:t xml:space="preserve">  </w:t>
            </w:r>
            <w:r>
              <w:rPr>
                <w:rFonts w:cs="Times New Roman"/>
                <w:b/>
                <w:bCs/>
                <w:sz w:val="21"/>
                <w:szCs w:val="21"/>
              </w:rPr>
              <w:t>废水间接排放基本情况表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1019"/>
              <w:gridCol w:w="1372"/>
              <w:gridCol w:w="1586"/>
              <w:gridCol w:w="822"/>
              <w:gridCol w:w="1070"/>
              <w:gridCol w:w="839"/>
              <w:gridCol w:w="15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4"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序号</w:t>
                  </w:r>
                </w:p>
              </w:tc>
              <w:tc>
                <w:tcPr>
                  <w:tcW w:w="563"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废水排放量/（</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/a</w:t>
                  </w:r>
                  <w:r>
                    <w:rPr>
                      <w:rFonts w:cs="Times New Roman"/>
                      <w:sz w:val="21"/>
                      <w:szCs w:val="21"/>
                    </w:rPr>
                    <w:t>）</w:t>
                  </w:r>
                </w:p>
              </w:tc>
              <w:tc>
                <w:tcPr>
                  <w:tcW w:w="794"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排放去向</w:t>
                  </w:r>
                </w:p>
              </w:tc>
              <w:tc>
                <w:tcPr>
                  <w:tcW w:w="917"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排放规律</w:t>
                  </w:r>
                </w:p>
              </w:tc>
              <w:tc>
                <w:tcPr>
                  <w:tcW w:w="477"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间歇排放时段</w:t>
                  </w:r>
                </w:p>
              </w:tc>
              <w:tc>
                <w:tcPr>
                  <w:tcW w:w="1985" w:type="pct"/>
                  <w:gridSpan w:val="3"/>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受纳污水处理厂信息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64" w:type="pct"/>
                  <w:vMerge w:val="continue"/>
                  <w:tcBorders>
                    <w:tl2br w:val="nil"/>
                    <w:tr2bl w:val="nil"/>
                  </w:tcBorders>
                  <w:vAlign w:val="center"/>
                </w:tcPr>
                <w:p>
                  <w:pPr>
                    <w:widowControl/>
                    <w:spacing w:line="240" w:lineRule="auto"/>
                    <w:ind w:firstLine="0" w:firstLineChars="0"/>
                    <w:jc w:val="left"/>
                    <w:textAlignment w:val="auto"/>
                    <w:rPr>
                      <w:rFonts w:cs="Times New Roman"/>
                      <w:sz w:val="21"/>
                      <w:szCs w:val="21"/>
                    </w:rPr>
                  </w:pPr>
                </w:p>
              </w:tc>
              <w:tc>
                <w:tcPr>
                  <w:tcW w:w="563" w:type="pct"/>
                  <w:vMerge w:val="continue"/>
                  <w:tcBorders>
                    <w:tl2br w:val="nil"/>
                    <w:tr2bl w:val="nil"/>
                  </w:tcBorders>
                  <w:vAlign w:val="center"/>
                </w:tcPr>
                <w:p>
                  <w:pPr>
                    <w:widowControl/>
                    <w:spacing w:line="240" w:lineRule="auto"/>
                    <w:ind w:firstLine="0" w:firstLineChars="0"/>
                    <w:jc w:val="left"/>
                    <w:textAlignment w:val="auto"/>
                    <w:rPr>
                      <w:rFonts w:cs="Times New Roman"/>
                      <w:sz w:val="21"/>
                      <w:szCs w:val="21"/>
                    </w:rPr>
                  </w:pPr>
                </w:p>
              </w:tc>
              <w:tc>
                <w:tcPr>
                  <w:tcW w:w="794" w:type="pct"/>
                  <w:vMerge w:val="continue"/>
                  <w:tcBorders>
                    <w:tl2br w:val="nil"/>
                    <w:tr2bl w:val="nil"/>
                  </w:tcBorders>
                  <w:vAlign w:val="center"/>
                </w:tcPr>
                <w:p>
                  <w:pPr>
                    <w:widowControl/>
                    <w:spacing w:line="240" w:lineRule="auto"/>
                    <w:ind w:firstLine="0" w:firstLineChars="0"/>
                    <w:jc w:val="left"/>
                    <w:textAlignment w:val="auto"/>
                    <w:rPr>
                      <w:rFonts w:cs="Times New Roman"/>
                      <w:sz w:val="21"/>
                      <w:szCs w:val="21"/>
                    </w:rPr>
                  </w:pPr>
                </w:p>
              </w:tc>
              <w:tc>
                <w:tcPr>
                  <w:tcW w:w="917" w:type="pct"/>
                  <w:vMerge w:val="continue"/>
                  <w:tcBorders>
                    <w:tl2br w:val="nil"/>
                    <w:tr2bl w:val="nil"/>
                  </w:tcBorders>
                  <w:vAlign w:val="center"/>
                </w:tcPr>
                <w:p>
                  <w:pPr>
                    <w:widowControl/>
                    <w:spacing w:line="240" w:lineRule="auto"/>
                    <w:ind w:firstLine="0" w:firstLineChars="0"/>
                    <w:jc w:val="left"/>
                    <w:textAlignment w:val="auto"/>
                    <w:rPr>
                      <w:rFonts w:cs="Times New Roman"/>
                      <w:sz w:val="21"/>
                      <w:szCs w:val="21"/>
                    </w:rPr>
                  </w:pPr>
                </w:p>
              </w:tc>
              <w:tc>
                <w:tcPr>
                  <w:tcW w:w="477" w:type="pct"/>
                  <w:vMerge w:val="continue"/>
                  <w:tcBorders>
                    <w:tl2br w:val="nil"/>
                    <w:tr2bl w:val="nil"/>
                  </w:tcBorders>
                  <w:vAlign w:val="center"/>
                </w:tcPr>
                <w:p>
                  <w:pPr>
                    <w:widowControl/>
                    <w:spacing w:line="240" w:lineRule="auto"/>
                    <w:ind w:firstLine="0" w:firstLineChars="0"/>
                    <w:jc w:val="left"/>
                    <w:textAlignment w:val="auto"/>
                    <w:rPr>
                      <w:rFonts w:cs="Times New Roman"/>
                      <w:sz w:val="21"/>
                      <w:szCs w:val="21"/>
                    </w:rPr>
                  </w:pPr>
                </w:p>
              </w:tc>
              <w:tc>
                <w:tcPr>
                  <w:tcW w:w="620"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名称</w:t>
                  </w:r>
                </w:p>
              </w:tc>
              <w:tc>
                <w:tcPr>
                  <w:tcW w:w="487"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污染物种类</w:t>
                  </w:r>
                </w:p>
              </w:tc>
              <w:tc>
                <w:tcPr>
                  <w:tcW w:w="878"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国家或地方污染物排放标准浓度限值/（mg/L）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64"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1</w:t>
                  </w:r>
                </w:p>
              </w:tc>
              <w:tc>
                <w:tcPr>
                  <w:tcW w:w="563"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345.6</w:t>
                  </w:r>
                </w:p>
              </w:tc>
              <w:tc>
                <w:tcPr>
                  <w:tcW w:w="794" w:type="pct"/>
                  <w:vMerge w:val="restart"/>
                  <w:tcBorders>
                    <w:tl2br w:val="nil"/>
                    <w:tr2bl w:val="nil"/>
                  </w:tcBorders>
                  <w:vAlign w:val="center"/>
                </w:tcPr>
                <w:p>
                  <w:pPr>
                    <w:spacing w:line="240" w:lineRule="auto"/>
                    <w:ind w:firstLine="0" w:firstLineChars="0"/>
                    <w:textAlignment w:val="auto"/>
                    <w:rPr>
                      <w:rFonts w:cs="Times New Roman"/>
                      <w:sz w:val="21"/>
                      <w:szCs w:val="21"/>
                    </w:rPr>
                  </w:pPr>
                  <w:r>
                    <w:rPr>
                      <w:rFonts w:hint="eastAsia"/>
                      <w:color w:val="000000" w:themeColor="text1"/>
                      <w:sz w:val="21"/>
                      <w:szCs w:val="21"/>
                      <w14:textFill>
                        <w14:solidFill>
                          <w14:schemeClr w14:val="tx1"/>
                        </w14:solidFill>
                      </w14:textFill>
                    </w:rPr>
                    <w:t>和静县污水处理厂</w:t>
                  </w:r>
                </w:p>
              </w:tc>
              <w:tc>
                <w:tcPr>
                  <w:tcW w:w="917"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间断排放，排放期间流量不稳定且无规律，但不属于冲击性排放</w:t>
                  </w:r>
                </w:p>
              </w:tc>
              <w:tc>
                <w:tcPr>
                  <w:tcW w:w="477"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z w:val="21"/>
                      <w:szCs w:val="21"/>
                    </w:rPr>
                    <w:t>/</w:t>
                  </w:r>
                </w:p>
              </w:tc>
              <w:tc>
                <w:tcPr>
                  <w:tcW w:w="620" w:type="pct"/>
                  <w:vMerge w:val="restart"/>
                  <w:tcBorders>
                    <w:tl2br w:val="nil"/>
                    <w:tr2bl w:val="nil"/>
                  </w:tcBorders>
                  <w:vAlign w:val="center"/>
                </w:tcPr>
                <w:p>
                  <w:pPr>
                    <w:spacing w:line="240" w:lineRule="auto"/>
                    <w:ind w:firstLine="0" w:firstLineChars="0"/>
                    <w:jc w:val="center"/>
                    <w:textAlignment w:val="auto"/>
                    <w:rPr>
                      <w:rFonts w:cs="Times New Roman"/>
                      <w:sz w:val="21"/>
                      <w:szCs w:val="21"/>
                    </w:rPr>
                  </w:pPr>
                  <w:r>
                    <w:rPr>
                      <w:rFonts w:hint="eastAsia"/>
                      <w:color w:val="000000" w:themeColor="text1"/>
                      <w:sz w:val="21"/>
                      <w:szCs w:val="21"/>
                      <w14:textFill>
                        <w14:solidFill>
                          <w14:schemeClr w14:val="tx1"/>
                        </w14:solidFill>
                      </w14:textFill>
                    </w:rPr>
                    <w:t>和静县污水处理厂</w:t>
                  </w:r>
                </w:p>
              </w:tc>
              <w:tc>
                <w:tcPr>
                  <w:tcW w:w="487"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1"/>
                    </w:rPr>
                    <w:t>COD</w:t>
                  </w:r>
                </w:p>
              </w:tc>
              <w:tc>
                <w:tcPr>
                  <w:tcW w:w="878" w:type="pct"/>
                  <w:tcBorders>
                    <w:tl2br w:val="nil"/>
                    <w:tr2bl w:val="nil"/>
                  </w:tcBorders>
                  <w:vAlign w:val="center"/>
                </w:tcPr>
                <w:p>
                  <w:pPr>
                    <w:spacing w:line="240" w:lineRule="auto"/>
                    <w:ind w:firstLine="0" w:firstLineChars="0"/>
                    <w:jc w:val="center"/>
                    <w:textAlignment w:val="auto"/>
                    <w:rPr>
                      <w:rFonts w:cs="Times New Roman"/>
                      <w:snapToGrid w:val="0"/>
                      <w:kern w:val="0"/>
                      <w:sz w:val="21"/>
                      <w:szCs w:val="21"/>
                    </w:rPr>
                  </w:pPr>
                  <w:r>
                    <w:rPr>
                      <w:rFonts w:cs="Times New Roman"/>
                      <w:snapToGrid w:val="0"/>
                      <w:kern w:val="0"/>
                      <w:sz w:val="21"/>
                      <w:szCs w:val="21"/>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26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563"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79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91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7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620"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87"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1"/>
                    </w:rPr>
                    <w:t>BOD</w:t>
                  </w:r>
                  <w:r>
                    <w:rPr>
                      <w:rFonts w:cs="Times New Roman"/>
                      <w:snapToGrid w:val="0"/>
                      <w:kern w:val="0"/>
                      <w:sz w:val="21"/>
                      <w:szCs w:val="21"/>
                      <w:vertAlign w:val="subscript"/>
                    </w:rPr>
                    <w:t>5</w:t>
                  </w:r>
                </w:p>
              </w:tc>
              <w:tc>
                <w:tcPr>
                  <w:tcW w:w="878" w:type="pct"/>
                  <w:tcBorders>
                    <w:tl2br w:val="nil"/>
                    <w:tr2bl w:val="nil"/>
                  </w:tcBorders>
                  <w:vAlign w:val="center"/>
                </w:tcPr>
                <w:p>
                  <w:pPr>
                    <w:spacing w:line="240" w:lineRule="auto"/>
                    <w:ind w:firstLine="0" w:firstLineChars="0"/>
                    <w:jc w:val="center"/>
                    <w:textAlignment w:val="auto"/>
                    <w:rPr>
                      <w:rFonts w:cs="Times New Roman"/>
                      <w:snapToGrid w:val="0"/>
                      <w:kern w:val="0"/>
                      <w:sz w:val="21"/>
                      <w:szCs w:val="21"/>
                    </w:rPr>
                  </w:pPr>
                  <w:r>
                    <w:rPr>
                      <w:rFonts w:hint="eastAsia" w:cs="Times New Roman"/>
                      <w:snapToGrid w:val="0"/>
                      <w:kern w:val="0"/>
                      <w:sz w:val="21"/>
                      <w:szCs w:val="21"/>
                    </w:rPr>
                    <w:t>3</w:t>
                  </w:r>
                  <w:r>
                    <w:rPr>
                      <w:rFonts w:cs="Times New Roman"/>
                      <w:snapToGrid w:val="0"/>
                      <w:kern w:val="0"/>
                      <w:sz w:val="21"/>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26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563"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79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91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7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620"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87"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1"/>
                    </w:rPr>
                    <w:t>SS</w:t>
                  </w:r>
                </w:p>
              </w:tc>
              <w:tc>
                <w:tcPr>
                  <w:tcW w:w="878" w:type="pct"/>
                  <w:tcBorders>
                    <w:tl2br w:val="nil"/>
                    <w:tr2bl w:val="nil"/>
                  </w:tcBorders>
                  <w:vAlign w:val="center"/>
                </w:tcPr>
                <w:p>
                  <w:pPr>
                    <w:spacing w:line="240" w:lineRule="auto"/>
                    <w:ind w:firstLine="0" w:firstLineChars="0"/>
                    <w:jc w:val="center"/>
                    <w:textAlignment w:val="auto"/>
                    <w:rPr>
                      <w:rFonts w:cs="Times New Roman"/>
                      <w:snapToGrid w:val="0"/>
                      <w:kern w:val="0"/>
                      <w:sz w:val="21"/>
                      <w:szCs w:val="21"/>
                    </w:rPr>
                  </w:pPr>
                  <w:r>
                    <w:rPr>
                      <w:rFonts w:hint="eastAsia" w:cs="Times New Roman"/>
                      <w:snapToGrid w:val="0"/>
                      <w:kern w:val="0"/>
                      <w:sz w:val="21"/>
                      <w:szCs w:val="21"/>
                    </w:rPr>
                    <w:t>4</w:t>
                  </w:r>
                  <w:r>
                    <w:rPr>
                      <w:rFonts w:cs="Times New Roman"/>
                      <w:snapToGrid w:val="0"/>
                      <w:kern w:val="0"/>
                      <w:sz w:val="21"/>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95" w:hRule="atLeast"/>
                <w:jc w:val="center"/>
              </w:trPr>
              <w:tc>
                <w:tcPr>
                  <w:tcW w:w="26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563"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794"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91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77"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620" w:type="pct"/>
                  <w:vMerge w:val="continue"/>
                  <w:tcBorders>
                    <w:tl2br w:val="nil"/>
                    <w:tr2bl w:val="nil"/>
                  </w:tcBorders>
                  <w:vAlign w:val="center"/>
                </w:tcPr>
                <w:p>
                  <w:pPr>
                    <w:spacing w:line="240" w:lineRule="auto"/>
                    <w:ind w:firstLine="0" w:firstLineChars="0"/>
                    <w:jc w:val="center"/>
                    <w:textAlignment w:val="auto"/>
                    <w:rPr>
                      <w:rFonts w:cs="Times New Roman"/>
                      <w:sz w:val="21"/>
                      <w:szCs w:val="21"/>
                    </w:rPr>
                  </w:pPr>
                </w:p>
              </w:tc>
              <w:tc>
                <w:tcPr>
                  <w:tcW w:w="487" w:type="pct"/>
                  <w:tcBorders>
                    <w:tl2br w:val="nil"/>
                    <w:tr2bl w:val="nil"/>
                  </w:tcBorders>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1"/>
                    </w:rPr>
                    <w:t>氨氮</w:t>
                  </w:r>
                </w:p>
              </w:tc>
              <w:tc>
                <w:tcPr>
                  <w:tcW w:w="878" w:type="pct"/>
                  <w:tcBorders>
                    <w:tl2br w:val="nil"/>
                    <w:tr2bl w:val="nil"/>
                  </w:tcBorders>
                  <w:vAlign w:val="center"/>
                </w:tcPr>
                <w:p>
                  <w:pPr>
                    <w:spacing w:line="240" w:lineRule="auto"/>
                    <w:ind w:firstLine="0" w:firstLineChars="0"/>
                    <w:jc w:val="center"/>
                    <w:textAlignment w:val="auto"/>
                    <w:rPr>
                      <w:rFonts w:cs="Times New Roman"/>
                      <w:snapToGrid w:val="0"/>
                      <w:kern w:val="0"/>
                      <w:sz w:val="21"/>
                      <w:szCs w:val="21"/>
                    </w:rPr>
                  </w:pPr>
                  <w:r>
                    <w:rPr>
                      <w:rFonts w:hint="eastAsia" w:cs="Times New Roman"/>
                      <w:snapToGrid w:val="0"/>
                      <w:kern w:val="0"/>
                      <w:sz w:val="21"/>
                      <w:szCs w:val="21"/>
                    </w:rPr>
                    <w:t>-</w:t>
                  </w:r>
                  <w:r>
                    <w:rPr>
                      <w:rFonts w:cs="Times New Roman"/>
                      <w:snapToGrid w:val="0"/>
                      <w:kern w:val="0"/>
                      <w:sz w:val="21"/>
                      <w:szCs w:val="21"/>
                    </w:rPr>
                    <w:t>--</w:t>
                  </w:r>
                </w:p>
              </w:tc>
            </w:tr>
          </w:tbl>
          <w:p>
            <w:pPr>
              <w:ind w:firstLine="0" w:firstLineChars="0"/>
              <w:rPr>
                <w:rFonts w:cs="Times New Roman"/>
                <w:b/>
                <w:bCs/>
              </w:rPr>
            </w:pPr>
            <w:r>
              <w:rPr>
                <w:rFonts w:cs="Times New Roman"/>
                <w:b/>
                <w:bCs/>
                <w:color w:val="000000" w:themeColor="text1"/>
                <w14:textFill>
                  <w14:solidFill>
                    <w14:schemeClr w14:val="tx1"/>
                  </w14:solidFill>
                </w14:textFill>
              </w:rPr>
              <w:t>4.2.2.1</w:t>
            </w:r>
            <w:r>
              <w:rPr>
                <w:rFonts w:hint="eastAsia" w:cs="Times New Roman"/>
                <w:b/>
                <w:bCs/>
                <w:color w:val="000000" w:themeColor="text1"/>
                <w14:textFill>
                  <w14:solidFill>
                    <w14:schemeClr w14:val="tx1"/>
                  </w14:solidFill>
                </w14:textFill>
              </w:rPr>
              <w:t>生活污水</w:t>
            </w:r>
            <w:r>
              <w:rPr>
                <w:rFonts w:hint="eastAsia" w:cs="Times New Roman"/>
                <w:b/>
                <w:bCs/>
                <w:snapToGrid w:val="0"/>
                <w:kern w:val="0"/>
                <w:szCs w:val="24"/>
              </w:rPr>
              <w:t>拉运可行性分析</w:t>
            </w:r>
          </w:p>
          <w:p>
            <w:pPr>
              <w:ind w:firstLine="480"/>
              <w:textAlignment w:val="auto"/>
              <w:rPr>
                <w:rFonts w:cs="Times New Roman"/>
              </w:rPr>
            </w:pPr>
            <w:r>
              <w:rPr>
                <w:rFonts w:cs="Times New Roman"/>
              </w:rPr>
              <w:t>和静县污水处理厂坐落于和静县城区东南方向2.3km处，中心地理坐标为：东经86°25′16.840″，北纬42°17′25.910″。</w:t>
            </w:r>
          </w:p>
          <w:p>
            <w:pPr>
              <w:spacing w:line="336" w:lineRule="auto"/>
              <w:ind w:firstLine="480"/>
              <w:rPr>
                <w:rFonts w:hAnsi="宋体"/>
                <w:szCs w:val="21"/>
              </w:rPr>
            </w:pPr>
            <w:r>
              <w:rPr>
                <w:rFonts w:cs="Times New Roman"/>
              </w:rPr>
              <w:t>和静县污水厂采用“A</w:t>
            </w:r>
            <w:r>
              <w:rPr>
                <w:rFonts w:cs="Times New Roman"/>
                <w:vertAlign w:val="superscript"/>
              </w:rPr>
              <w:t>2</w:t>
            </w:r>
            <w:r>
              <w:rPr>
                <w:rFonts w:cs="Times New Roman"/>
              </w:rPr>
              <w:t>/O+MBR池”主体处理工艺，日处理2万m</w:t>
            </w:r>
            <w:r>
              <w:rPr>
                <w:rFonts w:cs="Times New Roman"/>
                <w:vertAlign w:val="superscript"/>
              </w:rPr>
              <w:t>3</w:t>
            </w:r>
            <w:r>
              <w:rPr>
                <w:rFonts w:cs="Times New Roman"/>
              </w:rPr>
              <w:t>/d污水。污水处理厂出水水质达到《城镇污水处理厂污染物排放标准》中的一级A标准要求后，进行综合利用于绿化、农作物灌溉，实现污水资源化利用。本项目废水量较少，只占污水处理厂处理规模的极小部分，能够接纳本项目排放的生活污水，另外项目生活污水水质简单，经处理后的污染因子能满足污水处理厂的接管标准。因此本项目废水对和静县污水处理厂不会产生较大负荷，项目废水处理措施可行</w:t>
            </w:r>
            <w:r>
              <w:rPr>
                <w:rFonts w:hint="eastAsia" w:cs="Times New Roman"/>
              </w:rPr>
              <w:t>。</w:t>
            </w:r>
          </w:p>
          <w:p>
            <w:pPr>
              <w:spacing w:line="440" w:lineRule="exact"/>
              <w:ind w:firstLine="0" w:firstLineChars="0"/>
              <w:jc w:val="left"/>
              <w:rPr>
                <w:color w:val="000000" w:themeColor="text1"/>
                <w:kern w:val="0"/>
                <w14:textFill>
                  <w14:solidFill>
                    <w14:schemeClr w14:val="tx1"/>
                  </w14:solidFill>
                </w14:textFill>
              </w:rPr>
            </w:pPr>
            <w:r>
              <w:rPr>
                <w:rFonts w:hint="eastAsia"/>
                <w:b/>
                <w:bCs/>
              </w:rPr>
              <w:t>4</w:t>
            </w:r>
            <w:r>
              <w:rPr>
                <w:b/>
                <w:bCs/>
              </w:rPr>
              <w:t>.2.</w:t>
            </w:r>
            <w:r>
              <w:rPr>
                <w:rFonts w:hint="eastAsia"/>
                <w:b/>
                <w:bCs/>
              </w:rPr>
              <w:t>3噪声环境影响与评价</w:t>
            </w:r>
          </w:p>
          <w:p>
            <w:pPr>
              <w:pStyle w:val="7"/>
              <w:ind w:firstLine="480"/>
              <w:rPr>
                <w:b w:val="0"/>
                <w:bCs w:val="0"/>
                <w:szCs w:val="24"/>
                <w:lang w:bidi="ar"/>
              </w:rPr>
            </w:pPr>
            <w:r>
              <w:rPr>
                <w:b w:val="0"/>
                <w:bCs w:val="0"/>
                <w:szCs w:val="24"/>
                <w:lang w:bidi="ar"/>
              </w:rPr>
              <w:t>（1）噪声污染源</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建成运行后，主要噪声源为提升机、投料机、搅拌机、包装机等设备运行产生的噪声。通过设置基础减振、加强设备检修与维护、合理布局以及厂区绿化等措施，可有效降低噪声影响。采用上述方法，能够确保厂界噪声达到相关标准要求。</w:t>
            </w:r>
            <w:r>
              <w:rPr>
                <w:lang w:bidi="ar"/>
              </w:rPr>
              <w:t>噪声源强为70~85</w:t>
            </w:r>
            <w:r>
              <w:rPr>
                <w:spacing w:val="-2"/>
              </w:rPr>
              <w:t>dB</w:t>
            </w:r>
            <w:r>
              <w:rPr>
                <w:rFonts w:hint="eastAsia"/>
                <w:spacing w:val="-2"/>
              </w:rPr>
              <w:t>（</w:t>
            </w:r>
            <w:r>
              <w:rPr>
                <w:spacing w:val="-2"/>
              </w:rPr>
              <w:t>A</w:t>
            </w:r>
            <w:r>
              <w:rPr>
                <w:rFonts w:hint="eastAsia"/>
                <w:spacing w:val="-2"/>
              </w:rPr>
              <w:t>）。</w:t>
            </w:r>
          </w:p>
          <w:p>
            <w:pPr>
              <w:spacing w:line="240" w:lineRule="auto"/>
              <w:ind w:firstLine="422"/>
              <w:jc w:val="center"/>
              <w:rPr>
                <w:rFonts w:cs="Times New Roman"/>
                <w:b/>
                <w:bCs/>
                <w:sz w:val="21"/>
                <w:szCs w:val="21"/>
              </w:rPr>
            </w:pPr>
            <w:r>
              <w:rPr>
                <w:rFonts w:cs="Times New Roman"/>
                <w:b/>
                <w:bCs/>
                <w:sz w:val="21"/>
                <w:szCs w:val="21"/>
              </w:rPr>
              <w:t>表4-6  工业企业噪声源强调查清单（室内声源）</w:t>
            </w:r>
          </w:p>
          <w:tbl>
            <w:tblPr>
              <w:tblStyle w:val="26"/>
              <w:tblW w:w="85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7"/>
              <w:gridCol w:w="407"/>
              <w:gridCol w:w="570"/>
              <w:gridCol w:w="415"/>
              <w:gridCol w:w="415"/>
              <w:gridCol w:w="253"/>
              <w:gridCol w:w="349"/>
              <w:gridCol w:w="349"/>
              <w:gridCol w:w="349"/>
              <w:gridCol w:w="350"/>
              <w:gridCol w:w="350"/>
              <w:gridCol w:w="350"/>
              <w:gridCol w:w="350"/>
              <w:gridCol w:w="350"/>
              <w:gridCol w:w="408"/>
              <w:gridCol w:w="350"/>
              <w:gridCol w:w="350"/>
              <w:gridCol w:w="350"/>
              <w:gridCol w:w="350"/>
              <w:gridCol w:w="349"/>
              <w:gridCol w:w="349"/>
              <w:gridCol w:w="349"/>
              <w:gridCol w:w="349"/>
              <w:gridCol w:w="2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1" w:hRule="exact"/>
                <w:jc w:val="center"/>
              </w:trPr>
              <w:tc>
                <w:tcPr>
                  <w:tcW w:w="407" w:type="dxa"/>
                  <w:vMerge w:val="restart"/>
                  <w:vAlign w:val="center"/>
                </w:tcPr>
                <w:p>
                  <w:pPr>
                    <w:spacing w:line="240" w:lineRule="auto"/>
                    <w:ind w:firstLine="0" w:firstLineChars="0"/>
                    <w:jc w:val="center"/>
                    <w:rPr>
                      <w:rFonts w:cs="Times New Roman"/>
                      <w:sz w:val="21"/>
                      <w:szCs w:val="21"/>
                    </w:rPr>
                  </w:pPr>
                  <w:bookmarkStart w:id="24" w:name="PT_6"/>
                  <w:r>
                    <w:rPr>
                      <w:rFonts w:cs="Times New Roman"/>
                      <w:sz w:val="21"/>
                      <w:szCs w:val="21"/>
                    </w:rPr>
                    <w:t>序号</w:t>
                  </w:r>
                </w:p>
              </w:tc>
              <w:tc>
                <w:tcPr>
                  <w:tcW w:w="407" w:type="dxa"/>
                  <w:vMerge w:val="restart"/>
                  <w:vAlign w:val="center"/>
                </w:tcPr>
                <w:p>
                  <w:pPr>
                    <w:spacing w:line="240" w:lineRule="auto"/>
                    <w:ind w:firstLine="0" w:firstLineChars="0"/>
                    <w:jc w:val="center"/>
                    <w:rPr>
                      <w:rFonts w:cs="Times New Roman"/>
                      <w:sz w:val="21"/>
                      <w:szCs w:val="21"/>
                    </w:rPr>
                  </w:pPr>
                  <w:r>
                    <w:rPr>
                      <w:rFonts w:cs="Times New Roman"/>
                      <w:sz w:val="21"/>
                      <w:szCs w:val="21"/>
                    </w:rPr>
                    <w:t>声源名称</w:t>
                  </w:r>
                </w:p>
              </w:tc>
              <w:tc>
                <w:tcPr>
                  <w:tcW w:w="569" w:type="dxa"/>
                  <w:vAlign w:val="center"/>
                </w:tcPr>
                <w:p>
                  <w:pPr>
                    <w:spacing w:line="240" w:lineRule="auto"/>
                    <w:ind w:firstLine="0" w:firstLineChars="0"/>
                    <w:jc w:val="center"/>
                    <w:rPr>
                      <w:rFonts w:cs="Times New Roman"/>
                      <w:sz w:val="21"/>
                      <w:szCs w:val="21"/>
                    </w:rPr>
                  </w:pPr>
                  <w:r>
                    <w:rPr>
                      <w:rFonts w:cs="Times New Roman"/>
                      <w:sz w:val="21"/>
                      <w:szCs w:val="21"/>
                    </w:rPr>
                    <w:t>声源源强</w:t>
                  </w:r>
                </w:p>
              </w:tc>
              <w:tc>
                <w:tcPr>
                  <w:tcW w:w="954" w:type="dxa"/>
                  <w:gridSpan w:val="3"/>
                  <w:vAlign w:val="center"/>
                </w:tcPr>
                <w:p>
                  <w:pPr>
                    <w:spacing w:line="240" w:lineRule="auto"/>
                    <w:ind w:firstLine="0" w:firstLineChars="0"/>
                    <w:jc w:val="center"/>
                    <w:rPr>
                      <w:rFonts w:cs="Times New Roman"/>
                      <w:sz w:val="21"/>
                      <w:szCs w:val="21"/>
                    </w:rPr>
                  </w:pPr>
                  <w:r>
                    <w:rPr>
                      <w:rFonts w:cs="Times New Roman"/>
                      <w:sz w:val="21"/>
                      <w:szCs w:val="21"/>
                    </w:rPr>
                    <w:t>空间相对位置/m</w:t>
                  </w:r>
                </w:p>
              </w:tc>
              <w:tc>
                <w:tcPr>
                  <w:tcW w:w="1392" w:type="dxa"/>
                  <w:gridSpan w:val="4"/>
                  <w:vAlign w:val="center"/>
                </w:tcPr>
                <w:p>
                  <w:pPr>
                    <w:spacing w:line="240" w:lineRule="auto"/>
                    <w:ind w:firstLine="0" w:firstLineChars="0"/>
                    <w:jc w:val="center"/>
                    <w:rPr>
                      <w:rFonts w:cs="Times New Roman"/>
                      <w:sz w:val="21"/>
                      <w:szCs w:val="21"/>
                    </w:rPr>
                  </w:pPr>
                  <w:r>
                    <w:rPr>
                      <w:rFonts w:cs="Times New Roman"/>
                      <w:sz w:val="21"/>
                      <w:szCs w:val="21"/>
                    </w:rPr>
                    <w:t>距室内边界距离/m</w:t>
                  </w:r>
                </w:p>
              </w:tc>
              <w:tc>
                <w:tcPr>
                  <w:tcW w:w="1392" w:type="dxa"/>
                  <w:gridSpan w:val="4"/>
                  <w:vAlign w:val="center"/>
                </w:tcPr>
                <w:p>
                  <w:pPr>
                    <w:spacing w:line="240" w:lineRule="auto"/>
                    <w:ind w:firstLine="0" w:firstLineChars="0"/>
                    <w:jc w:val="center"/>
                    <w:rPr>
                      <w:rFonts w:cs="Times New Roman"/>
                      <w:sz w:val="21"/>
                      <w:szCs w:val="21"/>
                    </w:rPr>
                  </w:pPr>
                  <w:r>
                    <w:rPr>
                      <w:rFonts w:cs="Times New Roman"/>
                      <w:sz w:val="21"/>
                      <w:szCs w:val="21"/>
                    </w:rPr>
                    <w:t>室内边界声级/dB(A)</w:t>
                  </w:r>
                </w:p>
              </w:tc>
              <w:tc>
                <w:tcPr>
                  <w:tcW w:w="406" w:type="dxa"/>
                  <w:vMerge w:val="restart"/>
                  <w:vAlign w:val="center"/>
                </w:tcPr>
                <w:p>
                  <w:pPr>
                    <w:spacing w:line="240" w:lineRule="auto"/>
                    <w:ind w:firstLine="0" w:firstLineChars="0"/>
                    <w:jc w:val="center"/>
                    <w:rPr>
                      <w:rFonts w:cs="Times New Roman"/>
                      <w:sz w:val="21"/>
                      <w:szCs w:val="21"/>
                    </w:rPr>
                  </w:pPr>
                  <w:r>
                    <w:rPr>
                      <w:rFonts w:cs="Times New Roman"/>
                      <w:sz w:val="21"/>
                      <w:szCs w:val="21"/>
                    </w:rPr>
                    <w:t>运行时段</w:t>
                  </w:r>
                </w:p>
              </w:tc>
              <w:tc>
                <w:tcPr>
                  <w:tcW w:w="1392" w:type="dxa"/>
                  <w:gridSpan w:val="4"/>
                  <w:vAlign w:val="center"/>
                </w:tcPr>
                <w:p>
                  <w:pPr>
                    <w:spacing w:line="240" w:lineRule="auto"/>
                    <w:ind w:firstLine="0" w:firstLineChars="0"/>
                    <w:jc w:val="center"/>
                    <w:rPr>
                      <w:rFonts w:cs="Times New Roman"/>
                      <w:sz w:val="21"/>
                      <w:szCs w:val="21"/>
                    </w:rPr>
                  </w:pPr>
                  <w:r>
                    <w:rPr>
                      <w:rFonts w:cs="Times New Roman"/>
                      <w:sz w:val="21"/>
                      <w:szCs w:val="21"/>
                    </w:rPr>
                    <w:t>建筑物插入损失/dB(A)</w:t>
                  </w:r>
                  <w:bookmarkStart w:id="25" w:name="PT_10"/>
                  <w:bookmarkEnd w:id="25"/>
                </w:p>
              </w:tc>
              <w:tc>
                <w:tcPr>
                  <w:tcW w:w="1602" w:type="dxa"/>
                  <w:gridSpan w:val="5"/>
                  <w:vAlign w:val="center"/>
                </w:tcPr>
                <w:p>
                  <w:pPr>
                    <w:spacing w:line="240" w:lineRule="auto"/>
                    <w:ind w:firstLine="0" w:firstLineChars="0"/>
                    <w:jc w:val="center"/>
                    <w:rPr>
                      <w:rFonts w:cs="Times New Roman"/>
                      <w:sz w:val="21"/>
                      <w:szCs w:val="21"/>
                    </w:rPr>
                  </w:pPr>
                  <w:r>
                    <w:rPr>
                      <w:rFonts w:cs="Times New Roman"/>
                      <w:sz w:val="21"/>
                      <w:szCs w:val="21"/>
                    </w:rPr>
                    <w:t>建筑物外噪声声压级/dB(A)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vMerge w:val="continue"/>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p>
              </w:tc>
              <w:tc>
                <w:tcPr>
                  <w:tcW w:w="407" w:type="dxa"/>
                  <w:vMerge w:val="continue"/>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声功率级/dB(A)</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X</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Y</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Z</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东</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南</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西</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北</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东</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南</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西</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北</w:t>
                  </w:r>
                </w:p>
              </w:tc>
              <w:tc>
                <w:tcPr>
                  <w:tcW w:w="406" w:type="dxa"/>
                  <w:vMerge w:val="continue"/>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东</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南</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西</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北</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东</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南</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西</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hint="eastAsia" w:cs="Times New Roman"/>
                      <w:sz w:val="21"/>
                      <w:szCs w:val="21"/>
                    </w:rPr>
                    <w:t>北</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建筑物外距离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预混机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65.9</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40.0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39.9</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投料机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10.3</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60.8</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34.8</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17.9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20.1</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14.9</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14.5</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-18.7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51.7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19.1</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17.2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21.8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51.3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9.6</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46.6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46.8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23.9</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47.0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23.3</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码垛机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5.4</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31.2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42.2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28.9</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投料机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61.0</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35.0</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70.8</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44.8</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30.5</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9.4</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70.8</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44.8</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54.1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15.8</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18.7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48.7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21.0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17</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0.3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49.2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18</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53.9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15.6</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14.6</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25.6</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分散设备</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24.9</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21</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0.2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28.7</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41.1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41.4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27.8</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37.0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32.7</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9.3</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36.5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32.9</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10.3</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33.3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33.1</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43.0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28.5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42.1</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47.4</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71.2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31.7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18.8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52.2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31</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码垛机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31.1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胶体磨</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0.8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13.7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39.7</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33</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胶体磨</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39.3</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45.7</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35</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-3.3</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36</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24.9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30.4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44.3</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71.0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37</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0.3</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33.8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72.3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46.3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38</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灌装机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-9.4</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50.3</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39</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灌装机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49.8</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40</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投料机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-23.8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41</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-3.4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64.6</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42</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包装机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0.4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-25.9</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25.4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10.6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64.7</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29.9</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43</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提升机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-16.8</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15.3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11.6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58.2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搅拌机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85</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9.4</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-19.7</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8.2</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21.3</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61.6</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44.7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45</w:t>
                  </w:r>
                </w:p>
              </w:tc>
              <w:tc>
                <w:tcPr>
                  <w:tcW w:w="407"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罐装机</w:t>
                  </w:r>
                </w:p>
              </w:tc>
              <w:tc>
                <w:tcPr>
                  <w:tcW w:w="569"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70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14.5</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-17.2</w:t>
                  </w:r>
                </w:p>
              </w:tc>
              <w:tc>
                <w:tcPr>
                  <w:tcW w:w="248"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1.2</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9.0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8.6</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27.0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60.8</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55.7</w:t>
                  </w:r>
                </w:p>
              </w:tc>
              <w:tc>
                <w:tcPr>
                  <w:tcW w:w="406"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8.00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26.0</w:t>
                  </w:r>
                </w:p>
              </w:tc>
              <w:tc>
                <w:tcPr>
                  <w:tcW w:w="36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29.8</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343"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29.7</w:t>
                  </w:r>
                </w:p>
              </w:tc>
              <w:tc>
                <w:tcPr>
                  <w:tcW w:w="210" w:type="dxa"/>
                  <w:shd w:val="clear" w:color="auto" w:fill="FFFFFF"/>
                  <w:tcMar>
                    <w:top w:w="0" w:type="dxa"/>
                    <w:left w:w="0" w:type="dxa"/>
                    <w:bottom w:w="0" w:type="dxa"/>
                    <w:right w:w="0" w:type="dxa"/>
                  </w:tcMar>
                  <w:vAlign w:val="center"/>
                </w:tcPr>
                <w:p>
                  <w:pPr>
                    <w:spacing w:line="240" w:lineRule="auto"/>
                    <w:ind w:firstLine="0" w:firstLineChars="0"/>
                    <w:jc w:val="center"/>
                    <w:rPr>
                      <w:rFonts w:cs="Times New Roman"/>
                      <w:sz w:val="21"/>
                      <w:szCs w:val="21"/>
                    </w:rPr>
                  </w:pPr>
                  <w:r>
                    <w:rPr>
                      <w:rFonts w:cs="Times New Roman"/>
                      <w:sz w:val="21"/>
                      <w:szCs w:val="21"/>
                    </w:rPr>
                    <w:t>1</w:t>
                  </w:r>
                </w:p>
              </w:tc>
            </w:tr>
            <w:bookmarkEnd w:id="24"/>
          </w:tbl>
          <w:p>
            <w:pPr>
              <w:pStyle w:val="17"/>
              <w:numPr>
                <w:ilvl w:val="0"/>
                <w:numId w:val="2"/>
              </w:numPr>
              <w:spacing w:line="360" w:lineRule="auto"/>
              <w:ind w:firstLine="480"/>
              <w:jc w:val="both"/>
              <w:rPr>
                <w:sz w:val="24"/>
                <w:szCs w:val="24"/>
                <w:lang w:bidi="ar"/>
              </w:rPr>
            </w:pPr>
            <w:r>
              <w:rPr>
                <w:sz w:val="24"/>
                <w:szCs w:val="24"/>
                <w:lang w:bidi="ar"/>
              </w:rPr>
              <w:t>预测模式</w:t>
            </w:r>
          </w:p>
          <w:p>
            <w:pPr>
              <w:pStyle w:val="17"/>
              <w:spacing w:line="360" w:lineRule="auto"/>
              <w:ind w:firstLine="480"/>
              <w:jc w:val="both"/>
              <w:rPr>
                <w:snapToGrid w:val="0"/>
                <w:kern w:val="0"/>
                <w:sz w:val="24"/>
                <w:szCs w:val="22"/>
              </w:rPr>
            </w:pPr>
            <w:r>
              <w:rPr>
                <w:rFonts w:hint="eastAsia"/>
                <w:snapToGrid w:val="0"/>
                <w:kern w:val="0"/>
                <w:sz w:val="24"/>
                <w:szCs w:val="22"/>
              </w:rPr>
              <w:t>根据项目建设内容及《环境影响评价技术导则—声环境》（HJ2.4-2021）的要求，项目环评采用的模型为《环境影响评价技术导则 声环境》（HJ2.4.2021）附录A（规范性附录）户外声传播的衰减和附录B（规范性附录）中“B.1工业噪声预测计算模型”。具体预测公式如下：</w:t>
            </w:r>
          </w:p>
          <w:p>
            <w:pPr>
              <w:pStyle w:val="17"/>
              <w:spacing w:line="360" w:lineRule="auto"/>
              <w:ind w:firstLine="480"/>
              <w:jc w:val="both"/>
              <w:rPr>
                <w:snapToGrid w:val="0"/>
                <w:kern w:val="0"/>
                <w:sz w:val="24"/>
                <w:szCs w:val="22"/>
              </w:rPr>
            </w:pPr>
            <w:r>
              <w:rPr>
                <w:snapToGrid w:val="0"/>
                <w:kern w:val="0"/>
                <w:sz w:val="24"/>
                <w:szCs w:val="22"/>
              </w:rPr>
              <w:t>对室内噪声源采用室内声源噪声模式并换算成等效的室外声源：</w:t>
            </w:r>
          </w:p>
          <w:p>
            <w:pPr>
              <w:widowControl/>
              <w:ind w:left="420" w:firstLine="480"/>
              <w:rPr>
                <w:rFonts w:cs="Times New Roman"/>
                <w:bCs/>
                <w:szCs w:val="21"/>
              </w:rPr>
            </w:pPr>
            <w:r>
              <w:rPr>
                <w:rFonts w:hint="eastAsia" w:cs="Times New Roman"/>
                <w:szCs w:val="21"/>
              </w:rPr>
              <w:t xml:space="preserve">                 </w:t>
            </w:r>
            <w:r>
              <w:rPr>
                <w:rFonts w:cs="Times New Roman"/>
                <w:szCs w:val="21"/>
              </w:rPr>
              <w:drawing>
                <wp:inline distT="0" distB="0" distL="0" distR="0">
                  <wp:extent cx="1590675" cy="390525"/>
                  <wp:effectExtent l="0" t="0" r="952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590675" cy="390525"/>
                          </a:xfrm>
                          <a:prstGeom prst="rect">
                            <a:avLst/>
                          </a:prstGeom>
                          <a:noFill/>
                          <a:ln>
                            <a:noFill/>
                          </a:ln>
                        </pic:spPr>
                      </pic:pic>
                    </a:graphicData>
                  </a:graphic>
                </wp:inline>
              </w:drawing>
            </w:r>
          </w:p>
          <w:p>
            <w:pPr>
              <w:widowControl/>
              <w:ind w:firstLine="240" w:firstLineChars="100"/>
              <w:jc w:val="center"/>
              <w:rPr>
                <w:rFonts w:cs="Times New Roman"/>
                <w:bCs/>
                <w:szCs w:val="21"/>
              </w:rPr>
            </w:pPr>
            <w:r>
              <w:rPr>
                <w:rFonts w:cs="Times New Roman"/>
                <w:szCs w:val="21"/>
              </w:rPr>
              <w:drawing>
                <wp:inline distT="0" distB="0" distL="0" distR="0">
                  <wp:extent cx="1638300" cy="2286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638300" cy="228600"/>
                          </a:xfrm>
                          <a:prstGeom prst="rect">
                            <a:avLst/>
                          </a:prstGeom>
                          <a:noFill/>
                          <a:ln>
                            <a:noFill/>
                          </a:ln>
                        </pic:spPr>
                      </pic:pic>
                    </a:graphicData>
                  </a:graphic>
                </wp:inline>
              </w:drawing>
            </w:r>
          </w:p>
          <w:p>
            <w:pPr>
              <w:widowControl/>
              <w:ind w:firstLine="480"/>
              <w:jc w:val="left"/>
              <w:rPr>
                <w:rFonts w:cs="Times New Roman"/>
                <w:bCs/>
              </w:rPr>
            </w:pPr>
            <w:r>
              <w:rPr>
                <w:rFonts w:cs="Times New Roman"/>
                <w:bCs/>
              </w:rPr>
              <w:t>式中：Ln——室内靠近围护结构处产生的声压级，dB；</w:t>
            </w:r>
          </w:p>
          <w:p>
            <w:pPr>
              <w:widowControl/>
              <w:ind w:firstLine="1200" w:firstLineChars="500"/>
              <w:jc w:val="left"/>
              <w:rPr>
                <w:rFonts w:cs="Times New Roman"/>
                <w:bCs/>
              </w:rPr>
            </w:pPr>
            <w:r>
              <w:rPr>
                <w:rFonts w:cs="Times New Roman"/>
                <w:bCs/>
              </w:rPr>
              <w:t>L</w:t>
            </w:r>
            <w:r>
              <w:rPr>
                <w:rFonts w:cs="Times New Roman"/>
                <w:bCs/>
                <w:vertAlign w:val="subscript"/>
              </w:rPr>
              <w:t>W</w:t>
            </w:r>
            <w:r>
              <w:rPr>
                <w:rFonts w:cs="Times New Roman"/>
                <w:bCs/>
              </w:rPr>
              <w:t>——室外靠近围护结构处产生的声压级，dB；</w:t>
            </w:r>
          </w:p>
          <w:p>
            <w:pPr>
              <w:widowControl/>
              <w:ind w:firstLine="1200" w:firstLineChars="500"/>
              <w:jc w:val="left"/>
              <w:rPr>
                <w:rFonts w:cs="Times New Roman"/>
                <w:bCs/>
              </w:rPr>
            </w:pPr>
            <w:r>
              <w:rPr>
                <w:rFonts w:cs="Times New Roman"/>
                <w:bCs/>
              </w:rPr>
              <w:t>Le——声源的声压级，dB</w:t>
            </w:r>
          </w:p>
          <w:p>
            <w:pPr>
              <w:widowControl/>
              <w:ind w:firstLine="1200" w:firstLineChars="500"/>
              <w:jc w:val="left"/>
              <w:rPr>
                <w:rFonts w:cs="Times New Roman"/>
                <w:bCs/>
              </w:rPr>
            </w:pPr>
            <w:r>
              <w:rPr>
                <w:rFonts w:cs="Times New Roman"/>
                <w:bCs/>
              </w:rPr>
              <w:t>r——声源与室内靠近围护结构处的距离，m；</w:t>
            </w:r>
          </w:p>
          <w:p>
            <w:pPr>
              <w:widowControl/>
              <w:ind w:firstLine="1200" w:firstLineChars="500"/>
              <w:jc w:val="left"/>
              <w:rPr>
                <w:rFonts w:cs="Times New Roman"/>
                <w:bCs/>
              </w:rPr>
            </w:pPr>
            <w:r>
              <w:rPr>
                <w:rFonts w:cs="Times New Roman"/>
                <w:bCs/>
              </w:rPr>
              <w:t>R——房间常数，m</w:t>
            </w:r>
            <w:r>
              <w:rPr>
                <w:rFonts w:cs="Times New Roman"/>
                <w:bCs/>
                <w:vertAlign w:val="superscript"/>
              </w:rPr>
              <w:t>2</w:t>
            </w:r>
            <w:r>
              <w:rPr>
                <w:rFonts w:cs="Times New Roman"/>
                <w:bCs/>
              </w:rPr>
              <w:t>；</w:t>
            </w:r>
          </w:p>
          <w:p>
            <w:pPr>
              <w:widowControl/>
              <w:ind w:firstLine="1200" w:firstLineChars="500"/>
              <w:jc w:val="left"/>
              <w:rPr>
                <w:rFonts w:cs="Times New Roman"/>
                <w:bCs/>
              </w:rPr>
            </w:pPr>
            <w:r>
              <w:rPr>
                <w:rFonts w:cs="Times New Roman"/>
                <w:bCs/>
              </w:rPr>
              <w:t>Q——方向性因子；</w:t>
            </w:r>
          </w:p>
          <w:p>
            <w:pPr>
              <w:widowControl/>
              <w:ind w:firstLine="1200" w:firstLineChars="500"/>
              <w:jc w:val="left"/>
              <w:rPr>
                <w:rFonts w:cs="Times New Roman"/>
                <w:bCs/>
              </w:rPr>
            </w:pPr>
            <w:r>
              <w:rPr>
                <w:rFonts w:cs="Times New Roman"/>
                <w:bCs/>
              </w:rPr>
              <w:t>TL——围护结构的传输损失，dB；</w:t>
            </w:r>
          </w:p>
          <w:p>
            <w:pPr>
              <w:widowControl/>
              <w:ind w:firstLine="1200" w:firstLineChars="500"/>
              <w:jc w:val="left"/>
              <w:rPr>
                <w:rFonts w:cs="Times New Roman"/>
                <w:snapToGrid w:val="0"/>
                <w:kern w:val="0"/>
              </w:rPr>
            </w:pPr>
            <w:r>
              <w:rPr>
                <w:rFonts w:cs="Times New Roman"/>
                <w:bCs/>
              </w:rPr>
              <w:t>S—</w:t>
            </w:r>
            <w:r>
              <w:rPr>
                <w:rFonts w:cs="Times New Roman"/>
                <w:snapToGrid w:val="0"/>
                <w:kern w:val="0"/>
              </w:rPr>
              <w:t>—透声面积，m</w:t>
            </w:r>
            <w:r>
              <w:rPr>
                <w:rFonts w:cs="Times New Roman"/>
                <w:snapToGrid w:val="0"/>
                <w:kern w:val="0"/>
                <w:vertAlign w:val="superscript"/>
              </w:rPr>
              <w:t>2</w:t>
            </w:r>
          </w:p>
          <w:p>
            <w:pPr>
              <w:ind w:firstLine="480"/>
              <w:rPr>
                <w:rFonts w:cs="Times New Roman"/>
                <w:snapToGrid w:val="0"/>
                <w:kern w:val="0"/>
              </w:rPr>
            </w:pPr>
            <w:r>
              <w:rPr>
                <w:rFonts w:cs="Times New Roman"/>
                <w:snapToGrid w:val="0"/>
                <w:kern w:val="0"/>
              </w:rPr>
              <w:t>对两个以上多个声源同时存在时，其预测点总声压级采用下面公式：</w:t>
            </w:r>
          </w:p>
          <w:p>
            <w:pPr>
              <w:ind w:firstLine="480"/>
              <w:jc w:val="center"/>
              <w:rPr>
                <w:rFonts w:cs="Times New Roman"/>
                <w:snapToGrid w:val="0"/>
                <w:kern w:val="0"/>
              </w:rPr>
            </w:pPr>
            <w:r>
              <w:rPr>
                <w:rFonts w:cs="Times New Roman"/>
                <w:snapToGrid w:val="0"/>
                <w:kern w:val="0"/>
              </w:rPr>
              <w:t>L</w:t>
            </w:r>
            <w:r>
              <w:rPr>
                <w:rFonts w:cs="Times New Roman"/>
                <w:snapToGrid w:val="0"/>
                <w:kern w:val="0"/>
                <w:vertAlign w:val="subscript"/>
              </w:rPr>
              <w:t>eq</w:t>
            </w:r>
            <w:r>
              <w:rPr>
                <w:rFonts w:cs="Times New Roman"/>
                <w:snapToGrid w:val="0"/>
                <w:kern w:val="0"/>
              </w:rPr>
              <w:t>=10lg</w:t>
            </w:r>
            <w:r>
              <w:rPr>
                <w:rFonts w:hint="eastAsia" w:cs="Times New Roman"/>
                <w:snapToGrid w:val="0"/>
                <w:kern w:val="0"/>
              </w:rPr>
              <w:t>（</w:t>
            </w:r>
            <w:r>
              <w:rPr>
                <w:rFonts w:cs="Times New Roman"/>
                <w:snapToGrid w:val="0"/>
                <w:kern w:val="0"/>
              </w:rPr>
              <w:t>100.1Li</w:t>
            </w:r>
            <w:r>
              <w:rPr>
                <w:rFonts w:hint="eastAsia" w:cs="Times New Roman"/>
                <w:snapToGrid w:val="0"/>
                <w:kern w:val="0"/>
              </w:rPr>
              <w:t>）</w:t>
            </w:r>
          </w:p>
          <w:p>
            <w:pPr>
              <w:ind w:firstLine="480"/>
              <w:rPr>
                <w:rFonts w:cs="Times New Roman"/>
                <w:snapToGrid w:val="0"/>
                <w:kern w:val="0"/>
              </w:rPr>
            </w:pPr>
            <w:r>
              <w:rPr>
                <w:rFonts w:cs="Times New Roman"/>
                <w:snapToGrid w:val="0"/>
                <w:kern w:val="0"/>
              </w:rPr>
              <w:t>式中：L</w:t>
            </w:r>
            <w:r>
              <w:rPr>
                <w:rFonts w:cs="Times New Roman"/>
                <w:snapToGrid w:val="0"/>
                <w:kern w:val="0"/>
                <w:vertAlign w:val="subscript"/>
              </w:rPr>
              <w:t>eq</w:t>
            </w:r>
            <w:r>
              <w:rPr>
                <w:rFonts w:cs="Times New Roman"/>
                <w:snapToGrid w:val="0"/>
                <w:kern w:val="0"/>
              </w:rPr>
              <w:t>-----预测点的总等效声级，dB</w:t>
            </w:r>
            <w:r>
              <w:rPr>
                <w:rFonts w:hint="eastAsia" w:cs="Times New Roman"/>
                <w:snapToGrid w:val="0"/>
                <w:kern w:val="0"/>
              </w:rPr>
              <w:t>（</w:t>
            </w:r>
            <w:r>
              <w:rPr>
                <w:rFonts w:cs="Times New Roman"/>
                <w:snapToGrid w:val="0"/>
                <w:kern w:val="0"/>
              </w:rPr>
              <w:t>A</w:t>
            </w:r>
            <w:r>
              <w:rPr>
                <w:rFonts w:hint="eastAsia" w:cs="Times New Roman"/>
                <w:snapToGrid w:val="0"/>
                <w:kern w:val="0"/>
              </w:rPr>
              <w:t>）</w:t>
            </w:r>
            <w:r>
              <w:rPr>
                <w:rFonts w:cs="Times New Roman"/>
                <w:snapToGrid w:val="0"/>
                <w:kern w:val="0"/>
              </w:rPr>
              <w:t>；</w:t>
            </w:r>
          </w:p>
          <w:p>
            <w:pPr>
              <w:ind w:firstLine="1200" w:firstLineChars="500"/>
              <w:rPr>
                <w:rFonts w:cs="Times New Roman"/>
                <w:snapToGrid w:val="0"/>
                <w:kern w:val="0"/>
              </w:rPr>
            </w:pPr>
            <w:r>
              <w:rPr>
                <w:rFonts w:cs="Times New Roman"/>
                <w:snapToGrid w:val="0"/>
                <w:kern w:val="0"/>
              </w:rPr>
              <w:t>Li-----第i个声源对预测点的声级影响，dB</w:t>
            </w:r>
            <w:r>
              <w:rPr>
                <w:rFonts w:hint="eastAsia" w:cs="Times New Roman"/>
                <w:snapToGrid w:val="0"/>
                <w:kern w:val="0"/>
              </w:rPr>
              <w:t>（</w:t>
            </w:r>
            <w:r>
              <w:rPr>
                <w:rFonts w:cs="Times New Roman"/>
                <w:snapToGrid w:val="0"/>
                <w:kern w:val="0"/>
              </w:rPr>
              <w:t>A</w:t>
            </w:r>
            <w:r>
              <w:rPr>
                <w:rFonts w:hint="eastAsia" w:cs="Times New Roman"/>
                <w:snapToGrid w:val="0"/>
                <w:kern w:val="0"/>
              </w:rPr>
              <w:t>）</w:t>
            </w:r>
            <w:r>
              <w:rPr>
                <w:rFonts w:cs="Times New Roman"/>
                <w:snapToGrid w:val="0"/>
                <w:kern w:val="0"/>
              </w:rPr>
              <w:t>。</w:t>
            </w:r>
          </w:p>
          <w:p>
            <w:pPr>
              <w:pStyle w:val="22"/>
              <w:widowControl w:val="0"/>
              <w:spacing w:before="0" w:beforeAutospacing="0" w:after="0" w:afterAutospacing="0" w:line="360" w:lineRule="auto"/>
              <w:ind w:firstLine="480" w:firstLineChars="200"/>
              <w:jc w:val="both"/>
              <w:rPr>
                <w:rFonts w:ascii="Times New Roman" w:hAnsi="Times New Roman"/>
                <w:kern w:val="2"/>
                <w:lang w:bidi="ar"/>
              </w:rPr>
            </w:pPr>
            <w:r>
              <w:rPr>
                <w:rFonts w:ascii="Times New Roman" w:hAnsi="Times New Roman"/>
                <w:kern w:val="2"/>
                <w:lang w:bidi="ar"/>
              </w:rPr>
              <w:t>（3）执行标准</w:t>
            </w:r>
          </w:p>
          <w:p>
            <w:pPr>
              <w:pStyle w:val="22"/>
              <w:widowControl w:val="0"/>
              <w:spacing w:before="0" w:beforeAutospacing="0" w:after="0" w:afterAutospacing="0" w:line="360" w:lineRule="auto"/>
              <w:ind w:firstLine="480" w:firstLineChars="200"/>
              <w:jc w:val="both"/>
              <w:rPr>
                <w:rFonts w:ascii="Times New Roman" w:hAnsi="Times New Roman"/>
                <w:kern w:val="2"/>
                <w:lang w:bidi="ar"/>
              </w:rPr>
            </w:pPr>
            <w:r>
              <w:rPr>
                <w:rFonts w:ascii="Times New Roman" w:hAnsi="Times New Roman"/>
                <w:kern w:val="2"/>
                <w:lang w:bidi="ar"/>
              </w:rPr>
              <w:t>厂界处噪声执行《工业企业厂界环境噪声排放标准》</w:t>
            </w:r>
            <w:r>
              <w:rPr>
                <w:rFonts w:hint="eastAsia" w:ascii="Times New Roman" w:hAnsi="Times New Roman"/>
                <w:kern w:val="2"/>
                <w:lang w:bidi="ar"/>
              </w:rPr>
              <w:t>（</w:t>
            </w:r>
            <w:r>
              <w:rPr>
                <w:rFonts w:ascii="Times New Roman" w:hAnsi="Times New Roman"/>
                <w:kern w:val="2"/>
                <w:lang w:bidi="ar"/>
              </w:rPr>
              <w:t>GB12348-2008</w:t>
            </w:r>
            <w:r>
              <w:rPr>
                <w:rFonts w:hint="eastAsia" w:ascii="Times New Roman" w:hAnsi="Times New Roman"/>
                <w:kern w:val="2"/>
                <w:lang w:bidi="ar"/>
              </w:rPr>
              <w:t>）</w:t>
            </w:r>
            <w:r>
              <w:rPr>
                <w:rFonts w:ascii="Times New Roman" w:hAnsi="Times New Roman"/>
                <w:kern w:val="2"/>
                <w:lang w:bidi="ar"/>
              </w:rPr>
              <w:t>中3类标准。</w:t>
            </w:r>
          </w:p>
          <w:p>
            <w:pPr>
              <w:pStyle w:val="22"/>
              <w:widowControl w:val="0"/>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（4）</w:t>
            </w:r>
            <w:r>
              <w:rPr>
                <w:rFonts w:ascii="Times New Roman" w:hAnsi="Times New Roman"/>
                <w:kern w:val="2"/>
                <w:lang w:bidi="ar"/>
              </w:rPr>
              <w:t>预测结果</w:t>
            </w:r>
          </w:p>
          <w:p>
            <w:pPr>
              <w:ind w:firstLine="480"/>
              <w:rPr>
                <w:color w:val="000000" w:themeColor="text1"/>
                <w14:textFill>
                  <w14:solidFill>
                    <w14:schemeClr w14:val="tx1"/>
                  </w14:solidFill>
                </w14:textFill>
              </w:rPr>
            </w:pPr>
            <w:r>
              <w:rPr>
                <w:lang w:bidi="ar"/>
              </w:rPr>
              <w:t>项目设备主要安装在室内，本评价以室内设备噪声源进行预测，隔声较好，项目噪声预测结果见表4-7</w:t>
            </w:r>
            <w:r>
              <w:rPr>
                <w:rFonts w:hint="eastAsia"/>
                <w:lang w:bidi="ar"/>
              </w:rPr>
              <w:t>。</w:t>
            </w:r>
          </w:p>
          <w:p>
            <w:pPr>
              <w:autoSpaceDE w:val="0"/>
              <w:autoSpaceDN w:val="0"/>
              <w:adjustRightInd w:val="0"/>
              <w:snapToGrid w:val="0"/>
              <w:spacing w:line="240" w:lineRule="auto"/>
              <w:ind w:firstLine="0" w:firstLineChars="0"/>
              <w:jc w:val="center"/>
              <w:textAlignment w:val="auto"/>
              <w:rPr>
                <w:rFonts w:cs="Times New Roman"/>
                <w:b/>
                <w:bCs/>
                <w:sz w:val="21"/>
                <w:szCs w:val="21"/>
              </w:rPr>
            </w:pPr>
            <w:r>
              <w:rPr>
                <w:rFonts w:cs="Times New Roman"/>
                <w:b/>
                <w:bCs/>
                <w:sz w:val="21"/>
                <w:szCs w:val="21"/>
              </w:rPr>
              <w:t>表4-7  厂界噪声预测结果与达标分析表</w:t>
            </w:r>
            <w:bookmarkStart w:id="26" w:name="PT_7"/>
          </w:p>
          <w:bookmarkEnd w:id="26"/>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803"/>
              <w:gridCol w:w="803"/>
              <w:gridCol w:w="803"/>
              <w:gridCol w:w="992"/>
              <w:gridCol w:w="1416"/>
              <w:gridCol w:w="1417"/>
              <w:gridCol w:w="11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restart"/>
                  <w:vAlign w:val="center"/>
                </w:tcPr>
                <w:p>
                  <w:pPr>
                    <w:spacing w:line="240" w:lineRule="auto"/>
                    <w:ind w:firstLine="0" w:firstLineChars="0"/>
                    <w:jc w:val="center"/>
                    <w:rPr>
                      <w:rFonts w:cs="Times New Roman"/>
                      <w:sz w:val="21"/>
                      <w:szCs w:val="21"/>
                    </w:rPr>
                  </w:pPr>
                  <w:r>
                    <w:rPr>
                      <w:rFonts w:hint="eastAsia" w:cs="Times New Roman"/>
                      <w:sz w:val="21"/>
                      <w:szCs w:val="21"/>
                    </w:rPr>
                    <w:t>预测方位</w:t>
                  </w:r>
                </w:p>
              </w:tc>
              <w:tc>
                <w:tcPr>
                  <w:tcW w:w="2409" w:type="dxa"/>
                  <w:gridSpan w:val="3"/>
                  <w:vAlign w:val="center"/>
                </w:tcPr>
                <w:p>
                  <w:pPr>
                    <w:spacing w:line="240" w:lineRule="auto"/>
                    <w:ind w:firstLine="0" w:firstLineChars="0"/>
                    <w:jc w:val="center"/>
                    <w:rPr>
                      <w:rFonts w:cs="Times New Roman"/>
                      <w:sz w:val="21"/>
                      <w:szCs w:val="21"/>
                    </w:rPr>
                  </w:pPr>
                  <w:r>
                    <w:rPr>
                      <w:rFonts w:hint="eastAsia" w:cs="Times New Roman"/>
                      <w:sz w:val="21"/>
                      <w:szCs w:val="21"/>
                    </w:rPr>
                    <w:t>最大值点空间相对位置</w:t>
                  </w:r>
                  <w:r>
                    <w:rPr>
                      <w:rFonts w:cs="Times New Roman"/>
                      <w:sz w:val="21"/>
                      <w:szCs w:val="21"/>
                    </w:rPr>
                    <w:t>/m</w:t>
                  </w:r>
                </w:p>
              </w:tc>
              <w:tc>
                <w:tcPr>
                  <w:tcW w:w="992" w:type="dxa"/>
                  <w:vMerge w:val="restart"/>
                  <w:vAlign w:val="center"/>
                </w:tcPr>
                <w:p>
                  <w:pPr>
                    <w:spacing w:line="240" w:lineRule="auto"/>
                    <w:ind w:firstLine="0" w:firstLineChars="0"/>
                    <w:jc w:val="center"/>
                    <w:rPr>
                      <w:rFonts w:cs="Times New Roman"/>
                      <w:sz w:val="21"/>
                      <w:szCs w:val="21"/>
                    </w:rPr>
                  </w:pPr>
                  <w:r>
                    <w:rPr>
                      <w:rFonts w:hint="eastAsia" w:cs="Times New Roman"/>
                      <w:sz w:val="21"/>
                      <w:szCs w:val="21"/>
                    </w:rPr>
                    <w:t>时段</w:t>
                  </w:r>
                </w:p>
              </w:tc>
              <w:tc>
                <w:tcPr>
                  <w:tcW w:w="1416" w:type="dxa"/>
                  <w:vMerge w:val="restart"/>
                  <w:vAlign w:val="center"/>
                </w:tcPr>
                <w:p>
                  <w:pPr>
                    <w:spacing w:line="240" w:lineRule="auto"/>
                    <w:ind w:firstLine="0" w:firstLineChars="0"/>
                    <w:jc w:val="center"/>
                    <w:rPr>
                      <w:rFonts w:cs="Times New Roman"/>
                      <w:sz w:val="21"/>
                      <w:szCs w:val="21"/>
                    </w:rPr>
                  </w:pPr>
                  <w:r>
                    <w:rPr>
                      <w:rFonts w:hint="eastAsia" w:cs="Times New Roman"/>
                      <w:sz w:val="21"/>
                      <w:szCs w:val="21"/>
                    </w:rPr>
                    <w:t>贡献值</w:t>
                  </w:r>
                </w:p>
                <w:p>
                  <w:pPr>
                    <w:spacing w:line="240" w:lineRule="auto"/>
                    <w:ind w:firstLine="0" w:firstLineChars="0"/>
                    <w:jc w:val="center"/>
                    <w:rPr>
                      <w:rFonts w:cs="Times New Roman"/>
                      <w:sz w:val="21"/>
                      <w:szCs w:val="21"/>
                    </w:rPr>
                  </w:pPr>
                  <w:r>
                    <w:rPr>
                      <w:rFonts w:cs="Times New Roman"/>
                      <w:sz w:val="21"/>
                      <w:szCs w:val="21"/>
                    </w:rPr>
                    <w:t>dB</w:t>
                  </w:r>
                  <w:r>
                    <w:rPr>
                      <w:rFonts w:hint="eastAsia" w:cs="Times New Roman"/>
                      <w:sz w:val="21"/>
                      <w:szCs w:val="21"/>
                    </w:rPr>
                    <w:t>（A）</w:t>
                  </w:r>
                </w:p>
              </w:tc>
              <w:tc>
                <w:tcPr>
                  <w:tcW w:w="1417" w:type="dxa"/>
                  <w:vMerge w:val="restart"/>
                  <w:vAlign w:val="center"/>
                </w:tcPr>
                <w:p>
                  <w:pPr>
                    <w:spacing w:line="240" w:lineRule="auto"/>
                    <w:ind w:firstLine="0" w:firstLineChars="0"/>
                    <w:jc w:val="center"/>
                    <w:rPr>
                      <w:rFonts w:cs="Times New Roman"/>
                      <w:sz w:val="21"/>
                      <w:szCs w:val="21"/>
                    </w:rPr>
                  </w:pPr>
                  <w:r>
                    <w:rPr>
                      <w:rFonts w:hint="eastAsia" w:cs="Times New Roman"/>
                      <w:sz w:val="21"/>
                      <w:szCs w:val="21"/>
                    </w:rPr>
                    <w:t>标准限值</w:t>
                  </w:r>
                </w:p>
                <w:p>
                  <w:pPr>
                    <w:spacing w:line="240" w:lineRule="auto"/>
                    <w:ind w:firstLine="0" w:firstLineChars="0"/>
                    <w:jc w:val="center"/>
                    <w:rPr>
                      <w:rFonts w:cs="Times New Roman"/>
                      <w:sz w:val="21"/>
                      <w:szCs w:val="21"/>
                    </w:rPr>
                  </w:pPr>
                  <w:r>
                    <w:rPr>
                      <w:rFonts w:cs="Times New Roman"/>
                      <w:sz w:val="21"/>
                      <w:szCs w:val="21"/>
                    </w:rPr>
                    <w:t>dB</w:t>
                  </w:r>
                  <w:r>
                    <w:rPr>
                      <w:rFonts w:hint="eastAsia" w:cs="Times New Roman"/>
                      <w:sz w:val="21"/>
                      <w:szCs w:val="21"/>
                    </w:rPr>
                    <w:t>（A）</w:t>
                  </w:r>
                </w:p>
              </w:tc>
              <w:tc>
                <w:tcPr>
                  <w:tcW w:w="1187" w:type="dxa"/>
                  <w:vMerge w:val="restart"/>
                  <w:vAlign w:val="center"/>
                </w:tcPr>
                <w:p>
                  <w:pPr>
                    <w:spacing w:line="240" w:lineRule="auto"/>
                    <w:ind w:firstLine="0" w:firstLineChars="0"/>
                    <w:jc w:val="center"/>
                    <w:rPr>
                      <w:rFonts w:cs="Times New Roman"/>
                      <w:sz w:val="21"/>
                      <w:szCs w:val="21"/>
                    </w:rPr>
                  </w:pPr>
                  <w:r>
                    <w:rPr>
                      <w:rFonts w:hint="eastAsia" w:cs="Times New Roman"/>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continue"/>
                  <w:vAlign w:val="center"/>
                </w:tcPr>
                <w:p>
                  <w:pPr>
                    <w:spacing w:line="240" w:lineRule="auto"/>
                    <w:ind w:firstLine="0" w:firstLineChars="0"/>
                    <w:jc w:val="center"/>
                    <w:rPr>
                      <w:rFonts w:cs="Times New Roman"/>
                      <w:sz w:val="21"/>
                      <w:szCs w:val="21"/>
                    </w:rPr>
                  </w:pP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X</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Y</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Z</w:t>
                  </w:r>
                </w:p>
              </w:tc>
              <w:tc>
                <w:tcPr>
                  <w:tcW w:w="992" w:type="dxa"/>
                  <w:vMerge w:val="continue"/>
                  <w:vAlign w:val="center"/>
                </w:tcPr>
                <w:p>
                  <w:pPr>
                    <w:spacing w:line="240" w:lineRule="auto"/>
                    <w:ind w:firstLine="0" w:firstLineChars="0"/>
                    <w:jc w:val="center"/>
                    <w:rPr>
                      <w:rFonts w:cs="Times New Roman"/>
                      <w:sz w:val="21"/>
                      <w:szCs w:val="21"/>
                    </w:rPr>
                  </w:pPr>
                </w:p>
              </w:tc>
              <w:tc>
                <w:tcPr>
                  <w:tcW w:w="1416" w:type="dxa"/>
                  <w:vMerge w:val="continue"/>
                  <w:vAlign w:val="center"/>
                </w:tcPr>
                <w:p>
                  <w:pPr>
                    <w:spacing w:line="240" w:lineRule="auto"/>
                    <w:ind w:firstLine="0" w:firstLineChars="0"/>
                    <w:jc w:val="center"/>
                    <w:rPr>
                      <w:rFonts w:cs="Times New Roman"/>
                      <w:sz w:val="21"/>
                      <w:szCs w:val="21"/>
                    </w:rPr>
                  </w:pPr>
                </w:p>
              </w:tc>
              <w:tc>
                <w:tcPr>
                  <w:tcW w:w="1417" w:type="dxa"/>
                  <w:vMerge w:val="continue"/>
                  <w:vAlign w:val="center"/>
                </w:tcPr>
                <w:p>
                  <w:pPr>
                    <w:spacing w:line="240" w:lineRule="auto"/>
                    <w:ind w:firstLine="0" w:firstLineChars="0"/>
                    <w:jc w:val="center"/>
                    <w:rPr>
                      <w:rFonts w:cs="Times New Roman"/>
                      <w:sz w:val="21"/>
                      <w:szCs w:val="21"/>
                    </w:rPr>
                  </w:pPr>
                </w:p>
              </w:tc>
              <w:tc>
                <w:tcPr>
                  <w:tcW w:w="1187" w:type="dxa"/>
                  <w:vMerge w:val="continue"/>
                  <w:vAlign w:val="center"/>
                </w:tcPr>
                <w:p>
                  <w:pPr>
                    <w:spacing w:line="240" w:lineRule="auto"/>
                    <w:ind w:firstLine="0" w:firstLineChars="0"/>
                    <w:jc w:val="center"/>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restart"/>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东侧</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51.9</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24.5</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昼间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36.8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65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continue"/>
                  <w:vAlign w:val="center"/>
                </w:tcPr>
                <w:p>
                  <w:pPr>
                    <w:spacing w:line="240" w:lineRule="auto"/>
                    <w:ind w:firstLine="0" w:firstLineChars="0"/>
                    <w:jc w:val="center"/>
                    <w:rPr>
                      <w:rFonts w:cs="Times New Roman"/>
                      <w:sz w:val="21"/>
                      <w:szCs w:val="21"/>
                    </w:rPr>
                  </w:pP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51.9</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24.5</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夜间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36.8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restart"/>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南侧</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22.5</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-8.4</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昼间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42.8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65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continue"/>
                  <w:vAlign w:val="center"/>
                </w:tcPr>
                <w:p>
                  <w:pPr>
                    <w:spacing w:line="240" w:lineRule="auto"/>
                    <w:ind w:firstLine="0" w:firstLineChars="0"/>
                    <w:jc w:val="center"/>
                    <w:rPr>
                      <w:rFonts w:cs="Times New Roman"/>
                      <w:sz w:val="21"/>
                      <w:szCs w:val="21"/>
                    </w:rPr>
                  </w:pP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22.5</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-8.4</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夜间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42.8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restart"/>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西侧</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-28.2</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10.9</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昼间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42.9</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65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continue"/>
                  <w:vAlign w:val="center"/>
                </w:tcPr>
                <w:p>
                  <w:pPr>
                    <w:spacing w:line="240" w:lineRule="auto"/>
                    <w:ind w:firstLine="0" w:firstLineChars="0"/>
                    <w:jc w:val="center"/>
                    <w:rPr>
                      <w:rFonts w:cs="Times New Roman"/>
                      <w:sz w:val="21"/>
                      <w:szCs w:val="21"/>
                    </w:rPr>
                  </w:pP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-28.2</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10.9</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夜间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42.9</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restart"/>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北侧</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-21</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45.8</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昼间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36.8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65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0" w:type="dxa"/>
                  <w:vMerge w:val="continue"/>
                  <w:vAlign w:val="center"/>
                </w:tcPr>
                <w:p>
                  <w:pPr>
                    <w:spacing w:line="240" w:lineRule="auto"/>
                    <w:ind w:firstLine="0" w:firstLineChars="0"/>
                    <w:jc w:val="center"/>
                    <w:rPr>
                      <w:rFonts w:cs="Times New Roman"/>
                      <w:sz w:val="21"/>
                      <w:szCs w:val="21"/>
                    </w:rPr>
                  </w:pP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-21</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45.8</w:t>
                  </w:r>
                </w:p>
              </w:tc>
              <w:tc>
                <w:tcPr>
                  <w:tcW w:w="803"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1.2</w:t>
                  </w:r>
                </w:p>
              </w:tc>
              <w:tc>
                <w:tcPr>
                  <w:tcW w:w="992"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夜间</w:t>
                  </w:r>
                </w:p>
              </w:tc>
              <w:tc>
                <w:tcPr>
                  <w:tcW w:w="1416"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36.8</w:t>
                  </w:r>
                </w:p>
              </w:tc>
              <w:tc>
                <w:tcPr>
                  <w:tcW w:w="1417" w:type="dxa"/>
                  <w:shd w:val="clear" w:color="auto" w:fill="FFFFFF"/>
                  <w:vAlign w:val="center"/>
                </w:tcPr>
                <w:p>
                  <w:pPr>
                    <w:spacing w:line="240" w:lineRule="auto"/>
                    <w:ind w:firstLine="0" w:firstLineChars="0"/>
                    <w:jc w:val="center"/>
                    <w:rPr>
                      <w:rFonts w:cs="Times New Roman"/>
                      <w:sz w:val="21"/>
                      <w:szCs w:val="21"/>
                    </w:rPr>
                  </w:pPr>
                  <w:r>
                    <w:rPr>
                      <w:rFonts w:cs="Times New Roman"/>
                      <w:sz w:val="21"/>
                      <w:szCs w:val="21"/>
                    </w:rPr>
                    <w:t>55</w:t>
                  </w:r>
                </w:p>
              </w:tc>
              <w:tc>
                <w:tcPr>
                  <w:tcW w:w="1187" w:type="dxa"/>
                  <w:shd w:val="clear" w:color="auto" w:fill="FFFFFF"/>
                  <w:vAlign w:val="center"/>
                </w:tcPr>
                <w:p>
                  <w:pPr>
                    <w:spacing w:line="240" w:lineRule="auto"/>
                    <w:ind w:firstLine="0" w:firstLineChars="0"/>
                    <w:jc w:val="center"/>
                    <w:rPr>
                      <w:rFonts w:cs="Times New Roman"/>
                      <w:sz w:val="21"/>
                      <w:szCs w:val="21"/>
                    </w:rPr>
                  </w:pPr>
                  <w:r>
                    <w:rPr>
                      <w:rFonts w:hint="eastAsia" w:cs="Times New Roman"/>
                      <w:sz w:val="21"/>
                      <w:szCs w:val="21"/>
                    </w:rPr>
                    <w:t>达标</w:t>
                  </w:r>
                </w:p>
              </w:tc>
            </w:tr>
          </w:tbl>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根据上表可知，本项目设备噪声在距离衰减情况下，四周厂界可满足《工业企业厂界环境噪声排放标准》（</w:t>
            </w:r>
            <w:r>
              <w:rPr>
                <w:color w:val="000000" w:themeColor="text1"/>
                <w14:textFill>
                  <w14:solidFill>
                    <w14:schemeClr w14:val="tx1"/>
                  </w14:solidFill>
                </w14:textFill>
              </w:rPr>
              <w:t>GB12348-2008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类标准。本项目产生的噪声经治理后对厂区周边声环境影响较小。为了确保厂界噪声稳定达标排放，主要噪声防治措施如下：</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①本项目主要噪声设备布置集中，可通过距离消减有效降低厂界的噪声。</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②加强文明生产管理，减小原材料装卸作业的撞击声及人为噪声。</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③严格禁止运输车辆超载。</w:t>
            </w:r>
          </w:p>
          <w:p>
            <w:pPr>
              <w:spacing w:line="440" w:lineRule="exact"/>
              <w:ind w:firstLine="0" w:firstLineChars="0"/>
              <w:jc w:val="left"/>
              <w:rPr>
                <w:b/>
                <w:bCs/>
              </w:rPr>
            </w:pPr>
            <w:r>
              <w:rPr>
                <w:rFonts w:hint="eastAsia"/>
                <w:b/>
                <w:bCs/>
              </w:rPr>
              <w:t>4</w:t>
            </w:r>
            <w:r>
              <w:rPr>
                <w:b/>
                <w:bCs/>
              </w:rPr>
              <w:t>.2.</w:t>
            </w:r>
            <w:r>
              <w:rPr>
                <w:rFonts w:hint="eastAsia"/>
                <w:b/>
                <w:bCs/>
              </w:rPr>
              <w:t>4固体废物影响与评价</w:t>
            </w:r>
          </w:p>
          <w:p>
            <w:pPr>
              <w:ind w:firstLine="480"/>
              <w:rPr>
                <w:color w:val="000000"/>
              </w:rPr>
            </w:pPr>
            <w:r>
              <w:rPr>
                <w:rFonts w:hint="eastAsia"/>
                <w:color w:val="000000"/>
              </w:rPr>
              <w:t>本项目生产过程中产生固废主要包括废包装袋、除尘器收集粉尘、废布袋、废原料桶、废机油、废导热油、废焦油、废活性炭和生活垃圾。</w:t>
            </w:r>
          </w:p>
          <w:p>
            <w:pPr>
              <w:ind w:firstLine="480"/>
              <w:rPr>
                <w:rFonts w:cs="Times New Roman"/>
                <w:color w:val="000000" w:themeColor="text1"/>
                <w14:textFill>
                  <w14:solidFill>
                    <w14:schemeClr w14:val="tx1"/>
                  </w14:solidFill>
                </w14:textFill>
              </w:rPr>
            </w:pPr>
            <w:r>
              <w:rPr>
                <w:rFonts w:hint="eastAsia"/>
                <w:color w:val="000000"/>
              </w:rPr>
              <w:t>项目营运</w:t>
            </w:r>
            <w:r>
              <w:rPr>
                <w:rFonts w:hint="eastAsia"/>
                <w:color w:val="000000" w:themeColor="text1"/>
                <w14:textFill>
                  <w14:solidFill>
                    <w14:schemeClr w14:val="tx1"/>
                  </w14:solidFill>
                </w14:textFill>
              </w:rPr>
              <w:t>期产生的固体废物主要为：生活垃圾、一般工业固体废物、危险废物</w:t>
            </w:r>
            <w:r>
              <w:rPr>
                <w:rFonts w:hint="eastAsia" w:cs="Times New Roman"/>
                <w:color w:val="000000" w:themeColor="text1"/>
                <w14:textFill>
                  <w14:solidFill>
                    <w14:schemeClr w14:val="tx1"/>
                  </w14:solidFill>
                </w14:textFill>
              </w:rPr>
              <w:t>。</w:t>
            </w:r>
          </w:p>
          <w:p>
            <w:pPr>
              <w:ind w:firstLine="480"/>
              <w:rPr>
                <w:color w:val="000000" w:themeColor="text1"/>
                <w14:textFill>
                  <w14:solidFill>
                    <w14:schemeClr w14:val="tx1"/>
                  </w14:solidFill>
                </w14:textFill>
              </w:rPr>
            </w:pPr>
            <w:bookmarkStart w:id="27" w:name="_Hlk156401327"/>
            <w:r>
              <w:rPr>
                <w:color w:val="000000" w:themeColor="text1"/>
                <w14:textFill>
                  <w14:solidFill>
                    <w14:schemeClr w14:val="tx1"/>
                  </w14:solidFill>
                </w14:textFill>
              </w:rPr>
              <w:t>（1）生活</w:t>
            </w:r>
            <w:r>
              <w:rPr>
                <w:rFonts w:hint="eastAsia"/>
                <w:color w:val="000000" w:themeColor="text1"/>
                <w14:textFill>
                  <w14:solidFill>
                    <w14:schemeClr w14:val="tx1"/>
                  </w14:solidFill>
                </w14:textFill>
              </w:rPr>
              <w:t>垃圾</w:t>
            </w:r>
          </w:p>
          <w:p>
            <w:pPr>
              <w:ind w:firstLine="480"/>
              <w:rPr>
                <w:rFonts w:cs="Times New Roman"/>
                <w:color w:val="000000" w:themeColor="text1"/>
                <w14:textFill>
                  <w14:solidFill>
                    <w14:schemeClr w14:val="tx1"/>
                  </w14:solidFill>
                </w14:textFill>
              </w:rPr>
            </w:pPr>
            <w:r>
              <w:rPr>
                <w:color w:val="000000" w:themeColor="text1"/>
                <w14:textFill>
                  <w14:solidFill>
                    <w14:schemeClr w14:val="tx1"/>
                  </w14:solidFill>
                </w14:textFill>
              </w:rPr>
              <w:t>项目劳</w:t>
            </w:r>
            <w:r>
              <w:rPr>
                <w:rFonts w:cs="Times New Roman"/>
                <w:color w:val="000000" w:themeColor="text1"/>
                <w14:textFill>
                  <w14:solidFill>
                    <w14:schemeClr w14:val="tx1"/>
                  </w14:solidFill>
                </w14:textFill>
              </w:rPr>
              <w:t>动定员20人，按每人每天产生生活垃圾0.5kg计算，项目年生产270天，则年产生量为2.7t/a。</w:t>
            </w:r>
            <w:r>
              <w:rPr>
                <w:rFonts w:hint="eastAsia"/>
                <w:color w:val="000000" w:themeColor="text1"/>
                <w:szCs w:val="21"/>
                <w14:textFill>
                  <w14:solidFill>
                    <w14:schemeClr w14:val="tx1"/>
                  </w14:solidFill>
                </w14:textFill>
              </w:rPr>
              <w:t>生活垃圾集中收集至垃圾箱后</w:t>
            </w:r>
            <w:r>
              <w:rPr>
                <w:snapToGrid w:val="0"/>
                <w:color w:val="000000" w:themeColor="text1"/>
                <w:kern w:val="0"/>
                <w:szCs w:val="21"/>
                <w14:textFill>
                  <w14:solidFill>
                    <w14:schemeClr w14:val="tx1"/>
                  </w14:solidFill>
                </w14:textFill>
              </w:rPr>
              <w:t>由环卫部门统一清运</w:t>
            </w:r>
            <w:r>
              <w:rPr>
                <w:rFonts w:cs="Times New Roman"/>
                <w:color w:val="000000" w:themeColor="text1"/>
                <w14:textFill>
                  <w14:solidFill>
                    <w14:schemeClr w14:val="tx1"/>
                  </w14:solidFill>
                </w14:textFill>
              </w:rPr>
              <w:t>。</w:t>
            </w:r>
          </w:p>
          <w:p>
            <w:pPr>
              <w:ind w:firstLine="480"/>
            </w:pPr>
            <w:r>
              <w:rPr>
                <w:rFonts w:hint="eastAsia"/>
              </w:rPr>
              <w:t>（</w:t>
            </w:r>
            <w:r>
              <w:t>2</w:t>
            </w:r>
            <w:r>
              <w:rPr>
                <w:rFonts w:hint="eastAsia"/>
              </w:rPr>
              <w:t>）废包装袋</w:t>
            </w:r>
          </w:p>
          <w:p>
            <w:pPr>
              <w:ind w:firstLine="480"/>
            </w:pPr>
            <w:r>
              <w:rPr>
                <w:rFonts w:hint="eastAsia"/>
              </w:rPr>
              <w:t>项目原料和产品包装会产生一定的废包装袋，包装不存在沾染，按一般固废处理。根据建设单位提供资料，废包装袋产生量约为0.3t/a，收集后外售废旧物资回收单位。</w:t>
            </w:r>
          </w:p>
          <w:p>
            <w:pPr>
              <w:ind w:firstLine="480"/>
              <w:rPr>
                <w:color w:val="000000" w:themeColor="text1"/>
                <w14:textFill>
                  <w14:solidFill>
                    <w14:schemeClr w14:val="tx1"/>
                  </w14:solidFill>
                </w14:textFill>
              </w:rPr>
            </w:pPr>
            <w:r>
              <w:rPr>
                <w:rFonts w:cs="Times New Roman"/>
              </w:rPr>
              <w:t>（3）</w:t>
            </w:r>
            <w:r>
              <w:rPr>
                <w:rFonts w:hint="eastAsia"/>
                <w:color w:val="000000" w:themeColor="text1"/>
                <w14:textFill>
                  <w14:solidFill>
                    <w14:schemeClr w14:val="tx1"/>
                  </w14:solidFill>
                </w14:textFill>
              </w:rPr>
              <w:t>除尘器收集粉尘</w:t>
            </w:r>
          </w:p>
          <w:p>
            <w:pPr>
              <w:ind w:firstLine="480"/>
              <w:rPr>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根据前文工程分析，布袋除尘器收集粉尘量为</w:t>
            </w:r>
            <w:r>
              <w:rPr>
                <w:rFonts w:cs="Times New Roman"/>
                <w:color w:val="000000" w:themeColor="text1"/>
                <w14:textFill>
                  <w14:solidFill>
                    <w14:schemeClr w14:val="tx1"/>
                  </w14:solidFill>
                </w14:textFill>
              </w:rPr>
              <w:t>6.2538</w:t>
            </w:r>
            <w:r>
              <w:rPr>
                <w:rFonts w:hint="eastAsia" w:cs="Times New Roman"/>
                <w:color w:val="000000" w:themeColor="text1"/>
                <w14:textFill>
                  <w14:solidFill>
                    <w14:schemeClr w14:val="tx1"/>
                  </w14:solidFill>
                </w14:textFill>
              </w:rPr>
              <w:t>t/a，属于一般工业固废，集中收集后，拉运至和静工业园区一般工业固废填埋场（由新疆久汇置业有限公司运营）。</w:t>
            </w:r>
          </w:p>
          <w:p>
            <w:pPr>
              <w:ind w:firstLine="480"/>
              <w:rPr>
                <w:rFonts w:cs="Times New Roman"/>
                <w:color w:val="000000" w:themeColor="text1"/>
                <w14:textFill>
                  <w14:solidFill>
                    <w14:schemeClr w14:val="tx1"/>
                  </w14:solidFill>
                </w14:textFill>
              </w:rPr>
            </w:pPr>
            <w:bookmarkStart w:id="28" w:name="OLE_LINK2"/>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）废布袋</w:t>
            </w:r>
          </w:p>
          <w:p>
            <w:pPr>
              <w:ind w:firstLine="48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项目布袋除尘器定期需更换布袋，更换频次1次/季度，每次更换产生量约为0.1t，则每年废布袋产生量为0.4t/a，经收集后交由厂家回收。</w:t>
            </w:r>
            <w:bookmarkEnd w:id="28"/>
          </w:p>
          <w:p>
            <w:pPr>
              <w:ind w:firstLine="480"/>
              <w:rPr>
                <w:color w:val="000000"/>
              </w:rPr>
            </w:pPr>
            <w:r>
              <w:rPr>
                <w:rFonts w:hint="eastAsia"/>
              </w:rPr>
              <w:t>（</w:t>
            </w:r>
            <w:r>
              <w:t>5</w:t>
            </w:r>
            <w:r>
              <w:rPr>
                <w:rFonts w:hint="eastAsia"/>
              </w:rPr>
              <w:t>）</w:t>
            </w:r>
            <w:r>
              <w:rPr>
                <w:rFonts w:hint="eastAsia"/>
                <w:color w:val="000000"/>
              </w:rPr>
              <w:t>废原料桶</w:t>
            </w:r>
          </w:p>
          <w:p>
            <w:pPr>
              <w:ind w:firstLine="480"/>
            </w:pPr>
            <w:r>
              <w:rPr>
                <w:rFonts w:hint="eastAsia"/>
              </w:rPr>
              <w:t>项目使用的罐装/桶装液体原料（包括增塑剂、氨水、醇酯十二、苯丙乳液、丙二醇、增稠剂、消泡剂、二甲苯、分散剂、导热油、基质沥青、芳烃油、环氧大豆油、环烷油、冷补液、稳定剂等）在使用完毕后产生废原料桶。根据同类项目类比，产生量约为5t/a。根据</w:t>
            </w:r>
            <w:r>
              <w:rPr>
                <w:rFonts w:hint="eastAsia" w:cs="Times New Roman"/>
              </w:rPr>
              <w:t>《国家危险废物名录》（202</w:t>
            </w:r>
            <w:r>
              <w:rPr>
                <w:rFonts w:cs="Times New Roman"/>
              </w:rPr>
              <w:t>5</w:t>
            </w:r>
            <w:r>
              <w:rPr>
                <w:rFonts w:hint="eastAsia" w:cs="Times New Roman"/>
              </w:rPr>
              <w:t>版）</w:t>
            </w:r>
            <w:r>
              <w:rPr>
                <w:rFonts w:hint="eastAsia"/>
              </w:rPr>
              <w:t>，</w:t>
            </w:r>
            <w:r>
              <w:rPr>
                <w:rFonts w:hint="eastAsia"/>
                <w:color w:val="000000"/>
              </w:rPr>
              <w:t>废原料桶</w:t>
            </w:r>
            <w:r>
              <w:rPr>
                <w:rFonts w:hint="eastAsia"/>
              </w:rPr>
              <w:t>属于HW49其他废物900-041-49含有或沾染毒性、感染性危险废物的废弃包装物、容器、过滤吸附介质中的危险废物，</w:t>
            </w:r>
            <w:r>
              <w:rPr>
                <w:rFonts w:hint="eastAsia" w:ascii="宋体" w:hAnsi="宋体" w:cs="宋体"/>
              </w:rPr>
              <w:t>集中收集后存放于危险废物贮存库</w:t>
            </w:r>
            <w:r>
              <w:rPr>
                <w:spacing w:val="3"/>
              </w:rPr>
              <w:t>，</w:t>
            </w:r>
            <w:r>
              <w:rPr>
                <w:rFonts w:hint="eastAsia" w:cs="Times New Roman"/>
              </w:rPr>
              <w:t>委托有危险废物处理资质的单位处置</w:t>
            </w:r>
            <w:r>
              <w:rPr>
                <w:rFonts w:hint="eastAsia"/>
              </w:rPr>
              <w:t>。</w:t>
            </w:r>
          </w:p>
          <w:p>
            <w:pPr>
              <w:ind w:firstLine="480"/>
            </w:pPr>
            <w:r>
              <w:rPr>
                <w:rFonts w:hint="eastAsia"/>
              </w:rPr>
              <w:t>（</w:t>
            </w:r>
            <w:r>
              <w:t>6</w:t>
            </w:r>
            <w:r>
              <w:rPr>
                <w:rFonts w:hint="eastAsia"/>
              </w:rPr>
              <w:t>）废焦油</w:t>
            </w:r>
          </w:p>
          <w:p>
            <w:pPr>
              <w:ind w:firstLine="480"/>
              <w:rPr>
                <w:color w:val="000000"/>
              </w:rPr>
            </w:pPr>
            <w:r>
              <w:rPr>
                <w:rFonts w:hint="eastAsia"/>
                <w:color w:val="000000"/>
              </w:rPr>
              <w:t>电捕焦油器装置在运行过程中会产生含焦油废物，</w:t>
            </w:r>
            <w:r>
              <w:rPr>
                <w:rFonts w:hint="eastAsia"/>
              </w:rPr>
              <w:t>废物类别为</w:t>
            </w:r>
            <w:r>
              <w:t>HW11</w:t>
            </w:r>
            <w:r>
              <w:rPr>
                <w:rFonts w:hint="eastAsia"/>
              </w:rPr>
              <w:t>精（蒸）馏残渣，废物代码为</w:t>
            </w:r>
            <w:r>
              <w:t>309-001-11</w:t>
            </w:r>
            <w:r>
              <w:rPr>
                <w:rFonts w:hint="eastAsia"/>
              </w:rPr>
              <w:t>：电解铝及其他有色金属电解精炼过程中预焙阳极、碳块及其它碳素制品制造过程烟气处理所产生的含焦油废物</w:t>
            </w:r>
            <w:r>
              <w:rPr>
                <w:rFonts w:hint="eastAsia"/>
                <w:bCs/>
              </w:rPr>
              <w:t>，年产生量约</w:t>
            </w:r>
            <w:r>
              <w:rPr>
                <w:bCs/>
              </w:rPr>
              <w:t>0.8t/a</w:t>
            </w:r>
            <w:r>
              <w:rPr>
                <w:rFonts w:hint="eastAsia"/>
                <w:bCs/>
              </w:rPr>
              <w:t>。集中收集后存放于危险废物贮存库</w:t>
            </w:r>
            <w:r>
              <w:rPr>
                <w:rFonts w:cs="Times New Roman"/>
              </w:rPr>
              <w:t>，</w:t>
            </w:r>
            <w:r>
              <w:rPr>
                <w:rFonts w:hint="eastAsia" w:cs="Times New Roman"/>
              </w:rPr>
              <w:t>委托有危险废物处理资质的单位处置。</w:t>
            </w:r>
          </w:p>
          <w:p>
            <w:pPr>
              <w:ind w:firstLine="480"/>
              <w:rPr>
                <w:color w:val="000000"/>
              </w:rPr>
            </w:pPr>
            <w:r>
              <w:rPr>
                <w:rFonts w:hint="eastAsia"/>
              </w:rPr>
              <w:t>（</w:t>
            </w:r>
            <w:r>
              <w:t>7</w:t>
            </w:r>
            <w:r>
              <w:rPr>
                <w:rFonts w:hint="eastAsia"/>
              </w:rPr>
              <w:t>）废导热油</w:t>
            </w:r>
          </w:p>
          <w:p>
            <w:pPr>
              <w:ind w:firstLine="480"/>
              <w:rPr>
                <w:color w:val="000000"/>
              </w:rPr>
            </w:pPr>
            <w:r>
              <w:rPr>
                <w:rFonts w:hint="eastAsia"/>
              </w:rPr>
              <w:t>建设单位利用导热油炉对沥青进行加热，根据建设单位提供资料，5年更换一次导热油，更换量为2t/次，废物类别为HW08废矿物油，废物代码为900-249-08：其他生产、销售、使用过程中产生的废矿物油及含矿物油废物。</w:t>
            </w:r>
            <w:r>
              <w:rPr>
                <w:rFonts w:hint="eastAsia"/>
                <w:bCs/>
              </w:rPr>
              <w:t>集中收集后存放于危险废物贮存库</w:t>
            </w:r>
            <w:r>
              <w:rPr>
                <w:rFonts w:cs="Times New Roman"/>
              </w:rPr>
              <w:t>，</w:t>
            </w:r>
            <w:r>
              <w:rPr>
                <w:rFonts w:hint="eastAsia" w:cs="Times New Roman"/>
              </w:rPr>
              <w:t>委托有危险废物处理资质的单位处置。</w:t>
            </w:r>
          </w:p>
          <w:p>
            <w:pPr>
              <w:ind w:firstLine="480"/>
            </w:pPr>
            <w:r>
              <w:rPr>
                <w:rFonts w:hint="eastAsia"/>
              </w:rPr>
              <w:t>（</w:t>
            </w:r>
            <w:r>
              <w:t>8</w:t>
            </w:r>
            <w:r>
              <w:rPr>
                <w:rFonts w:hint="eastAsia"/>
              </w:rPr>
              <w:t>）废机油</w:t>
            </w:r>
          </w:p>
          <w:p>
            <w:pPr>
              <w:ind w:firstLine="480"/>
              <w:rPr>
                <w:rFonts w:cs="Times New Roman"/>
              </w:rPr>
            </w:pPr>
            <w:r>
              <w:rPr>
                <w:rFonts w:hint="eastAsia"/>
              </w:rPr>
              <w:t>项目生产设备保养及维修过程产生的废机油，根据《国家危险废物名录》（2</w:t>
            </w:r>
            <w:r>
              <w:t>025</w:t>
            </w:r>
            <w:r>
              <w:rPr>
                <w:rFonts w:hint="eastAsia"/>
              </w:rPr>
              <w:t>年版），废机油为危险废物，废物类别为</w:t>
            </w:r>
            <w:r>
              <w:t>HW08</w:t>
            </w:r>
            <w:r>
              <w:rPr>
                <w:rFonts w:hint="eastAsia"/>
              </w:rPr>
              <w:t>废矿物油与含矿物油废物，废物代码为</w:t>
            </w:r>
            <w:r>
              <w:t>900-21</w:t>
            </w:r>
            <w:r>
              <w:rPr>
                <w:bCs/>
              </w:rPr>
              <w:t>4-08</w:t>
            </w:r>
            <w:r>
              <w:rPr>
                <w:rFonts w:hint="eastAsia"/>
                <w:bCs/>
              </w:rPr>
              <w:t>，年产生量约</w:t>
            </w:r>
            <w:r>
              <w:rPr>
                <w:bCs/>
              </w:rPr>
              <w:t>0.1t/a</w:t>
            </w:r>
            <w:r>
              <w:rPr>
                <w:rFonts w:hint="eastAsia"/>
                <w:bCs/>
              </w:rPr>
              <w:t>。集中收集后存放于危险废物贮存库</w:t>
            </w:r>
            <w:r>
              <w:rPr>
                <w:rFonts w:cs="Times New Roman"/>
              </w:rPr>
              <w:t>，</w:t>
            </w:r>
            <w:r>
              <w:rPr>
                <w:rFonts w:hint="eastAsia" w:cs="Times New Roman"/>
              </w:rPr>
              <w:t>委托有危险废物处理资质的单位处置。</w:t>
            </w:r>
          </w:p>
          <w:p>
            <w:pPr>
              <w:ind w:firstLine="480"/>
            </w:pPr>
            <w:r>
              <w:rPr>
                <w:rFonts w:hint="eastAsia"/>
              </w:rPr>
              <w:t>（</w:t>
            </w:r>
            <w:r>
              <w:t>9</w:t>
            </w:r>
            <w:r>
              <w:rPr>
                <w:rFonts w:hint="eastAsia"/>
              </w:rPr>
              <w:t>）沾有废机油的废抹布和废手套</w:t>
            </w:r>
          </w:p>
          <w:p>
            <w:pPr>
              <w:ind w:firstLine="480"/>
            </w:pPr>
            <w:r>
              <w:rPr>
                <w:rFonts w:hint="eastAsia"/>
              </w:rPr>
              <w:t>项目在维护保养设备时会产生沾有废机油的废抹布和废手套，产生量为0.01t</w:t>
            </w:r>
            <w:r>
              <w:t>/</w:t>
            </w:r>
            <w:r>
              <w:rPr>
                <w:rFonts w:hint="eastAsia"/>
              </w:rPr>
              <w:t>a。根据</w:t>
            </w:r>
            <w:r>
              <w:rPr>
                <w:rFonts w:hint="eastAsia" w:cs="Times New Roman"/>
              </w:rPr>
              <w:t>《国家危险废物名录》（202</w:t>
            </w:r>
            <w:r>
              <w:rPr>
                <w:rFonts w:cs="Times New Roman"/>
              </w:rPr>
              <w:t>5</w:t>
            </w:r>
            <w:r>
              <w:rPr>
                <w:rFonts w:hint="eastAsia" w:cs="Times New Roman"/>
              </w:rPr>
              <w:t>版）</w:t>
            </w:r>
            <w:r>
              <w:rPr>
                <w:rFonts w:hint="eastAsia"/>
              </w:rPr>
              <w:t>，沾有废机油的废抹布和废手套属于HW49其他废物900-041-49含有或沾染毒性、感染性危险废物的废弃包装物、容器、过滤吸附介质中的危险废物，</w:t>
            </w:r>
            <w:r>
              <w:rPr>
                <w:rFonts w:hint="eastAsia" w:ascii="宋体" w:hAnsi="宋体" w:cs="宋体"/>
              </w:rPr>
              <w:t>集中收集后存放于危险废物贮存库</w:t>
            </w:r>
            <w:r>
              <w:rPr>
                <w:spacing w:val="3"/>
              </w:rPr>
              <w:t>，</w:t>
            </w:r>
            <w:r>
              <w:rPr>
                <w:rFonts w:hint="eastAsia" w:cs="Times New Roman"/>
              </w:rPr>
              <w:t>委托有危险废物处理资质的单位处置</w:t>
            </w:r>
            <w:r>
              <w:rPr>
                <w:rFonts w:hint="eastAsia"/>
              </w:rPr>
              <w:t>。</w:t>
            </w:r>
          </w:p>
          <w:p>
            <w:pPr>
              <w:autoSpaceDE w:val="0"/>
              <w:autoSpaceDN w:val="0"/>
              <w:ind w:firstLine="480"/>
              <w:rPr>
                <w:color w:val="000000"/>
              </w:rPr>
            </w:pPr>
            <w:r>
              <w:rPr>
                <w:rFonts w:hint="eastAsia"/>
              </w:rPr>
              <w:t>（</w:t>
            </w:r>
            <w:r>
              <w:t>10</w:t>
            </w:r>
            <w:r>
              <w:rPr>
                <w:rFonts w:hint="eastAsia"/>
              </w:rPr>
              <w:t>）</w:t>
            </w:r>
            <w:r>
              <w:rPr>
                <w:color w:val="000000"/>
              </w:rPr>
              <w:t>废</w:t>
            </w:r>
            <w:r>
              <w:rPr>
                <w:rFonts w:hint="eastAsia"/>
                <w:color w:val="000000"/>
              </w:rPr>
              <w:t>机油</w:t>
            </w:r>
            <w:r>
              <w:rPr>
                <w:kern w:val="0"/>
              </w:rPr>
              <w:t>桶</w:t>
            </w:r>
          </w:p>
          <w:p>
            <w:pPr>
              <w:ind w:firstLine="480"/>
              <w:rPr>
                <w:snapToGrid w:val="0"/>
                <w:kern w:val="0"/>
              </w:rPr>
            </w:pPr>
            <w:r>
              <w:rPr>
                <w:color w:val="0F1115"/>
                <w:shd w:val="clear" w:color="auto" w:fill="FFFFFF"/>
              </w:rPr>
              <w:t>项目设备检维修过程中，更换润滑油会产生</w:t>
            </w:r>
            <w:r>
              <w:rPr>
                <w:color w:val="000000"/>
              </w:rPr>
              <w:t>废</w:t>
            </w:r>
            <w:r>
              <w:rPr>
                <w:rFonts w:hint="eastAsia"/>
                <w:color w:val="000000"/>
              </w:rPr>
              <w:t>机油</w:t>
            </w:r>
            <w:r>
              <w:rPr>
                <w:color w:val="0F1115"/>
                <w:shd w:val="clear" w:color="auto" w:fill="FFFFFF"/>
              </w:rPr>
              <w:t>桶。产生量为0.01t/a，</w:t>
            </w:r>
            <w:r>
              <w:rPr>
                <w:rFonts w:hint="eastAsia"/>
                <w:color w:val="0F1115"/>
                <w:shd w:val="clear" w:color="auto" w:fill="FFFFFF"/>
              </w:rPr>
              <w:t>废机油桶</w:t>
            </w:r>
            <w:r>
              <w:rPr>
                <w:snapToGrid w:val="0"/>
                <w:kern w:val="0"/>
              </w:rPr>
              <w:t>属于《国家危险废物名录（2025年）》所列的HW08非特定行业中900-249-08</w:t>
            </w:r>
            <w:r>
              <w:rPr>
                <w:rFonts w:hint="eastAsia"/>
                <w:snapToGrid w:val="0"/>
                <w:kern w:val="0"/>
              </w:rPr>
              <w:t>“</w:t>
            </w:r>
            <w:r>
              <w:rPr>
                <w:snapToGrid w:val="0"/>
                <w:kern w:val="0"/>
              </w:rPr>
              <w:t>其他生产、销售、使用过程中产生的废矿物油及沾染矿物油的废弃包装物</w:t>
            </w:r>
            <w:r>
              <w:rPr>
                <w:rFonts w:hint="eastAsia"/>
                <w:snapToGrid w:val="0"/>
                <w:kern w:val="0"/>
              </w:rPr>
              <w:t>”</w:t>
            </w:r>
            <w:r>
              <w:rPr>
                <w:snapToGrid w:val="0"/>
                <w:kern w:val="0"/>
              </w:rPr>
              <w:t>，</w:t>
            </w:r>
            <w:r>
              <w:rPr>
                <w:rFonts w:hint="eastAsia" w:ascii="宋体" w:hAnsi="宋体" w:cs="宋体"/>
              </w:rPr>
              <w:t>集中收集后存放于危险废物贮存库</w:t>
            </w:r>
            <w:r>
              <w:rPr>
                <w:spacing w:val="3"/>
              </w:rPr>
              <w:t>，</w:t>
            </w:r>
            <w:r>
              <w:rPr>
                <w:rFonts w:hint="eastAsia" w:cs="Times New Roman"/>
              </w:rPr>
              <w:t>委托有危险废物处理资质的单位处置</w:t>
            </w:r>
            <w:r>
              <w:rPr>
                <w:snapToGrid w:val="0"/>
                <w:kern w:val="0"/>
              </w:rPr>
              <w:t>。</w:t>
            </w:r>
          </w:p>
          <w:p>
            <w:pPr>
              <w:ind w:firstLine="480"/>
              <w:rPr>
                <w:snapToGrid w:val="0"/>
                <w:kern w:val="0"/>
              </w:rPr>
            </w:pPr>
            <w:r>
              <w:rPr>
                <w:rFonts w:hint="eastAsia"/>
                <w:snapToGrid w:val="0"/>
                <w:kern w:val="0"/>
              </w:rPr>
              <w:t>（1</w:t>
            </w:r>
            <w:r>
              <w:rPr>
                <w:snapToGrid w:val="0"/>
                <w:kern w:val="0"/>
              </w:rPr>
              <w:t>1</w:t>
            </w:r>
            <w:r>
              <w:rPr>
                <w:rFonts w:hint="eastAsia"/>
                <w:snapToGrid w:val="0"/>
                <w:kern w:val="0"/>
              </w:rPr>
              <w:t>）废活性炭</w:t>
            </w:r>
          </w:p>
          <w:p>
            <w:pPr>
              <w:ind w:firstLine="480"/>
              <w:rPr>
                <w:rFonts w:cs="Times New Roman"/>
              </w:rPr>
            </w:pPr>
            <w:r>
              <w:rPr>
                <w:rFonts w:cs="Times New Roman"/>
                <w:color w:val="000000" w:themeColor="text1"/>
                <w14:textFill>
                  <w14:solidFill>
                    <w14:schemeClr w14:val="tx1"/>
                  </w14:solidFill>
                </w14:textFill>
              </w:rPr>
              <w:t>参考《简明通风设计手册》，1吨活性炭可吸附0.25吨有机废气。根据本项目废气产生情况，二级活性炭吸附装置处理有机废气量为1.3581t/a，则废活性炭产生量为5.4324t/a。根据《国家危险废物名录》（2025年版），饱和活性炭属于危险废物名录中的HW49其他废物，危险废物代码900-039-49，为“烟气、VOCS、治理过程产生的废活性炭”类别。根据建设单位提供资料，废气处理设施满负荷运行情况下，3个月更换一次，每年更换4次，可满足达标排放要求。</w:t>
            </w:r>
            <w:r>
              <w:rPr>
                <w:rFonts w:cs="Times New Roman"/>
              </w:rPr>
              <w:t>集中收集后存放于危险废物贮存库</w:t>
            </w:r>
            <w:r>
              <w:rPr>
                <w:rFonts w:cs="Times New Roman"/>
                <w:spacing w:val="3"/>
              </w:rPr>
              <w:t>，</w:t>
            </w:r>
            <w:r>
              <w:rPr>
                <w:rFonts w:hint="eastAsia" w:cs="Times New Roman"/>
              </w:rPr>
              <w:t>委托有危险废物处理资质的单位处置</w:t>
            </w:r>
            <w:r>
              <w:rPr>
                <w:rFonts w:cs="Times New Roman"/>
                <w:color w:val="000000" w:themeColor="text1"/>
                <w14:textFill>
                  <w14:solidFill>
                    <w14:schemeClr w14:val="tx1"/>
                  </w14:solidFill>
                </w14:textFill>
              </w:rPr>
              <w:t>。</w:t>
            </w:r>
          </w:p>
          <w:bookmarkEnd w:id="27"/>
          <w:p>
            <w:pPr>
              <w:spacing w:before="163" w:beforeLines="50" w:line="240" w:lineRule="auto"/>
              <w:ind w:firstLine="0" w:firstLineChars="0"/>
              <w:jc w:val="center"/>
              <w:rPr>
                <w:rFonts w:cs="Times New Roman"/>
                <w:b/>
                <w:color w:val="000000"/>
                <w:sz w:val="21"/>
              </w:rPr>
            </w:pPr>
            <w:r>
              <w:rPr>
                <w:rFonts w:hint="eastAsia" w:cs="Times New Roman"/>
                <w:b/>
                <w:color w:val="000000"/>
                <w:sz w:val="21"/>
              </w:rPr>
              <w:t>表4</w:t>
            </w:r>
            <w:r>
              <w:rPr>
                <w:rFonts w:cs="Times New Roman"/>
                <w:b/>
                <w:color w:val="000000"/>
                <w:sz w:val="21"/>
              </w:rPr>
              <w:t xml:space="preserve">-8  </w:t>
            </w:r>
            <w:r>
              <w:rPr>
                <w:rFonts w:hint="eastAsia" w:cs="Times New Roman"/>
                <w:b/>
                <w:color w:val="000000"/>
                <w:sz w:val="21"/>
              </w:rPr>
              <w:t>固体废物产生情况一览表</w:t>
            </w:r>
          </w:p>
          <w:tbl>
            <w:tblPr>
              <w:tblStyle w:val="26"/>
              <w:tblW w:w="85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55"/>
              <w:gridCol w:w="998"/>
              <w:gridCol w:w="780"/>
              <w:gridCol w:w="978"/>
              <w:gridCol w:w="625"/>
              <w:gridCol w:w="989"/>
              <w:gridCol w:w="1313"/>
              <w:gridCol w:w="754"/>
              <w:gridCol w:w="15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序号</w:t>
                  </w:r>
                </w:p>
              </w:tc>
              <w:tc>
                <w:tcPr>
                  <w:tcW w:w="99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固体废物名称</w:t>
                  </w:r>
                </w:p>
              </w:tc>
              <w:tc>
                <w:tcPr>
                  <w:tcW w:w="780"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产污环节</w:t>
                  </w:r>
                </w:p>
              </w:tc>
              <w:tc>
                <w:tcPr>
                  <w:tcW w:w="97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属性</w:t>
                  </w: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物理性状</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固体废物</w:t>
                  </w:r>
                  <w:r>
                    <w:rPr>
                      <w:rFonts w:hint="eastAsia" w:cs="Times New Roman"/>
                      <w:color w:val="000000"/>
                      <w:sz w:val="21"/>
                      <w:szCs w:val="21"/>
                    </w:rPr>
                    <w:t>类别</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固体废物及危险废物编码</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环境危险特性</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产生量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1</w:t>
                  </w:r>
                </w:p>
              </w:tc>
              <w:tc>
                <w:tcPr>
                  <w:tcW w:w="99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生活</w:t>
                  </w:r>
                </w:p>
                <w:p>
                  <w:pPr>
                    <w:spacing w:line="240" w:lineRule="auto"/>
                    <w:ind w:firstLine="0" w:firstLineChars="0"/>
                    <w:contextualSpacing/>
                    <w:jc w:val="center"/>
                    <w:rPr>
                      <w:rFonts w:cs="Times New Roman"/>
                      <w:color w:val="000000"/>
                      <w:sz w:val="21"/>
                      <w:szCs w:val="21"/>
                    </w:rPr>
                  </w:pPr>
                  <w:r>
                    <w:rPr>
                      <w:rFonts w:cs="Times New Roman"/>
                      <w:color w:val="000000"/>
                      <w:sz w:val="21"/>
                      <w:szCs w:val="21"/>
                    </w:rPr>
                    <w:t>垃圾</w:t>
                  </w:r>
                </w:p>
              </w:tc>
              <w:tc>
                <w:tcPr>
                  <w:tcW w:w="780"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员工</w:t>
                  </w:r>
                </w:p>
                <w:p>
                  <w:pPr>
                    <w:spacing w:line="240" w:lineRule="auto"/>
                    <w:ind w:firstLine="0" w:firstLineChars="0"/>
                    <w:contextualSpacing/>
                    <w:jc w:val="center"/>
                    <w:rPr>
                      <w:rFonts w:cs="Times New Roman"/>
                      <w:color w:val="000000"/>
                      <w:sz w:val="21"/>
                      <w:szCs w:val="21"/>
                    </w:rPr>
                  </w:pPr>
                  <w:r>
                    <w:rPr>
                      <w:rFonts w:cs="Times New Roman"/>
                      <w:color w:val="000000"/>
                      <w:sz w:val="21"/>
                      <w:szCs w:val="21"/>
                    </w:rPr>
                    <w:t>生活</w:t>
                  </w:r>
                </w:p>
              </w:tc>
              <w:tc>
                <w:tcPr>
                  <w:tcW w:w="97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生活</w:t>
                  </w:r>
                </w:p>
                <w:p>
                  <w:pPr>
                    <w:spacing w:line="240" w:lineRule="auto"/>
                    <w:ind w:firstLine="0" w:firstLineChars="0"/>
                    <w:contextualSpacing/>
                    <w:jc w:val="center"/>
                    <w:rPr>
                      <w:rFonts w:cs="Times New Roman"/>
                      <w:color w:val="000000"/>
                      <w:sz w:val="21"/>
                      <w:szCs w:val="21"/>
                    </w:rPr>
                  </w:pPr>
                  <w:r>
                    <w:rPr>
                      <w:rFonts w:cs="Times New Roman"/>
                      <w:color w:val="000000"/>
                      <w:sz w:val="21"/>
                      <w:szCs w:val="21"/>
                    </w:rPr>
                    <w:t>垃圾</w:t>
                  </w: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hint="eastAsia"/>
                      <w:color w:val="000000"/>
                      <w:sz w:val="21"/>
                      <w:szCs w:val="21"/>
                    </w:rPr>
                    <w:t>SW64</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900-099-S64</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2.7t/a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2</w:t>
                  </w:r>
                </w:p>
              </w:tc>
              <w:tc>
                <w:tcPr>
                  <w:tcW w:w="998" w:type="dxa"/>
                  <w:vAlign w:val="center"/>
                </w:tcPr>
                <w:p>
                  <w:pPr>
                    <w:spacing w:line="240" w:lineRule="auto"/>
                    <w:ind w:firstLine="0" w:firstLineChars="0"/>
                    <w:contextualSpacing/>
                    <w:jc w:val="center"/>
                    <w:rPr>
                      <w:rFonts w:cs="Times New Roman"/>
                      <w:color w:val="000000"/>
                      <w:sz w:val="21"/>
                      <w:szCs w:val="21"/>
                    </w:rPr>
                  </w:pPr>
                  <w:r>
                    <w:rPr>
                      <w:rFonts w:hint="eastAsia" w:cs="Times New Roman"/>
                      <w:sz w:val="21"/>
                      <w:szCs w:val="21"/>
                    </w:rPr>
                    <w:t>废包装袋</w:t>
                  </w:r>
                </w:p>
              </w:tc>
              <w:tc>
                <w:tcPr>
                  <w:tcW w:w="780"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原辅材料包装</w:t>
                  </w:r>
                </w:p>
              </w:tc>
              <w:tc>
                <w:tcPr>
                  <w:tcW w:w="97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一般固体废物</w:t>
                  </w: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color w:val="000000"/>
                      <w:sz w:val="21"/>
                      <w:szCs w:val="21"/>
                    </w:rPr>
                  </w:pPr>
                  <w:r>
                    <w:rPr>
                      <w:rFonts w:cs="Times New Roman"/>
                      <w:color w:val="000000"/>
                      <w:sz w:val="21"/>
                      <w:szCs w:val="21"/>
                    </w:rPr>
                    <w:t>SW07</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900-099-S07</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0.3t/a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3</w:t>
                  </w:r>
                </w:p>
              </w:tc>
              <w:tc>
                <w:tcPr>
                  <w:tcW w:w="99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布袋集尘</w:t>
                  </w:r>
                </w:p>
              </w:tc>
              <w:tc>
                <w:tcPr>
                  <w:tcW w:w="780"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废气治理</w:t>
                  </w:r>
                </w:p>
              </w:tc>
              <w:tc>
                <w:tcPr>
                  <w:tcW w:w="97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一般固体废物</w:t>
                  </w:r>
                </w:p>
              </w:tc>
              <w:tc>
                <w:tcPr>
                  <w:tcW w:w="62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固态</w:t>
                  </w:r>
                </w:p>
              </w:tc>
              <w:tc>
                <w:tcPr>
                  <w:tcW w:w="989"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SW59</w:t>
                  </w:r>
                </w:p>
              </w:tc>
              <w:tc>
                <w:tcPr>
                  <w:tcW w:w="1313"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900-099-S59</w:t>
                  </w:r>
                </w:p>
              </w:tc>
              <w:tc>
                <w:tcPr>
                  <w:tcW w:w="754"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150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6.2538</w:t>
                  </w:r>
                  <w:r>
                    <w:rPr>
                      <w:rFonts w:hint="eastAsia" w:cs="Times New Roman"/>
                      <w:color w:val="000000" w:themeColor="text1"/>
                      <w:sz w:val="21"/>
                      <w:szCs w:val="21"/>
                      <w14:textFill>
                        <w14:solidFill>
                          <w14:schemeClr w14:val="tx1"/>
                        </w14:solidFill>
                      </w14:textFill>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trPr>
              <w:tc>
                <w:tcPr>
                  <w:tcW w:w="55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4</w:t>
                  </w:r>
                </w:p>
              </w:tc>
              <w:tc>
                <w:tcPr>
                  <w:tcW w:w="99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废布袋</w:t>
                  </w:r>
                </w:p>
              </w:tc>
              <w:tc>
                <w:tcPr>
                  <w:tcW w:w="780"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废气治理</w:t>
                  </w:r>
                </w:p>
              </w:tc>
              <w:tc>
                <w:tcPr>
                  <w:tcW w:w="97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一般固体废物</w:t>
                  </w:r>
                </w:p>
              </w:tc>
              <w:tc>
                <w:tcPr>
                  <w:tcW w:w="62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固态</w:t>
                  </w:r>
                </w:p>
              </w:tc>
              <w:tc>
                <w:tcPr>
                  <w:tcW w:w="989"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SW59</w:t>
                  </w:r>
                </w:p>
              </w:tc>
              <w:tc>
                <w:tcPr>
                  <w:tcW w:w="1313"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900-099-S59</w:t>
                  </w:r>
                </w:p>
              </w:tc>
              <w:tc>
                <w:tcPr>
                  <w:tcW w:w="754"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150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0.4t/a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trPr>
              <w:tc>
                <w:tcPr>
                  <w:tcW w:w="55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5</w:t>
                  </w:r>
                </w:p>
              </w:tc>
              <w:tc>
                <w:tcPr>
                  <w:tcW w:w="99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废焦油</w:t>
                  </w:r>
                </w:p>
              </w:tc>
              <w:tc>
                <w:tcPr>
                  <w:tcW w:w="780"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电捕焦油器</w:t>
                  </w:r>
                </w:p>
              </w:tc>
              <w:tc>
                <w:tcPr>
                  <w:tcW w:w="978" w:type="dxa"/>
                  <w:vMerge w:val="restart"/>
                  <w:vAlign w:val="center"/>
                </w:tcPr>
                <w:p>
                  <w:pPr>
                    <w:spacing w:line="240" w:lineRule="auto"/>
                    <w:ind w:firstLine="0" w:firstLineChars="0"/>
                    <w:contextualSpacing/>
                    <w:rPr>
                      <w:rFonts w:cs="Times New Roman"/>
                      <w:color w:val="000000" w:themeColor="text1"/>
                      <w:sz w:val="21"/>
                      <w:szCs w:val="21"/>
                      <w14:textFill>
                        <w14:solidFill>
                          <w14:schemeClr w14:val="tx1"/>
                        </w14:solidFill>
                      </w14:textFill>
                    </w:rPr>
                  </w:pPr>
                  <w:r>
                    <w:rPr>
                      <w:rFonts w:cs="Times New Roman"/>
                      <w:color w:val="000000"/>
                      <w:sz w:val="21"/>
                      <w:szCs w:val="21"/>
                    </w:rPr>
                    <w:t>危险废物</w:t>
                  </w:r>
                </w:p>
              </w:tc>
              <w:tc>
                <w:tcPr>
                  <w:tcW w:w="62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sz w:val="21"/>
                      <w:szCs w:val="21"/>
                    </w:rPr>
                    <w:t>液态</w:t>
                  </w:r>
                </w:p>
              </w:tc>
              <w:tc>
                <w:tcPr>
                  <w:tcW w:w="989"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HW</w:t>
                  </w:r>
                  <w:r>
                    <w:rPr>
                      <w:rFonts w:cs="Times New Roman"/>
                      <w:color w:val="000000" w:themeColor="text1"/>
                      <w:sz w:val="21"/>
                      <w:szCs w:val="21"/>
                      <w14:textFill>
                        <w14:solidFill>
                          <w14:schemeClr w14:val="tx1"/>
                        </w14:solidFill>
                      </w14:textFill>
                    </w:rPr>
                    <w:t>11</w:t>
                  </w:r>
                </w:p>
              </w:tc>
              <w:tc>
                <w:tcPr>
                  <w:tcW w:w="1313"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309-001-11</w:t>
                  </w:r>
                </w:p>
              </w:tc>
              <w:tc>
                <w:tcPr>
                  <w:tcW w:w="754"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T</w:t>
                  </w:r>
                </w:p>
              </w:tc>
              <w:tc>
                <w:tcPr>
                  <w:tcW w:w="150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0.8</w:t>
                  </w:r>
                  <w:r>
                    <w:rPr>
                      <w:rFonts w:hint="eastAsia" w:cs="Times New Roman"/>
                      <w:color w:val="000000" w:themeColor="text1"/>
                      <w:sz w:val="21"/>
                      <w:szCs w:val="21"/>
                      <w14:textFill>
                        <w14:solidFill>
                          <w14:schemeClr w14:val="tx1"/>
                        </w14:solidFill>
                      </w14:textFill>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6</w:t>
                  </w:r>
                </w:p>
              </w:tc>
              <w:tc>
                <w:tcPr>
                  <w:tcW w:w="99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废导热油</w:t>
                  </w:r>
                </w:p>
              </w:tc>
              <w:tc>
                <w:tcPr>
                  <w:tcW w:w="780"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导热油炉</w:t>
                  </w: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sz w:val="21"/>
                      <w:szCs w:val="21"/>
                    </w:rPr>
                    <w:t>液态</w:t>
                  </w:r>
                </w:p>
              </w:tc>
              <w:tc>
                <w:tcPr>
                  <w:tcW w:w="989"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HW08</w:t>
                  </w:r>
                </w:p>
              </w:tc>
              <w:tc>
                <w:tcPr>
                  <w:tcW w:w="1313"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900-249-08</w:t>
                  </w:r>
                </w:p>
              </w:tc>
              <w:tc>
                <w:tcPr>
                  <w:tcW w:w="754"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T，I</w:t>
                  </w:r>
                </w:p>
              </w:tc>
              <w:tc>
                <w:tcPr>
                  <w:tcW w:w="1508"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2t/次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7</w:t>
                  </w:r>
                </w:p>
              </w:tc>
              <w:tc>
                <w:tcPr>
                  <w:tcW w:w="99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废机油</w:t>
                  </w:r>
                </w:p>
              </w:tc>
              <w:tc>
                <w:tcPr>
                  <w:tcW w:w="780" w:type="dxa"/>
                  <w:vMerge w:val="restart"/>
                  <w:vAlign w:val="center"/>
                </w:tcPr>
                <w:p>
                  <w:pPr>
                    <w:spacing w:line="240" w:lineRule="auto"/>
                    <w:ind w:firstLine="0" w:firstLineChars="0"/>
                    <w:contextualSpacing/>
                    <w:rPr>
                      <w:rFonts w:cs="Times New Roman"/>
                      <w:color w:val="000000"/>
                      <w:sz w:val="21"/>
                      <w:szCs w:val="21"/>
                    </w:rPr>
                  </w:pPr>
                  <w:r>
                    <w:rPr>
                      <w:rFonts w:cs="Times New Roman"/>
                      <w:color w:val="000000"/>
                      <w:sz w:val="21"/>
                      <w:szCs w:val="21"/>
                    </w:rPr>
                    <w:t>设备检修、维护</w:t>
                  </w: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液态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HW08</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900-214-08</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T，I</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0.1t/a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5"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8</w:t>
                  </w:r>
                </w:p>
              </w:tc>
              <w:tc>
                <w:tcPr>
                  <w:tcW w:w="998" w:type="dxa"/>
                  <w:vAlign w:val="center"/>
                </w:tcPr>
                <w:p>
                  <w:pPr>
                    <w:spacing w:line="240" w:lineRule="auto"/>
                    <w:ind w:firstLine="0" w:firstLineChars="0"/>
                    <w:contextualSpacing/>
                    <w:rPr>
                      <w:rFonts w:cs="Times New Roman"/>
                      <w:color w:val="000000"/>
                      <w:sz w:val="21"/>
                      <w:szCs w:val="21"/>
                    </w:rPr>
                  </w:pPr>
                  <w:r>
                    <w:rPr>
                      <w:rFonts w:cs="Times New Roman"/>
                      <w:color w:val="000000"/>
                      <w:sz w:val="21"/>
                      <w:szCs w:val="21"/>
                    </w:rPr>
                    <w:t>沾有废机油的废抹布和废手套</w:t>
                  </w:r>
                </w:p>
              </w:tc>
              <w:tc>
                <w:tcPr>
                  <w:tcW w:w="780" w:type="dxa"/>
                  <w:vMerge w:val="continue"/>
                  <w:vAlign w:val="center"/>
                </w:tcPr>
                <w:p>
                  <w:pPr>
                    <w:spacing w:line="240" w:lineRule="auto"/>
                    <w:ind w:firstLine="0" w:firstLineChars="0"/>
                    <w:contextualSpacing/>
                    <w:rPr>
                      <w:rFonts w:cs="Times New Roman"/>
                      <w:color w:val="000000"/>
                      <w:sz w:val="21"/>
                      <w:szCs w:val="21"/>
                    </w:rPr>
                  </w:pP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HW49</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sz w:val="21"/>
                      <w:szCs w:val="21"/>
                    </w:rPr>
                    <w:t>900-041-49</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T/In</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0.01t/a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3"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9</w:t>
                  </w:r>
                </w:p>
              </w:tc>
              <w:tc>
                <w:tcPr>
                  <w:tcW w:w="99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废机油桶</w:t>
                  </w:r>
                </w:p>
              </w:tc>
              <w:tc>
                <w:tcPr>
                  <w:tcW w:w="780" w:type="dxa"/>
                  <w:vMerge w:val="continue"/>
                  <w:vAlign w:val="center"/>
                </w:tcPr>
                <w:p>
                  <w:pPr>
                    <w:spacing w:line="240" w:lineRule="auto"/>
                    <w:ind w:firstLine="0" w:firstLineChars="0"/>
                    <w:contextualSpacing/>
                    <w:rPr>
                      <w:rFonts w:cs="Times New Roman"/>
                      <w:color w:val="000000"/>
                      <w:sz w:val="21"/>
                      <w:szCs w:val="21"/>
                    </w:rPr>
                  </w:pP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HW08</w:t>
                  </w:r>
                </w:p>
              </w:tc>
              <w:tc>
                <w:tcPr>
                  <w:tcW w:w="1313" w:type="dxa"/>
                  <w:vAlign w:val="center"/>
                </w:tcPr>
                <w:p>
                  <w:pPr>
                    <w:spacing w:line="240" w:lineRule="auto"/>
                    <w:ind w:firstLine="0" w:firstLineChars="0"/>
                    <w:contextualSpacing/>
                    <w:jc w:val="center"/>
                    <w:rPr>
                      <w:rFonts w:cs="Times New Roman"/>
                      <w:color w:val="000000"/>
                      <w:sz w:val="21"/>
                      <w:szCs w:val="21"/>
                    </w:rPr>
                  </w:pPr>
                  <w:r>
                    <w:rPr>
                      <w:rFonts w:cs="Times New Roman"/>
                      <w:snapToGrid w:val="0"/>
                      <w:kern w:val="0"/>
                      <w:sz w:val="21"/>
                      <w:szCs w:val="21"/>
                    </w:rPr>
                    <w:t>900-249-08</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T，I</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0.01t/a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1</w:t>
                  </w:r>
                  <w:r>
                    <w:rPr>
                      <w:rFonts w:cs="Times New Roman"/>
                      <w:color w:val="000000"/>
                      <w:sz w:val="21"/>
                      <w:szCs w:val="21"/>
                    </w:rPr>
                    <w:t>0</w:t>
                  </w:r>
                </w:p>
              </w:tc>
              <w:tc>
                <w:tcPr>
                  <w:tcW w:w="998"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废活性炭</w:t>
                  </w:r>
                </w:p>
              </w:tc>
              <w:tc>
                <w:tcPr>
                  <w:tcW w:w="780" w:type="dxa"/>
                  <w:vAlign w:val="center"/>
                </w:tcPr>
                <w:p>
                  <w:pPr>
                    <w:spacing w:line="240" w:lineRule="auto"/>
                    <w:ind w:firstLine="0" w:firstLineChars="0"/>
                    <w:contextualSpacing/>
                    <w:rPr>
                      <w:rFonts w:cs="Times New Roman"/>
                      <w:color w:val="000000"/>
                      <w:sz w:val="21"/>
                      <w:szCs w:val="21"/>
                    </w:rPr>
                  </w:pPr>
                  <w:r>
                    <w:rPr>
                      <w:rFonts w:hint="eastAsia" w:cs="Times New Roman"/>
                      <w:color w:val="000000"/>
                      <w:sz w:val="21"/>
                      <w:szCs w:val="21"/>
                    </w:rPr>
                    <w:t>活性炭吸附装置</w:t>
                  </w: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HW49</w:t>
                  </w:r>
                </w:p>
              </w:tc>
              <w:tc>
                <w:tcPr>
                  <w:tcW w:w="1313" w:type="dxa"/>
                  <w:vAlign w:val="center"/>
                </w:tcPr>
                <w:p>
                  <w:pPr>
                    <w:spacing w:line="240" w:lineRule="auto"/>
                    <w:ind w:firstLine="0" w:firstLineChars="0"/>
                    <w:contextualSpacing/>
                    <w:jc w:val="center"/>
                    <w:rPr>
                      <w:rFonts w:cs="Times New Roman"/>
                      <w:snapToGrid w:val="0"/>
                      <w:kern w:val="0"/>
                      <w:sz w:val="21"/>
                      <w:szCs w:val="21"/>
                    </w:rPr>
                  </w:pPr>
                  <w:r>
                    <w:rPr>
                      <w:rFonts w:cs="Times New Roman"/>
                      <w:snapToGrid w:val="0"/>
                      <w:kern w:val="0"/>
                      <w:sz w:val="21"/>
                      <w:szCs w:val="21"/>
                    </w:rPr>
                    <w:t>900-039-49</w:t>
                  </w:r>
                </w:p>
              </w:tc>
              <w:tc>
                <w:tcPr>
                  <w:tcW w:w="754"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themeColor="text1"/>
                      <w:sz w:val="21"/>
                      <w:szCs w:val="21"/>
                      <w14:textFill>
                        <w14:solidFill>
                          <w14:schemeClr w14:val="tx1"/>
                        </w14:solidFill>
                      </w14:textFill>
                    </w:rPr>
                    <w:t>T</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5.4324t/a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555"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1</w:t>
                  </w:r>
                  <w:r>
                    <w:rPr>
                      <w:rFonts w:cs="Times New Roman"/>
                      <w:color w:val="000000"/>
                      <w:sz w:val="21"/>
                      <w:szCs w:val="21"/>
                    </w:rPr>
                    <w:t>1</w:t>
                  </w:r>
                </w:p>
              </w:tc>
              <w:tc>
                <w:tcPr>
                  <w:tcW w:w="998" w:type="dxa"/>
                  <w:vAlign w:val="center"/>
                </w:tcPr>
                <w:p>
                  <w:pPr>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废原料桶</w:t>
                  </w:r>
                </w:p>
              </w:tc>
              <w:tc>
                <w:tcPr>
                  <w:tcW w:w="780" w:type="dxa"/>
                  <w:vAlign w:val="center"/>
                </w:tcPr>
                <w:p>
                  <w:pPr>
                    <w:spacing w:line="240" w:lineRule="auto"/>
                    <w:ind w:firstLine="0" w:firstLineChars="0"/>
                    <w:contextualSpacing/>
                    <w:rPr>
                      <w:rFonts w:cs="Times New Roman"/>
                      <w:color w:val="000000"/>
                      <w:sz w:val="21"/>
                      <w:szCs w:val="21"/>
                    </w:rPr>
                  </w:pPr>
                  <w:r>
                    <w:rPr>
                      <w:rFonts w:hint="eastAsia" w:cs="Times New Roman"/>
                      <w:color w:val="000000"/>
                      <w:sz w:val="21"/>
                      <w:szCs w:val="21"/>
                    </w:rPr>
                    <w:t>原料</w:t>
                  </w:r>
                </w:p>
              </w:tc>
              <w:tc>
                <w:tcPr>
                  <w:tcW w:w="978" w:type="dxa"/>
                  <w:vMerge w:val="continue"/>
                  <w:vAlign w:val="center"/>
                </w:tcPr>
                <w:p>
                  <w:pPr>
                    <w:spacing w:line="240" w:lineRule="auto"/>
                    <w:ind w:firstLine="0" w:firstLineChars="0"/>
                    <w:contextualSpacing/>
                    <w:jc w:val="center"/>
                    <w:rPr>
                      <w:rFonts w:cs="Times New Roman"/>
                      <w:color w:val="000000"/>
                      <w:sz w:val="21"/>
                      <w:szCs w:val="21"/>
                    </w:rPr>
                  </w:pPr>
                </w:p>
              </w:tc>
              <w:tc>
                <w:tcPr>
                  <w:tcW w:w="625"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固态</w:t>
                  </w:r>
                </w:p>
              </w:tc>
              <w:tc>
                <w:tcPr>
                  <w:tcW w:w="989"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HW49</w:t>
                  </w:r>
                </w:p>
              </w:tc>
              <w:tc>
                <w:tcPr>
                  <w:tcW w:w="1313" w:type="dxa"/>
                  <w:vAlign w:val="center"/>
                </w:tcPr>
                <w:p>
                  <w:pPr>
                    <w:spacing w:line="240" w:lineRule="auto"/>
                    <w:ind w:firstLine="0" w:firstLineChars="0"/>
                    <w:contextualSpacing/>
                    <w:jc w:val="center"/>
                    <w:rPr>
                      <w:rFonts w:cs="Times New Roman"/>
                      <w:snapToGrid w:val="0"/>
                      <w:kern w:val="0"/>
                      <w:sz w:val="21"/>
                      <w:szCs w:val="21"/>
                    </w:rPr>
                  </w:pPr>
                  <w:r>
                    <w:rPr>
                      <w:rFonts w:cs="Times New Roman"/>
                      <w:sz w:val="21"/>
                      <w:szCs w:val="21"/>
                    </w:rPr>
                    <w:t>900-041-49</w:t>
                  </w:r>
                </w:p>
              </w:tc>
              <w:tc>
                <w:tcPr>
                  <w:tcW w:w="754" w:type="dxa"/>
                  <w:vAlign w:val="center"/>
                </w:tcPr>
                <w:p>
                  <w:pPr>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sz w:val="21"/>
                      <w:szCs w:val="21"/>
                    </w:rPr>
                    <w:t>T/In</w:t>
                  </w:r>
                </w:p>
              </w:tc>
              <w:tc>
                <w:tcPr>
                  <w:tcW w:w="1508" w:type="dxa"/>
                  <w:vAlign w:val="center"/>
                </w:tcPr>
                <w:p>
                  <w:pPr>
                    <w:spacing w:line="240" w:lineRule="auto"/>
                    <w:ind w:firstLine="0" w:firstLineChars="0"/>
                    <w:contextualSpacing/>
                    <w:jc w:val="center"/>
                    <w:rPr>
                      <w:rFonts w:cs="Times New Roman"/>
                      <w:color w:val="000000"/>
                      <w:sz w:val="21"/>
                      <w:szCs w:val="21"/>
                    </w:rPr>
                  </w:pPr>
                  <w:r>
                    <w:rPr>
                      <w:rFonts w:cs="Times New Roman"/>
                      <w:color w:val="000000"/>
                      <w:sz w:val="21"/>
                      <w:szCs w:val="21"/>
                    </w:rPr>
                    <w:t>5t/a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8500" w:type="dxa"/>
                  <w:gridSpan w:val="9"/>
                  <w:vAlign w:val="center"/>
                </w:tcPr>
                <w:p>
                  <w:pPr>
                    <w:spacing w:line="240" w:lineRule="auto"/>
                    <w:ind w:firstLine="0" w:firstLineChars="0"/>
                    <w:contextualSpacing/>
                    <w:rPr>
                      <w:rFonts w:cs="Times New Roman"/>
                      <w:b/>
                      <w:bCs/>
                      <w:color w:val="000000"/>
                      <w:sz w:val="21"/>
                      <w:szCs w:val="21"/>
                    </w:rPr>
                  </w:pPr>
                  <w:r>
                    <w:rPr>
                      <w:rFonts w:hint="eastAsia" w:cs="Times New Roman"/>
                      <w:b/>
                      <w:bCs/>
                      <w:color w:val="000000"/>
                      <w:sz w:val="16"/>
                      <w:szCs w:val="16"/>
                    </w:rPr>
                    <w:t>注：本项目危险废物贮存周期不超过90天。</w:t>
                  </w:r>
                </w:p>
              </w:tc>
            </w:tr>
          </w:tbl>
          <w:p>
            <w:pPr>
              <w:ind w:firstLine="0" w:firstLineChars="0"/>
              <w:jc w:val="left"/>
              <w:textAlignment w:val="auto"/>
              <w:rPr>
                <w:b/>
                <w:bCs/>
              </w:rPr>
            </w:pPr>
            <w:r>
              <w:rPr>
                <w:rFonts w:hint="eastAsia" w:cs="Times New Roman"/>
                <w:b/>
                <w:bCs/>
                <w:snapToGrid w:val="0"/>
                <w:color w:val="000000"/>
                <w:kern w:val="0"/>
                <w:szCs w:val="24"/>
              </w:rPr>
              <w:t>4.2.4.1</w:t>
            </w:r>
            <w:r>
              <w:rPr>
                <w:rFonts w:hint="eastAsia"/>
                <w:b/>
                <w:bCs/>
              </w:rPr>
              <w:t>一般固体废物暂存间建设及管理要求</w:t>
            </w:r>
          </w:p>
          <w:p>
            <w:pPr>
              <w:widowControl/>
              <w:adjustRightInd w:val="0"/>
              <w:snapToGrid w:val="0"/>
              <w:ind w:firstLine="480"/>
            </w:pPr>
            <w:r>
              <w:t>1）一般固体废物暂存区按照《一般工业固体废物贮存和填埋污染控制</w:t>
            </w:r>
            <w:r>
              <w:rPr>
                <w:rFonts w:hint="eastAsia"/>
              </w:rPr>
              <w:t>标准</w:t>
            </w:r>
            <w:r>
              <w:t>》（GB18599-2020）中标准要求进行管理；</w:t>
            </w:r>
          </w:p>
          <w:p>
            <w:pPr>
              <w:widowControl/>
              <w:adjustRightInd w:val="0"/>
              <w:snapToGrid w:val="0"/>
              <w:ind w:firstLine="480"/>
            </w:pPr>
            <w:r>
              <w:rPr>
                <w:rFonts w:hint="eastAsia"/>
              </w:rPr>
              <w:t>2）</w:t>
            </w:r>
            <w:r>
              <w:t>对固体废物实行从产生、收集、运输、贮存直至最终处理实行全过程管理，按照有关</w:t>
            </w:r>
            <w:r>
              <w:rPr>
                <w:rFonts w:hint="eastAsia"/>
              </w:rPr>
              <w:t>法律法规</w:t>
            </w:r>
            <w:r>
              <w:t>的要求，对固体废弃物全过程管理应报当地生态环境行政主管部门等批准。</w:t>
            </w:r>
          </w:p>
          <w:p>
            <w:pPr>
              <w:widowControl/>
              <w:adjustRightInd w:val="0"/>
              <w:snapToGrid w:val="0"/>
              <w:ind w:firstLine="480"/>
            </w:pPr>
            <w:r>
              <w:rPr>
                <w:rFonts w:hint="eastAsia"/>
              </w:rPr>
              <w:t>3）</w:t>
            </w:r>
            <w:r>
              <w:t>加强固体废物规范化管理，固体废物分类定点堆放，堆放场所远离办公区</w:t>
            </w:r>
            <w:r>
              <w:rPr>
                <w:rFonts w:hint="eastAsia"/>
              </w:rPr>
              <w:t>。</w:t>
            </w:r>
          </w:p>
          <w:p>
            <w:pPr>
              <w:widowControl/>
              <w:adjustRightInd w:val="0"/>
              <w:snapToGrid w:val="0"/>
              <w:ind w:firstLine="480"/>
              <w:jc w:val="left"/>
            </w:pPr>
            <w:r>
              <w:rPr>
                <w:rFonts w:hint="eastAsia"/>
              </w:rPr>
              <w:t>4）</w:t>
            </w:r>
            <w:r>
              <w:t>固体废物要及时清运，避免产生二次污染。</w:t>
            </w:r>
          </w:p>
          <w:p>
            <w:pPr>
              <w:widowControl/>
              <w:adjustRightInd w:val="0"/>
              <w:snapToGrid w:val="0"/>
              <w:ind w:firstLine="480"/>
              <w:jc w:val="left"/>
            </w:pPr>
            <w:r>
              <w:t>一般工业固体废物贮存、处置场，禁止危险废物和生活垃圾混入。贮存、处置场使用单位，应建立检查维护制度。发现有损坏可能或异常，应及时采取必要措施，以保障正常运行。贮存、处置场的使用单位，应建立档案制度。应将入场的一般工业固体废物的种类和数量，详细记录在案，长期保存，供随时查阅。贮存、处置场的环境保护图形标志，应按相关规定进行检查和维护。本项目一般固废暂存区位于</w:t>
            </w:r>
            <w:r>
              <w:rPr>
                <w:rFonts w:hint="eastAsia"/>
              </w:rPr>
              <w:t>车间内</w:t>
            </w:r>
            <w:r>
              <w:t>，地面全部硬化处理，遵守以上管理要求，确保一般固体废物合理处置。</w:t>
            </w:r>
          </w:p>
          <w:p>
            <w:pPr>
              <w:ind w:firstLine="0" w:firstLineChars="0"/>
              <w:jc w:val="left"/>
              <w:textAlignment w:val="auto"/>
              <w:rPr>
                <w:b/>
                <w:bCs/>
              </w:rPr>
            </w:pPr>
            <w:r>
              <w:rPr>
                <w:rFonts w:hint="eastAsia" w:cs="Times New Roman"/>
                <w:b/>
                <w:bCs/>
                <w:snapToGrid w:val="0"/>
                <w:color w:val="000000"/>
                <w:kern w:val="0"/>
                <w:szCs w:val="24"/>
              </w:rPr>
              <w:t>4.2.4.</w:t>
            </w:r>
            <w:r>
              <w:rPr>
                <w:rFonts w:cs="Times New Roman"/>
                <w:b/>
                <w:bCs/>
                <w:snapToGrid w:val="0"/>
                <w:color w:val="000000"/>
                <w:kern w:val="0"/>
                <w:szCs w:val="24"/>
              </w:rPr>
              <w:t>2</w:t>
            </w:r>
            <w:r>
              <w:rPr>
                <w:rFonts w:hint="eastAsia" w:cs="Times New Roman"/>
                <w:b/>
                <w:bCs/>
                <w:snapToGrid w:val="0"/>
                <w:color w:val="000000"/>
                <w:kern w:val="0"/>
                <w:szCs w:val="24"/>
              </w:rPr>
              <w:t>危险废物贮存库</w:t>
            </w:r>
            <w:r>
              <w:rPr>
                <w:rFonts w:hint="eastAsia"/>
                <w:b/>
                <w:bCs/>
              </w:rPr>
              <w:t>环境管理要求</w:t>
            </w:r>
          </w:p>
          <w:p>
            <w:pPr>
              <w:ind w:firstLine="480"/>
              <w:textAlignment w:val="auto"/>
            </w:pPr>
            <w:r>
              <w:rPr>
                <w:rFonts w:hint="eastAsia"/>
              </w:rPr>
              <w:t>本项目新建危险废物贮存库面积为</w:t>
            </w:r>
            <w:r>
              <w:t>1</w:t>
            </w:r>
            <w:r>
              <w:rPr>
                <w:rFonts w:hint="eastAsia"/>
              </w:rPr>
              <w:t>0m</w:t>
            </w:r>
            <w:r>
              <w:rPr>
                <w:rFonts w:hint="eastAsia"/>
                <w:vertAlign w:val="superscript"/>
              </w:rPr>
              <w:t>2</w:t>
            </w:r>
            <w:r>
              <w:rPr>
                <w:rFonts w:hint="eastAsia"/>
              </w:rPr>
              <w:t>，本项目不同性质的危废分类包装和存放，危废产生量达到一定规模便由危废单位及时运走处理，不会存在随便堆放情况。同时，危险废物贮存库地面采取防渗防漏措施，表面无裂隙；基础也采取防渗处理，设计防渗系数≤10</w:t>
            </w:r>
            <w:r>
              <w:rPr>
                <w:rFonts w:hint="eastAsia"/>
                <w:vertAlign w:val="superscript"/>
              </w:rPr>
              <w:t>-10</w:t>
            </w:r>
            <w:r>
              <w:rPr>
                <w:rFonts w:hint="eastAsia"/>
              </w:rPr>
              <w:t>cm/s，符合《危险废物贮存污染控制标准》（GB18597-2023）的要求。因此，在建设单位能够及时清运固废的前提下，本项目产生的危险废物贮存于新建的危险废物贮存库是可行的。</w:t>
            </w:r>
          </w:p>
          <w:p>
            <w:pPr>
              <w:ind w:firstLine="480"/>
              <w:jc w:val="left"/>
              <w:textAlignment w:val="auto"/>
              <w:rPr>
                <w:rFonts w:cs="Times New Roman"/>
                <w:snapToGrid w:val="0"/>
                <w:kern w:val="0"/>
              </w:rPr>
            </w:pPr>
            <w:r>
              <w:rPr>
                <w:rFonts w:hint="eastAsia" w:cs="Times New Roman"/>
                <w:snapToGrid w:val="0"/>
                <w:kern w:val="0"/>
              </w:rPr>
              <w:t>（</w:t>
            </w:r>
            <w:r>
              <w:rPr>
                <w:rFonts w:cs="Times New Roman"/>
                <w:snapToGrid w:val="0"/>
                <w:kern w:val="0"/>
              </w:rPr>
              <w:t>1</w:t>
            </w:r>
            <w:r>
              <w:rPr>
                <w:rFonts w:hint="eastAsia" w:cs="Times New Roman"/>
                <w:snapToGrid w:val="0"/>
                <w:kern w:val="0"/>
              </w:rPr>
              <w:t>）</w:t>
            </w:r>
            <w:r>
              <w:rPr>
                <w:rFonts w:hint="eastAsia" w:cs="Times New Roman"/>
                <w:snapToGrid w:val="0"/>
                <w:color w:val="000000"/>
                <w:kern w:val="0"/>
                <w:szCs w:val="24"/>
              </w:rPr>
              <w:t>建立台账的</w:t>
            </w:r>
            <w:r>
              <w:rPr>
                <w:rFonts w:cs="Times New Roman"/>
                <w:snapToGrid w:val="0"/>
                <w:color w:val="000000"/>
                <w:kern w:val="0"/>
                <w:szCs w:val="24"/>
              </w:rPr>
              <w:t>要求</w:t>
            </w:r>
          </w:p>
          <w:p>
            <w:pPr>
              <w:ind w:firstLine="480"/>
              <w:textAlignment w:val="auto"/>
              <w:rPr>
                <w:rFonts w:cs="Times New Roman"/>
                <w:snapToGrid w:val="0"/>
                <w:kern w:val="0"/>
                <w:szCs w:val="24"/>
              </w:rPr>
            </w:pPr>
            <w:r>
              <w:rPr>
                <w:rFonts w:hint="eastAsia" w:cs="Times New Roman"/>
                <w:snapToGrid w:val="0"/>
                <w:kern w:val="0"/>
                <w:szCs w:val="24"/>
              </w:rPr>
              <w:t>企业</w:t>
            </w:r>
            <w:r>
              <w:rPr>
                <w:rFonts w:cs="Times New Roman"/>
                <w:snapToGrid w:val="0"/>
                <w:kern w:val="0"/>
                <w:szCs w:val="24"/>
              </w:rPr>
              <w:t>要结合自身的实际情况，与生产记录相衔接，</w:t>
            </w:r>
            <w:r>
              <w:rPr>
                <w:rFonts w:hint="eastAsia" w:cs="Times New Roman"/>
                <w:snapToGrid w:val="0"/>
                <w:kern w:val="0"/>
                <w:szCs w:val="24"/>
              </w:rPr>
              <w:t>根据</w:t>
            </w:r>
            <w:r>
              <w:rPr>
                <w:rFonts w:hint="eastAsia" w:ascii="宋体" w:hAnsi="宋体" w:cs="宋体"/>
                <w:snapToGrid w:val="0"/>
                <w:color w:val="000000"/>
                <w:kern w:val="0"/>
                <w:szCs w:val="24"/>
              </w:rPr>
              <w:t>《</w:t>
            </w:r>
            <w:r>
              <w:fldChar w:fldCharType="begin"/>
            </w:r>
            <w:r>
              <w:instrText xml:space="preserve"> HYPERLINK "https://www.mee.gov.cn/gkml/hbb/bgg/201601/W020160128385366835993.pdf" </w:instrText>
            </w:r>
            <w:r>
              <w:fldChar w:fldCharType="separate"/>
            </w:r>
            <w:r>
              <w:rPr>
                <w:rFonts w:hint="eastAsia" w:ascii="宋体" w:hAnsi="宋体" w:cs="宋体"/>
                <w:snapToGrid w:val="0"/>
                <w:color w:val="000000"/>
                <w:kern w:val="0"/>
                <w:szCs w:val="24"/>
              </w:rPr>
              <w:t>危险废物产生单位管理计划制定指南</w:t>
            </w:r>
            <w:r>
              <w:rPr>
                <w:rFonts w:hint="eastAsia" w:ascii="宋体" w:hAnsi="宋体" w:cs="宋体"/>
                <w:snapToGrid w:val="0"/>
                <w:color w:val="000000"/>
                <w:kern w:val="0"/>
                <w:szCs w:val="24"/>
              </w:rPr>
              <w:fldChar w:fldCharType="end"/>
            </w:r>
            <w:r>
              <w:rPr>
                <w:rFonts w:hint="eastAsia" w:ascii="宋体" w:hAnsi="宋体" w:cs="宋体"/>
                <w:snapToGrid w:val="0"/>
                <w:color w:val="000000"/>
                <w:kern w:val="0"/>
                <w:szCs w:val="24"/>
              </w:rPr>
              <w:t>》</w:t>
            </w:r>
            <w:r>
              <w:rPr>
                <w:rFonts w:cs="Times New Roman"/>
                <w:snapToGrid w:val="0"/>
                <w:kern w:val="0"/>
                <w:szCs w:val="24"/>
              </w:rPr>
              <w:t>建立危险废物台账</w:t>
            </w:r>
            <w:r>
              <w:rPr>
                <w:rFonts w:hint="eastAsia" w:cs="Times New Roman"/>
                <w:snapToGrid w:val="0"/>
                <w:kern w:val="0"/>
                <w:szCs w:val="24"/>
              </w:rPr>
              <w:t>。</w:t>
            </w:r>
          </w:p>
          <w:p>
            <w:pPr>
              <w:ind w:firstLine="480"/>
              <w:textAlignment w:val="auto"/>
              <w:rPr>
                <w:rFonts w:cs="Times New Roman"/>
                <w:snapToGrid w:val="0"/>
                <w:kern w:val="0"/>
                <w:szCs w:val="24"/>
              </w:rPr>
            </w:pPr>
            <w:r>
              <w:rPr>
                <w:rFonts w:hint="eastAsia" w:cs="Times New Roman"/>
                <w:snapToGrid w:val="0"/>
                <w:kern w:val="0"/>
                <w:szCs w:val="24"/>
              </w:rPr>
              <w:t>（一）</w:t>
            </w:r>
            <w:r>
              <w:rPr>
                <w:rFonts w:cs="Times New Roman"/>
                <w:snapToGrid w:val="0"/>
                <w:kern w:val="0"/>
                <w:szCs w:val="24"/>
              </w:rPr>
              <w:t>根据危险废物的产生工序记录、危险废物特性和危险废物产生情况，如实填写</w:t>
            </w:r>
            <w:r>
              <w:rPr>
                <w:rFonts w:hint="eastAsia" w:ascii="宋体" w:hAnsi="宋体" w:cs="宋体"/>
                <w:snapToGrid w:val="0"/>
                <w:color w:val="000000"/>
                <w:kern w:val="0"/>
                <w:szCs w:val="24"/>
              </w:rPr>
              <w:t>《</w:t>
            </w:r>
            <w:r>
              <w:fldChar w:fldCharType="begin"/>
            </w:r>
            <w:r>
              <w:instrText xml:space="preserve"> HYPERLINK "https://www.mee.gov.cn/gkml/hbb/bgg/201601/W020160128385366835993.pdf" </w:instrText>
            </w:r>
            <w:r>
              <w:fldChar w:fldCharType="separate"/>
            </w:r>
            <w:r>
              <w:rPr>
                <w:rFonts w:hint="eastAsia" w:ascii="宋体" w:hAnsi="宋体" w:cs="宋体"/>
                <w:snapToGrid w:val="0"/>
                <w:color w:val="000000"/>
                <w:kern w:val="0"/>
                <w:szCs w:val="24"/>
              </w:rPr>
              <w:t>危险废物产生单位管理计划制定指南</w:t>
            </w:r>
            <w:r>
              <w:rPr>
                <w:rFonts w:ascii="宋体" w:hAnsi="宋体" w:cs="宋体"/>
                <w:snapToGrid w:val="0"/>
                <w:color w:val="000000"/>
                <w:kern w:val="0"/>
                <w:szCs w:val="24"/>
              </w:rPr>
              <w:fldChar w:fldCharType="end"/>
            </w:r>
            <w:r>
              <w:rPr>
                <w:rFonts w:hint="eastAsia" w:ascii="宋体" w:hAnsi="宋体" w:cs="宋体"/>
                <w:snapToGrid w:val="0"/>
                <w:color w:val="000000"/>
                <w:kern w:val="0"/>
                <w:szCs w:val="24"/>
              </w:rPr>
              <w:t>》</w:t>
            </w:r>
            <w:r>
              <w:rPr>
                <w:rFonts w:cs="Times New Roman"/>
                <w:snapToGrid w:val="0"/>
                <w:kern w:val="0"/>
                <w:szCs w:val="24"/>
              </w:rPr>
              <w:t>附3-1中的各表</w:t>
            </w:r>
            <w:r>
              <w:rPr>
                <w:rFonts w:hint="eastAsia" w:cs="Times New Roman"/>
                <w:snapToGrid w:val="0"/>
                <w:kern w:val="0"/>
                <w:szCs w:val="24"/>
              </w:rPr>
              <w:t>。</w:t>
            </w:r>
            <w:r>
              <w:rPr>
                <w:rFonts w:cs="Times New Roman"/>
                <w:snapToGrid w:val="0"/>
                <w:kern w:val="0"/>
                <w:szCs w:val="24"/>
              </w:rPr>
              <w:t>在实际生产过程中，根据危险废物产生、贮存、利用处置等环节的动态流向，如实填写附3-2中的各表。对需要重点监管的危险废物（如剧毒危险废物），可建立内部转移联单制度，进行全过程追踪管理。对危险废物产生频繁的情形</w:t>
            </w:r>
            <w:r>
              <w:rPr>
                <w:rFonts w:hint="eastAsia" w:cs="Times New Roman"/>
                <w:snapToGrid w:val="0"/>
                <w:kern w:val="0"/>
                <w:szCs w:val="24"/>
              </w:rPr>
              <w:t>，</w:t>
            </w:r>
            <w:r>
              <w:rPr>
                <w:rFonts w:cs="Times New Roman"/>
                <w:snapToGrid w:val="0"/>
                <w:kern w:val="0"/>
                <w:szCs w:val="24"/>
              </w:rPr>
              <w:t>若从废物产生部门到贮存场所过程可控，能够有效防止危险废物的散落和遗失</w:t>
            </w:r>
            <w:r>
              <w:rPr>
                <w:rFonts w:hint="eastAsia" w:cs="Times New Roman"/>
                <w:snapToGrid w:val="0"/>
                <w:kern w:val="0"/>
                <w:szCs w:val="24"/>
              </w:rPr>
              <w:t>，</w:t>
            </w:r>
            <w:r>
              <w:rPr>
                <w:rFonts w:cs="Times New Roman"/>
                <w:snapToGrid w:val="0"/>
                <w:kern w:val="0"/>
                <w:szCs w:val="24"/>
              </w:rPr>
              <w:t>则在产生环节可简化或不记录（可不填写表2.1）</w:t>
            </w:r>
            <w:r>
              <w:rPr>
                <w:rFonts w:hint="eastAsia" w:cs="Times New Roman"/>
                <w:snapToGrid w:val="0"/>
                <w:kern w:val="0"/>
                <w:szCs w:val="24"/>
              </w:rPr>
              <w:t>。</w:t>
            </w:r>
          </w:p>
          <w:p>
            <w:pPr>
              <w:ind w:firstLine="480"/>
              <w:textAlignment w:val="auto"/>
              <w:rPr>
                <w:rFonts w:cs="Times New Roman"/>
                <w:snapToGrid w:val="0"/>
                <w:kern w:val="0"/>
                <w:szCs w:val="24"/>
              </w:rPr>
            </w:pPr>
            <w:r>
              <w:rPr>
                <w:rFonts w:cs="Times New Roman"/>
                <w:snapToGrid w:val="0"/>
                <w:kern w:val="0"/>
                <w:szCs w:val="24"/>
              </w:rPr>
              <w:t>（二）按照</w:t>
            </w:r>
            <w:r>
              <w:rPr>
                <w:rFonts w:hint="eastAsia" w:ascii="宋体" w:hAnsi="宋体" w:cs="宋体"/>
                <w:snapToGrid w:val="0"/>
                <w:color w:val="000000"/>
                <w:kern w:val="0"/>
                <w:szCs w:val="24"/>
              </w:rPr>
              <w:t>《</w:t>
            </w:r>
            <w:r>
              <w:fldChar w:fldCharType="begin"/>
            </w:r>
            <w:r>
              <w:instrText xml:space="preserve"> HYPERLINK "https://www.mee.gov.cn/gkml/hbb/bgg/201601/W020160128385366835993.pdf" </w:instrText>
            </w:r>
            <w:r>
              <w:fldChar w:fldCharType="separate"/>
            </w:r>
            <w:r>
              <w:rPr>
                <w:rFonts w:hint="eastAsia" w:ascii="宋体" w:hAnsi="宋体" w:cs="宋体"/>
                <w:snapToGrid w:val="0"/>
                <w:color w:val="000000"/>
                <w:kern w:val="0"/>
                <w:szCs w:val="24"/>
              </w:rPr>
              <w:t>危险废物产生单位管理计划制定指南</w:t>
            </w:r>
            <w:r>
              <w:rPr>
                <w:rFonts w:ascii="宋体" w:hAnsi="宋体" w:cs="宋体"/>
                <w:snapToGrid w:val="0"/>
                <w:color w:val="000000"/>
                <w:kern w:val="0"/>
                <w:szCs w:val="24"/>
              </w:rPr>
              <w:fldChar w:fldCharType="end"/>
            </w:r>
            <w:r>
              <w:rPr>
                <w:rFonts w:hint="eastAsia" w:ascii="宋体" w:hAnsi="宋体" w:cs="宋体"/>
                <w:snapToGrid w:val="0"/>
                <w:color w:val="000000"/>
                <w:kern w:val="0"/>
                <w:szCs w:val="24"/>
              </w:rPr>
              <w:t>》</w:t>
            </w:r>
            <w:r>
              <w:rPr>
                <w:rFonts w:cs="Times New Roman"/>
                <w:snapToGrid w:val="0"/>
                <w:kern w:val="0"/>
                <w:szCs w:val="24"/>
              </w:rPr>
              <w:t>附3-3</w:t>
            </w:r>
            <w:r>
              <w:rPr>
                <w:rFonts w:hint="eastAsia" w:cs="Times New Roman"/>
                <w:snapToGrid w:val="0"/>
                <w:kern w:val="0"/>
                <w:szCs w:val="24"/>
              </w:rPr>
              <w:t>中</w:t>
            </w:r>
            <w:r>
              <w:rPr>
                <w:rFonts w:cs="Times New Roman"/>
                <w:snapToGrid w:val="0"/>
                <w:kern w:val="0"/>
                <w:szCs w:val="24"/>
              </w:rPr>
              <w:t>的格式，定期（如按月、季或年）汇总危险废物台账记录表和转移联单，总结危险废物产生量、自行利用处置情况、委托外单位利用处置情况、临时贮存量等内容，形成内部报表。相应的产生工序调查表及工序图、危险废物特性表、危险废物产生情况一览表、委托利用处置合同、台账记录表和转移联单（包括内部转移联单）等相关材料要随报表封装</w:t>
            </w:r>
            <w:r>
              <w:rPr>
                <w:rFonts w:hint="eastAsia" w:cs="Times New Roman"/>
                <w:snapToGrid w:val="0"/>
                <w:kern w:val="0"/>
                <w:szCs w:val="24"/>
              </w:rPr>
              <w:t>。</w:t>
            </w:r>
          </w:p>
          <w:p>
            <w:pPr>
              <w:ind w:firstLine="480"/>
              <w:textAlignment w:val="auto"/>
            </w:pPr>
            <w:r>
              <w:rPr>
                <w:rFonts w:cs="Times New Roman"/>
                <w:snapToGrid w:val="0"/>
                <w:kern w:val="0"/>
                <w:szCs w:val="24"/>
              </w:rPr>
              <w:t>（</w:t>
            </w:r>
            <w:r>
              <w:rPr>
                <w:rFonts w:hint="eastAsia" w:cs="Times New Roman"/>
                <w:snapToGrid w:val="0"/>
                <w:kern w:val="0"/>
                <w:szCs w:val="24"/>
              </w:rPr>
              <w:t>三</w:t>
            </w:r>
            <w:r>
              <w:rPr>
                <w:rFonts w:cs="Times New Roman"/>
                <w:snapToGrid w:val="0"/>
                <w:kern w:val="0"/>
                <w:szCs w:val="24"/>
              </w:rPr>
              <w:t>）</w:t>
            </w:r>
            <w:r>
              <w:rPr>
                <w:rFonts w:hint="eastAsia"/>
              </w:rPr>
              <w:t>危险废物出库前，按照《中华人民共和国固体废物污染环境防治法》、《关于进一步加强危险废物规范化环境管理有关工作的通知》、《关于推进危险废物环境管理信息化有关工作的通知》等有关规定，制定危险废物管理计划，建立危险废物管理台账，管理计划和管理台账参考《危险废物管理计划和管理台账制定技术导则》（HJ1259-2022），管理计划参考表A.3危险废物产生情况信息表和A.4危险废物贮存情况信息表；管理台账参考表B.1危险废物产生环节记录表、B.2危险废物入库环节记录表和表B.3危险废物出库环节记录表。依法通过固体废物管理信息系统运行危险废物电子转移联单，严格按照《危险废物转移管理办法》中相关规定执行。</w:t>
            </w:r>
          </w:p>
          <w:p>
            <w:pPr>
              <w:keepNext/>
              <w:keepLines/>
              <w:ind w:firstLine="480"/>
              <w:outlineLvl w:val="1"/>
              <w:rPr>
                <w:rFonts w:cs="Times New Roman"/>
                <w:b/>
                <w:bCs/>
                <w:snapToGrid w:val="0"/>
                <w:color w:val="000000"/>
                <w:kern w:val="0"/>
                <w:szCs w:val="24"/>
              </w:rPr>
            </w:pPr>
            <w:r>
              <w:rPr>
                <w:rFonts w:cs="Times New Roman"/>
                <w:snapToGrid w:val="0"/>
                <w:kern w:val="0"/>
                <w:szCs w:val="24"/>
              </w:rPr>
              <w:t>（</w:t>
            </w:r>
            <w:r>
              <w:rPr>
                <w:rFonts w:hint="eastAsia" w:cs="Times New Roman"/>
                <w:snapToGrid w:val="0"/>
                <w:kern w:val="0"/>
                <w:szCs w:val="24"/>
              </w:rPr>
              <w:t>四</w:t>
            </w:r>
            <w:r>
              <w:rPr>
                <w:rFonts w:cs="Times New Roman"/>
                <w:snapToGrid w:val="0"/>
                <w:kern w:val="0"/>
                <w:szCs w:val="24"/>
              </w:rPr>
              <w:t>）危险废物台账应分类装订成册，由专人管理，防止遗失。有条件的单位应采用信息软件辅助记录和管理危险废物台账。危险废物台账保存期限至少为5年。</w:t>
            </w:r>
          </w:p>
          <w:p>
            <w:pPr>
              <w:keepNext/>
              <w:keepLines/>
              <w:ind w:firstLine="480"/>
              <w:jc w:val="left"/>
              <w:outlineLvl w:val="1"/>
              <w:rPr>
                <w:rFonts w:cs="Times New Roman"/>
                <w:snapToGrid w:val="0"/>
                <w:color w:val="000000"/>
                <w:kern w:val="0"/>
                <w:szCs w:val="24"/>
              </w:rPr>
            </w:pPr>
            <w:r>
              <w:rPr>
                <w:rFonts w:hint="eastAsia" w:cs="Times New Roman"/>
                <w:snapToGrid w:val="0"/>
                <w:color w:val="000000"/>
                <w:kern w:val="0"/>
                <w:szCs w:val="24"/>
              </w:rPr>
              <w:t>（</w:t>
            </w:r>
            <w:r>
              <w:rPr>
                <w:rFonts w:cs="Times New Roman"/>
                <w:snapToGrid w:val="0"/>
                <w:color w:val="000000"/>
                <w:kern w:val="0"/>
                <w:szCs w:val="24"/>
              </w:rPr>
              <w:t>2</w:t>
            </w:r>
            <w:r>
              <w:rPr>
                <w:rFonts w:hint="eastAsia" w:cs="Times New Roman"/>
                <w:snapToGrid w:val="0"/>
                <w:color w:val="000000"/>
                <w:kern w:val="0"/>
                <w:szCs w:val="24"/>
              </w:rPr>
              <w:t>）</w:t>
            </w:r>
            <w:r>
              <w:rPr>
                <w:rFonts w:hint="eastAsia"/>
                <w:color w:val="000000"/>
              </w:rPr>
              <w:t>危险废物转移联单的运行和管理</w:t>
            </w:r>
          </w:p>
          <w:p>
            <w:pPr>
              <w:adjustRightInd w:val="0"/>
              <w:snapToGrid w:val="0"/>
              <w:ind w:firstLine="480"/>
              <w:textAlignment w:val="auto"/>
              <w:rPr>
                <w:rFonts w:cs="Times New Roman"/>
                <w:snapToGrid w:val="0"/>
                <w:color w:val="000000"/>
                <w:kern w:val="0"/>
                <w:szCs w:val="24"/>
              </w:rPr>
            </w:pPr>
            <w:r>
              <w:rPr>
                <w:rFonts w:hint="eastAsia"/>
                <w:color w:val="000000"/>
              </w:rPr>
              <w:t>危险废物转移联单的运行和管理</w:t>
            </w:r>
            <w:r>
              <w:rPr>
                <w:rFonts w:cs="Times New Roman"/>
                <w:snapToGrid w:val="0"/>
                <w:color w:val="000000"/>
                <w:kern w:val="0"/>
                <w:szCs w:val="24"/>
              </w:rPr>
              <w:t>必须按照国家</w:t>
            </w:r>
            <w:r>
              <w:rPr>
                <w:rFonts w:hint="eastAsia"/>
              </w:rPr>
              <w:t>《危险废物转移管理办法》（部令第</w:t>
            </w:r>
            <w:r>
              <w:t>23</w:t>
            </w:r>
            <w:r>
              <w:rPr>
                <w:rFonts w:hint="eastAsia"/>
              </w:rPr>
              <w:t>号）</w:t>
            </w:r>
            <w:r>
              <w:rPr>
                <w:rFonts w:cs="Times New Roman"/>
                <w:snapToGrid w:val="0"/>
                <w:color w:val="000000"/>
                <w:kern w:val="0"/>
                <w:szCs w:val="24"/>
              </w:rPr>
              <w:t>执行。</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1 \* GB3 </w:instrText>
            </w:r>
            <w:r>
              <w:rPr>
                <w:rFonts w:cs="Times New Roman"/>
                <w:snapToGrid w:val="0"/>
                <w:kern w:val="0"/>
              </w:rPr>
              <w:fldChar w:fldCharType="separate"/>
            </w:r>
            <w:r>
              <w:rPr>
                <w:rFonts w:hint="eastAsia" w:cs="Times New Roman"/>
                <w:snapToGrid w:val="0"/>
                <w:kern w:val="0"/>
              </w:rPr>
              <w:t>①</w:t>
            </w:r>
            <w:r>
              <w:rPr>
                <w:rFonts w:cs="Times New Roman"/>
                <w:snapToGrid w:val="0"/>
                <w:kern w:val="0"/>
              </w:rPr>
              <w:fldChar w:fldCharType="end"/>
            </w:r>
            <w:r>
              <w:rPr>
                <w:rFonts w:hint="eastAsia"/>
                <w:color w:val="000000"/>
              </w:rPr>
              <w:t>危险废物转移联单应当根据危险废物管理计划中填报的危险废物转移等备案信息填写、运行</w:t>
            </w:r>
            <w:r>
              <w:rPr>
                <w:rFonts w:cs="Times New Roman"/>
                <w:snapToGrid w:val="0"/>
                <w:kern w:val="0"/>
              </w:rPr>
              <w:t>。</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2 \* GB3 </w:instrText>
            </w:r>
            <w:r>
              <w:rPr>
                <w:rFonts w:cs="Times New Roman"/>
                <w:snapToGrid w:val="0"/>
                <w:kern w:val="0"/>
              </w:rPr>
              <w:fldChar w:fldCharType="separate"/>
            </w:r>
            <w:r>
              <w:rPr>
                <w:rFonts w:hint="eastAsia" w:cs="Times New Roman"/>
                <w:snapToGrid w:val="0"/>
                <w:kern w:val="0"/>
              </w:rPr>
              <w:t>②</w:t>
            </w:r>
            <w:r>
              <w:rPr>
                <w:rFonts w:cs="Times New Roman"/>
                <w:snapToGrid w:val="0"/>
                <w:kern w:val="0"/>
              </w:rPr>
              <w:fldChar w:fldCharType="end"/>
            </w:r>
            <w:r>
              <w:rPr>
                <w:rFonts w:hint="eastAsia"/>
                <w:color w:val="000000"/>
              </w:rPr>
              <w:t>危险废物转移联单实行全国统一编号，编号由十四位阿拉伯数字组成。第一至四位数字为年份代码；第五、六位数字为移出地省级行政区划代码；第七、八位数字为移出地设区的市级行政区划代码；其余六位数字以移出地设区的市级行政区域为单位进行流水编号</w:t>
            </w:r>
            <w:r>
              <w:rPr>
                <w:rFonts w:cs="Times New Roman"/>
                <w:snapToGrid w:val="0"/>
                <w:kern w:val="0"/>
              </w:rPr>
              <w:t>。</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3 \* GB3 </w:instrText>
            </w:r>
            <w:r>
              <w:rPr>
                <w:rFonts w:cs="Times New Roman"/>
                <w:snapToGrid w:val="0"/>
                <w:kern w:val="0"/>
              </w:rPr>
              <w:fldChar w:fldCharType="separate"/>
            </w:r>
            <w:r>
              <w:rPr>
                <w:rFonts w:hint="eastAsia" w:cs="Times New Roman"/>
                <w:snapToGrid w:val="0"/>
                <w:kern w:val="0"/>
              </w:rPr>
              <w:t>③</w:t>
            </w:r>
            <w:r>
              <w:rPr>
                <w:rFonts w:cs="Times New Roman"/>
                <w:snapToGrid w:val="0"/>
                <w:kern w:val="0"/>
              </w:rPr>
              <w:fldChar w:fldCharType="end"/>
            </w:r>
            <w:r>
              <w:rPr>
                <w:rFonts w:hint="eastAsia"/>
                <w:color w:val="000000"/>
              </w:rPr>
              <w:t>移出人每转移一车（船或者其他运输工具）次同类危险废物，应当填写、运行一份危险废物转移联单；每车（船或者其他运输工具）次转移多类危险废物的，可以填写、运行一份危险废物转移联单，也可以每一类危险废物填写、运行一份危险废物转移联单</w:t>
            </w:r>
            <w:r>
              <w:rPr>
                <w:rFonts w:cs="Times New Roman"/>
                <w:snapToGrid w:val="0"/>
                <w:kern w:val="0"/>
              </w:rPr>
              <w:t>。</w:t>
            </w:r>
          </w:p>
          <w:p>
            <w:pPr>
              <w:ind w:firstLine="480"/>
              <w:textAlignment w:val="auto"/>
              <w:rPr>
                <w:rFonts w:cs="Times New Roman"/>
                <w:snapToGrid w:val="0"/>
                <w:kern w:val="0"/>
              </w:rPr>
            </w:pPr>
            <w:r>
              <w:rPr>
                <w:rFonts w:hint="eastAsia"/>
                <w:color w:val="000000"/>
              </w:rPr>
              <w:t>使用同一车（船或者其他运输工具）一次为多个移出人转移危险废物的，每个移出人应当分别填写、运行危险废物转移联单</w:t>
            </w:r>
            <w:r>
              <w:rPr>
                <w:rFonts w:cs="Times New Roman"/>
                <w:snapToGrid w:val="0"/>
                <w:kern w:val="0"/>
              </w:rPr>
              <w:t>。</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4 \* GB3 </w:instrText>
            </w:r>
            <w:r>
              <w:rPr>
                <w:rFonts w:cs="Times New Roman"/>
                <w:snapToGrid w:val="0"/>
                <w:kern w:val="0"/>
              </w:rPr>
              <w:fldChar w:fldCharType="separate"/>
            </w:r>
            <w:r>
              <w:rPr>
                <w:rFonts w:hint="eastAsia" w:cs="Times New Roman"/>
                <w:snapToGrid w:val="0"/>
                <w:kern w:val="0"/>
              </w:rPr>
              <w:t>④</w:t>
            </w:r>
            <w:r>
              <w:rPr>
                <w:rFonts w:cs="Times New Roman"/>
                <w:snapToGrid w:val="0"/>
                <w:kern w:val="0"/>
              </w:rPr>
              <w:fldChar w:fldCharType="end"/>
            </w:r>
            <w:r>
              <w:rPr>
                <w:rFonts w:hint="eastAsia"/>
                <w:color w:val="000000"/>
              </w:rPr>
              <w:t>采用联运方式转移危险废物的，前一承运人和后一承运人应当明确运输交接的时间和地点。后一承运人应当核实危险废物转移联单确定的移出人信息、前一承运人信息及危险废物相关信息</w:t>
            </w:r>
            <w:r>
              <w:rPr>
                <w:rFonts w:cs="Times New Roman"/>
                <w:snapToGrid w:val="0"/>
                <w:kern w:val="0"/>
              </w:rPr>
              <w:t>。</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5 \* GB3 </w:instrText>
            </w:r>
            <w:r>
              <w:rPr>
                <w:rFonts w:cs="Times New Roman"/>
                <w:snapToGrid w:val="0"/>
                <w:kern w:val="0"/>
              </w:rPr>
              <w:fldChar w:fldCharType="separate"/>
            </w:r>
            <w:r>
              <w:rPr>
                <w:rFonts w:hint="eastAsia" w:cs="Times New Roman"/>
                <w:snapToGrid w:val="0"/>
                <w:kern w:val="0"/>
              </w:rPr>
              <w:t>⑤</w:t>
            </w:r>
            <w:r>
              <w:rPr>
                <w:rFonts w:cs="Times New Roman"/>
                <w:snapToGrid w:val="0"/>
                <w:kern w:val="0"/>
              </w:rPr>
              <w:fldChar w:fldCharType="end"/>
            </w:r>
            <w:r>
              <w:rPr>
                <w:rFonts w:hint="eastAsia"/>
                <w:color w:val="000000"/>
              </w:rPr>
              <w:t>接受人应当对运抵的危险废物进行核实验收，并在接受之日起五个工作日内通过信息系统确认接受</w:t>
            </w:r>
            <w:r>
              <w:rPr>
                <w:rFonts w:cs="Times New Roman"/>
                <w:snapToGrid w:val="0"/>
                <w:kern w:val="0"/>
              </w:rPr>
              <w:t>。</w:t>
            </w:r>
          </w:p>
          <w:p>
            <w:pPr>
              <w:ind w:firstLine="480"/>
              <w:textAlignment w:val="auto"/>
              <w:rPr>
                <w:rFonts w:cs="Times New Roman"/>
                <w:snapToGrid w:val="0"/>
                <w:kern w:val="0"/>
              </w:rPr>
            </w:pPr>
            <w:r>
              <w:rPr>
                <w:rFonts w:hint="eastAsia"/>
                <w:color w:val="000000"/>
              </w:rPr>
              <w:t>运抵的危险废物的名称、数量、特性、形态、包装方式与危险废物转移联单填写内容不符的，接受人应当及时告知移出人，视情况决定是否接受，同时向接受地生态环境主管部门报告</w:t>
            </w:r>
            <w:r>
              <w:rPr>
                <w:rFonts w:cs="Times New Roman"/>
                <w:snapToGrid w:val="0"/>
                <w:kern w:val="0"/>
              </w:rPr>
              <w:t>。</w:t>
            </w:r>
          </w:p>
          <w:p>
            <w:pPr>
              <w:ind w:firstLine="480"/>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6 \* GB3 </w:instrText>
            </w:r>
            <w:r>
              <w:rPr>
                <w:rFonts w:cs="Times New Roman"/>
                <w:snapToGrid w:val="0"/>
                <w:kern w:val="0"/>
              </w:rPr>
              <w:fldChar w:fldCharType="separate"/>
            </w:r>
            <w:r>
              <w:rPr>
                <w:rFonts w:hint="eastAsia" w:cs="Times New Roman"/>
                <w:snapToGrid w:val="0"/>
                <w:kern w:val="0"/>
              </w:rPr>
              <w:t>⑥</w:t>
            </w:r>
            <w:r>
              <w:rPr>
                <w:rFonts w:cs="Times New Roman"/>
                <w:snapToGrid w:val="0"/>
                <w:kern w:val="0"/>
              </w:rPr>
              <w:fldChar w:fldCharType="end"/>
            </w:r>
            <w:r>
              <w:rPr>
                <w:rFonts w:hint="eastAsia"/>
                <w:color w:val="000000"/>
              </w:rPr>
              <w:t>对不通过车（船或者其他运输工具），且无法按次对危险废物计量的其他方式转移危险废物的，移出人和接受人应当分别配备计量记录设备，将每天危险废物转移的种类、重量（数量）、形态和危险特性等信息纳入相关台账记录，并根据所在地设区的市级以上地方生态环境主管部门的要求填写、运行危险废物转移联单</w:t>
            </w:r>
            <w:r>
              <w:rPr>
                <w:rFonts w:cs="Times New Roman"/>
                <w:snapToGrid w:val="0"/>
                <w:kern w:val="0"/>
              </w:rPr>
              <w:t>。</w:t>
            </w:r>
          </w:p>
          <w:p>
            <w:pPr>
              <w:ind w:firstLine="480"/>
              <w:jc w:val="left"/>
              <w:textAlignment w:val="auto"/>
              <w:rPr>
                <w:rFonts w:cs="Times New Roman"/>
                <w:snapToGrid w:val="0"/>
                <w:kern w:val="0"/>
              </w:rPr>
            </w:pPr>
            <w:r>
              <w:rPr>
                <w:rFonts w:cs="Times New Roman"/>
                <w:snapToGrid w:val="0"/>
                <w:kern w:val="0"/>
              </w:rPr>
              <w:fldChar w:fldCharType="begin"/>
            </w:r>
            <w:r>
              <w:rPr>
                <w:rFonts w:cs="Times New Roman"/>
                <w:snapToGrid w:val="0"/>
                <w:kern w:val="0"/>
              </w:rPr>
              <w:instrText xml:space="preserve"> = 7 \* GB3 </w:instrText>
            </w:r>
            <w:r>
              <w:rPr>
                <w:rFonts w:cs="Times New Roman"/>
                <w:snapToGrid w:val="0"/>
                <w:kern w:val="0"/>
              </w:rPr>
              <w:fldChar w:fldCharType="separate"/>
            </w:r>
            <w:r>
              <w:rPr>
                <w:rFonts w:hint="eastAsia" w:cs="Times New Roman"/>
                <w:snapToGrid w:val="0"/>
                <w:kern w:val="0"/>
              </w:rPr>
              <w:t>⑦</w:t>
            </w:r>
            <w:r>
              <w:rPr>
                <w:rFonts w:cs="Times New Roman"/>
                <w:snapToGrid w:val="0"/>
                <w:kern w:val="0"/>
              </w:rPr>
              <w:fldChar w:fldCharType="end"/>
            </w:r>
            <w:r>
              <w:rPr>
                <w:rFonts w:hint="eastAsia"/>
                <w:color w:val="000000"/>
              </w:rPr>
              <w:t>危险废物电子转移联单数据应当在信息系统中至少保存十年</w:t>
            </w:r>
            <w:r>
              <w:rPr>
                <w:rFonts w:cs="Times New Roman"/>
                <w:snapToGrid w:val="0"/>
                <w:kern w:val="0"/>
              </w:rPr>
              <w:t>。</w:t>
            </w:r>
          </w:p>
          <w:p>
            <w:pPr>
              <w:ind w:firstLine="480"/>
              <w:textAlignment w:val="auto"/>
              <w:rPr>
                <w:rFonts w:cs="Times New Roman"/>
                <w:snapToGrid w:val="0"/>
                <w:kern w:val="0"/>
              </w:rPr>
            </w:pPr>
            <w:r>
              <w:rPr>
                <w:rFonts w:hint="eastAsia"/>
                <w:color w:val="000000"/>
              </w:rPr>
              <w:t>因特殊原因无法运行危险废物电子转移联单的，可以先使用纸质转移联单，并于转移活动完成后十个工作日内在信息系统中补录电子转移联单</w:t>
            </w:r>
            <w:r>
              <w:rPr>
                <w:rFonts w:cs="Times New Roman"/>
                <w:snapToGrid w:val="0"/>
                <w:kern w:val="0"/>
              </w:rPr>
              <w:t>。</w:t>
            </w:r>
          </w:p>
          <w:p>
            <w:pPr>
              <w:ind w:firstLine="480"/>
            </w:pPr>
            <w:r>
              <w:rPr>
                <w:rFonts w:hint="eastAsia" w:cs="Times New Roman"/>
                <w:snapToGrid w:val="0"/>
                <w:color w:val="000000"/>
                <w:kern w:val="0"/>
                <w:szCs w:val="24"/>
              </w:rPr>
              <w:t>（</w:t>
            </w:r>
            <w:r>
              <w:rPr>
                <w:rFonts w:cs="Times New Roman"/>
                <w:snapToGrid w:val="0"/>
                <w:color w:val="000000"/>
                <w:kern w:val="0"/>
                <w:szCs w:val="24"/>
              </w:rPr>
              <w:t>3</w:t>
            </w:r>
            <w:r>
              <w:rPr>
                <w:rFonts w:hint="eastAsia" w:cs="Times New Roman"/>
                <w:snapToGrid w:val="0"/>
                <w:color w:val="000000"/>
                <w:kern w:val="0"/>
                <w:szCs w:val="24"/>
              </w:rPr>
              <w:t>）</w:t>
            </w:r>
            <w:r>
              <w:rPr>
                <w:rFonts w:hint="eastAsia"/>
              </w:rPr>
              <w:t>危险废物收集、贮存、运输的一般要求</w:t>
            </w:r>
          </w:p>
          <w:p>
            <w:pPr>
              <w:keepNext/>
              <w:keepLines/>
              <w:ind w:firstLine="480"/>
              <w:outlineLvl w:val="1"/>
            </w:pPr>
            <w:r>
              <w:rPr>
                <w:rFonts w:hint="eastAsia"/>
              </w:rPr>
              <w:t>危险废物的收集、贮存、运输，应根据《危险废物收集、贮存、运输、技术规范》（</w:t>
            </w:r>
            <w:r>
              <w:t>HJ2025-2012</w:t>
            </w:r>
            <w:r>
              <w:rPr>
                <w:rFonts w:hint="eastAsia"/>
              </w:rPr>
              <w:t>）中相关要求。</w:t>
            </w:r>
          </w:p>
          <w:p>
            <w:pPr>
              <w:ind w:firstLine="480"/>
            </w:pPr>
            <w:r>
              <w:t>1</w:t>
            </w:r>
            <w:r>
              <w:rPr>
                <w:rFonts w:hint="eastAsia"/>
              </w:rPr>
              <w:t>）从事危险废物收集、贮存、运输经营活动的单位应具有危险废物经营许可证。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全规章制度及操作流程，确保该过程的安全、可靠。</w:t>
            </w:r>
          </w:p>
          <w:p>
            <w:pPr>
              <w:ind w:firstLine="480"/>
            </w:pPr>
            <w:r>
              <w:t>2</w:t>
            </w:r>
            <w:r>
              <w:rPr>
                <w:rFonts w:hint="eastAsia"/>
              </w:rPr>
              <w:t>）危险废物转移过程应按《危险废物转移联单管理办法》执行。</w:t>
            </w:r>
          </w:p>
          <w:p>
            <w:pPr>
              <w:ind w:firstLine="480"/>
            </w:pPr>
            <w:r>
              <w:t>3</w:t>
            </w:r>
            <w:r>
              <w:rPr>
                <w:rFonts w:hint="eastAsia"/>
              </w:rPr>
              <w:t>）危险废物收集、贮存、运输单位应建立规范的管理和技术人员培训制度，对管理和技术人员进行培训。培训内容至少应包括危险废物鉴别要求、危险废物经营许可证管理、危险废物转移联单管理、危险废物包装和标识、危险废物运输要求、危险废物事故应急方法等。</w:t>
            </w:r>
          </w:p>
          <w:p>
            <w:pPr>
              <w:ind w:firstLine="480"/>
            </w:pPr>
            <w:r>
              <w:t>4</w:t>
            </w:r>
            <w:r>
              <w:rPr>
                <w:rFonts w:hint="eastAsia"/>
              </w:rPr>
              <w:t>）危险废物收集、贮存、运输单位应编制应急预案。应急预案编制可参照《危险废物经营单位编制应急预案指南》，涉及运输的相关内容还应符合交通行政主管部门的有关规定。针对危险废物收集、贮存、运输过程中的事故易发环节应组织应急演练。</w:t>
            </w:r>
          </w:p>
          <w:p>
            <w:pPr>
              <w:ind w:firstLine="480"/>
            </w:pPr>
            <w:r>
              <w:t>5</w:t>
            </w:r>
            <w:r>
              <w:rPr>
                <w:rFonts w:hint="eastAsia"/>
              </w:rPr>
              <w:t>）危险废物收集、贮存、运输过程中一旦发生意外事故，收集、贮存、运输单位及相关部门应根据风险程度采取如下措施：</w:t>
            </w:r>
          </w:p>
          <w:p>
            <w:pPr>
              <w:ind w:firstLine="48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rPr>
                <w:rFonts w:hint="eastAsia"/>
              </w:rPr>
              <w:t>设立事故警戒线，启动应急预案，并按《环境保护行政主管部门突发环境事件信息报告办法(试行)》（环发[2006]50号）要求进行报告。</w:t>
            </w:r>
          </w:p>
          <w:p>
            <w:pPr>
              <w:ind w:firstLine="48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rPr>
                <w:rFonts w:hint="eastAsia"/>
              </w:rPr>
              <w:t>若造成事故的危险废物具有剧毒性、易燃性、爆炸性或高传染性，应立即疏散人群，</w:t>
            </w:r>
          </w:p>
          <w:p>
            <w:pPr>
              <w:ind w:firstLine="480"/>
            </w:pPr>
            <w:r>
              <w:rPr>
                <w:rFonts w:hint="eastAsia"/>
              </w:rPr>
              <w:t>并请求环境保护、消防、医疗、公安等相关部门支援。</w:t>
            </w:r>
          </w:p>
          <w:p>
            <w:pPr>
              <w:ind w:firstLine="48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rPr>
                <w:rFonts w:hint="eastAsia"/>
              </w:rPr>
              <w:t>对事故现场受到污染的土壤和水体等环境介质应进行相应的清理和修复。</w:t>
            </w:r>
          </w:p>
          <w:p>
            <w:pPr>
              <w:ind w:firstLine="480"/>
            </w:pPr>
            <w:r>
              <w:fldChar w:fldCharType="begin"/>
            </w:r>
            <w:r>
              <w:instrText xml:space="preserve"> </w:instrText>
            </w:r>
            <w:r>
              <w:rPr>
                <w:rFonts w:hint="eastAsia"/>
              </w:rPr>
              <w:instrText xml:space="preserve">= 4 \* GB3</w:instrText>
            </w:r>
            <w:r>
              <w:instrText xml:space="preserve"> </w:instrText>
            </w:r>
            <w:r>
              <w:fldChar w:fldCharType="separate"/>
            </w:r>
            <w:r>
              <w:rPr>
                <w:rFonts w:hint="eastAsia"/>
              </w:rPr>
              <w:t>④</w:t>
            </w:r>
            <w:r>
              <w:fldChar w:fldCharType="end"/>
            </w:r>
            <w:r>
              <w:rPr>
                <w:rFonts w:hint="eastAsia"/>
              </w:rPr>
              <w:t>清理过程中产生的所有废物均应按危险废物进行管理和处置。</w:t>
            </w:r>
          </w:p>
          <w:p>
            <w:pPr>
              <w:ind w:firstLine="48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rPr>
                <w:rFonts w:hint="eastAsia"/>
              </w:rPr>
              <w:t>进入现场清理和包装危险废物的人员应受过专业培训，穿着防护服，并佩戴相应的防护用具。</w:t>
            </w:r>
          </w:p>
          <w:p>
            <w:pPr>
              <w:ind w:firstLine="480"/>
            </w:pPr>
            <w:r>
              <w:rPr>
                <w:rFonts w:hint="eastAsia"/>
              </w:rPr>
              <w:t>（</w:t>
            </w:r>
            <w:r>
              <w:t>4</w:t>
            </w:r>
            <w:r>
              <w:rPr>
                <w:rFonts w:hint="eastAsia"/>
              </w:rPr>
              <w:t>）危险废物管理台账制定要求</w:t>
            </w:r>
          </w:p>
          <w:p>
            <w:pPr>
              <w:ind w:firstLine="480"/>
            </w:pPr>
            <w:r>
              <w:rPr>
                <w:rFonts w:hint="eastAsia"/>
              </w:rPr>
              <w:t>项目运营期应建立危险废物管理台账，落实危险废物管理台账记录的责任人，明确工作职责，并对危险废物管理台账的真实性、准确性和完整性负法律责任。产生危险废物的单位应根据危险废物产生、贮存、利用、处置等环节的动态流向，如实建立各环节的危险废物管理台账。危险废物管理台账分为电子管理台账和纸质管理台账两种形式。可通过国家危险废物信息管理系统、企业自建信息管理系统或第三方平台等方式记录电子管理台账。</w:t>
            </w:r>
          </w:p>
          <w:p>
            <w:pPr>
              <w:ind w:firstLine="480"/>
            </w:pPr>
            <w:r>
              <w:rPr>
                <w:rFonts w:hint="eastAsia"/>
              </w:rPr>
              <w:t>频次：危险废物产生后盛放至容器和包装物的，应按每个容器和包装物进行记录；产生后采用管道等方式输送至贮存场所的，按日记录；其他特殊情形的，根据危险废物产生规律确定记录频次。</w:t>
            </w:r>
          </w:p>
          <w:p>
            <w:pPr>
              <w:ind w:firstLine="480"/>
            </w:pPr>
            <w:r>
              <w:rPr>
                <w:rFonts w:hint="eastAsia"/>
              </w:rPr>
              <w:t>记录内容：危险废物产生环节，应记录产生批次编码、产生时间、危险废物名称、危险废物类别、危险废物代码、产生量、计量单位、容器</w:t>
            </w:r>
            <w:r>
              <w:t>/</w:t>
            </w:r>
            <w:r>
              <w:rPr>
                <w:rFonts w:hint="eastAsia"/>
              </w:rPr>
              <w:t>包装编码、容器</w:t>
            </w:r>
            <w:r>
              <w:t>/</w:t>
            </w:r>
            <w:r>
              <w:rPr>
                <w:rFonts w:hint="eastAsia"/>
              </w:rPr>
              <w:t>包装类型、容器</w:t>
            </w:r>
            <w:r>
              <w:t>/</w:t>
            </w:r>
            <w:r>
              <w:rPr>
                <w:rFonts w:hint="eastAsia"/>
              </w:rPr>
              <w:t>包装数量、产生危险废物设施编码、产生部门经办人、去向等。危险废物入库环节，应记录入库批次编码、入库时间、容器</w:t>
            </w:r>
            <w:r>
              <w:t>/</w:t>
            </w:r>
            <w:r>
              <w:rPr>
                <w:rFonts w:hint="eastAsia"/>
              </w:rPr>
              <w:t>包装编码、容器</w:t>
            </w:r>
            <w:r>
              <w:t>/</w:t>
            </w:r>
            <w:r>
              <w:rPr>
                <w:rFonts w:hint="eastAsia"/>
              </w:rPr>
              <w:t>包装类型、容器</w:t>
            </w:r>
            <w:r>
              <w:t>/</w:t>
            </w:r>
            <w:r>
              <w:rPr>
                <w:rFonts w:hint="eastAsia"/>
              </w:rPr>
              <w:t>包装数量、危险废物名称、危险废物类别、危险废物代码、入库量、计量单位、贮存设施编码、贮存设施类型、运送部门经办人、贮存部门经办人、产生批次编码等。</w:t>
            </w:r>
          </w:p>
          <w:p>
            <w:pPr>
              <w:ind w:firstLine="480"/>
            </w:pPr>
            <w:r>
              <w:rPr>
                <w:rFonts w:hint="eastAsia"/>
              </w:rPr>
              <w:t>危险废物出库环节，应记录出库批次编码、出库时间、容器</w:t>
            </w:r>
            <w:r>
              <w:t>/</w:t>
            </w:r>
            <w:r>
              <w:rPr>
                <w:rFonts w:hint="eastAsia"/>
              </w:rPr>
              <w:t>包装编码、容器</w:t>
            </w:r>
            <w:r>
              <w:t>/</w:t>
            </w:r>
            <w:r>
              <w:rPr>
                <w:rFonts w:hint="eastAsia"/>
              </w:rPr>
              <w:t>包装类型、容器</w:t>
            </w:r>
            <w:r>
              <w:t>/</w:t>
            </w:r>
            <w:r>
              <w:rPr>
                <w:rFonts w:hint="eastAsia"/>
              </w:rPr>
              <w:t>包装数量、危险废物名称、危险废物类别、危险废物代码、出库量、计量单位、贮存设施编码、贮存设施类型、出库部门经办人、运送部门经办人、入库批次编码、去向等。运营期危废处置单位使用专用车辆至厂内收集、转移危险废物，同时根据《危险废物转移管理办法》（部令第</w:t>
            </w:r>
            <w:r>
              <w:t>23</w:t>
            </w:r>
            <w:r>
              <w:rPr>
                <w:rFonts w:hint="eastAsia"/>
              </w:rPr>
              <w:t>号）危险废物接收单位应当履行以下义务：</w:t>
            </w:r>
          </w:p>
          <w:p>
            <w:pPr>
              <w:ind w:firstLine="480"/>
            </w:pPr>
            <w:r>
              <w:rPr>
                <w:rFonts w:hint="eastAsia"/>
              </w:rPr>
              <w:t>（</w:t>
            </w:r>
            <w:r>
              <w:t>1</w:t>
            </w:r>
            <w:r>
              <w:rPr>
                <w:rFonts w:hint="eastAsia"/>
              </w:rPr>
              <w:t>）核实拟接受的危险废物的种类、重量（数量）、包装、识别标志等相关信息；</w:t>
            </w:r>
          </w:p>
          <w:p>
            <w:pPr>
              <w:ind w:firstLine="480"/>
            </w:pPr>
            <w:r>
              <w:rPr>
                <w:rFonts w:hint="eastAsia"/>
              </w:rPr>
              <w:t>（</w:t>
            </w:r>
            <w:r>
              <w:t>2</w:t>
            </w:r>
            <w:r>
              <w:rPr>
                <w:rFonts w:hint="eastAsia"/>
              </w:rPr>
              <w:t>）填写、运行危险废物转移联单，在危险废物转移联单中如实填写是否接受的意见，以及利用、处置方式和接受量等信息；</w:t>
            </w:r>
          </w:p>
          <w:p>
            <w:pPr>
              <w:ind w:firstLine="480"/>
            </w:pPr>
            <w:r>
              <w:rPr>
                <w:rFonts w:hint="eastAsia"/>
              </w:rPr>
              <w:t>（</w:t>
            </w:r>
            <w:r>
              <w:t>3</w:t>
            </w:r>
            <w:r>
              <w:rPr>
                <w:rFonts w:hint="eastAsia"/>
              </w:rPr>
              <w:t>）按照国家和地方有关规定和标准，对接受的危险废物进行贮存、利用或者处置；</w:t>
            </w:r>
          </w:p>
          <w:p>
            <w:pPr>
              <w:ind w:firstLine="480"/>
            </w:pPr>
            <w:r>
              <w:rPr>
                <w:rFonts w:hint="eastAsia"/>
              </w:rPr>
              <w:t>（</w:t>
            </w:r>
            <w:r>
              <w:t>4</w:t>
            </w:r>
            <w:r>
              <w:rPr>
                <w:rFonts w:hint="eastAsia"/>
              </w:rPr>
              <w:t>）将危险废物接受情况、利用或者处置结果及时告知移出人；</w:t>
            </w:r>
          </w:p>
          <w:p>
            <w:pPr>
              <w:ind w:firstLine="480"/>
            </w:pPr>
            <w:r>
              <w:rPr>
                <w:rFonts w:hint="eastAsia"/>
              </w:rPr>
              <w:t>（</w:t>
            </w:r>
            <w:r>
              <w:t>5</w:t>
            </w:r>
            <w:r>
              <w:rPr>
                <w:rFonts w:hint="eastAsia"/>
              </w:rPr>
              <w:t>）法律法规规定的其他义务。本项目建设单位不自行外运、转移，危险废物委托处理后对环境影响不大。</w:t>
            </w:r>
          </w:p>
          <w:p>
            <w:pPr>
              <w:ind w:firstLine="480"/>
            </w:pPr>
            <w:r>
              <w:rPr>
                <w:rFonts w:hint="eastAsia"/>
              </w:rPr>
              <w:t>（6）危险废物贮存库标识要求</w:t>
            </w:r>
          </w:p>
          <w:p>
            <w:pPr>
              <w:ind w:firstLine="480"/>
              <w:textAlignment w:val="auto"/>
            </w:pPr>
            <w:r>
              <w:t>根据《危险废物贮存污染控制标准》(GB18597-2023)、《危险废物识别标志设置技术规范》(HJ1276-2022)、《危险废物识别标志设置技术规范》（HJ1276—2022）、《排污单位污染物排放口二维码标识技术规范》（HJ1297—2023）</w:t>
            </w:r>
            <w:r>
              <w:rPr>
                <w:rFonts w:hint="eastAsia"/>
              </w:rPr>
              <w:t>、《环境保护图形标志—固体废物贮存（处置）场》（GB15562.2-1995）修改单</w:t>
            </w:r>
            <w:r>
              <w:t>等相关规定要求</w:t>
            </w:r>
            <w:r>
              <w:rPr>
                <w:rFonts w:hint="eastAsia"/>
              </w:rPr>
              <w:t>危险废物贮存库</w:t>
            </w:r>
            <w:r>
              <w:t>及危险废物贮存相关标志设置，具体要求如下</w:t>
            </w:r>
            <w:r>
              <w:rPr>
                <w:rFonts w:hint="eastAsia"/>
              </w:rPr>
              <w:t>。</w:t>
            </w:r>
          </w:p>
          <w:p>
            <w:pPr>
              <w:adjustRightInd w:val="0"/>
              <w:snapToGrid w:val="0"/>
              <w:spacing w:line="240" w:lineRule="auto"/>
              <w:ind w:firstLine="422"/>
              <w:jc w:val="center"/>
              <w:rPr>
                <w:b/>
                <w:bCs/>
                <w:kern w:val="0"/>
                <w:sz w:val="21"/>
                <w:szCs w:val="21"/>
              </w:rPr>
            </w:pPr>
            <w:r>
              <w:rPr>
                <w:b/>
                <w:bCs/>
                <w:kern w:val="0"/>
                <w:sz w:val="21"/>
                <w:szCs w:val="21"/>
              </w:rPr>
              <w:t>表4-9</w:t>
            </w:r>
            <w:r>
              <w:rPr>
                <w:rFonts w:hint="eastAsia"/>
                <w:b/>
                <w:bCs/>
                <w:kern w:val="0"/>
                <w:sz w:val="21"/>
                <w:szCs w:val="21"/>
              </w:rPr>
              <w:t xml:space="preserve">  </w:t>
            </w:r>
            <w:r>
              <w:rPr>
                <w:b/>
                <w:bCs/>
                <w:kern w:val="0"/>
                <w:sz w:val="21"/>
                <w:szCs w:val="21"/>
              </w:rPr>
              <w:t>危险废物贮存库及</w:t>
            </w:r>
            <w:r>
              <w:rPr>
                <w:rFonts w:hint="eastAsia"/>
                <w:b/>
                <w:bCs/>
                <w:kern w:val="0"/>
                <w:sz w:val="21"/>
                <w:szCs w:val="21"/>
              </w:rPr>
              <w:t>贮存</w:t>
            </w:r>
            <w:r>
              <w:rPr>
                <w:b/>
                <w:bCs/>
                <w:kern w:val="0"/>
                <w:sz w:val="21"/>
                <w:szCs w:val="21"/>
              </w:rPr>
              <w:t>容器标签示例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3521"/>
              <w:gridCol w:w="46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5" w:type="pct"/>
                  <w:vAlign w:val="center"/>
                </w:tcPr>
                <w:p>
                  <w:pPr>
                    <w:spacing w:line="240" w:lineRule="auto"/>
                    <w:ind w:firstLine="0" w:firstLineChars="0"/>
                    <w:jc w:val="center"/>
                    <w:rPr>
                      <w:rFonts w:cs="Times New Roman"/>
                      <w:sz w:val="21"/>
                      <w:szCs w:val="21"/>
                    </w:rPr>
                  </w:pPr>
                  <w:r>
                    <w:rPr>
                      <w:rFonts w:cs="Times New Roman"/>
                      <w:sz w:val="21"/>
                      <w:szCs w:val="21"/>
                    </w:rPr>
                    <w:t>场合</w:t>
                  </w:r>
                </w:p>
              </w:tc>
              <w:tc>
                <w:tcPr>
                  <w:tcW w:w="2028" w:type="pct"/>
                  <w:vAlign w:val="center"/>
                </w:tcPr>
                <w:p>
                  <w:pPr>
                    <w:spacing w:line="240" w:lineRule="auto"/>
                    <w:ind w:firstLine="0" w:firstLineChars="0"/>
                    <w:jc w:val="center"/>
                    <w:rPr>
                      <w:rFonts w:cs="Times New Roman"/>
                      <w:sz w:val="21"/>
                      <w:szCs w:val="21"/>
                    </w:rPr>
                  </w:pPr>
                  <w:r>
                    <w:rPr>
                      <w:rFonts w:cs="Times New Roman"/>
                      <w:sz w:val="21"/>
                      <w:szCs w:val="21"/>
                    </w:rPr>
                    <w:t>样式</w:t>
                  </w:r>
                </w:p>
              </w:tc>
              <w:tc>
                <w:tcPr>
                  <w:tcW w:w="2668" w:type="pct"/>
                  <w:vAlign w:val="center"/>
                </w:tcPr>
                <w:p>
                  <w:pPr>
                    <w:spacing w:line="240" w:lineRule="auto"/>
                    <w:ind w:firstLine="0" w:firstLineChars="0"/>
                    <w:jc w:val="center"/>
                    <w:rPr>
                      <w:rFonts w:cs="Times New Roman"/>
                      <w:sz w:val="21"/>
                      <w:szCs w:val="21"/>
                    </w:rPr>
                  </w:pPr>
                  <w:r>
                    <w:rPr>
                      <w:rFonts w:cs="Times New Roman"/>
                      <w:sz w:val="21"/>
                      <w:szCs w:val="21"/>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305" w:type="pct"/>
                  <w:vAlign w:val="center"/>
                </w:tcPr>
                <w:p>
                  <w:pPr>
                    <w:spacing w:line="240" w:lineRule="auto"/>
                    <w:ind w:firstLine="0" w:firstLineChars="0"/>
                    <w:jc w:val="center"/>
                    <w:rPr>
                      <w:rFonts w:cs="Times New Roman"/>
                      <w:sz w:val="21"/>
                      <w:szCs w:val="21"/>
                    </w:rPr>
                  </w:pPr>
                  <w:r>
                    <w:rPr>
                      <w:rFonts w:hint="eastAsia" w:ascii="宋体" w:hAnsi="宋体" w:cs="宋体"/>
                      <w:sz w:val="21"/>
                      <w:szCs w:val="21"/>
                    </w:rPr>
                    <w:t>危险废物贮存设施标志</w:t>
                  </w:r>
                </w:p>
              </w:tc>
              <w:tc>
                <w:tcPr>
                  <w:tcW w:w="2028" w:type="pct"/>
                  <w:vAlign w:val="center"/>
                </w:tcPr>
                <w:p>
                  <w:pPr>
                    <w:spacing w:line="240" w:lineRule="auto"/>
                    <w:ind w:firstLine="0" w:firstLineChars="0"/>
                    <w:jc w:val="center"/>
                    <w:rPr>
                      <w:rFonts w:cs="Times New Roman"/>
                      <w:sz w:val="21"/>
                      <w:szCs w:val="21"/>
                    </w:rPr>
                  </w:pPr>
                  <w:r>
                    <w:rPr>
                      <w:rFonts w:hint="eastAsia" w:ascii="宋体" w:hAnsi="宋体" w:cs="宋体"/>
                      <w:sz w:val="21"/>
                      <w:szCs w:val="21"/>
                    </w:rPr>
                    <w:drawing>
                      <wp:inline distT="0" distB="0" distL="0" distR="0">
                        <wp:extent cx="2051050" cy="1115060"/>
                        <wp:effectExtent l="0" t="0" r="6350" b="8890"/>
                        <wp:docPr id="9" name="图片 9" descr="1a018b077d60362579a1ca174770a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a018b077d60362579a1ca174770a2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51050" cy="1115060"/>
                                </a:xfrm>
                                <a:prstGeom prst="rect">
                                  <a:avLst/>
                                </a:prstGeom>
                                <a:noFill/>
                                <a:ln>
                                  <a:noFill/>
                                </a:ln>
                                <a:effectLst/>
                              </pic:spPr>
                            </pic:pic>
                          </a:graphicData>
                        </a:graphic>
                      </wp:inline>
                    </w:drawing>
                  </w:r>
                </w:p>
              </w:tc>
              <w:tc>
                <w:tcPr>
                  <w:tcW w:w="2668" w:type="pct"/>
                  <w:vAlign w:val="center"/>
                </w:tcPr>
                <w:p>
                  <w:pPr>
                    <w:adjustRightInd w:val="0"/>
                    <w:snapToGrid w:val="0"/>
                    <w:spacing w:line="300" w:lineRule="exact"/>
                    <w:ind w:firstLine="0" w:firstLineChars="0"/>
                    <w:textAlignment w:val="auto"/>
                    <w:rPr>
                      <w:rFonts w:cs="Times New Roman"/>
                      <w:sz w:val="21"/>
                      <w:szCs w:val="21"/>
                    </w:rPr>
                  </w:pPr>
                  <w:r>
                    <w:rPr>
                      <w:rFonts w:cs="Times New Roman"/>
                      <w:sz w:val="21"/>
                      <w:szCs w:val="21"/>
                    </w:rPr>
                    <w:t>1、颜色</w:t>
                  </w:r>
                </w:p>
                <w:p>
                  <w:pPr>
                    <w:adjustRightInd w:val="0"/>
                    <w:snapToGrid w:val="0"/>
                    <w:spacing w:line="300" w:lineRule="exact"/>
                    <w:ind w:firstLine="0" w:firstLineChars="0"/>
                    <w:textAlignment w:val="auto"/>
                    <w:rPr>
                      <w:rFonts w:cs="Times New Roman"/>
                      <w:sz w:val="21"/>
                      <w:szCs w:val="21"/>
                    </w:rPr>
                  </w:pPr>
                  <w:r>
                    <w:rPr>
                      <w:rFonts w:cs="Times New Roman"/>
                      <w:sz w:val="21"/>
                      <w:szCs w:val="21"/>
                    </w:rPr>
                    <w:t>危险废物设施标志背景颜色为黄色，RGB颜色值为(255,255,0)。字体和边框颜色为黑色，RGB颜色值为(0,0,0)。</w:t>
                  </w:r>
                </w:p>
                <w:p>
                  <w:pPr>
                    <w:adjustRightInd w:val="0"/>
                    <w:snapToGrid w:val="0"/>
                    <w:spacing w:line="300" w:lineRule="exact"/>
                    <w:ind w:firstLine="0" w:firstLineChars="0"/>
                    <w:textAlignment w:val="auto"/>
                    <w:rPr>
                      <w:rFonts w:cs="Times New Roman"/>
                      <w:sz w:val="21"/>
                      <w:szCs w:val="21"/>
                    </w:rPr>
                  </w:pPr>
                  <w:r>
                    <w:rPr>
                      <w:rFonts w:cs="Times New Roman"/>
                      <w:sz w:val="21"/>
                      <w:szCs w:val="21"/>
                    </w:rPr>
                    <w:t>2、字体</w:t>
                  </w:r>
                </w:p>
                <w:p>
                  <w:pPr>
                    <w:adjustRightInd w:val="0"/>
                    <w:snapToGrid w:val="0"/>
                    <w:spacing w:line="300" w:lineRule="exact"/>
                    <w:ind w:firstLine="0" w:firstLineChars="0"/>
                    <w:textAlignment w:val="auto"/>
                    <w:rPr>
                      <w:rFonts w:cs="Times New Roman"/>
                      <w:sz w:val="21"/>
                      <w:szCs w:val="21"/>
                    </w:rPr>
                  </w:pPr>
                  <w:r>
                    <w:rPr>
                      <w:rFonts w:cs="Times New Roman"/>
                      <w:sz w:val="21"/>
                      <w:szCs w:val="21"/>
                    </w:rPr>
                    <w:t>字体应采用黑体字，其中危险废物设施类型的字样应加粗放大并居中显示。</w:t>
                  </w:r>
                </w:p>
                <w:p>
                  <w:pPr>
                    <w:adjustRightInd w:val="0"/>
                    <w:snapToGrid w:val="0"/>
                    <w:spacing w:line="300" w:lineRule="exact"/>
                    <w:ind w:firstLine="0" w:firstLineChars="0"/>
                    <w:textAlignment w:val="auto"/>
                    <w:rPr>
                      <w:rFonts w:cs="Times New Roman"/>
                      <w:sz w:val="21"/>
                      <w:szCs w:val="21"/>
                    </w:rPr>
                  </w:pPr>
                  <w:r>
                    <w:rPr>
                      <w:rFonts w:cs="Times New Roman"/>
                      <w:sz w:val="21"/>
                      <w:szCs w:val="21"/>
                    </w:rPr>
                    <w:t>3、材质</w:t>
                  </w:r>
                </w:p>
                <w:p>
                  <w:pPr>
                    <w:adjustRightInd w:val="0"/>
                    <w:snapToGrid w:val="0"/>
                    <w:spacing w:line="300" w:lineRule="exact"/>
                    <w:ind w:firstLine="0" w:firstLineChars="0"/>
                    <w:textAlignment w:val="auto"/>
                    <w:rPr>
                      <w:rFonts w:cs="Times New Roman"/>
                      <w:sz w:val="21"/>
                      <w:szCs w:val="21"/>
                    </w:rPr>
                  </w:pPr>
                  <w:r>
                    <w:rPr>
                      <w:rFonts w:cs="Times New Roman"/>
                      <w:sz w:val="21"/>
                      <w:szCs w:val="21"/>
                    </w:rPr>
                    <w:t>宜采用坚固耐用的材料(如1.5mm～2mm冷轧钢板)，并做搪瓷处理或贴膜处理。一般不宜使用遇水变形、变质或易燃的材料。柱式标志牌的立柱可采用38×4无缝钢管或其他坚固耐用的材料，并经过防腐处理。</w:t>
                  </w:r>
                </w:p>
                <w:p>
                  <w:pPr>
                    <w:adjustRightInd w:val="0"/>
                    <w:snapToGrid w:val="0"/>
                    <w:spacing w:line="300" w:lineRule="exact"/>
                    <w:ind w:firstLine="0" w:firstLineChars="0"/>
                    <w:textAlignment w:val="auto"/>
                    <w:rPr>
                      <w:rFonts w:cs="Times New Roman"/>
                      <w:kern w:val="0"/>
                      <w:sz w:val="21"/>
                      <w:szCs w:val="21"/>
                    </w:rPr>
                  </w:pPr>
                  <w:r>
                    <w:rPr>
                      <w:rFonts w:cs="Times New Roman"/>
                      <w:kern w:val="0"/>
                      <w:sz w:val="21"/>
                      <w:szCs w:val="21"/>
                    </w:rPr>
                    <w:t>4、印刷</w:t>
                  </w:r>
                </w:p>
                <w:p>
                  <w:pPr>
                    <w:spacing w:line="240" w:lineRule="auto"/>
                    <w:ind w:firstLine="0" w:firstLineChars="0"/>
                    <w:rPr>
                      <w:rFonts w:cs="Times New Roman"/>
                      <w:sz w:val="21"/>
                      <w:szCs w:val="21"/>
                    </w:rPr>
                  </w:pPr>
                  <w:r>
                    <w:rPr>
                      <w:rFonts w:cs="Times New Roman"/>
                      <w:kern w:val="0"/>
                      <w:sz w:val="21"/>
                      <w:szCs w:val="21"/>
                    </w:rPr>
                    <w:t>标志的图形和文字应清晰、完整，保证在足够的观察距离条件下也不影响阅读。三角形警告性图形与其他信息间宜加黑色分界线区分，分界线的宽度宜不小于3mm。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14" w:hRule="atLeast"/>
                <w:jc w:val="center"/>
              </w:trPr>
              <w:tc>
                <w:tcPr>
                  <w:tcW w:w="305" w:type="pct"/>
                  <w:vAlign w:val="center"/>
                </w:tcPr>
                <w:p>
                  <w:pPr>
                    <w:spacing w:line="240" w:lineRule="auto"/>
                    <w:ind w:firstLine="0" w:firstLineChars="0"/>
                    <w:jc w:val="center"/>
                    <w:rPr>
                      <w:rFonts w:ascii="宋体" w:hAnsi="宋体" w:cs="宋体"/>
                      <w:sz w:val="21"/>
                      <w:szCs w:val="21"/>
                    </w:rPr>
                  </w:pPr>
                  <w:r>
                    <w:rPr>
                      <w:rFonts w:hint="eastAsia"/>
                      <w:sz w:val="21"/>
                      <w:szCs w:val="21"/>
                    </w:rPr>
                    <w:t>危险废物贮存分区标志</w:t>
                  </w:r>
                </w:p>
              </w:tc>
              <w:tc>
                <w:tcPr>
                  <w:tcW w:w="2028" w:type="pct"/>
                  <w:vAlign w:val="center"/>
                </w:tcPr>
                <w:p>
                  <w:pPr>
                    <w:spacing w:line="240" w:lineRule="auto"/>
                    <w:ind w:firstLine="0" w:firstLineChars="0"/>
                    <w:jc w:val="center"/>
                    <w:rPr>
                      <w:rFonts w:ascii="宋体" w:hAnsi="宋体" w:cs="宋体"/>
                      <w:sz w:val="21"/>
                      <w:szCs w:val="21"/>
                    </w:rPr>
                  </w:pPr>
                  <w:r>
                    <w:rPr>
                      <w:rFonts w:hint="eastAsia"/>
                      <w:sz w:val="21"/>
                      <w:szCs w:val="21"/>
                    </w:rPr>
                    <w:drawing>
                      <wp:inline distT="0" distB="0" distL="0" distR="0">
                        <wp:extent cx="1847850" cy="1543050"/>
                        <wp:effectExtent l="0" t="0" r="0" b="0"/>
                        <wp:docPr id="10" name="图片 10" descr="93f6b43cf64d0ca0dff43fc34aa79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3f6b43cf64d0ca0dff43fc34aa79c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847850" cy="1543050"/>
                                </a:xfrm>
                                <a:prstGeom prst="rect">
                                  <a:avLst/>
                                </a:prstGeom>
                                <a:noFill/>
                                <a:ln>
                                  <a:noFill/>
                                </a:ln>
                              </pic:spPr>
                            </pic:pic>
                          </a:graphicData>
                        </a:graphic>
                      </wp:inline>
                    </w:drawing>
                  </w:r>
                </w:p>
              </w:tc>
              <w:tc>
                <w:tcPr>
                  <w:tcW w:w="2668" w:type="pct"/>
                  <w:vAlign w:val="center"/>
                </w:tcPr>
                <w:p>
                  <w:pPr>
                    <w:spacing w:line="300" w:lineRule="exact"/>
                    <w:ind w:firstLine="0" w:firstLineChars="0"/>
                    <w:textAlignment w:val="auto"/>
                    <w:rPr>
                      <w:sz w:val="21"/>
                      <w:szCs w:val="21"/>
                    </w:rPr>
                  </w:pPr>
                  <w:r>
                    <w:rPr>
                      <w:sz w:val="21"/>
                      <w:szCs w:val="21"/>
                    </w:rPr>
                    <w:t>1、危险废物分区标志背景色应采用黄色，RGB颜色值为(255,255</w:t>
                  </w:r>
                  <w:r>
                    <w:rPr>
                      <w:rFonts w:hint="eastAsia"/>
                      <w:sz w:val="21"/>
                      <w:szCs w:val="21"/>
                    </w:rPr>
                    <w:t>，</w:t>
                  </w:r>
                  <w:r>
                    <w:rPr>
                      <w:sz w:val="21"/>
                      <w:szCs w:val="21"/>
                    </w:rPr>
                    <w:t>0)。废物种类信息应采用醒目的橘黄色，RGB颜色值为(255,150,0)。字体颜色为黑色，RGB颜色值为(0,0,0)。</w:t>
                  </w:r>
                </w:p>
                <w:p>
                  <w:pPr>
                    <w:spacing w:line="300" w:lineRule="exact"/>
                    <w:ind w:firstLine="0" w:firstLineChars="0"/>
                    <w:textAlignment w:val="auto"/>
                    <w:rPr>
                      <w:sz w:val="21"/>
                      <w:szCs w:val="21"/>
                    </w:rPr>
                  </w:pPr>
                  <w:r>
                    <w:rPr>
                      <w:sz w:val="21"/>
                      <w:szCs w:val="21"/>
                    </w:rPr>
                    <w:t>2、危险废物分区标志的字体宜采用黑体字，其中“危险废物贮存分区标志”字样应加粗放大并居中显示。</w:t>
                  </w:r>
                </w:p>
                <w:p>
                  <w:pPr>
                    <w:spacing w:line="300" w:lineRule="exact"/>
                    <w:ind w:firstLine="0" w:firstLineChars="0"/>
                    <w:textAlignment w:val="auto"/>
                    <w:rPr>
                      <w:sz w:val="21"/>
                      <w:szCs w:val="21"/>
                    </w:rPr>
                  </w:pPr>
                  <w:r>
                    <w:rPr>
                      <w:sz w:val="21"/>
                      <w:szCs w:val="21"/>
                    </w:rPr>
                    <w:t>3、材质</w:t>
                  </w:r>
                </w:p>
                <w:p>
                  <w:pPr>
                    <w:spacing w:line="300" w:lineRule="exact"/>
                    <w:ind w:firstLine="0" w:firstLineChars="0"/>
                    <w:textAlignment w:val="auto"/>
                    <w:rPr>
                      <w:sz w:val="21"/>
                      <w:szCs w:val="21"/>
                    </w:rPr>
                  </w:pPr>
                  <w:r>
                    <w:rPr>
                      <w:sz w:val="21"/>
                      <w:szCs w:val="21"/>
                    </w:rPr>
                    <w:t>宜采用坚固耐用的材料，并具有耐用性和防水性。废物贮存种类信息等可采用印刷纸张、不粘胶材质或塑料卡片等，以便固定在衬底上。</w:t>
                  </w:r>
                </w:p>
                <w:p>
                  <w:pPr>
                    <w:spacing w:line="300" w:lineRule="exact"/>
                    <w:ind w:firstLine="0" w:firstLineChars="0"/>
                    <w:textAlignment w:val="auto"/>
                    <w:rPr>
                      <w:sz w:val="21"/>
                      <w:szCs w:val="21"/>
                    </w:rPr>
                  </w:pPr>
                  <w:r>
                    <w:rPr>
                      <w:sz w:val="21"/>
                      <w:szCs w:val="21"/>
                    </w:rPr>
                    <w:t>4、印刷</w:t>
                  </w:r>
                </w:p>
                <w:p>
                  <w:pPr>
                    <w:adjustRightInd w:val="0"/>
                    <w:snapToGrid w:val="0"/>
                    <w:spacing w:line="300" w:lineRule="exact"/>
                    <w:ind w:firstLine="0" w:firstLineChars="0"/>
                    <w:textAlignment w:val="auto"/>
                    <w:rPr>
                      <w:rFonts w:cs="Times New Roman"/>
                      <w:sz w:val="21"/>
                      <w:szCs w:val="21"/>
                    </w:rPr>
                  </w:pPr>
                  <w:r>
                    <w:rPr>
                      <w:sz w:val="21"/>
                      <w:szCs w:val="21"/>
                    </w:rPr>
                    <w:t>标志的图形和文字应清晰、完整，保证在足够的观察距离条件下不影响阅读。“危险废物贮存分区标志”字样与其他信息宜加黑色分界线区分，分界线的宽度不小于2mm。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05" w:type="pct"/>
                  <w:vAlign w:val="center"/>
                </w:tcPr>
                <w:p>
                  <w:pPr>
                    <w:spacing w:line="240" w:lineRule="auto"/>
                    <w:ind w:firstLine="0" w:firstLineChars="0"/>
                    <w:jc w:val="center"/>
                    <w:rPr>
                      <w:rFonts w:cs="Times New Roman"/>
                      <w:sz w:val="21"/>
                      <w:szCs w:val="21"/>
                    </w:rPr>
                  </w:pPr>
                  <w:r>
                    <w:rPr>
                      <w:rFonts w:hint="eastAsia" w:ascii="宋体" w:hAnsi="宋体" w:cs="宋体"/>
                      <w:sz w:val="21"/>
                      <w:szCs w:val="21"/>
                    </w:rPr>
                    <w:t>粘贴于危险废物储存容器</w:t>
                  </w:r>
                </w:p>
              </w:tc>
              <w:tc>
                <w:tcPr>
                  <w:tcW w:w="2028" w:type="pct"/>
                  <w:vAlign w:val="center"/>
                </w:tcPr>
                <w:p>
                  <w:pPr>
                    <w:spacing w:line="240" w:lineRule="auto"/>
                    <w:ind w:firstLine="0" w:firstLineChars="0"/>
                    <w:jc w:val="center"/>
                    <w:rPr>
                      <w:rFonts w:cs="Times New Roman"/>
                      <w:sz w:val="21"/>
                      <w:szCs w:val="21"/>
                    </w:rPr>
                  </w:pPr>
                  <w:r>
                    <w:rPr>
                      <w:rFonts w:hint="eastAsia" w:ascii="宋体" w:hAnsi="宋体" w:cs="宋体"/>
                      <w:sz w:val="21"/>
                      <w:szCs w:val="21"/>
                    </w:rPr>
                    <w:drawing>
                      <wp:inline distT="0" distB="0" distL="0" distR="0">
                        <wp:extent cx="1856740" cy="1856740"/>
                        <wp:effectExtent l="0" t="0" r="10160" b="10160"/>
                        <wp:docPr id="4" name="图片 4" descr="f019db8573dcdbf680efac9fde36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19db8573dcdbf680efac9fde367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856740" cy="1856740"/>
                                </a:xfrm>
                                <a:prstGeom prst="rect">
                                  <a:avLst/>
                                </a:prstGeom>
                                <a:noFill/>
                                <a:ln>
                                  <a:noFill/>
                                </a:ln>
                              </pic:spPr>
                            </pic:pic>
                          </a:graphicData>
                        </a:graphic>
                      </wp:inline>
                    </w:drawing>
                  </w:r>
                </w:p>
              </w:tc>
              <w:tc>
                <w:tcPr>
                  <w:tcW w:w="2668" w:type="pct"/>
                  <w:vAlign w:val="center"/>
                </w:tcPr>
                <w:p>
                  <w:pPr>
                    <w:spacing w:line="300" w:lineRule="exact"/>
                    <w:ind w:firstLine="0" w:firstLineChars="0"/>
                    <w:textAlignment w:val="auto"/>
                    <w:rPr>
                      <w:rFonts w:cs="Times New Roman"/>
                      <w:sz w:val="21"/>
                      <w:szCs w:val="21"/>
                    </w:rPr>
                  </w:pPr>
                  <w:r>
                    <w:rPr>
                      <w:rFonts w:cs="Times New Roman"/>
                      <w:sz w:val="21"/>
                      <w:szCs w:val="21"/>
                    </w:rPr>
                    <w:t>1、危险废物标签背景色应采用醒目的橘黄色，RGB颜色值为(255,150,0)。标签边框和字体颜色为黑色，RGB颜色值为(0,0,0)。</w:t>
                  </w:r>
                </w:p>
                <w:p>
                  <w:pPr>
                    <w:spacing w:line="300" w:lineRule="exact"/>
                    <w:ind w:firstLine="0" w:firstLineChars="0"/>
                    <w:textAlignment w:val="auto"/>
                    <w:rPr>
                      <w:rFonts w:cs="Times New Roman"/>
                      <w:sz w:val="21"/>
                      <w:szCs w:val="21"/>
                    </w:rPr>
                  </w:pPr>
                  <w:r>
                    <w:rPr>
                      <w:rFonts w:cs="Times New Roman"/>
                      <w:sz w:val="21"/>
                      <w:szCs w:val="21"/>
                    </w:rPr>
                    <w:t>2、危险废物标签字体宜采用黑体字，其中“危险废物”字样应加粗放大。</w:t>
                  </w:r>
                </w:p>
                <w:p>
                  <w:pPr>
                    <w:spacing w:line="300" w:lineRule="exact"/>
                    <w:ind w:firstLine="0" w:firstLineChars="0"/>
                    <w:textAlignment w:val="auto"/>
                    <w:rPr>
                      <w:rFonts w:cs="Times New Roman"/>
                      <w:sz w:val="21"/>
                      <w:szCs w:val="21"/>
                    </w:rPr>
                  </w:pPr>
                  <w:r>
                    <w:rPr>
                      <w:rFonts w:cs="Times New Roman"/>
                      <w:sz w:val="21"/>
                      <w:szCs w:val="21"/>
                    </w:rPr>
                    <w:t>3、尺寸:</w:t>
                  </w:r>
                </w:p>
                <w:tbl>
                  <w:tblPr>
                    <w:tblStyle w:val="26"/>
                    <w:tblW w:w="4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1428"/>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48" w:type="pct"/>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容器或包装物容积（L)</w:t>
                        </w:r>
                      </w:p>
                    </w:tc>
                    <w:tc>
                      <w:tcPr>
                        <w:tcW w:w="1700" w:type="pct"/>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标签最小尺寸（mm×mm）</w:t>
                        </w:r>
                      </w:p>
                    </w:tc>
                    <w:tc>
                      <w:tcPr>
                        <w:tcW w:w="1550" w:type="pct"/>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低文字高度（mm）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748"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≤50</w:t>
                        </w:r>
                      </w:p>
                    </w:tc>
                    <w:tc>
                      <w:tcPr>
                        <w:tcW w:w="170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100×100</w:t>
                        </w:r>
                      </w:p>
                    </w:tc>
                    <w:tc>
                      <w:tcPr>
                        <w:tcW w:w="155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748"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＞50～≤450</w:t>
                        </w:r>
                      </w:p>
                    </w:tc>
                    <w:tc>
                      <w:tcPr>
                        <w:tcW w:w="170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150×150</w:t>
                        </w:r>
                      </w:p>
                    </w:tc>
                    <w:tc>
                      <w:tcPr>
                        <w:tcW w:w="155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748"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＞450</w:t>
                        </w:r>
                      </w:p>
                    </w:tc>
                    <w:tc>
                      <w:tcPr>
                        <w:tcW w:w="170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200×200</w:t>
                        </w:r>
                      </w:p>
                    </w:tc>
                    <w:tc>
                      <w:tcPr>
                        <w:tcW w:w="1550" w:type="pct"/>
                      </w:tcPr>
                      <w:p>
                        <w:pPr>
                          <w:adjustRightInd w:val="0"/>
                          <w:snapToGrid w:val="0"/>
                          <w:spacing w:line="240" w:lineRule="auto"/>
                          <w:ind w:firstLine="0" w:firstLineChars="0"/>
                          <w:jc w:val="center"/>
                          <w:textAlignment w:val="auto"/>
                          <w:rPr>
                            <w:rFonts w:cs="Times New Roman"/>
                            <w:kern w:val="0"/>
                            <w:sz w:val="21"/>
                            <w:szCs w:val="21"/>
                          </w:rPr>
                        </w:pPr>
                        <w:r>
                          <w:rPr>
                            <w:rFonts w:cs="Times New Roman"/>
                            <w:kern w:val="0"/>
                            <w:sz w:val="21"/>
                            <w:szCs w:val="21"/>
                          </w:rPr>
                          <w:t>6</w:t>
                        </w:r>
                      </w:p>
                    </w:tc>
                  </w:tr>
                </w:tbl>
                <w:p>
                  <w:pPr>
                    <w:spacing w:line="300" w:lineRule="exact"/>
                    <w:ind w:firstLine="0" w:firstLineChars="0"/>
                    <w:textAlignment w:val="auto"/>
                    <w:rPr>
                      <w:rFonts w:cs="Times New Roman"/>
                      <w:kern w:val="0"/>
                      <w:sz w:val="21"/>
                      <w:szCs w:val="21"/>
                    </w:rPr>
                  </w:pPr>
                  <w:r>
                    <w:rPr>
                      <w:rFonts w:cs="Times New Roman"/>
                      <w:kern w:val="0"/>
                      <w:sz w:val="21"/>
                      <w:szCs w:val="21"/>
                    </w:rPr>
                    <w:t>4、材质</w:t>
                  </w:r>
                </w:p>
                <w:p>
                  <w:pPr>
                    <w:spacing w:line="300" w:lineRule="exact"/>
                    <w:ind w:firstLine="0" w:firstLineChars="0"/>
                    <w:textAlignment w:val="auto"/>
                    <w:rPr>
                      <w:rFonts w:cs="Times New Roman"/>
                      <w:kern w:val="0"/>
                      <w:sz w:val="21"/>
                      <w:szCs w:val="21"/>
                    </w:rPr>
                  </w:pPr>
                  <w:r>
                    <w:rPr>
                      <w:rFonts w:cs="Times New Roman"/>
                      <w:kern w:val="0"/>
                      <w:sz w:val="21"/>
                      <w:szCs w:val="21"/>
                    </w:rPr>
                    <w:t>宜具有一定的耐用性和防水性。标签可采用不干胶印刷品，或印刷品外加防水塑料袋或塑封等。</w:t>
                  </w:r>
                </w:p>
                <w:p>
                  <w:pPr>
                    <w:spacing w:line="300" w:lineRule="exact"/>
                    <w:ind w:firstLine="0" w:firstLineChars="0"/>
                    <w:textAlignment w:val="auto"/>
                    <w:rPr>
                      <w:rFonts w:cs="Times New Roman"/>
                      <w:kern w:val="0"/>
                      <w:sz w:val="21"/>
                      <w:szCs w:val="21"/>
                    </w:rPr>
                  </w:pPr>
                  <w:r>
                    <w:rPr>
                      <w:rFonts w:cs="Times New Roman"/>
                      <w:kern w:val="0"/>
                      <w:sz w:val="21"/>
                      <w:szCs w:val="21"/>
                    </w:rPr>
                    <w:t>5、印刷</w:t>
                  </w:r>
                </w:p>
                <w:p>
                  <w:pPr>
                    <w:spacing w:line="300" w:lineRule="exact"/>
                    <w:ind w:firstLine="0" w:firstLineChars="0"/>
                    <w:rPr>
                      <w:rFonts w:cs="Times New Roman"/>
                      <w:kern w:val="0"/>
                      <w:sz w:val="28"/>
                      <w:szCs w:val="20"/>
                    </w:rPr>
                  </w:pPr>
                  <w:r>
                    <w:rPr>
                      <w:rFonts w:cs="Times New Roman"/>
                      <w:kern w:val="0"/>
                      <w:sz w:val="21"/>
                      <w:szCs w:val="21"/>
                    </w:rPr>
                    <w:t>危险废物标签印刷的油墨应均匀，图案和文字应清晰、完整。危险废物标签的文字边缘宜加黑色边框，边框宽度不小于1mm，边框外宜留不小于3mm的空白。</w:t>
                  </w:r>
                </w:p>
              </w:tc>
            </w:tr>
          </w:tbl>
          <w:p>
            <w:pPr>
              <w:pStyle w:val="2"/>
              <w:adjustRightInd w:val="0"/>
              <w:snapToGrid w:val="0"/>
              <w:spacing w:after="0"/>
              <w:ind w:firstLine="0" w:firstLineChars="0"/>
              <w:rPr>
                <w:rFonts w:cs="Times New Roman"/>
                <w:b/>
                <w:bCs/>
                <w:snapToGrid w:val="0"/>
                <w:color w:val="000000"/>
                <w:kern w:val="0"/>
                <w:szCs w:val="24"/>
              </w:rPr>
            </w:pPr>
            <w:r>
              <w:rPr>
                <w:rFonts w:cs="Times New Roman"/>
                <w:b/>
                <w:bCs/>
                <w:snapToGrid w:val="0"/>
                <w:color w:val="000000"/>
                <w:kern w:val="0"/>
                <w:szCs w:val="24"/>
              </w:rPr>
              <w:t>4.2.4.</w:t>
            </w:r>
            <w:r>
              <w:rPr>
                <w:rFonts w:hint="eastAsia" w:cs="Times New Roman"/>
                <w:b/>
                <w:bCs/>
                <w:snapToGrid w:val="0"/>
                <w:color w:val="000000"/>
                <w:kern w:val="0"/>
                <w:szCs w:val="24"/>
              </w:rPr>
              <w:t>3固废环境影响评价结论</w:t>
            </w:r>
          </w:p>
          <w:p>
            <w:pPr>
              <w:pStyle w:val="2"/>
              <w:adjustRightInd w:val="0"/>
              <w:snapToGrid w:val="0"/>
              <w:spacing w:after="0"/>
            </w:pPr>
            <w:r>
              <w:rPr>
                <w:rFonts w:hint="eastAsia"/>
              </w:rPr>
              <w:t>本项目一般工业固体废物满足《一般工业固体废物贮存和填埋污染控制标准》（GB18599-2020）相关要求；危险废物满足《危险废物贮存污染控制标准》（GB18597-2023）要求，产生的固体废物均得到合理处置，不外排环境，对周围环境影响较小。</w:t>
            </w:r>
          </w:p>
          <w:p>
            <w:pPr>
              <w:pStyle w:val="2"/>
              <w:adjustRightInd w:val="0"/>
              <w:snapToGrid w:val="0"/>
              <w:spacing w:after="0"/>
              <w:ind w:firstLine="0" w:firstLineChars="0"/>
              <w:rPr>
                <w:b/>
                <w:bCs/>
                <w:color w:val="000000"/>
              </w:rPr>
            </w:pPr>
            <w:r>
              <w:rPr>
                <w:rFonts w:hint="eastAsia"/>
                <w:b/>
                <w:bCs/>
                <w:color w:val="000000"/>
              </w:rPr>
              <w:t>4</w:t>
            </w:r>
            <w:r>
              <w:rPr>
                <w:b/>
                <w:bCs/>
                <w:color w:val="000000"/>
              </w:rPr>
              <w:t>.</w:t>
            </w:r>
            <w:r>
              <w:rPr>
                <w:rFonts w:hint="eastAsia"/>
                <w:b/>
                <w:bCs/>
                <w:color w:val="000000"/>
              </w:rPr>
              <w:t>3地下水、土壤环境影响分析</w:t>
            </w:r>
          </w:p>
          <w:p>
            <w:pPr>
              <w:ind w:firstLine="480"/>
              <w:jc w:val="left"/>
              <w:textAlignment w:val="auto"/>
              <w:rPr>
                <w:rFonts w:cs="Times New Roman"/>
                <w:color w:val="000000"/>
              </w:rPr>
            </w:pPr>
            <w:r>
              <w:rPr>
                <w:rFonts w:hint="eastAsia"/>
                <w:color w:val="000000"/>
              </w:rPr>
              <w:t>项目选址内及厂界附近地面进行硬化处理。正常生产情况下，项目固体废物均置于厂房内</w:t>
            </w:r>
            <w:r>
              <w:rPr>
                <w:rFonts w:hint="eastAsia" w:cs="Times New Roman"/>
                <w:color w:val="000000"/>
              </w:rPr>
              <w:t>储存，原料库房和成品库房密闭，不存在露天生产或储存的情况，即不存在受雨水冲刷、淋溶而产生污染物的情况。</w:t>
            </w:r>
          </w:p>
          <w:p>
            <w:pPr>
              <w:ind w:firstLine="480"/>
              <w:jc w:val="left"/>
              <w:textAlignment w:val="auto"/>
              <w:rPr>
                <w:color w:val="000000"/>
              </w:rPr>
            </w:pPr>
            <w:r>
              <w:rPr>
                <w:rFonts w:hint="eastAsia" w:cs="Times New Roman"/>
                <w:color w:val="000000"/>
              </w:rPr>
              <w:t>本项目营</w:t>
            </w:r>
            <w:r>
              <w:rPr>
                <w:rFonts w:hint="eastAsia"/>
                <w:color w:val="000000"/>
              </w:rPr>
              <w:t>运过程产生的危险废物均密封包装后存放于危险废物贮存库。此外，危险废物贮存库、车间等区域均按要求采取防腐防渗措施，可防止泄漏液体通过地表漫流进入周边地表水体</w:t>
            </w:r>
            <w:r>
              <w:rPr>
                <w:rFonts w:hint="eastAsia"/>
              </w:rPr>
              <w:t>。</w:t>
            </w:r>
          </w:p>
          <w:p>
            <w:pPr>
              <w:ind w:firstLine="0" w:firstLineChars="0"/>
              <w:textAlignment w:val="auto"/>
              <w:rPr>
                <w:rFonts w:cs="Times New Roman"/>
                <w:b/>
                <w:bCs/>
                <w:snapToGrid w:val="0"/>
                <w:color w:val="000000"/>
                <w:kern w:val="0"/>
                <w:szCs w:val="24"/>
              </w:rPr>
            </w:pPr>
            <w:r>
              <w:rPr>
                <w:rFonts w:cs="Times New Roman"/>
                <w:b/>
                <w:bCs/>
                <w:snapToGrid w:val="0"/>
                <w:color w:val="000000"/>
                <w:kern w:val="0"/>
                <w:szCs w:val="24"/>
              </w:rPr>
              <w:t>4.3.1</w:t>
            </w:r>
            <w:r>
              <w:rPr>
                <w:rFonts w:hint="eastAsia" w:cs="Times New Roman"/>
                <w:b/>
                <w:bCs/>
                <w:snapToGrid w:val="0"/>
                <w:color w:val="000000"/>
                <w:kern w:val="0"/>
                <w:szCs w:val="24"/>
              </w:rPr>
              <w:t>源头控制措施</w:t>
            </w:r>
          </w:p>
          <w:p>
            <w:pPr>
              <w:ind w:firstLine="480"/>
              <w:textAlignment w:val="auto"/>
              <w:rPr>
                <w:rFonts w:cs="Times New Roman"/>
                <w:color w:val="000000"/>
              </w:rPr>
            </w:pPr>
            <w:r>
              <w:rPr>
                <w:rFonts w:cs="Times New Roman"/>
                <w:color w:val="000000"/>
              </w:rPr>
              <w:t>（1）按照国家、行业和环保相关规范标准和工艺要求进行相关设备、设施、管道、建（构）筑物的设计和施工；</w:t>
            </w:r>
          </w:p>
          <w:p>
            <w:pPr>
              <w:ind w:firstLine="480"/>
              <w:jc w:val="left"/>
              <w:textAlignment w:val="auto"/>
              <w:rPr>
                <w:rFonts w:cs="Times New Roman"/>
                <w:color w:val="000000"/>
              </w:rPr>
            </w:pPr>
            <w:r>
              <w:rPr>
                <w:rFonts w:cs="Times New Roman"/>
                <w:color w:val="000000"/>
              </w:rPr>
              <w:t>（2）在项目使用过程中应严格按照分区防控措施中相应原则进行防腐防渗处理；</w:t>
            </w:r>
          </w:p>
          <w:p>
            <w:pPr>
              <w:ind w:firstLine="480"/>
              <w:jc w:val="left"/>
              <w:textAlignment w:val="auto"/>
              <w:rPr>
                <w:rFonts w:cs="Times New Roman"/>
                <w:color w:val="000000"/>
              </w:rPr>
            </w:pPr>
            <w:r>
              <w:rPr>
                <w:rFonts w:cs="Times New Roman"/>
                <w:color w:val="000000"/>
              </w:rPr>
              <w:t>（3）对</w:t>
            </w:r>
            <w:r>
              <w:rPr>
                <w:rFonts w:hint="eastAsia" w:cs="Times New Roman"/>
                <w:color w:val="000000"/>
              </w:rPr>
              <w:t>生产车间</w:t>
            </w:r>
            <w:r>
              <w:rPr>
                <w:rFonts w:cs="Times New Roman"/>
                <w:color w:val="000000"/>
              </w:rPr>
              <w:t>、危险废物贮存库地面每日检查，发现裂缝等及时修补；</w:t>
            </w:r>
          </w:p>
          <w:p>
            <w:pPr>
              <w:ind w:firstLine="480"/>
              <w:jc w:val="left"/>
              <w:textAlignment w:val="auto"/>
              <w:rPr>
                <w:rFonts w:cs="Times New Roman"/>
                <w:color w:val="000000"/>
              </w:rPr>
            </w:pPr>
            <w:r>
              <w:rPr>
                <w:rFonts w:cs="Times New Roman"/>
                <w:color w:val="000000"/>
              </w:rPr>
              <w:t>（4）</w:t>
            </w:r>
            <w:r>
              <w:rPr>
                <w:rFonts w:ascii="Segoe UI" w:hAnsi="Segoe UI" w:cs="Segoe UI"/>
                <w:color w:val="0F1115"/>
                <w:shd w:val="clear" w:color="auto" w:fill="FFFFFF"/>
              </w:rPr>
              <w:t>检查危险废物贮存容器，及时更换老化、锈蚀的容器，防止泄漏</w:t>
            </w:r>
          </w:p>
          <w:p>
            <w:pPr>
              <w:ind w:firstLine="480"/>
              <w:jc w:val="left"/>
              <w:textAlignment w:val="auto"/>
              <w:rPr>
                <w:rFonts w:cs="Times New Roman"/>
                <w:color w:val="000000"/>
              </w:rPr>
            </w:pPr>
            <w:r>
              <w:rPr>
                <w:rFonts w:cs="Times New Roman"/>
                <w:color w:val="000000"/>
              </w:rPr>
              <w:t>（5）</w:t>
            </w:r>
            <w:r>
              <w:rPr>
                <w:rFonts w:hint="eastAsia" w:cs="Times New Roman"/>
                <w:color w:val="000000"/>
              </w:rPr>
              <w:t>检测环保设施，防止净化装置损坏导致有毒大气污染物随大气沉降影响土壤环境。通过上述源头综合控制措施，可将污染物跑、冒、滴、漏降至最低，有效降低渗漏引发的环境风险事故发生概率。</w:t>
            </w:r>
          </w:p>
          <w:p>
            <w:pPr>
              <w:ind w:firstLine="0" w:firstLineChars="0"/>
              <w:textAlignment w:val="auto"/>
              <w:rPr>
                <w:rFonts w:cs="Times New Roman"/>
                <w:b/>
                <w:bCs/>
                <w:snapToGrid w:val="0"/>
                <w:color w:val="000000"/>
                <w:kern w:val="0"/>
                <w:szCs w:val="24"/>
              </w:rPr>
            </w:pPr>
            <w:r>
              <w:rPr>
                <w:rFonts w:cs="Times New Roman"/>
                <w:b/>
                <w:bCs/>
                <w:snapToGrid w:val="0"/>
                <w:color w:val="000000"/>
                <w:kern w:val="0"/>
                <w:szCs w:val="24"/>
              </w:rPr>
              <w:t>4.3.2</w:t>
            </w:r>
            <w:r>
              <w:rPr>
                <w:rFonts w:hint="eastAsia" w:cs="Times New Roman"/>
                <w:b/>
                <w:bCs/>
                <w:snapToGrid w:val="0"/>
                <w:color w:val="000000"/>
                <w:kern w:val="0"/>
                <w:szCs w:val="24"/>
              </w:rPr>
              <w:t>过程控制措施</w:t>
            </w:r>
          </w:p>
          <w:p>
            <w:pPr>
              <w:ind w:firstLine="480"/>
              <w:jc w:val="left"/>
              <w:textAlignment w:val="auto"/>
              <w:rPr>
                <w:rFonts w:cs="Times New Roman"/>
                <w:color w:val="000000"/>
              </w:rPr>
            </w:pPr>
            <w:r>
              <w:rPr>
                <w:rFonts w:cs="Times New Roman"/>
                <w:color w:val="000000"/>
              </w:rPr>
              <w:t>根据《环境影响评价技术导则 土壤环境》（HJ964-2018）及土壤环境影响评价结果，对本建设项目按照相关的技术要求采取过程阻断、污染物削减和分区防控措施。</w:t>
            </w:r>
            <w:r>
              <w:rPr>
                <w:rFonts w:hint="eastAsia" w:cs="Times New Roman"/>
                <w:color w:val="000000"/>
              </w:rPr>
              <w:t>企业应主要阻断污染物与土壤的直接接触，防止污染物进入土壤环境中</w:t>
            </w:r>
            <w:r>
              <w:rPr>
                <w:rFonts w:cs="Times New Roman"/>
                <w:color w:val="000000"/>
              </w:rPr>
              <w:t>。本项目应根据拟建布局功能实际情况，分别针对大气沉降影响、垂直入渗途径影响，采取相应的过程防控措施。</w:t>
            </w:r>
          </w:p>
          <w:p>
            <w:pPr>
              <w:ind w:firstLine="480"/>
              <w:jc w:val="left"/>
              <w:textAlignment w:val="auto"/>
              <w:rPr>
                <w:rFonts w:cs="Times New Roman"/>
                <w:color w:val="000000"/>
              </w:rPr>
            </w:pPr>
            <w:r>
              <w:rPr>
                <w:rFonts w:cs="Times New Roman"/>
                <w:color w:val="000000"/>
              </w:rPr>
              <w:t>（1）涉及大气沉降影响的，占地范围内应采取绿化措施，以种植具有较强吸附能力的植物为主；</w:t>
            </w:r>
          </w:p>
          <w:p>
            <w:pPr>
              <w:ind w:firstLine="480"/>
              <w:jc w:val="left"/>
              <w:textAlignment w:val="auto"/>
              <w:rPr>
                <w:rFonts w:cs="Times New Roman"/>
                <w:color w:val="000000"/>
              </w:rPr>
            </w:pPr>
            <w:r>
              <w:rPr>
                <w:rFonts w:cs="Times New Roman"/>
                <w:color w:val="000000"/>
              </w:rPr>
              <w:t>（2）针对</w:t>
            </w:r>
            <w:r>
              <w:rPr>
                <w:rFonts w:hint="eastAsia"/>
                <w:color w:val="000000"/>
              </w:rPr>
              <w:t>危险废物贮存库</w:t>
            </w:r>
            <w:r>
              <w:rPr>
                <w:rFonts w:cs="Times New Roman"/>
                <w:color w:val="000000"/>
              </w:rPr>
              <w:t>等涉及入渗途径影响的，应根据相关标准规范要求，对设备设施采取相应的防渗措施，如地面硬化处理、喷刷环氧地坪漆、设置阻挡围堰等措施，以防止土壤环境污染。</w:t>
            </w:r>
          </w:p>
          <w:p>
            <w:pPr>
              <w:ind w:firstLine="480"/>
              <w:jc w:val="left"/>
              <w:textAlignment w:val="auto"/>
              <w:rPr>
                <w:color w:val="000000"/>
              </w:rPr>
            </w:pPr>
            <w:r>
              <w:rPr>
                <w:rFonts w:cs="Times New Roman"/>
                <w:color w:val="000000"/>
              </w:rPr>
              <w:t>（3）应按上述要求设计实施防渗措施，还应建立巡查、检查的制度，及时发现异常或污染，以及结合地下水环境保护措施与对策建立完善的针对风险事故的土壤应急预案，</w:t>
            </w:r>
            <w:r>
              <w:rPr>
                <w:rFonts w:hint="eastAsia"/>
                <w:color w:val="000000"/>
              </w:rPr>
              <w:t>极力避免污染物进入土壤、地下水环境。</w:t>
            </w:r>
          </w:p>
          <w:p>
            <w:pPr>
              <w:ind w:firstLine="0" w:firstLineChars="0"/>
              <w:textAlignment w:val="auto"/>
              <w:rPr>
                <w:rFonts w:cs="Times New Roman"/>
                <w:b/>
                <w:bCs/>
                <w:snapToGrid w:val="0"/>
                <w:color w:val="000000"/>
                <w:kern w:val="0"/>
                <w:szCs w:val="24"/>
              </w:rPr>
            </w:pPr>
            <w:r>
              <w:rPr>
                <w:rFonts w:cs="Times New Roman"/>
                <w:b/>
                <w:bCs/>
                <w:snapToGrid w:val="0"/>
                <w:color w:val="000000"/>
                <w:kern w:val="0"/>
                <w:szCs w:val="24"/>
              </w:rPr>
              <w:t>4.3.3</w:t>
            </w:r>
            <w:r>
              <w:rPr>
                <w:rFonts w:hint="eastAsia" w:cs="Times New Roman"/>
                <w:b/>
                <w:bCs/>
                <w:snapToGrid w:val="0"/>
                <w:color w:val="000000"/>
                <w:kern w:val="0"/>
                <w:szCs w:val="24"/>
              </w:rPr>
              <w:t>分区防控措施</w:t>
            </w:r>
          </w:p>
          <w:p>
            <w:pPr>
              <w:ind w:firstLine="480"/>
            </w:pPr>
            <w:r>
              <w:rPr>
                <w:rFonts w:hint="eastAsia"/>
              </w:rPr>
              <w:t>（</w:t>
            </w:r>
            <w:r>
              <w:t>1</w:t>
            </w:r>
            <w:r>
              <w:rPr>
                <w:rFonts w:hint="eastAsia"/>
              </w:rPr>
              <w:t>）源头控制措施</w:t>
            </w:r>
          </w:p>
          <w:p>
            <w:pPr>
              <w:ind w:firstLine="480"/>
            </w:pPr>
            <w:r>
              <w:rPr>
                <w:rFonts w:hint="eastAsia"/>
              </w:rPr>
              <w:t>①积极推行实施清洁生产，实现各类废物循环利用，减少污染物的排放量；</w:t>
            </w:r>
          </w:p>
          <w:p>
            <w:pPr>
              <w:ind w:firstLine="480"/>
            </w:pPr>
            <w:r>
              <w:rPr>
                <w:rFonts w:hint="eastAsia"/>
              </w:rPr>
              <w:t>②应根据国家现行相关规范加强环境管理，采取防止和降低污染物跑、冒、滴、漏的措施。正常运营过程中应加强巡检及时处理污染物跑、冒、滴、漏，同时应加强对防渗工程的检查，若发现防渗密封材料老化或损坏，应及时维修更换；</w:t>
            </w:r>
          </w:p>
          <w:p>
            <w:pPr>
              <w:ind w:firstLine="480"/>
            </w:pPr>
            <w:r>
              <w:rPr>
                <w:rFonts w:hint="eastAsia"/>
              </w:rPr>
              <w:t>③对工艺、管道、设备、污水储存及处理构筑物采取控制措施，防止污染物的跑、冒、滴、漏，将污染物泄漏的环境风险事故降到最低限度。</w:t>
            </w:r>
          </w:p>
          <w:p>
            <w:pPr>
              <w:ind w:firstLine="480"/>
            </w:pPr>
            <w:r>
              <w:rPr>
                <w:rFonts w:hint="eastAsia"/>
              </w:rPr>
              <w:t>（</w:t>
            </w:r>
            <w:r>
              <w:t>2</w:t>
            </w:r>
            <w:r>
              <w:rPr>
                <w:rFonts w:hint="eastAsia"/>
              </w:rPr>
              <w:t>）分区防控措施</w:t>
            </w:r>
          </w:p>
          <w:p>
            <w:pPr>
              <w:ind w:firstLine="480"/>
              <w:rPr>
                <w:lang w:val="zh-CN" w:bidi="zh-CN"/>
              </w:rPr>
            </w:pPr>
            <w:r>
              <w:rPr>
                <w:rFonts w:hint="eastAsia"/>
                <w:lang w:val="zh-CN" w:bidi="zh-CN"/>
              </w:rPr>
              <w:t>根据物料或者污染物泄漏的途径和生产单元所处的位置，将项目区厂区分为重点防渗区、一般防渗区、简单防渗区。</w:t>
            </w:r>
          </w:p>
          <w:p>
            <w:pPr>
              <w:ind w:firstLine="480"/>
              <w:rPr>
                <w:lang w:val="zh-CN" w:bidi="zh-CN"/>
              </w:rPr>
            </w:pPr>
            <w:r>
              <w:rPr>
                <w:rFonts w:hint="eastAsia"/>
                <w:lang w:val="zh-CN" w:bidi="zh-CN"/>
              </w:rPr>
              <w:t>参照《环境影响评价技术导则 地下水环境》（HJ610-2016）的分区防控措施，根据场地天然包气带防污性能、污染控制难易程度和污染物特性，参照表</w:t>
            </w:r>
            <w:r>
              <w:rPr>
                <w:lang w:val="zh-CN" w:bidi="zh-CN"/>
              </w:rPr>
              <w:t>4</w:t>
            </w:r>
            <w:r>
              <w:rPr>
                <w:rFonts w:hint="eastAsia"/>
                <w:lang w:val="zh-CN" w:bidi="zh-CN"/>
              </w:rPr>
              <w:t>—</w:t>
            </w:r>
            <w:r>
              <w:rPr>
                <w:lang w:val="zh-CN" w:bidi="zh-CN"/>
              </w:rPr>
              <w:t>8</w:t>
            </w:r>
            <w:r>
              <w:rPr>
                <w:rFonts w:hint="eastAsia"/>
                <w:lang w:val="zh-CN" w:bidi="zh-CN"/>
              </w:rPr>
              <w:t>对项目厂区提出防渗技术要求。</w:t>
            </w:r>
          </w:p>
          <w:p>
            <w:pPr>
              <w:spacing w:line="240" w:lineRule="auto"/>
              <w:ind w:firstLine="0" w:firstLineChars="0"/>
              <w:jc w:val="center"/>
              <w:rPr>
                <w:b/>
                <w:bCs/>
                <w:sz w:val="21"/>
                <w:szCs w:val="21"/>
                <w:lang w:val="zh-CN"/>
              </w:rPr>
            </w:pPr>
            <w:r>
              <w:rPr>
                <w:rFonts w:hint="eastAsia"/>
                <w:b/>
                <w:bCs/>
                <w:sz w:val="21"/>
                <w:szCs w:val="21"/>
                <w:lang w:val="zh-CN"/>
              </w:rPr>
              <w:t>表4-</w:t>
            </w:r>
            <w:r>
              <w:rPr>
                <w:b/>
                <w:bCs/>
                <w:sz w:val="21"/>
                <w:szCs w:val="21"/>
                <w:lang w:val="zh-CN"/>
              </w:rPr>
              <w:t>10</w:t>
            </w:r>
            <w:r>
              <w:rPr>
                <w:rFonts w:hint="eastAsia"/>
                <w:b/>
                <w:bCs/>
                <w:sz w:val="21"/>
                <w:szCs w:val="21"/>
                <w:lang w:val="zh-CN"/>
              </w:rPr>
              <w:t xml:space="preserve">  地下水污染防渗分区参照表</w:t>
            </w:r>
          </w:p>
          <w:tbl>
            <w:tblPr>
              <w:tblStyle w:val="26"/>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28" w:type="dxa"/>
                <w:left w:w="0" w:type="dxa"/>
                <w:bottom w:w="28" w:type="dxa"/>
                <w:right w:w="0" w:type="dxa"/>
              </w:tblCellMar>
            </w:tblPr>
            <w:tblGrid>
              <w:gridCol w:w="1445"/>
              <w:gridCol w:w="1415"/>
              <w:gridCol w:w="1128"/>
              <w:gridCol w:w="1734"/>
              <w:gridCol w:w="295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Align w:val="center"/>
                </w:tcPr>
                <w:p>
                  <w:pPr>
                    <w:pStyle w:val="34"/>
                    <w:rPr>
                      <w:snapToGrid w:val="0"/>
                    </w:rPr>
                  </w:pPr>
                  <w:r>
                    <w:rPr>
                      <w:snapToGrid w:val="0"/>
                    </w:rPr>
                    <w:t>防渗分区</w:t>
                  </w:r>
                </w:p>
              </w:tc>
              <w:tc>
                <w:tcPr>
                  <w:tcW w:w="1355" w:type="dxa"/>
                  <w:vAlign w:val="center"/>
                </w:tcPr>
                <w:p>
                  <w:pPr>
                    <w:pStyle w:val="34"/>
                    <w:rPr>
                      <w:snapToGrid w:val="0"/>
                    </w:rPr>
                  </w:pPr>
                  <w:r>
                    <w:rPr>
                      <w:snapToGrid w:val="0"/>
                      <w:spacing w:val="8"/>
                    </w:rPr>
                    <w:t>天</w:t>
                  </w:r>
                  <w:r>
                    <w:rPr>
                      <w:snapToGrid w:val="0"/>
                      <w:spacing w:val="7"/>
                    </w:rPr>
                    <w:t>然包气带</w:t>
                  </w:r>
                  <w:r>
                    <w:rPr>
                      <w:snapToGrid w:val="0"/>
                    </w:rPr>
                    <w:t>防污性能</w:t>
                  </w:r>
                </w:p>
              </w:tc>
              <w:tc>
                <w:tcPr>
                  <w:tcW w:w="1080" w:type="dxa"/>
                  <w:vAlign w:val="center"/>
                </w:tcPr>
                <w:p>
                  <w:pPr>
                    <w:pStyle w:val="34"/>
                    <w:rPr>
                      <w:snapToGrid w:val="0"/>
                    </w:rPr>
                  </w:pPr>
                  <w:r>
                    <w:rPr>
                      <w:snapToGrid w:val="0"/>
                      <w:spacing w:val="7"/>
                    </w:rPr>
                    <w:t>污染控</w:t>
                  </w:r>
                  <w:r>
                    <w:rPr>
                      <w:snapToGrid w:val="0"/>
                      <w:spacing w:val="6"/>
                    </w:rPr>
                    <w:t>制</w:t>
                  </w:r>
                  <w:r>
                    <w:rPr>
                      <w:snapToGrid w:val="0"/>
                      <w:spacing w:val="9"/>
                    </w:rPr>
                    <w:t>难</w:t>
                  </w:r>
                  <w:r>
                    <w:rPr>
                      <w:snapToGrid w:val="0"/>
                      <w:spacing w:val="7"/>
                    </w:rPr>
                    <w:t>易程度</w:t>
                  </w:r>
                </w:p>
              </w:tc>
              <w:tc>
                <w:tcPr>
                  <w:tcW w:w="1660" w:type="dxa"/>
                  <w:vAlign w:val="center"/>
                </w:tcPr>
                <w:p>
                  <w:pPr>
                    <w:pStyle w:val="34"/>
                    <w:rPr>
                      <w:snapToGrid w:val="0"/>
                    </w:rPr>
                  </w:pPr>
                  <w:r>
                    <w:rPr>
                      <w:snapToGrid w:val="0"/>
                      <w:spacing w:val="8"/>
                    </w:rPr>
                    <w:t>污染物类</w:t>
                  </w:r>
                  <w:r>
                    <w:rPr>
                      <w:snapToGrid w:val="0"/>
                      <w:spacing w:val="7"/>
                    </w:rPr>
                    <w:t>型</w:t>
                  </w:r>
                </w:p>
              </w:tc>
              <w:tc>
                <w:tcPr>
                  <w:tcW w:w="2833" w:type="dxa"/>
                  <w:vAlign w:val="center"/>
                </w:tcPr>
                <w:p>
                  <w:pPr>
                    <w:pStyle w:val="34"/>
                    <w:rPr>
                      <w:snapToGrid w:val="0"/>
                    </w:rPr>
                  </w:pPr>
                  <w:r>
                    <w:rPr>
                      <w:snapToGrid w:val="0"/>
                      <w:spacing w:val="6"/>
                    </w:rPr>
                    <w:t>防渗技术要求</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restart"/>
                  <w:vAlign w:val="center"/>
                </w:tcPr>
                <w:p>
                  <w:pPr>
                    <w:pStyle w:val="34"/>
                    <w:rPr>
                      <w:snapToGrid w:val="0"/>
                    </w:rPr>
                  </w:pPr>
                  <w:r>
                    <w:rPr>
                      <w:snapToGrid w:val="0"/>
                      <w:spacing w:val="8"/>
                    </w:rPr>
                    <w:t>重点防渗</w:t>
                  </w:r>
                  <w:r>
                    <w:rPr>
                      <w:snapToGrid w:val="0"/>
                      <w:spacing w:val="7"/>
                    </w:rPr>
                    <w:t>区</w:t>
                  </w:r>
                </w:p>
              </w:tc>
              <w:tc>
                <w:tcPr>
                  <w:tcW w:w="1355" w:type="dxa"/>
                  <w:vAlign w:val="center"/>
                </w:tcPr>
                <w:p>
                  <w:pPr>
                    <w:pStyle w:val="34"/>
                    <w:rPr>
                      <w:snapToGrid w:val="0"/>
                    </w:rPr>
                  </w:pPr>
                  <w:r>
                    <w:rPr>
                      <w:snapToGrid w:val="0"/>
                    </w:rPr>
                    <w:t>弱</w:t>
                  </w:r>
                </w:p>
              </w:tc>
              <w:tc>
                <w:tcPr>
                  <w:tcW w:w="1080" w:type="dxa"/>
                  <w:vAlign w:val="center"/>
                </w:tcPr>
                <w:p>
                  <w:pPr>
                    <w:pStyle w:val="34"/>
                    <w:rPr>
                      <w:snapToGrid w:val="0"/>
                    </w:rPr>
                  </w:pPr>
                  <w:r>
                    <w:rPr>
                      <w:snapToGrid w:val="0"/>
                      <w:spacing w:val="1"/>
                    </w:rPr>
                    <w:t>难</w:t>
                  </w:r>
                </w:p>
              </w:tc>
              <w:tc>
                <w:tcPr>
                  <w:tcW w:w="1660" w:type="dxa"/>
                  <w:vMerge w:val="restart"/>
                  <w:vAlign w:val="center"/>
                </w:tcPr>
                <w:p>
                  <w:pPr>
                    <w:pStyle w:val="34"/>
                    <w:rPr>
                      <w:snapToGrid w:val="0"/>
                    </w:rPr>
                  </w:pPr>
                  <w:r>
                    <w:rPr>
                      <w:snapToGrid w:val="0"/>
                      <w:spacing w:val="6"/>
                    </w:rPr>
                    <w:t>重</w:t>
                  </w:r>
                  <w:r>
                    <w:rPr>
                      <w:snapToGrid w:val="0"/>
                    </w:rPr>
                    <w:t>金</w:t>
                  </w:r>
                  <w:r>
                    <w:rPr>
                      <w:snapToGrid w:val="0"/>
                      <w:spacing w:val="3"/>
                    </w:rPr>
                    <w:t>属、持久性有</w:t>
                  </w:r>
                  <w:r>
                    <w:rPr>
                      <w:snapToGrid w:val="0"/>
                      <w:spacing w:val="9"/>
                    </w:rPr>
                    <w:t>机</w:t>
                  </w:r>
                  <w:r>
                    <w:rPr>
                      <w:snapToGrid w:val="0"/>
                      <w:spacing w:val="8"/>
                    </w:rPr>
                    <w:t>物污染物</w:t>
                  </w:r>
                </w:p>
              </w:tc>
              <w:tc>
                <w:tcPr>
                  <w:tcW w:w="2833" w:type="dxa"/>
                  <w:vMerge w:val="restart"/>
                  <w:vAlign w:val="center"/>
                </w:tcPr>
                <w:p>
                  <w:pPr>
                    <w:pStyle w:val="34"/>
                    <w:rPr>
                      <w:snapToGrid w:val="0"/>
                    </w:rPr>
                  </w:pPr>
                  <w:r>
                    <w:rPr>
                      <w:snapToGrid w:val="0"/>
                      <w:spacing w:val="-14"/>
                    </w:rPr>
                    <w:t>等</w:t>
                  </w:r>
                  <w:r>
                    <w:rPr>
                      <w:snapToGrid w:val="0"/>
                      <w:spacing w:val="-10"/>
                    </w:rPr>
                    <w:t>效黏土防渗层</w:t>
                  </w:r>
                  <w:r>
                    <w:rPr>
                      <w:rFonts w:eastAsia="Times New Roman"/>
                      <w:snapToGrid w:val="0"/>
                      <w:spacing w:val="-10"/>
                    </w:rPr>
                    <w:t>Mb≥6.0m</w:t>
                  </w:r>
                  <w:r>
                    <w:rPr>
                      <w:snapToGrid w:val="0"/>
                      <w:spacing w:val="-10"/>
                    </w:rPr>
                    <w:t>，</w:t>
                  </w:r>
                  <w:r>
                    <w:rPr>
                      <w:rFonts w:eastAsia="Times New Roman"/>
                      <w:snapToGrid w:val="0"/>
                    </w:rPr>
                    <w:t>K</w:t>
                  </w:r>
                  <w:r>
                    <w:rPr>
                      <w:rFonts w:eastAsia="Times New Roman"/>
                      <w:snapToGrid w:val="0"/>
                      <w:spacing w:val="-1"/>
                    </w:rPr>
                    <w:t>≤1×10</w:t>
                  </w:r>
                  <w:r>
                    <w:rPr>
                      <w:rFonts w:eastAsia="Times New Roman"/>
                      <w:snapToGrid w:val="0"/>
                      <w:spacing w:val="-1"/>
                      <w:position w:val="6"/>
                      <w:sz w:val="13"/>
                      <w:szCs w:val="13"/>
                    </w:rPr>
                    <w:t>-7</w:t>
                  </w:r>
                  <w:r>
                    <w:rPr>
                      <w:rFonts w:eastAsia="Times New Roman"/>
                      <w:snapToGrid w:val="0"/>
                    </w:rPr>
                    <w:t>cm</w:t>
                  </w:r>
                  <w:r>
                    <w:rPr>
                      <w:rFonts w:eastAsia="Times New Roman"/>
                      <w:snapToGrid w:val="0"/>
                      <w:spacing w:val="-1"/>
                    </w:rPr>
                    <w:t>/</w:t>
                  </w:r>
                  <w:r>
                    <w:rPr>
                      <w:rFonts w:eastAsia="Times New Roman"/>
                      <w:snapToGrid w:val="0"/>
                    </w:rPr>
                    <w:t>s</w:t>
                  </w:r>
                  <w:r>
                    <w:rPr>
                      <w:snapToGrid w:val="0"/>
                      <w:spacing w:val="-1"/>
                    </w:rPr>
                    <w:t>；或参照</w:t>
                  </w:r>
                  <w:r>
                    <w:rPr>
                      <w:rFonts w:eastAsia="Times New Roman"/>
                      <w:snapToGrid w:val="0"/>
                    </w:rPr>
                    <w:t>GB18598</w:t>
                  </w:r>
                  <w:r>
                    <w:rPr>
                      <w:snapToGrid w:val="0"/>
                      <w:spacing w:val="6"/>
                    </w:rPr>
                    <w:t>执</w:t>
                  </w:r>
                  <w:r>
                    <w:rPr>
                      <w:snapToGrid w:val="0"/>
                    </w:rPr>
                    <w:t>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continue"/>
                  <w:vAlign w:val="center"/>
                </w:tcPr>
                <w:p>
                  <w:pPr>
                    <w:pStyle w:val="34"/>
                    <w:rPr>
                      <w:snapToGrid w:val="0"/>
                    </w:rPr>
                  </w:pPr>
                </w:p>
              </w:tc>
              <w:tc>
                <w:tcPr>
                  <w:tcW w:w="1355" w:type="dxa"/>
                  <w:vAlign w:val="center"/>
                </w:tcPr>
                <w:p>
                  <w:pPr>
                    <w:pStyle w:val="34"/>
                    <w:rPr>
                      <w:snapToGrid w:val="0"/>
                    </w:rPr>
                  </w:pPr>
                  <w:r>
                    <w:rPr>
                      <w:snapToGrid w:val="0"/>
                      <w:spacing w:val="-1"/>
                    </w:rPr>
                    <w:t>中</w:t>
                  </w:r>
                  <w:r>
                    <w:rPr>
                      <w:rFonts w:eastAsia="Times New Roman"/>
                      <w:snapToGrid w:val="0"/>
                      <w:spacing w:val="-1"/>
                    </w:rPr>
                    <w:t>-</w:t>
                  </w:r>
                  <w:r>
                    <w:rPr>
                      <w:snapToGrid w:val="0"/>
                      <w:spacing w:val="-1"/>
                    </w:rPr>
                    <w:t>强</w:t>
                  </w:r>
                </w:p>
              </w:tc>
              <w:tc>
                <w:tcPr>
                  <w:tcW w:w="1080" w:type="dxa"/>
                  <w:vAlign w:val="center"/>
                </w:tcPr>
                <w:p>
                  <w:pPr>
                    <w:pStyle w:val="34"/>
                    <w:rPr>
                      <w:snapToGrid w:val="0"/>
                    </w:rPr>
                  </w:pPr>
                  <w:r>
                    <w:rPr>
                      <w:snapToGrid w:val="0"/>
                      <w:spacing w:val="1"/>
                    </w:rPr>
                    <w:t>难</w:t>
                  </w:r>
                </w:p>
              </w:tc>
              <w:tc>
                <w:tcPr>
                  <w:tcW w:w="1660" w:type="dxa"/>
                  <w:vMerge w:val="continue"/>
                  <w:vAlign w:val="center"/>
                </w:tcPr>
                <w:p>
                  <w:pPr>
                    <w:pStyle w:val="34"/>
                    <w:rPr>
                      <w:snapToGrid w:val="0"/>
                    </w:rPr>
                  </w:pPr>
                </w:p>
              </w:tc>
              <w:tc>
                <w:tcPr>
                  <w:tcW w:w="2833" w:type="dxa"/>
                  <w:vMerge w:val="continue"/>
                  <w:vAlign w:val="center"/>
                </w:tcPr>
                <w:p>
                  <w:pPr>
                    <w:pStyle w:val="34"/>
                    <w:rPr>
                      <w:snapToGrid w:val="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continue"/>
                  <w:vAlign w:val="center"/>
                </w:tcPr>
                <w:p>
                  <w:pPr>
                    <w:pStyle w:val="34"/>
                    <w:rPr>
                      <w:snapToGrid w:val="0"/>
                    </w:rPr>
                  </w:pPr>
                </w:p>
              </w:tc>
              <w:tc>
                <w:tcPr>
                  <w:tcW w:w="1355" w:type="dxa"/>
                  <w:vAlign w:val="center"/>
                </w:tcPr>
                <w:p>
                  <w:pPr>
                    <w:pStyle w:val="34"/>
                    <w:rPr>
                      <w:snapToGrid w:val="0"/>
                    </w:rPr>
                  </w:pPr>
                  <w:r>
                    <w:rPr>
                      <w:snapToGrid w:val="0"/>
                    </w:rPr>
                    <w:t>弱</w:t>
                  </w:r>
                </w:p>
              </w:tc>
              <w:tc>
                <w:tcPr>
                  <w:tcW w:w="1080" w:type="dxa"/>
                  <w:vAlign w:val="center"/>
                </w:tcPr>
                <w:p>
                  <w:pPr>
                    <w:pStyle w:val="34"/>
                    <w:rPr>
                      <w:snapToGrid w:val="0"/>
                    </w:rPr>
                  </w:pPr>
                  <w:r>
                    <w:rPr>
                      <w:snapToGrid w:val="0"/>
                    </w:rPr>
                    <w:t>易</w:t>
                  </w:r>
                </w:p>
              </w:tc>
              <w:tc>
                <w:tcPr>
                  <w:tcW w:w="1660" w:type="dxa"/>
                  <w:vMerge w:val="continue"/>
                  <w:vAlign w:val="center"/>
                </w:tcPr>
                <w:p>
                  <w:pPr>
                    <w:pStyle w:val="34"/>
                    <w:rPr>
                      <w:snapToGrid w:val="0"/>
                    </w:rPr>
                  </w:pPr>
                </w:p>
              </w:tc>
              <w:tc>
                <w:tcPr>
                  <w:tcW w:w="2833" w:type="dxa"/>
                  <w:vMerge w:val="continue"/>
                  <w:vAlign w:val="center"/>
                </w:tcPr>
                <w:p>
                  <w:pPr>
                    <w:pStyle w:val="34"/>
                    <w:rPr>
                      <w:snapToGrid w:val="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restart"/>
                  <w:vAlign w:val="center"/>
                </w:tcPr>
                <w:p>
                  <w:pPr>
                    <w:pStyle w:val="34"/>
                    <w:rPr>
                      <w:snapToGrid w:val="0"/>
                    </w:rPr>
                  </w:pPr>
                  <w:r>
                    <w:rPr>
                      <w:snapToGrid w:val="0"/>
                      <w:spacing w:val="9"/>
                    </w:rPr>
                    <w:t>一</w:t>
                  </w:r>
                  <w:r>
                    <w:rPr>
                      <w:snapToGrid w:val="0"/>
                      <w:spacing w:val="7"/>
                    </w:rPr>
                    <w:t>般防渗区</w:t>
                  </w:r>
                </w:p>
              </w:tc>
              <w:tc>
                <w:tcPr>
                  <w:tcW w:w="1355" w:type="dxa"/>
                  <w:vAlign w:val="center"/>
                </w:tcPr>
                <w:p>
                  <w:pPr>
                    <w:pStyle w:val="34"/>
                    <w:rPr>
                      <w:snapToGrid w:val="0"/>
                    </w:rPr>
                  </w:pPr>
                  <w:r>
                    <w:rPr>
                      <w:snapToGrid w:val="0"/>
                    </w:rPr>
                    <w:t>弱</w:t>
                  </w:r>
                </w:p>
              </w:tc>
              <w:tc>
                <w:tcPr>
                  <w:tcW w:w="1080" w:type="dxa"/>
                  <w:vAlign w:val="center"/>
                </w:tcPr>
                <w:p>
                  <w:pPr>
                    <w:pStyle w:val="34"/>
                    <w:rPr>
                      <w:snapToGrid w:val="0"/>
                    </w:rPr>
                  </w:pPr>
                  <w:r>
                    <w:rPr>
                      <w:snapToGrid w:val="0"/>
                      <w:spacing w:val="-6"/>
                    </w:rPr>
                    <w:t>易</w:t>
                  </w:r>
                  <w:r>
                    <w:rPr>
                      <w:rFonts w:eastAsia="Times New Roman"/>
                      <w:snapToGrid w:val="0"/>
                      <w:spacing w:val="-6"/>
                    </w:rPr>
                    <w:t>-</w:t>
                  </w:r>
                  <w:r>
                    <w:rPr>
                      <w:snapToGrid w:val="0"/>
                      <w:spacing w:val="-6"/>
                    </w:rPr>
                    <w:t>难</w:t>
                  </w:r>
                </w:p>
              </w:tc>
              <w:tc>
                <w:tcPr>
                  <w:tcW w:w="1660" w:type="dxa"/>
                  <w:vMerge w:val="restart"/>
                  <w:vAlign w:val="center"/>
                </w:tcPr>
                <w:p>
                  <w:pPr>
                    <w:pStyle w:val="34"/>
                    <w:rPr>
                      <w:snapToGrid w:val="0"/>
                    </w:rPr>
                  </w:pPr>
                  <w:r>
                    <w:rPr>
                      <w:snapToGrid w:val="0"/>
                      <w:spacing w:val="7"/>
                    </w:rPr>
                    <w:t>其他类型</w:t>
                  </w:r>
                </w:p>
              </w:tc>
              <w:tc>
                <w:tcPr>
                  <w:tcW w:w="2833" w:type="dxa"/>
                  <w:vMerge w:val="restart"/>
                  <w:vAlign w:val="center"/>
                </w:tcPr>
                <w:p>
                  <w:pPr>
                    <w:pStyle w:val="34"/>
                    <w:rPr>
                      <w:snapToGrid w:val="0"/>
                    </w:rPr>
                  </w:pPr>
                  <w:r>
                    <w:rPr>
                      <w:snapToGrid w:val="0"/>
                      <w:spacing w:val="-14"/>
                    </w:rPr>
                    <w:t>等</w:t>
                  </w:r>
                  <w:r>
                    <w:rPr>
                      <w:snapToGrid w:val="0"/>
                      <w:spacing w:val="-10"/>
                    </w:rPr>
                    <w:t>效黏土防渗层</w:t>
                  </w:r>
                  <w:r>
                    <w:rPr>
                      <w:rFonts w:eastAsia="Times New Roman"/>
                      <w:snapToGrid w:val="0"/>
                      <w:spacing w:val="-10"/>
                    </w:rPr>
                    <w:t>Mb≥1.5m</w:t>
                  </w:r>
                  <w:r>
                    <w:rPr>
                      <w:snapToGrid w:val="0"/>
                      <w:spacing w:val="-10"/>
                    </w:rPr>
                    <w:t>，</w:t>
                  </w:r>
                  <w:r>
                    <w:rPr>
                      <w:rFonts w:eastAsia="Times New Roman"/>
                      <w:snapToGrid w:val="0"/>
                    </w:rPr>
                    <w:t>K</w:t>
                  </w:r>
                  <w:r>
                    <w:rPr>
                      <w:rFonts w:eastAsia="Times New Roman"/>
                      <w:snapToGrid w:val="0"/>
                      <w:spacing w:val="-1"/>
                    </w:rPr>
                    <w:t>≤1×10</w:t>
                  </w:r>
                  <w:r>
                    <w:rPr>
                      <w:rFonts w:eastAsia="Times New Roman"/>
                      <w:snapToGrid w:val="0"/>
                      <w:spacing w:val="-1"/>
                      <w:position w:val="6"/>
                      <w:sz w:val="13"/>
                      <w:szCs w:val="13"/>
                    </w:rPr>
                    <w:t>-7</w:t>
                  </w:r>
                  <w:r>
                    <w:rPr>
                      <w:rFonts w:eastAsia="Times New Roman"/>
                      <w:snapToGrid w:val="0"/>
                    </w:rPr>
                    <w:t>cm</w:t>
                  </w:r>
                  <w:r>
                    <w:rPr>
                      <w:rFonts w:eastAsia="Times New Roman"/>
                      <w:snapToGrid w:val="0"/>
                      <w:spacing w:val="-1"/>
                    </w:rPr>
                    <w:t>/</w:t>
                  </w:r>
                  <w:r>
                    <w:rPr>
                      <w:rFonts w:eastAsia="Times New Roman"/>
                      <w:snapToGrid w:val="0"/>
                    </w:rPr>
                    <w:t>s</w:t>
                  </w:r>
                  <w:r>
                    <w:rPr>
                      <w:snapToGrid w:val="0"/>
                      <w:spacing w:val="-1"/>
                    </w:rPr>
                    <w:t>；或参照</w:t>
                  </w:r>
                  <w:r>
                    <w:rPr>
                      <w:rFonts w:eastAsia="Times New Roman"/>
                      <w:snapToGrid w:val="0"/>
                    </w:rPr>
                    <w:t>GB16889</w:t>
                  </w:r>
                  <w:r>
                    <w:rPr>
                      <w:snapToGrid w:val="0"/>
                      <w:spacing w:val="6"/>
                    </w:rPr>
                    <w:t>执</w:t>
                  </w:r>
                  <w:r>
                    <w:rPr>
                      <w:snapToGrid w:val="0"/>
                    </w:rPr>
                    <w:t>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continue"/>
                  <w:vAlign w:val="center"/>
                </w:tcPr>
                <w:p>
                  <w:pPr>
                    <w:pStyle w:val="34"/>
                    <w:rPr>
                      <w:snapToGrid w:val="0"/>
                    </w:rPr>
                  </w:pPr>
                </w:p>
              </w:tc>
              <w:tc>
                <w:tcPr>
                  <w:tcW w:w="1355" w:type="dxa"/>
                  <w:vAlign w:val="center"/>
                </w:tcPr>
                <w:p>
                  <w:pPr>
                    <w:pStyle w:val="34"/>
                    <w:rPr>
                      <w:snapToGrid w:val="0"/>
                    </w:rPr>
                  </w:pPr>
                  <w:r>
                    <w:rPr>
                      <w:snapToGrid w:val="0"/>
                      <w:spacing w:val="-1"/>
                    </w:rPr>
                    <w:t>中</w:t>
                  </w:r>
                  <w:r>
                    <w:rPr>
                      <w:rFonts w:eastAsia="Times New Roman"/>
                      <w:snapToGrid w:val="0"/>
                      <w:spacing w:val="-1"/>
                    </w:rPr>
                    <w:t>-</w:t>
                  </w:r>
                  <w:r>
                    <w:rPr>
                      <w:snapToGrid w:val="0"/>
                      <w:spacing w:val="-1"/>
                    </w:rPr>
                    <w:t>强</w:t>
                  </w:r>
                </w:p>
              </w:tc>
              <w:tc>
                <w:tcPr>
                  <w:tcW w:w="1080" w:type="dxa"/>
                  <w:vAlign w:val="center"/>
                </w:tcPr>
                <w:p>
                  <w:pPr>
                    <w:pStyle w:val="34"/>
                    <w:rPr>
                      <w:snapToGrid w:val="0"/>
                    </w:rPr>
                  </w:pPr>
                  <w:r>
                    <w:rPr>
                      <w:snapToGrid w:val="0"/>
                      <w:spacing w:val="1"/>
                    </w:rPr>
                    <w:t>难</w:t>
                  </w:r>
                </w:p>
              </w:tc>
              <w:tc>
                <w:tcPr>
                  <w:tcW w:w="1660" w:type="dxa"/>
                  <w:vMerge w:val="continue"/>
                  <w:vAlign w:val="center"/>
                </w:tcPr>
                <w:p>
                  <w:pPr>
                    <w:pStyle w:val="34"/>
                    <w:rPr>
                      <w:snapToGrid w:val="0"/>
                    </w:rPr>
                  </w:pPr>
                </w:p>
              </w:tc>
              <w:tc>
                <w:tcPr>
                  <w:tcW w:w="2833" w:type="dxa"/>
                  <w:vMerge w:val="continue"/>
                  <w:vAlign w:val="center"/>
                </w:tcPr>
                <w:p>
                  <w:pPr>
                    <w:pStyle w:val="34"/>
                    <w:rPr>
                      <w:snapToGrid w:val="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continue"/>
                  <w:vAlign w:val="center"/>
                </w:tcPr>
                <w:p>
                  <w:pPr>
                    <w:pStyle w:val="34"/>
                    <w:rPr>
                      <w:snapToGrid w:val="0"/>
                    </w:rPr>
                  </w:pPr>
                </w:p>
              </w:tc>
              <w:tc>
                <w:tcPr>
                  <w:tcW w:w="1355" w:type="dxa"/>
                  <w:vAlign w:val="center"/>
                </w:tcPr>
                <w:p>
                  <w:pPr>
                    <w:pStyle w:val="34"/>
                    <w:rPr>
                      <w:snapToGrid w:val="0"/>
                    </w:rPr>
                  </w:pPr>
                  <w:r>
                    <w:rPr>
                      <w:snapToGrid w:val="0"/>
                    </w:rPr>
                    <w:t>中</w:t>
                  </w:r>
                </w:p>
              </w:tc>
              <w:tc>
                <w:tcPr>
                  <w:tcW w:w="1080" w:type="dxa"/>
                  <w:vAlign w:val="center"/>
                </w:tcPr>
                <w:p>
                  <w:pPr>
                    <w:pStyle w:val="34"/>
                    <w:rPr>
                      <w:snapToGrid w:val="0"/>
                    </w:rPr>
                  </w:pPr>
                  <w:r>
                    <w:rPr>
                      <w:snapToGrid w:val="0"/>
                    </w:rPr>
                    <w:t>易</w:t>
                  </w:r>
                </w:p>
              </w:tc>
              <w:tc>
                <w:tcPr>
                  <w:tcW w:w="1660" w:type="dxa"/>
                  <w:vMerge w:val="restart"/>
                  <w:vAlign w:val="center"/>
                </w:tcPr>
                <w:p>
                  <w:pPr>
                    <w:pStyle w:val="34"/>
                    <w:rPr>
                      <w:snapToGrid w:val="0"/>
                    </w:rPr>
                  </w:pPr>
                  <w:r>
                    <w:rPr>
                      <w:snapToGrid w:val="0"/>
                      <w:spacing w:val="6"/>
                    </w:rPr>
                    <w:t>重</w:t>
                  </w:r>
                  <w:r>
                    <w:rPr>
                      <w:snapToGrid w:val="0"/>
                    </w:rPr>
                    <w:t>金</w:t>
                  </w:r>
                  <w:r>
                    <w:rPr>
                      <w:snapToGrid w:val="0"/>
                      <w:spacing w:val="3"/>
                    </w:rPr>
                    <w:t>属、持久性有</w:t>
                  </w:r>
                  <w:r>
                    <w:rPr>
                      <w:snapToGrid w:val="0"/>
                      <w:spacing w:val="9"/>
                    </w:rPr>
                    <w:t>机</w:t>
                  </w:r>
                  <w:r>
                    <w:rPr>
                      <w:snapToGrid w:val="0"/>
                      <w:spacing w:val="8"/>
                    </w:rPr>
                    <w:t>物污染物</w:t>
                  </w:r>
                </w:p>
              </w:tc>
              <w:tc>
                <w:tcPr>
                  <w:tcW w:w="2833" w:type="dxa"/>
                  <w:vMerge w:val="continue"/>
                  <w:vAlign w:val="center"/>
                </w:tcPr>
                <w:p>
                  <w:pPr>
                    <w:pStyle w:val="34"/>
                    <w:rPr>
                      <w:snapToGrid w:val="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Merge w:val="continue"/>
                  <w:vAlign w:val="center"/>
                </w:tcPr>
                <w:p>
                  <w:pPr>
                    <w:pStyle w:val="34"/>
                    <w:rPr>
                      <w:snapToGrid w:val="0"/>
                    </w:rPr>
                  </w:pPr>
                </w:p>
              </w:tc>
              <w:tc>
                <w:tcPr>
                  <w:tcW w:w="1355" w:type="dxa"/>
                  <w:vAlign w:val="center"/>
                </w:tcPr>
                <w:p>
                  <w:pPr>
                    <w:pStyle w:val="34"/>
                    <w:rPr>
                      <w:snapToGrid w:val="0"/>
                    </w:rPr>
                  </w:pPr>
                  <w:r>
                    <w:rPr>
                      <w:snapToGrid w:val="0"/>
                    </w:rPr>
                    <w:t>强</w:t>
                  </w:r>
                </w:p>
              </w:tc>
              <w:tc>
                <w:tcPr>
                  <w:tcW w:w="1080" w:type="dxa"/>
                  <w:vAlign w:val="center"/>
                </w:tcPr>
                <w:p>
                  <w:pPr>
                    <w:pStyle w:val="34"/>
                    <w:rPr>
                      <w:snapToGrid w:val="0"/>
                    </w:rPr>
                  </w:pPr>
                  <w:r>
                    <w:rPr>
                      <w:snapToGrid w:val="0"/>
                    </w:rPr>
                    <w:t>易</w:t>
                  </w:r>
                </w:p>
              </w:tc>
              <w:tc>
                <w:tcPr>
                  <w:tcW w:w="1660" w:type="dxa"/>
                  <w:vMerge w:val="continue"/>
                  <w:vAlign w:val="center"/>
                </w:tcPr>
                <w:p>
                  <w:pPr>
                    <w:pStyle w:val="34"/>
                    <w:rPr>
                      <w:snapToGrid w:val="0"/>
                    </w:rPr>
                  </w:pPr>
                </w:p>
              </w:tc>
              <w:tc>
                <w:tcPr>
                  <w:tcW w:w="2833" w:type="dxa"/>
                  <w:vMerge w:val="continue"/>
                  <w:vAlign w:val="center"/>
                </w:tcPr>
                <w:p>
                  <w:pPr>
                    <w:pStyle w:val="34"/>
                    <w:rPr>
                      <w:snapToGrid w:val="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28" w:type="dxa"/>
                  <w:left w:w="0" w:type="dxa"/>
                  <w:bottom w:w="28" w:type="dxa"/>
                  <w:right w:w="0" w:type="dxa"/>
                </w:tblCellMar>
              </w:tblPrEx>
              <w:trPr>
                <w:trHeight w:val="20" w:hRule="atLeast"/>
                <w:jc w:val="center"/>
              </w:trPr>
              <w:tc>
                <w:tcPr>
                  <w:tcW w:w="1384" w:type="dxa"/>
                  <w:vAlign w:val="center"/>
                </w:tcPr>
                <w:p>
                  <w:pPr>
                    <w:pStyle w:val="34"/>
                    <w:rPr>
                      <w:snapToGrid w:val="0"/>
                    </w:rPr>
                  </w:pPr>
                  <w:r>
                    <w:rPr>
                      <w:snapToGrid w:val="0"/>
                      <w:spacing w:val="8"/>
                    </w:rPr>
                    <w:t>简</w:t>
                  </w:r>
                  <w:r>
                    <w:rPr>
                      <w:snapToGrid w:val="0"/>
                      <w:spacing w:val="7"/>
                    </w:rPr>
                    <w:t>单防渗区</w:t>
                  </w:r>
                </w:p>
              </w:tc>
              <w:tc>
                <w:tcPr>
                  <w:tcW w:w="1355" w:type="dxa"/>
                  <w:vAlign w:val="center"/>
                </w:tcPr>
                <w:p>
                  <w:pPr>
                    <w:pStyle w:val="34"/>
                    <w:rPr>
                      <w:snapToGrid w:val="0"/>
                    </w:rPr>
                  </w:pPr>
                  <w:r>
                    <w:rPr>
                      <w:snapToGrid w:val="0"/>
                      <w:spacing w:val="-1"/>
                    </w:rPr>
                    <w:t>中</w:t>
                  </w:r>
                  <w:r>
                    <w:rPr>
                      <w:rFonts w:eastAsia="Times New Roman"/>
                      <w:snapToGrid w:val="0"/>
                      <w:spacing w:val="-1"/>
                    </w:rPr>
                    <w:t>-</w:t>
                  </w:r>
                  <w:r>
                    <w:rPr>
                      <w:snapToGrid w:val="0"/>
                      <w:spacing w:val="-1"/>
                    </w:rPr>
                    <w:t>强</w:t>
                  </w:r>
                </w:p>
              </w:tc>
              <w:tc>
                <w:tcPr>
                  <w:tcW w:w="1080" w:type="dxa"/>
                  <w:vAlign w:val="center"/>
                </w:tcPr>
                <w:p>
                  <w:pPr>
                    <w:pStyle w:val="34"/>
                    <w:rPr>
                      <w:snapToGrid w:val="0"/>
                    </w:rPr>
                  </w:pPr>
                  <w:r>
                    <w:rPr>
                      <w:snapToGrid w:val="0"/>
                    </w:rPr>
                    <w:t>易</w:t>
                  </w:r>
                </w:p>
              </w:tc>
              <w:tc>
                <w:tcPr>
                  <w:tcW w:w="1660" w:type="dxa"/>
                  <w:vAlign w:val="center"/>
                </w:tcPr>
                <w:p>
                  <w:pPr>
                    <w:pStyle w:val="34"/>
                    <w:rPr>
                      <w:snapToGrid w:val="0"/>
                    </w:rPr>
                  </w:pPr>
                  <w:r>
                    <w:rPr>
                      <w:snapToGrid w:val="0"/>
                      <w:spacing w:val="-2"/>
                    </w:rPr>
                    <w:t>其</w:t>
                  </w:r>
                  <w:r>
                    <w:rPr>
                      <w:snapToGrid w:val="0"/>
                      <w:spacing w:val="-1"/>
                    </w:rPr>
                    <w:t>他类型</w:t>
                  </w:r>
                </w:p>
              </w:tc>
              <w:tc>
                <w:tcPr>
                  <w:tcW w:w="2833" w:type="dxa"/>
                  <w:vAlign w:val="center"/>
                </w:tcPr>
                <w:p>
                  <w:pPr>
                    <w:pStyle w:val="34"/>
                    <w:rPr>
                      <w:snapToGrid w:val="0"/>
                    </w:rPr>
                  </w:pPr>
                  <w:r>
                    <w:rPr>
                      <w:snapToGrid w:val="0"/>
                      <w:spacing w:val="-2"/>
                    </w:rPr>
                    <w:t>一般地面硬</w:t>
                  </w:r>
                  <w:r>
                    <w:rPr>
                      <w:snapToGrid w:val="0"/>
                      <w:spacing w:val="-1"/>
                    </w:rPr>
                    <w:t>化</w:t>
                  </w:r>
                </w:p>
              </w:tc>
            </w:tr>
          </w:tbl>
          <w:p>
            <w:pPr>
              <w:ind w:firstLine="536"/>
              <w:rPr>
                <w:snapToGrid w:val="0"/>
              </w:rPr>
            </w:pPr>
            <w:r>
              <w:rPr>
                <w:snapToGrid w:val="0"/>
                <w:spacing w:val="14"/>
              </w:rPr>
              <w:t>根据《</w:t>
            </w:r>
            <w:r>
              <w:rPr>
                <w:snapToGrid w:val="0"/>
              </w:rPr>
              <w:t>环境影响评价技术导则</w:t>
            </w:r>
            <w:r>
              <w:rPr>
                <w:rFonts w:hint="eastAsia"/>
                <w:snapToGrid w:val="0"/>
              </w:rPr>
              <w:t xml:space="preserve"> </w:t>
            </w:r>
            <w:r>
              <w:rPr>
                <w:snapToGrid w:val="0"/>
              </w:rPr>
              <w:t>地下水环境》（</w:t>
            </w:r>
            <w:r>
              <w:rPr>
                <w:rFonts w:eastAsia="Times New Roman"/>
                <w:snapToGrid w:val="0"/>
              </w:rPr>
              <w:t>HJ610-2016</w:t>
            </w:r>
            <w:r>
              <w:rPr>
                <w:snapToGrid w:val="0"/>
              </w:rPr>
              <w:t>）要求，结合本项目的</w:t>
            </w:r>
            <w:r>
              <w:rPr>
                <w:snapToGrid w:val="0"/>
                <w:spacing w:val="16"/>
              </w:rPr>
              <w:t>性</w:t>
            </w:r>
            <w:r>
              <w:rPr>
                <w:snapToGrid w:val="0"/>
              </w:rPr>
              <w:t>质，厂区分区防渗设置如下：</w:t>
            </w:r>
          </w:p>
          <w:p>
            <w:pPr>
              <w:spacing w:line="240" w:lineRule="auto"/>
              <w:ind w:firstLine="0" w:firstLineChars="0"/>
              <w:jc w:val="center"/>
              <w:textAlignment w:val="auto"/>
              <w:rPr>
                <w:b/>
                <w:bCs/>
                <w:sz w:val="21"/>
                <w:szCs w:val="21"/>
              </w:rPr>
            </w:pPr>
            <w:r>
              <w:rPr>
                <w:rFonts w:hint="eastAsia"/>
                <w:b/>
                <w:bCs/>
                <w:sz w:val="21"/>
                <w:szCs w:val="21"/>
              </w:rPr>
              <w:t>表4-</w:t>
            </w:r>
            <w:r>
              <w:rPr>
                <w:b/>
                <w:bCs/>
                <w:sz w:val="21"/>
                <w:szCs w:val="21"/>
              </w:rPr>
              <w:t xml:space="preserve">11  </w:t>
            </w:r>
            <w:r>
              <w:rPr>
                <w:rFonts w:hint="eastAsia"/>
                <w:b/>
                <w:bCs/>
                <w:color w:val="000000" w:themeColor="text1"/>
                <w:sz w:val="21"/>
                <w:szCs w:val="21"/>
                <w:lang w:val="zh-CN"/>
                <w14:textFill>
                  <w14:solidFill>
                    <w14:schemeClr w14:val="tx1"/>
                  </w14:solidFill>
                </w14:textFill>
              </w:rPr>
              <w:t>工程防渗措施要求一览表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1889"/>
              <w:gridCol w:w="3590"/>
              <w:gridCol w:w="16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93"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防渗分区</w:t>
                  </w:r>
                </w:p>
              </w:tc>
              <w:tc>
                <w:tcPr>
                  <w:tcW w:w="1104"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防渗区域</w:t>
                  </w:r>
                </w:p>
              </w:tc>
              <w:tc>
                <w:tcPr>
                  <w:tcW w:w="2084"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防渗要求</w:t>
                  </w:r>
                </w:p>
              </w:tc>
              <w:tc>
                <w:tcPr>
                  <w:tcW w:w="919" w:type="pct"/>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4"/>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3"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重点防渗区</w:t>
                  </w:r>
                </w:p>
              </w:tc>
              <w:tc>
                <w:tcPr>
                  <w:tcW w:w="1104" w:type="pct"/>
                  <w:vAlign w:val="center"/>
                </w:tcPr>
                <w:p>
                  <w:pPr>
                    <w:spacing w:line="240" w:lineRule="auto"/>
                    <w:ind w:firstLine="0" w:firstLineChars="0"/>
                    <w:jc w:val="center"/>
                    <w:textAlignment w:val="auto"/>
                    <w:rPr>
                      <w:rFonts w:cs="Times New Roman"/>
                      <w:sz w:val="21"/>
                      <w:szCs w:val="21"/>
                    </w:rPr>
                  </w:pPr>
                  <w:r>
                    <w:rPr>
                      <w:rFonts w:hint="eastAsia"/>
                      <w:sz w:val="21"/>
                      <w:szCs w:val="21"/>
                    </w:rPr>
                    <w:t>危险废物贮存库、沥青储罐区</w:t>
                  </w:r>
                </w:p>
              </w:tc>
              <w:tc>
                <w:tcPr>
                  <w:tcW w:w="2084" w:type="pct"/>
                  <w:vAlign w:val="center"/>
                </w:tcPr>
                <w:p>
                  <w:pPr>
                    <w:widowControl/>
                    <w:spacing w:line="240" w:lineRule="auto"/>
                    <w:ind w:firstLine="0" w:firstLineChars="0"/>
                    <w:jc w:val="center"/>
                    <w:textAlignment w:val="auto"/>
                    <w:rPr>
                      <w:rFonts w:cs="Times New Roman"/>
                      <w:sz w:val="21"/>
                      <w:szCs w:val="21"/>
                    </w:rPr>
                  </w:pPr>
                  <w:r>
                    <w:rPr>
                      <w:rFonts w:cs="Times New Roman"/>
                      <w:snapToGrid w:val="0"/>
                      <w:kern w:val="0"/>
                      <w:sz w:val="21"/>
                      <w:szCs w:val="24"/>
                    </w:rPr>
                    <w:t>等效黏土防渗层Mb</w:t>
                  </w:r>
                  <w:r>
                    <w:rPr>
                      <w:rFonts w:hint="eastAsia" w:ascii="宋体" w:hAnsi="宋体" w:cs="宋体"/>
                      <w:snapToGrid w:val="0"/>
                      <w:kern w:val="0"/>
                      <w:sz w:val="21"/>
                      <w:szCs w:val="24"/>
                    </w:rPr>
                    <w:t>≧</w:t>
                  </w:r>
                  <w:r>
                    <w:rPr>
                      <w:rFonts w:cs="Times New Roman"/>
                      <w:snapToGrid w:val="0"/>
                      <w:kern w:val="0"/>
                      <w:sz w:val="21"/>
                      <w:szCs w:val="24"/>
                    </w:rPr>
                    <w:t>6.0m，K≤1.0×10</w:t>
                  </w:r>
                  <w:r>
                    <w:rPr>
                      <w:rFonts w:cs="Times New Roman"/>
                      <w:snapToGrid w:val="0"/>
                      <w:kern w:val="0"/>
                      <w:sz w:val="21"/>
                      <w:szCs w:val="24"/>
                      <w:vertAlign w:val="superscript"/>
                    </w:rPr>
                    <w:t>-7</w:t>
                  </w:r>
                  <w:r>
                    <w:rPr>
                      <w:rFonts w:cs="Times New Roman"/>
                      <w:snapToGrid w:val="0"/>
                      <w:kern w:val="0"/>
                      <w:sz w:val="21"/>
                      <w:szCs w:val="24"/>
                    </w:rPr>
                    <w:t>cm/s；或参照GB18598执行</w:t>
                  </w:r>
                </w:p>
              </w:tc>
              <w:tc>
                <w:tcPr>
                  <w:tcW w:w="919" w:type="pct"/>
                  <w:vMerge w:val="restart"/>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4"/>
                    </w:rPr>
                    <w:t>《环境影响评价技术导则 地下水环境》</w:t>
                  </w:r>
                  <w:r>
                    <w:rPr>
                      <w:rFonts w:hint="eastAsia" w:cs="Times New Roman"/>
                      <w:snapToGrid w:val="0"/>
                      <w:kern w:val="0"/>
                      <w:sz w:val="21"/>
                      <w:szCs w:val="24"/>
                    </w:rPr>
                    <w:t>（</w:t>
                  </w:r>
                  <w:r>
                    <w:rPr>
                      <w:rFonts w:cs="Times New Roman"/>
                      <w:snapToGrid w:val="0"/>
                      <w:kern w:val="0"/>
                      <w:sz w:val="21"/>
                      <w:szCs w:val="24"/>
                    </w:rPr>
                    <w:t>HJ610-2016</w:t>
                  </w:r>
                  <w:r>
                    <w:rPr>
                      <w:rFonts w:hint="eastAsia" w:cs="Times New Roman"/>
                      <w:snapToGrid w:val="0"/>
                      <w:kern w:val="0"/>
                      <w:sz w:val="21"/>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93"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一般防渗区</w:t>
                  </w:r>
                </w:p>
              </w:tc>
              <w:tc>
                <w:tcPr>
                  <w:tcW w:w="1104" w:type="pct"/>
                  <w:vAlign w:val="center"/>
                </w:tcPr>
                <w:p>
                  <w:pPr>
                    <w:spacing w:line="240" w:lineRule="auto"/>
                    <w:ind w:firstLine="0" w:firstLineChars="0"/>
                    <w:textAlignment w:val="auto"/>
                    <w:rPr>
                      <w:rFonts w:cs="Times New Roman"/>
                      <w:sz w:val="21"/>
                      <w:szCs w:val="21"/>
                    </w:rPr>
                  </w:pPr>
                  <w:r>
                    <w:rPr>
                      <w:rFonts w:hint="eastAsia" w:cs="Times New Roman"/>
                      <w:sz w:val="21"/>
                      <w:szCs w:val="21"/>
                    </w:rPr>
                    <w:t>生产车间、原料库、成品库</w:t>
                  </w:r>
                </w:p>
              </w:tc>
              <w:tc>
                <w:tcPr>
                  <w:tcW w:w="2084" w:type="pct"/>
                  <w:vAlign w:val="center"/>
                </w:tcPr>
                <w:p>
                  <w:pPr>
                    <w:spacing w:line="240" w:lineRule="auto"/>
                    <w:ind w:firstLine="0" w:firstLineChars="0"/>
                    <w:jc w:val="center"/>
                    <w:textAlignment w:val="auto"/>
                    <w:rPr>
                      <w:rFonts w:cs="Times New Roman"/>
                      <w:sz w:val="21"/>
                      <w:szCs w:val="21"/>
                    </w:rPr>
                  </w:pPr>
                  <w:r>
                    <w:rPr>
                      <w:rFonts w:cs="Times New Roman"/>
                      <w:snapToGrid w:val="0"/>
                      <w:kern w:val="0"/>
                      <w:sz w:val="21"/>
                      <w:szCs w:val="24"/>
                    </w:rPr>
                    <w:t>等效黏土防渗层Mb≥1.5m，K≤1.0×10</w:t>
                  </w:r>
                  <w:r>
                    <w:rPr>
                      <w:rFonts w:cs="Times New Roman"/>
                      <w:snapToGrid w:val="0"/>
                      <w:kern w:val="0"/>
                      <w:sz w:val="21"/>
                      <w:szCs w:val="24"/>
                      <w:vertAlign w:val="superscript"/>
                    </w:rPr>
                    <w:t>-7</w:t>
                  </w:r>
                  <w:r>
                    <w:rPr>
                      <w:rFonts w:cs="Times New Roman"/>
                      <w:snapToGrid w:val="0"/>
                      <w:kern w:val="0"/>
                      <w:sz w:val="21"/>
                      <w:szCs w:val="24"/>
                    </w:rPr>
                    <w:t>cm/s；或参照GB16889执行</w:t>
                  </w:r>
                </w:p>
              </w:tc>
              <w:tc>
                <w:tcPr>
                  <w:tcW w:w="919" w:type="pct"/>
                  <w:vMerge w:val="continue"/>
                  <w:vAlign w:val="center"/>
                </w:tcPr>
                <w:p>
                  <w:pPr>
                    <w:spacing w:line="240" w:lineRule="auto"/>
                    <w:ind w:firstLine="0" w:firstLineChars="0"/>
                    <w:jc w:val="center"/>
                    <w:textAlignment w:val="auto"/>
                    <w:rPr>
                      <w:rFonts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93"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简单防渗区</w:t>
                  </w:r>
                </w:p>
              </w:tc>
              <w:tc>
                <w:tcPr>
                  <w:tcW w:w="1104" w:type="pct"/>
                  <w:vAlign w:val="center"/>
                </w:tcPr>
                <w:p>
                  <w:pPr>
                    <w:spacing w:line="240" w:lineRule="auto"/>
                    <w:ind w:firstLine="0" w:firstLineChars="0"/>
                    <w:jc w:val="center"/>
                    <w:textAlignment w:val="auto"/>
                    <w:rPr>
                      <w:rFonts w:cs="Times New Roman"/>
                      <w:sz w:val="21"/>
                      <w:szCs w:val="21"/>
                    </w:rPr>
                  </w:pPr>
                  <w:r>
                    <w:rPr>
                      <w:rFonts w:hint="eastAsia" w:cs="Times New Roman"/>
                      <w:sz w:val="21"/>
                      <w:szCs w:val="21"/>
                    </w:rPr>
                    <w:t>办公生活区</w:t>
                  </w:r>
                </w:p>
              </w:tc>
              <w:tc>
                <w:tcPr>
                  <w:tcW w:w="2084" w:type="pct"/>
                  <w:vAlign w:val="center"/>
                </w:tcPr>
                <w:p>
                  <w:pPr>
                    <w:widowControl/>
                    <w:spacing w:line="240" w:lineRule="auto"/>
                    <w:ind w:firstLine="0" w:firstLineChars="0"/>
                    <w:jc w:val="center"/>
                    <w:textAlignment w:val="auto"/>
                    <w:rPr>
                      <w:rFonts w:cs="Times New Roman"/>
                      <w:sz w:val="21"/>
                      <w:szCs w:val="21"/>
                    </w:rPr>
                  </w:pPr>
                  <w:r>
                    <w:rPr>
                      <w:rFonts w:cs="Times New Roman"/>
                      <w:snapToGrid w:val="0"/>
                      <w:kern w:val="0"/>
                      <w:sz w:val="21"/>
                      <w:szCs w:val="24"/>
                    </w:rPr>
                    <w:t>一般地面硬化</w:t>
                  </w:r>
                </w:p>
              </w:tc>
              <w:tc>
                <w:tcPr>
                  <w:tcW w:w="919" w:type="pct"/>
                  <w:vMerge w:val="continue"/>
                  <w:vAlign w:val="center"/>
                </w:tcPr>
                <w:p>
                  <w:pPr>
                    <w:spacing w:line="240" w:lineRule="auto"/>
                    <w:ind w:firstLine="0" w:firstLineChars="0"/>
                    <w:jc w:val="center"/>
                    <w:textAlignment w:val="auto"/>
                    <w:rPr>
                      <w:rFonts w:cs="Times New Roman"/>
                      <w:sz w:val="21"/>
                      <w:szCs w:val="21"/>
                    </w:rPr>
                  </w:pPr>
                </w:p>
              </w:tc>
            </w:tr>
          </w:tbl>
          <w:p>
            <w:pPr>
              <w:ind w:firstLine="480"/>
              <w:textAlignment w:val="auto"/>
            </w:pPr>
            <w:r>
              <w:rPr>
                <w:rFonts w:hint="eastAsia"/>
              </w:rPr>
              <w:t>由上述措施可知，本项目针对可能造成地下水和土壤污染影响的各途径均进行有效预防，在确保各项防控措施得以落实，并加强环境管理的前提下，可有效杜绝地下水和土壤污染。</w:t>
            </w:r>
          </w:p>
          <w:p>
            <w:pPr>
              <w:ind w:firstLine="480"/>
              <w:textAlignment w:val="auto"/>
            </w:pPr>
            <w:r>
              <w:rPr>
                <w:rFonts w:hint="eastAsia"/>
              </w:rPr>
              <w:t>综上所述，本项目在采取上述防控措施后，可有效防止地下水和土壤的污染。</w:t>
            </w:r>
          </w:p>
          <w:p>
            <w:pPr>
              <w:pStyle w:val="6"/>
            </w:pPr>
            <w:r>
              <w:rPr>
                <w:rFonts w:hint="eastAsia"/>
              </w:rPr>
              <w:t>4</w:t>
            </w:r>
            <w:r>
              <w:t>.4</w:t>
            </w:r>
            <w:r>
              <w:rPr>
                <w:rFonts w:hint="eastAsia"/>
              </w:rPr>
              <w:t>生态环境</w:t>
            </w:r>
          </w:p>
          <w:p>
            <w:pPr>
              <w:ind w:firstLine="480"/>
              <w:textAlignment w:val="auto"/>
            </w:pPr>
            <w:r>
              <w:t>项目占地范围内无生态环境保护目标，无生态环境影响</w:t>
            </w:r>
            <w:r>
              <w:rPr>
                <w:rFonts w:hint="eastAsia"/>
              </w:rPr>
              <w:t>。</w:t>
            </w:r>
          </w:p>
          <w:p>
            <w:pPr>
              <w:pStyle w:val="6"/>
              <w:rPr>
                <w:color w:val="000000" w:themeColor="text1"/>
                <w14:textFill>
                  <w14:solidFill>
                    <w14:schemeClr w14:val="tx1"/>
                  </w14:solidFill>
                </w14:textFill>
              </w:rPr>
            </w:pPr>
            <w:r>
              <w:rPr>
                <w:color w:val="000000" w:themeColor="text1"/>
                <w14:textFill>
                  <w14:solidFill>
                    <w14:schemeClr w14:val="tx1"/>
                  </w14:solidFill>
                </w14:textFill>
              </w:rPr>
              <w:t>4.5</w:t>
            </w:r>
            <w:r>
              <w:rPr>
                <w:rFonts w:hint="eastAsia"/>
                <w:color w:val="000000" w:themeColor="text1"/>
                <w14:textFill>
                  <w14:solidFill>
                    <w14:schemeClr w14:val="tx1"/>
                  </w14:solidFill>
                </w14:textFill>
              </w:rPr>
              <w:t>环境风险</w:t>
            </w:r>
          </w:p>
          <w:p>
            <w:pPr>
              <w:pStyle w:val="6"/>
              <w:rPr>
                <w:rFonts w:cs="Times New Roman"/>
              </w:rPr>
            </w:pPr>
            <w:r>
              <w:rPr>
                <w:rFonts w:cs="Times New Roman"/>
              </w:rPr>
              <w:t>4.5.1</w:t>
            </w:r>
            <w:r>
              <w:rPr>
                <w:rFonts w:hint="eastAsia"/>
              </w:rPr>
              <w:t>风险物质识别</w:t>
            </w:r>
          </w:p>
          <w:p>
            <w:pPr>
              <w:ind w:firstLine="480"/>
              <w:rPr>
                <w:rFonts w:cs="Times New Roman"/>
              </w:rPr>
            </w:pPr>
            <w:r>
              <w:rPr>
                <w:rFonts w:hint="eastAsia" w:cs="Times New Roman"/>
              </w:rPr>
              <w:t>本项目的环境风险物质包括沥青、导热油、废机油等。根据《建设项目环境风险评价技术导则》（HJ169-2018）附录B表B.1，本项目涉及危险物质的总量与临界量的比值详见下表。</w:t>
            </w:r>
          </w:p>
          <w:p>
            <w:pPr>
              <w:spacing w:line="240" w:lineRule="auto"/>
              <w:ind w:firstLine="211" w:firstLineChars="100"/>
              <w:jc w:val="center"/>
              <w:textAlignment w:val="auto"/>
              <w:rPr>
                <w:b/>
                <w:bCs/>
                <w:sz w:val="21"/>
                <w:szCs w:val="21"/>
              </w:rPr>
            </w:pPr>
            <w:r>
              <w:rPr>
                <w:rFonts w:hint="eastAsia"/>
                <w:b/>
                <w:bCs/>
                <w:sz w:val="21"/>
                <w:szCs w:val="21"/>
              </w:rPr>
              <w:t>表4-1</w:t>
            </w:r>
            <w:r>
              <w:rPr>
                <w:b/>
                <w:bCs/>
                <w:sz w:val="21"/>
                <w:szCs w:val="21"/>
              </w:rPr>
              <w:t xml:space="preserve">2  </w:t>
            </w:r>
            <w:r>
              <w:rPr>
                <w:rFonts w:hint="eastAsia"/>
                <w:b/>
                <w:bCs/>
                <w:sz w:val="21"/>
                <w:szCs w:val="21"/>
              </w:rPr>
              <w:t>危险化学品临界量一览表</w:t>
            </w:r>
          </w:p>
          <w:tbl>
            <w:tblPr>
              <w:tblStyle w:val="2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95"/>
              <w:gridCol w:w="1684"/>
              <w:gridCol w:w="2302"/>
              <w:gridCol w:w="1793"/>
              <w:gridCol w:w="21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8" w:hRule="exact"/>
                <w:jc w:val="center"/>
              </w:trPr>
              <w:tc>
                <w:tcPr>
                  <w:tcW w:w="458"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序号</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环境风险物质</w:t>
                  </w:r>
                </w:p>
              </w:tc>
              <w:tc>
                <w:tcPr>
                  <w:tcW w:w="1326"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厂区内最大贮存量（q）</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临界量（Q）</w:t>
                  </w:r>
                </w:p>
              </w:tc>
              <w:tc>
                <w:tcPr>
                  <w:tcW w:w="1213"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q/Q</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exact"/>
                <w:jc w:val="center"/>
              </w:trPr>
              <w:tc>
                <w:tcPr>
                  <w:tcW w:w="458"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1</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沥青</w:t>
                  </w:r>
                </w:p>
              </w:tc>
              <w:tc>
                <w:tcPr>
                  <w:tcW w:w="1326"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5</w:t>
                  </w:r>
                  <w:r>
                    <w:rPr>
                      <w:rFonts w:cs="Times New Roman"/>
                      <w:snapToGrid w:val="0"/>
                      <w:sz w:val="21"/>
                      <w:szCs w:val="24"/>
                    </w:rPr>
                    <w:t>50</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2</w:t>
                  </w:r>
                  <w:r>
                    <w:rPr>
                      <w:rFonts w:cs="Times New Roman"/>
                      <w:snapToGrid w:val="0"/>
                      <w:sz w:val="21"/>
                      <w:szCs w:val="24"/>
                    </w:rPr>
                    <w:t>500</w:t>
                  </w:r>
                </w:p>
              </w:tc>
              <w:tc>
                <w:tcPr>
                  <w:tcW w:w="121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0</w:t>
                  </w:r>
                  <w:r>
                    <w:rPr>
                      <w:rFonts w:cs="Times New Roman"/>
                      <w:snapToGrid w:val="0"/>
                      <w:sz w:val="21"/>
                      <w:szCs w:val="24"/>
                    </w:rPr>
                    <w:t>.22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exact"/>
                <w:jc w:val="center"/>
              </w:trPr>
              <w:tc>
                <w:tcPr>
                  <w:tcW w:w="458"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2</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导热油</w:t>
                  </w:r>
                </w:p>
              </w:tc>
              <w:tc>
                <w:tcPr>
                  <w:tcW w:w="1326"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2</w:t>
                  </w:r>
                  <w:r>
                    <w:rPr>
                      <w:rFonts w:cs="Times New Roman"/>
                      <w:snapToGrid w:val="0"/>
                      <w:sz w:val="21"/>
                      <w:szCs w:val="24"/>
                    </w:rPr>
                    <w:t>.0</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2</w:t>
                  </w:r>
                  <w:r>
                    <w:rPr>
                      <w:rFonts w:cs="Times New Roman"/>
                      <w:snapToGrid w:val="0"/>
                      <w:sz w:val="21"/>
                      <w:szCs w:val="24"/>
                    </w:rPr>
                    <w:t>500</w:t>
                  </w:r>
                </w:p>
              </w:tc>
              <w:tc>
                <w:tcPr>
                  <w:tcW w:w="121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0</w:t>
                  </w:r>
                  <w:r>
                    <w:rPr>
                      <w:rFonts w:cs="Times New Roman"/>
                      <w:snapToGrid w:val="0"/>
                      <w:sz w:val="21"/>
                      <w:szCs w:val="24"/>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exact"/>
                <w:jc w:val="center"/>
              </w:trPr>
              <w:tc>
                <w:tcPr>
                  <w:tcW w:w="458"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3</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废机油</w:t>
                  </w:r>
                </w:p>
              </w:tc>
              <w:tc>
                <w:tcPr>
                  <w:tcW w:w="1326"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0.1</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2</w:t>
                  </w:r>
                  <w:r>
                    <w:rPr>
                      <w:rFonts w:cs="Times New Roman"/>
                      <w:snapToGrid w:val="0"/>
                      <w:sz w:val="21"/>
                      <w:szCs w:val="24"/>
                    </w:rPr>
                    <w:t>500</w:t>
                  </w:r>
                </w:p>
              </w:tc>
              <w:tc>
                <w:tcPr>
                  <w:tcW w:w="121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0</w:t>
                  </w:r>
                  <w:r>
                    <w:rPr>
                      <w:rFonts w:cs="Times New Roman"/>
                      <w:snapToGrid w:val="0"/>
                      <w:sz w:val="21"/>
                      <w:szCs w:val="24"/>
                    </w:rPr>
                    <w:t>.00004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exact"/>
                <w:jc w:val="center"/>
              </w:trPr>
              <w:tc>
                <w:tcPr>
                  <w:tcW w:w="458"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4</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二甲苯</w:t>
                  </w:r>
                </w:p>
              </w:tc>
              <w:tc>
                <w:tcPr>
                  <w:tcW w:w="1326"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1.0</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1</w:t>
                  </w:r>
                  <w:r>
                    <w:rPr>
                      <w:rFonts w:cs="Times New Roman"/>
                      <w:snapToGrid w:val="0"/>
                      <w:sz w:val="21"/>
                      <w:szCs w:val="24"/>
                    </w:rPr>
                    <w:t>0</w:t>
                  </w:r>
                </w:p>
              </w:tc>
              <w:tc>
                <w:tcPr>
                  <w:tcW w:w="121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0</w:t>
                  </w:r>
                  <w:r>
                    <w:rPr>
                      <w:rFonts w:cs="Times New Roman"/>
                      <w:snapToGrid w:val="0"/>
                      <w:sz w:val="21"/>
                      <w:szCs w:val="24"/>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exact"/>
                <w:jc w:val="center"/>
              </w:trPr>
              <w:tc>
                <w:tcPr>
                  <w:tcW w:w="458"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5</w:t>
                  </w:r>
                </w:p>
              </w:tc>
              <w:tc>
                <w:tcPr>
                  <w:tcW w:w="970"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氨水</w:t>
                  </w:r>
                </w:p>
              </w:tc>
              <w:tc>
                <w:tcPr>
                  <w:tcW w:w="1326"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1.0</w:t>
                  </w:r>
                </w:p>
              </w:tc>
              <w:tc>
                <w:tcPr>
                  <w:tcW w:w="103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1</w:t>
                  </w:r>
                  <w:r>
                    <w:rPr>
                      <w:rFonts w:cs="Times New Roman"/>
                      <w:snapToGrid w:val="0"/>
                      <w:sz w:val="21"/>
                      <w:szCs w:val="24"/>
                    </w:rPr>
                    <w:t>0</w:t>
                  </w:r>
                </w:p>
              </w:tc>
              <w:tc>
                <w:tcPr>
                  <w:tcW w:w="1213" w:type="pct"/>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0</w:t>
                  </w:r>
                  <w:r>
                    <w:rPr>
                      <w:rFonts w:cs="Times New Roman"/>
                      <w:snapToGrid w:val="0"/>
                      <w:sz w:val="21"/>
                      <w:szCs w:val="24"/>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9" w:hRule="exact"/>
                <w:jc w:val="center"/>
              </w:trPr>
              <w:tc>
                <w:tcPr>
                  <w:tcW w:w="3787" w:type="pct"/>
                  <w:gridSpan w:val="4"/>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合计</w:t>
                  </w:r>
                </w:p>
              </w:tc>
              <w:tc>
                <w:tcPr>
                  <w:tcW w:w="1213" w:type="pct"/>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0.42084</w:t>
                  </w:r>
                </w:p>
              </w:tc>
            </w:tr>
          </w:tbl>
          <w:p>
            <w:pPr>
              <w:autoSpaceDE w:val="0"/>
              <w:autoSpaceDN w:val="0"/>
              <w:adjustRightInd w:val="0"/>
              <w:snapToGrid w:val="0"/>
              <w:ind w:firstLine="480"/>
              <w:rPr>
                <w:rFonts w:cs="Times New Roman"/>
                <w:bCs/>
              </w:rPr>
            </w:pPr>
            <w:r>
              <w:rPr>
                <w:rFonts w:cs="Times New Roman"/>
                <w:bCs/>
              </w:rPr>
              <w:t>根据上表结果，项目危险物质数量与临界量的比值Q=0.42084。</w:t>
            </w:r>
          </w:p>
          <w:p>
            <w:pPr>
              <w:autoSpaceDE w:val="0"/>
              <w:autoSpaceDN w:val="0"/>
              <w:adjustRightInd w:val="0"/>
              <w:snapToGrid w:val="0"/>
              <w:ind w:firstLine="480"/>
              <w:rPr>
                <w:rFonts w:cs="Times New Roman"/>
                <w:snapToGrid w:val="0"/>
                <w:kern w:val="0"/>
                <w:szCs w:val="24"/>
              </w:rPr>
            </w:pPr>
            <w:r>
              <w:rPr>
                <w:rFonts w:cs="Times New Roman"/>
                <w:bCs/>
              </w:rPr>
              <w:t>本项目危险物质数量与临界量比值Q＜1，因此，本项目的环境风险潜势为Ⅰ。根据《建设项目环境影响报告表编制技术指南（污染影响类）（试行）》中“表1专项评价设置原则表”的要求，本项目无</w:t>
            </w:r>
            <w:r>
              <w:rPr>
                <w:rFonts w:hint="eastAsia" w:cs="Times New Roman"/>
                <w:bCs/>
              </w:rPr>
              <w:t>须</w:t>
            </w:r>
            <w:r>
              <w:rPr>
                <w:rFonts w:cs="Times New Roman"/>
                <w:bCs/>
              </w:rPr>
              <w:t>设置环境风险专项评价。</w:t>
            </w:r>
          </w:p>
          <w:p>
            <w:pPr>
              <w:keepNext/>
              <w:spacing w:before="163" w:beforeLines="50" w:line="240" w:lineRule="auto"/>
              <w:ind w:firstLine="422"/>
              <w:jc w:val="center"/>
              <w:rPr>
                <w:rFonts w:cs="Times New Roman"/>
                <w:b/>
                <w:snapToGrid w:val="0"/>
                <w:sz w:val="21"/>
              </w:rPr>
            </w:pPr>
            <w:r>
              <w:rPr>
                <w:rFonts w:hint="eastAsia" w:cs="Times New Roman"/>
                <w:b/>
                <w:snapToGrid w:val="0"/>
                <w:sz w:val="21"/>
              </w:rPr>
              <w:t>表</w:t>
            </w:r>
            <w:r>
              <w:rPr>
                <w:rFonts w:cs="Times New Roman"/>
                <w:b/>
                <w:snapToGrid w:val="0"/>
                <w:sz w:val="21"/>
              </w:rPr>
              <w:t xml:space="preserve">4-13  </w:t>
            </w:r>
            <w:r>
              <w:rPr>
                <w:rFonts w:hint="eastAsia" w:cs="Times New Roman"/>
                <w:b/>
                <w:snapToGrid w:val="0"/>
                <w:sz w:val="21"/>
              </w:rPr>
              <w:t>评价工作等级划分</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550"/>
              <w:gridCol w:w="1792"/>
              <w:gridCol w:w="2181"/>
              <w:gridCol w:w="15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02" w:type="pct"/>
                  <w:tcBorders>
                    <w:top w:val="single" w:color="auto" w:sz="12" w:space="0"/>
                    <w:left w:val="single" w:color="auto" w:sz="12"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环境风险潜势</w:t>
                  </w:r>
                </w:p>
              </w:tc>
              <w:tc>
                <w:tcPr>
                  <w:tcW w:w="893" w:type="pc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Ⅳ+</w:t>
                  </w:r>
                  <w:r>
                    <w:rPr>
                      <w:rFonts w:hint="eastAsia" w:cs="Times New Roman"/>
                      <w:snapToGrid w:val="0"/>
                      <w:sz w:val="21"/>
                      <w:szCs w:val="24"/>
                    </w:rPr>
                    <w:t>、</w:t>
                  </w:r>
                  <w:r>
                    <w:rPr>
                      <w:rFonts w:cs="Times New Roman"/>
                      <w:snapToGrid w:val="0"/>
                      <w:sz w:val="21"/>
                      <w:szCs w:val="24"/>
                    </w:rPr>
                    <w:t>Ⅳ</w:t>
                  </w:r>
                </w:p>
              </w:tc>
              <w:tc>
                <w:tcPr>
                  <w:tcW w:w="1032" w:type="pc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Ⅲ</w:t>
                  </w:r>
                </w:p>
              </w:tc>
              <w:tc>
                <w:tcPr>
                  <w:tcW w:w="1256" w:type="pct"/>
                  <w:tcBorders>
                    <w:top w:val="single" w:color="auto" w:sz="12"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Ⅱ</w:t>
                  </w:r>
                </w:p>
              </w:tc>
              <w:tc>
                <w:tcPr>
                  <w:tcW w:w="917" w:type="pct"/>
                  <w:tcBorders>
                    <w:top w:val="single" w:color="auto" w:sz="12" w:space="0"/>
                    <w:left w:val="single" w:color="auto" w:sz="6" w:space="0"/>
                    <w:bottom w:val="single" w:color="auto" w:sz="6" w:space="0"/>
                    <w:right w:val="single" w:color="auto" w:sz="12" w:space="0"/>
                  </w:tcBorders>
                  <w:shd w:val="clear" w:color="auto" w:fill="E7E6E6" w:themeFill="background2"/>
                  <w:vAlign w:val="center"/>
                </w:tcPr>
                <w:p>
                  <w:pPr>
                    <w:spacing w:line="240" w:lineRule="auto"/>
                    <w:ind w:firstLine="0" w:firstLineChars="0"/>
                    <w:jc w:val="center"/>
                    <w:rPr>
                      <w:rFonts w:cs="Times New Roman"/>
                      <w:snapToGrid w:val="0"/>
                      <w:sz w:val="21"/>
                      <w:szCs w:val="24"/>
                    </w:rPr>
                  </w:pPr>
                  <w:r>
                    <w:rPr>
                      <w:rFonts w:cs="Times New Roman"/>
                      <w:snapToGrid w:val="0"/>
                      <w:sz w:val="21"/>
                      <w:szCs w:val="24"/>
                    </w:rPr>
                    <w:t>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02" w:type="pct"/>
                  <w:tcBorders>
                    <w:top w:val="single" w:color="auto" w:sz="6" w:space="0"/>
                    <w:left w:val="single" w:color="auto" w:sz="12"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评价工作等级</w:t>
                  </w:r>
                </w:p>
              </w:tc>
              <w:tc>
                <w:tcPr>
                  <w:tcW w:w="893"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一</w:t>
                  </w:r>
                </w:p>
              </w:tc>
              <w:tc>
                <w:tcPr>
                  <w:tcW w:w="1032"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二</w:t>
                  </w:r>
                </w:p>
              </w:tc>
              <w:tc>
                <w:tcPr>
                  <w:tcW w:w="1256"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三</w:t>
                  </w:r>
                </w:p>
              </w:tc>
              <w:tc>
                <w:tcPr>
                  <w:tcW w:w="917" w:type="pct"/>
                  <w:tcBorders>
                    <w:top w:val="single" w:color="auto" w:sz="6" w:space="0"/>
                    <w:left w:val="single" w:color="auto" w:sz="6" w:space="0"/>
                    <w:bottom w:val="single" w:color="auto" w:sz="6" w:space="0"/>
                    <w:right w:val="single" w:color="auto" w:sz="12" w:space="0"/>
                  </w:tcBorders>
                  <w:shd w:val="clear" w:color="auto" w:fill="E7E6E6" w:themeFill="background2"/>
                  <w:vAlign w:val="center"/>
                </w:tcPr>
                <w:p>
                  <w:pPr>
                    <w:spacing w:line="240" w:lineRule="auto"/>
                    <w:ind w:firstLine="0" w:firstLineChars="0"/>
                    <w:jc w:val="center"/>
                    <w:rPr>
                      <w:rFonts w:cs="Times New Roman"/>
                      <w:snapToGrid w:val="0"/>
                      <w:sz w:val="21"/>
                      <w:szCs w:val="24"/>
                    </w:rPr>
                  </w:pPr>
                  <w:r>
                    <w:rPr>
                      <w:rFonts w:hint="eastAsia" w:cs="Times New Roman"/>
                      <w:snapToGrid w:val="0"/>
                      <w:sz w:val="21"/>
                      <w:szCs w:val="24"/>
                    </w:rPr>
                    <w:t>简单分析</w:t>
                  </w:r>
                  <w:r>
                    <w:rPr>
                      <w:rFonts w:cs="Times New Roman"/>
                      <w:snapToGrid w:val="0"/>
                      <w:sz w:val="21"/>
                      <w:szCs w:val="24"/>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000" w:type="pct"/>
                  <w:gridSpan w:val="5"/>
                  <w:tcBorders>
                    <w:top w:val="single" w:color="auto" w:sz="6" w:space="0"/>
                    <w:left w:val="single" w:color="auto" w:sz="12" w:space="0"/>
                    <w:bottom w:val="single" w:color="auto" w:sz="12" w:space="0"/>
                    <w:right w:val="single" w:color="auto" w:sz="12" w:space="0"/>
                  </w:tcBorders>
                  <w:vAlign w:val="center"/>
                </w:tcPr>
                <w:p>
                  <w:pPr>
                    <w:spacing w:line="240" w:lineRule="auto"/>
                    <w:ind w:firstLine="0" w:firstLineChars="0"/>
                    <w:rPr>
                      <w:rFonts w:cs="Times New Roman"/>
                      <w:snapToGrid w:val="0"/>
                      <w:sz w:val="21"/>
                      <w:szCs w:val="24"/>
                    </w:rPr>
                  </w:pPr>
                  <w:r>
                    <w:rPr>
                      <w:rFonts w:cs="Times New Roman"/>
                      <w:snapToGrid w:val="0"/>
                      <w:sz w:val="21"/>
                      <w:szCs w:val="24"/>
                    </w:rPr>
                    <w:t>a</w:t>
                  </w:r>
                  <w:r>
                    <w:rPr>
                      <w:rFonts w:hint="eastAsia" w:cs="Times New Roman"/>
                      <w:snapToGrid w:val="0"/>
                      <w:sz w:val="21"/>
                      <w:szCs w:val="24"/>
                    </w:rPr>
                    <w:t>是相对于详细评价工作内容而言，在描述危险物质、环境影响途径、环境危害后果、风险防范措施等方面给出定性的说明。见附录</w:t>
                  </w:r>
                  <w:r>
                    <w:rPr>
                      <w:rFonts w:cs="Times New Roman"/>
                      <w:snapToGrid w:val="0"/>
                      <w:sz w:val="21"/>
                      <w:szCs w:val="24"/>
                    </w:rPr>
                    <w:t>A.</w:t>
                  </w:r>
                </w:p>
              </w:tc>
            </w:tr>
          </w:tbl>
          <w:p>
            <w:pPr>
              <w:ind w:firstLine="0" w:firstLineChars="0"/>
              <w:textAlignment w:val="auto"/>
              <w:rPr>
                <w:rFonts w:cs="Times New Roman"/>
                <w:b/>
                <w:bCs/>
                <w:kern w:val="0"/>
                <w:szCs w:val="24"/>
              </w:rPr>
            </w:pPr>
            <w:r>
              <w:rPr>
                <w:rFonts w:hint="eastAsia" w:cs="Times New Roman"/>
                <w:b/>
                <w:bCs/>
                <w:kern w:val="0"/>
                <w:szCs w:val="24"/>
              </w:rPr>
              <w:t>4.</w:t>
            </w:r>
            <w:r>
              <w:rPr>
                <w:rFonts w:cs="Times New Roman"/>
                <w:b/>
                <w:bCs/>
                <w:kern w:val="0"/>
                <w:szCs w:val="24"/>
              </w:rPr>
              <w:t>5</w:t>
            </w:r>
            <w:r>
              <w:rPr>
                <w:rFonts w:hint="eastAsia" w:cs="Times New Roman"/>
                <w:b/>
                <w:bCs/>
                <w:kern w:val="0"/>
                <w:szCs w:val="24"/>
              </w:rPr>
              <w:t>.3环境风险识别</w:t>
            </w:r>
          </w:p>
          <w:p>
            <w:pPr>
              <w:ind w:firstLine="480"/>
              <w:rPr>
                <w:rFonts w:cs="Times New Roman"/>
                <w:bCs/>
              </w:rPr>
            </w:pPr>
            <w:r>
              <w:rPr>
                <w:rFonts w:hint="eastAsia" w:cs="Times New Roman"/>
                <w:bCs/>
              </w:rPr>
              <w:t>项目在生产过程中，可能发生环境风险事故的环节包括：涉及危险物质的存储和使用过程，可能发生泄漏、火灾；废气治理设施故障或损坏，造成污染物未经处理排放等。</w:t>
            </w:r>
          </w:p>
          <w:p>
            <w:pPr>
              <w:ind w:firstLine="0" w:firstLineChars="0"/>
              <w:textAlignment w:val="auto"/>
              <w:rPr>
                <w:rFonts w:cs="Times New Roman"/>
                <w:b/>
                <w:bCs/>
                <w:kern w:val="0"/>
                <w:szCs w:val="24"/>
              </w:rPr>
            </w:pPr>
            <w:r>
              <w:rPr>
                <w:rFonts w:cs="Times New Roman"/>
                <w:b/>
                <w:bCs/>
                <w:kern w:val="0"/>
                <w:szCs w:val="24"/>
              </w:rPr>
              <w:t>4.5.</w:t>
            </w:r>
            <w:r>
              <w:rPr>
                <w:rFonts w:hint="eastAsia" w:cs="Times New Roman"/>
                <w:b/>
                <w:bCs/>
                <w:kern w:val="0"/>
                <w:szCs w:val="24"/>
              </w:rPr>
              <w:t>4环境风险影响分析</w:t>
            </w:r>
          </w:p>
          <w:p>
            <w:pPr>
              <w:ind w:firstLine="480"/>
            </w:pPr>
            <w:r>
              <w:rPr>
                <w:rFonts w:hint="eastAsia"/>
              </w:rPr>
              <w:t>本项目运营过程中涉及危险物质的储存和使用，主要环境风险为泄漏及其引发的火灾、爆炸等次生事故：</w:t>
            </w:r>
          </w:p>
          <w:p>
            <w:pPr>
              <w:ind w:firstLine="480"/>
            </w:pPr>
            <w:r>
              <w:rPr>
                <w:rFonts w:hint="eastAsia"/>
              </w:rPr>
              <w:t>1、泄漏风险分析</w:t>
            </w:r>
          </w:p>
          <w:p>
            <w:pPr>
              <w:ind w:firstLine="480"/>
            </w:pPr>
            <w:r>
              <w:rPr>
                <w:rFonts w:hint="eastAsia"/>
              </w:rPr>
              <w:t>导热油在加热系统管道内循环运行，若管道、阀门因腐蚀或老化破裂，可能导致高温导热油泄漏。导热油渗透性强，泄漏后可能污染厂区土壤及地下水。沥青储罐或输送管道破损可能导致液态沥青泄漏，沥青在高温下呈液态，冷却后迅速凝固，泄漏的热沥青可能灼伤人员，凝固后堵塞排水系统，清理困难；在降雨条件下，污染物可能随雨水径流漫流，若不慎流出厂界将污染周边水体。二甲苯液体具有毒性和渗透性，泄漏后易污染土壤和地下水；其蒸气比空气重，易在低洼处积聚，存在爆炸风险。氨水（25%）具有刺激性和腐蚀性，泄漏时会挥发释放氨气，对周围环境造成污染。</w:t>
            </w:r>
          </w:p>
          <w:p>
            <w:pPr>
              <w:ind w:firstLine="480"/>
              <w:rPr>
                <w:rFonts w:cs="Times New Roman"/>
              </w:rPr>
            </w:pPr>
            <w:r>
              <w:rPr>
                <w:rFonts w:cs="Times New Roman"/>
              </w:rPr>
              <w:t>2、火灾及次生风险分析</w:t>
            </w:r>
          </w:p>
          <w:p>
            <w:pPr>
              <w:ind w:firstLine="480"/>
              <w:rPr>
                <w:rFonts w:cs="Times New Roman"/>
              </w:rPr>
            </w:pPr>
            <w:r>
              <w:rPr>
                <w:rFonts w:hint="eastAsia" w:cs="Times New Roman"/>
              </w:rPr>
              <w:t>导热油、沥青、废机油和二甲苯均具有可燃性或易燃性。导热油系统运行温度高（通常&gt;200℃），泄漏后遇空气极易自燃或遇火源迅速燃烧，火势蔓延快。沥青闪点较高，但遇明火仍可燃，燃烧时会产生大量黑烟，释放一氧化碳、氮氧化物、硫化氢及多环芳烃（如苯并[a]芘）等有毒有害气体。废机油闪点相对较低，挥发的油气与空气混合后遇明火或火花可能引发火灾。二甲苯蒸气与空气可形成爆炸性混合物，遇明火或高热极易燃烧爆炸，燃烧分解产生一氧化碳和碳氢化合物等有毒烟气。氨水（25%）本身不易燃烧，但受热或遇火源时会分解释放出氨气，氨气与空气混合达到一定浓度遇明火有发生爆炸的风险，且挥发的氨气会对周边大气环境造成污染，并伴有刺激性气味。火灾事故可能产生消防废水，其中含有油类污染物和燃烧残留物，若未及时收集，可能随地表径流外排，污染周边地表水体和地下水，造成二次污染</w:t>
            </w:r>
            <w:r>
              <w:rPr>
                <w:rFonts w:cs="Times New Roman"/>
              </w:rPr>
              <w:t>。</w:t>
            </w:r>
          </w:p>
          <w:p>
            <w:pPr>
              <w:ind w:firstLine="480"/>
              <w:rPr>
                <w:rFonts w:cs="Times New Roman"/>
              </w:rPr>
            </w:pPr>
            <w:r>
              <w:rPr>
                <w:rFonts w:cs="Times New Roman"/>
              </w:rPr>
              <w:t>（3）风险防范措施及结论</w:t>
            </w:r>
          </w:p>
          <w:p>
            <w:pPr>
              <w:ind w:firstLine="480"/>
              <w:rPr>
                <w:rFonts w:cs="Times New Roman"/>
                <w:color w:val="0F1115"/>
                <w:shd w:val="clear" w:color="auto" w:fill="FFFFFF"/>
              </w:rPr>
            </w:pPr>
            <w:r>
              <w:rPr>
                <w:rFonts w:hint="eastAsia" w:cs="Times New Roman"/>
                <w:color w:val="0F1115"/>
                <w:shd w:val="clear" w:color="auto" w:fill="FFFFFF"/>
              </w:rPr>
              <w:t>企业对本项目涉及的危险物质（导热油、沥青、废机油、二甲苯及25%氨水）在储存和使用过程中均采取有效的防泄漏、防渗漏和防火措施，储罐区及使用区域地面进行防渗处理，配备泄漏收集设施和应急物资，设置禁火标识及消防器材。危险废物贮存库按《危险废物贮存污染控制标准》（GB18597-2023）要求建设。企业定期委托有资质单位清运处置各类危险废物，并制定突发环境事件应急预案，配备应急物资，定期组织培训和演练。</w:t>
            </w:r>
          </w:p>
          <w:p>
            <w:pPr>
              <w:ind w:firstLine="480"/>
              <w:rPr>
                <w:rFonts w:cs="Times New Roman"/>
              </w:rPr>
            </w:pPr>
            <w:r>
              <w:rPr>
                <w:rFonts w:hint="eastAsia" w:cs="Times New Roman"/>
                <w:color w:val="0F1115"/>
                <w:shd w:val="clear" w:color="auto" w:fill="FFFFFF"/>
              </w:rPr>
              <w:t>本项目各危险物质储量均低于《建设项目环境风险评价技术导则》（</w:t>
            </w:r>
            <w:r>
              <w:rPr>
                <w:rFonts w:cs="Times New Roman"/>
                <w:color w:val="0F1115"/>
                <w:shd w:val="clear" w:color="auto" w:fill="FFFFFF"/>
              </w:rPr>
              <w:t>HJ169-2018</w:t>
            </w:r>
            <w:r>
              <w:rPr>
                <w:rFonts w:hint="eastAsia" w:cs="Times New Roman"/>
                <w:color w:val="0F1115"/>
                <w:shd w:val="clear" w:color="auto" w:fill="FFFFFF"/>
              </w:rPr>
              <w:t>）中规定的临界量，Q值＜1。在严格落实上述防范措施及应急预案的前提下，发生泄漏或火灾事故的概率较低，事故影响范围可控制在厂区内，在落实防范措施的前提下，不会对周边居民及外部水环境造成明显影响，环境风险可接受</w:t>
            </w:r>
            <w:r>
              <w:rPr>
                <w:rFonts w:cs="Times New Roman"/>
                <w:color w:val="0F1115"/>
                <w:shd w:val="clear" w:color="auto" w:fill="FFFFFF"/>
              </w:rPr>
              <w:t>。</w:t>
            </w:r>
          </w:p>
          <w:p>
            <w:pPr>
              <w:ind w:firstLine="0" w:firstLineChars="0"/>
              <w:rPr>
                <w:b/>
                <w:bCs/>
              </w:rPr>
            </w:pPr>
            <w:r>
              <w:rPr>
                <w:rFonts w:hint="eastAsia"/>
                <w:b/>
                <w:bCs/>
              </w:rPr>
              <w:t>4.</w:t>
            </w:r>
            <w:r>
              <w:rPr>
                <w:b/>
                <w:bCs/>
              </w:rPr>
              <w:t>5</w:t>
            </w:r>
            <w:r>
              <w:rPr>
                <w:rFonts w:hint="eastAsia"/>
                <w:b/>
                <w:bCs/>
              </w:rPr>
              <w:t>.5环境风险应急预案</w:t>
            </w:r>
          </w:p>
          <w:p>
            <w:pPr>
              <w:ind w:firstLine="480"/>
            </w:pPr>
            <w:r>
              <w:rPr>
                <w:rFonts w:hint="eastAsia"/>
              </w:rPr>
              <w:t>该项目应结合各阶段的实际情况编制环境风险事故应急预案，其主要内容包括</w:t>
            </w:r>
            <w:r>
              <w:t>：</w:t>
            </w:r>
          </w:p>
          <w:p>
            <w:pPr>
              <w:ind w:firstLine="480"/>
            </w:pPr>
            <w:r>
              <w:rPr>
                <w:rFonts w:hint="eastAsia"/>
              </w:rPr>
              <w:t>（1）说明工程所处的地理位置及周边情况（各环境敏感目标、农户情况、当地气象条件等）、项目所在地现状、道路及运输情况等内容。</w:t>
            </w:r>
          </w:p>
          <w:p>
            <w:pPr>
              <w:ind w:firstLine="480"/>
            </w:pPr>
            <w:r>
              <w:rPr>
                <w:rFonts w:hint="eastAsia"/>
              </w:rPr>
              <w:t>（2）明确各阶段环境风险源的基本情况，包括导热油系统、沥青储罐及输送管道、废机油贮存库的位置、数量、风险物质特性及可能发生的事故类型。</w:t>
            </w:r>
          </w:p>
          <w:p>
            <w:pPr>
              <w:ind w:firstLine="480"/>
            </w:pPr>
            <w:r>
              <w:rPr>
                <w:rFonts w:hint="eastAsia"/>
              </w:rPr>
              <w:t>（3）建立应急救援指挥机构，明确其职责，并确定通讯联络和联络方式。</w:t>
            </w:r>
          </w:p>
          <w:p>
            <w:pPr>
              <w:ind w:firstLine="480"/>
            </w:pPr>
            <w:r>
              <w:rPr>
                <w:rFonts w:hint="eastAsia"/>
              </w:rPr>
              <w:t>（4）明确必要的应急装备和设施，如围堰、集油沟、泄漏收集托盘、吸附材料、消防沙、灭火器等。</w:t>
            </w:r>
          </w:p>
          <w:p>
            <w:pPr>
              <w:ind w:firstLine="480"/>
            </w:pPr>
            <w:r>
              <w:rPr>
                <w:rFonts w:hint="eastAsia"/>
              </w:rPr>
              <w:t>（5）组织应急救援专业队伍，明确任务及救援程序，并经常进行训练和演习。</w:t>
            </w:r>
          </w:p>
          <w:p>
            <w:pPr>
              <w:ind w:firstLine="480"/>
            </w:pPr>
            <w:r>
              <w:rPr>
                <w:rFonts w:hint="eastAsia"/>
              </w:rPr>
              <w:t>（6）制定各类环境风险事故的应急处置方案和救援程序，包括导热油泄漏、沥青泄漏、废机油泄漏及火灾爆炸等情景。</w:t>
            </w:r>
          </w:p>
          <w:p>
            <w:pPr>
              <w:ind w:firstLine="480"/>
            </w:pPr>
            <w:r>
              <w:rPr>
                <w:rFonts w:hint="eastAsia"/>
              </w:rPr>
              <w:t>（7）建立汇报和协调程序。事故发生后，立即按程序汇报，并配合环境监测部门对事故现场及影响区域进行跟踪监测。</w:t>
            </w:r>
          </w:p>
          <w:p>
            <w:pPr>
              <w:ind w:firstLine="480"/>
            </w:pPr>
            <w:r>
              <w:rPr>
                <w:rFonts w:hint="eastAsia"/>
              </w:rPr>
              <w:t>（8）发生事故后，抢险人员应根据事先拟定的方案，在做好个人防护的技术基础上，以最快的速度及时堵漏排险、消灭事故。</w:t>
            </w:r>
          </w:p>
          <w:p>
            <w:pPr>
              <w:ind w:firstLine="480"/>
            </w:pPr>
            <w:r>
              <w:rPr>
                <w:rFonts w:hint="eastAsia"/>
              </w:rPr>
              <w:t>（9）发生重大事故可能对人群安全构成威胁时，必须在指挥部统一指挥下，紧急疏散与事故应急救援无关的人员，疏散方向、距离和集中地点，必须根据不同事故，作出具体规定。总的原则是疏散安全点处于当时的上风向。</w:t>
            </w:r>
          </w:p>
          <w:p>
            <w:pPr>
              <w:ind w:firstLine="480"/>
            </w:pPr>
            <w:r>
              <w:rPr>
                <w:rFonts w:hint="eastAsia"/>
              </w:rPr>
              <w:t>（10）对应急救援人员进行培训，对社会或周边人员应急响应知识的宣传，必要时组织多方人员参与培训和应急演练。</w:t>
            </w:r>
          </w:p>
          <w:p>
            <w:pPr>
              <w:ind w:firstLine="480"/>
            </w:pPr>
            <w:r>
              <w:rPr>
                <w:rFonts w:hint="eastAsia"/>
              </w:rPr>
              <w:t>（11）明确演练计划和方式</w:t>
            </w:r>
            <w:r>
              <w:t>。</w:t>
            </w:r>
          </w:p>
          <w:p>
            <w:pPr>
              <w:ind w:firstLine="480"/>
            </w:pPr>
            <w:r>
              <w:rPr>
                <w:rFonts w:hint="eastAsia"/>
              </w:rPr>
              <w:t>①当导热油系统发生泄漏时，应立即切断加热源和循环泵，关闭相关阀门，隔离泄漏区。操作人员佩戴防护装备，使用吸附材料或防爆工具进行围堵和回收。</w:t>
            </w:r>
          </w:p>
          <w:p>
            <w:pPr>
              <w:ind w:firstLine="480"/>
            </w:pPr>
            <w:r>
              <w:rPr>
                <w:rFonts w:hint="eastAsia"/>
              </w:rPr>
              <w:t>②当沥青储罐或管道发生泄漏时，应迅速切断泄漏源，用沙土或专用吸附材料围堵，防止沥青扩散。沥青冷却凝固后，采用铲除方式清理，清理后的固态沥青按危险废物处置。泄漏区域禁止明火，避免引燃。</w:t>
            </w:r>
          </w:p>
          <w:p>
            <w:pPr>
              <w:ind w:firstLine="480"/>
            </w:pPr>
            <w:r>
              <w:rPr>
                <w:rFonts w:hint="eastAsia"/>
              </w:rPr>
              <w:t>③当废机油外溢时，应及时围堵，并及时进行清理。对受泄漏废机油污染的土壤进行清理和置换，确保不受影响。</w:t>
            </w:r>
          </w:p>
          <w:p>
            <w:pPr>
              <w:ind w:firstLine="480"/>
            </w:pPr>
            <w:r>
              <w:rPr>
                <w:rFonts w:hint="eastAsia"/>
              </w:rPr>
              <w:t>④发生导热油、沥青或废机油火灾时，立即报警并启动消防设施。使用干粉灭火器、消防沙灭火，严禁直接用水冲击油类火灾，避免火势扩大。同时疏散周边人员，隔离火场。灭火产生的消防废水应围堵收集，不得外排。</w:t>
            </w:r>
          </w:p>
          <w:p>
            <w:pPr>
              <w:ind w:firstLine="480"/>
            </w:pPr>
            <w:r>
              <w:rPr>
                <w:rFonts w:hint="eastAsia"/>
              </w:rPr>
              <w:t>⑤企业要按规定向公众和员工广泛宣传应急救援有关法律法规和事故预防、避险、避灾、自救、互救的常识。</w:t>
            </w:r>
          </w:p>
          <w:p>
            <w:pPr>
              <w:ind w:firstLine="480"/>
            </w:pPr>
            <w:r>
              <w:rPr>
                <w:rFonts w:hint="eastAsia"/>
              </w:rPr>
              <w:t>⑥有关应急救援队伍按照有关规定参加业务培训；企业按照有关规定对员工进行应急培训，重点培训导热油高温泄漏防护、沥青烫伤急救、废机油泄漏处置及灭火器使用方法。</w:t>
            </w:r>
          </w:p>
          <w:p>
            <w:pPr>
              <w:ind w:firstLine="480"/>
            </w:pPr>
            <w:r>
              <w:rPr>
                <w:rFonts w:hint="eastAsia"/>
              </w:rPr>
              <w:t>⑦企业每年至少组织一次综合事故应急演习（涵盖泄漏和火灾场景），并将演习总结报应急办公室。</w:t>
            </w:r>
          </w:p>
          <w:p>
            <w:pPr>
              <w:ind w:firstLine="0" w:firstLineChars="0"/>
              <w:rPr>
                <w:b/>
                <w:bCs/>
              </w:rPr>
            </w:pPr>
            <w:r>
              <w:rPr>
                <w:rFonts w:hint="eastAsia"/>
                <w:b/>
                <w:bCs/>
              </w:rPr>
              <w:t>4.</w:t>
            </w:r>
            <w:r>
              <w:rPr>
                <w:b/>
                <w:bCs/>
              </w:rPr>
              <w:t>5</w:t>
            </w:r>
            <w:r>
              <w:rPr>
                <w:rFonts w:hint="eastAsia"/>
                <w:b/>
                <w:bCs/>
              </w:rPr>
              <w:t>.6环境风险防范措施</w:t>
            </w:r>
          </w:p>
          <w:p>
            <w:pPr>
              <w:ind w:firstLine="480"/>
            </w:pPr>
            <w:r>
              <w:rPr>
                <w:rFonts w:hint="eastAsia"/>
              </w:rPr>
              <w:t>为进一步降低环境风险，提升应急响应能力，现补充和完善以下风险防范措施：</w:t>
            </w:r>
          </w:p>
          <w:p>
            <w:pPr>
              <w:ind w:firstLine="480"/>
            </w:pPr>
            <w:r>
              <w:rPr>
                <w:rFonts w:hint="eastAsia"/>
              </w:rPr>
              <w:t>①贮存管理规范化</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导热油系统：管道、阀门选用耐高温、耐腐蚀材质，检测壁厚及密封性，设置自动报警和紧急切断装置。</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沥青储罐：储罐区设置围堰（容积不小于最大单罐容积），罐体设液位计和高液位报警，输送管道采用双层管或防漏套管。</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废机油：贮存于重点防渗的专用区域内，设置围堰及集液沟，使用密闭、耐腐蚀的专用容器并检查。各区域均应张贴风险物质种类、数量及应急措施的标识，建立规范的管理台账。</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②火灾预防与消防保障</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各风险区域严禁烟火，导热油系统和沥青储罐区设置“严禁烟火”“高温危险”等警示标志。</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厂区配备足量干粉灭火器、消防沙箱、消防栓等设施，检查维护，确保完好可用。</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导热油系统和沥青储罐区设置火灾自动报警系统和手动报警按钮，并与厂区值班室联动，实现快速响应。</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③人员培训与制度建设</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对相关岗位员工开展危险物质管理和应急处置专项培训，每年至少组织一次消防与泄漏应急演练，提高实战能力。</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建立岗位责任制和日常巡查制度，每日检查管道阀门密封性、储罐液位、防渗设施完整性及消防器材状态，发现问题及时整改。</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所有操作人员须经考核合格后持证上岗，严格执行操作规程，杜绝人为失误。</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④联防联控机制</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与当地生态环境部门、消防机构建立信息通报机制，发生重大风险事件时能够迅速联动处置。</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委托有资质的第三方单位清运废机油及废导热油。</w:t>
            </w:r>
          </w:p>
          <w:p>
            <w:pPr>
              <w:ind w:firstLine="480"/>
              <w:rPr>
                <w:rFonts w:ascii="Segoe UI" w:hAnsi="Segoe UI" w:cs="Segoe UI"/>
                <w:color w:val="0F1115"/>
                <w:shd w:val="clear" w:color="auto" w:fill="FFFFFF"/>
              </w:rPr>
            </w:pPr>
            <w:r>
              <w:rPr>
                <w:rFonts w:hint="eastAsia" w:ascii="Segoe UI" w:hAnsi="Segoe UI" w:cs="Segoe UI"/>
                <w:color w:val="0F1115"/>
                <w:shd w:val="clear" w:color="auto" w:fill="FFFFFF"/>
              </w:rPr>
              <w:t>综上所述，虽然本项目涉及导热油、沥青和废机油等可燃及有毒有害物质，存在泄漏和火灾等潜在环境风险，但通过采取严格的源头控制、过程监管、末端防控和应急管理措施，可显著降低事故发生概率和环境影响程度。在全面落实上述风险防范措施的基础上，项目的环境风险水平可控，不会对周边环境和人群健康造成显著影响。</w:t>
            </w:r>
          </w:p>
          <w:p>
            <w:pPr>
              <w:ind w:firstLine="0" w:firstLineChars="0"/>
              <w:rPr>
                <w:b/>
              </w:rPr>
            </w:pPr>
            <w:r>
              <w:rPr>
                <w:rFonts w:hint="eastAsia"/>
                <w:b/>
              </w:rPr>
              <w:t>4.</w:t>
            </w:r>
            <w:r>
              <w:rPr>
                <w:b/>
              </w:rPr>
              <w:t>5</w:t>
            </w:r>
            <w:r>
              <w:rPr>
                <w:rFonts w:hint="eastAsia"/>
                <w:b/>
              </w:rPr>
              <w:t>.7环境风险分析结论及建议</w:t>
            </w:r>
          </w:p>
          <w:p>
            <w:pPr>
              <w:ind w:firstLine="480"/>
            </w:pPr>
            <w:r>
              <w:t>本项目存在一定环境风险，但在全面落实各项风险防范措施和应急预案的前提下，环境风险可控</w:t>
            </w:r>
            <w:r>
              <w:rPr>
                <w:rFonts w:hint="eastAsia"/>
              </w:rPr>
              <w:t>。</w:t>
            </w:r>
          </w:p>
          <w:p>
            <w:pPr>
              <w:spacing w:line="240" w:lineRule="auto"/>
              <w:ind w:firstLine="211" w:firstLineChars="100"/>
              <w:jc w:val="center"/>
              <w:textAlignment w:val="auto"/>
              <w:rPr>
                <w:b/>
                <w:bCs/>
                <w:sz w:val="21"/>
                <w:szCs w:val="21"/>
              </w:rPr>
            </w:pPr>
            <w:r>
              <w:rPr>
                <w:rFonts w:hint="eastAsia"/>
                <w:b/>
                <w:bCs/>
                <w:sz w:val="21"/>
                <w:szCs w:val="21"/>
              </w:rPr>
              <w:t>表4-</w:t>
            </w:r>
            <w:r>
              <w:rPr>
                <w:b/>
                <w:bCs/>
                <w:sz w:val="21"/>
                <w:szCs w:val="21"/>
              </w:rPr>
              <w:t xml:space="preserve">14  </w:t>
            </w:r>
            <w:r>
              <w:rPr>
                <w:rFonts w:hint="eastAsia"/>
                <w:b/>
                <w:bCs/>
                <w:sz w:val="21"/>
                <w:szCs w:val="21"/>
              </w:rPr>
              <w:t>建设项目环境风险简单分析内容表</w:t>
            </w:r>
          </w:p>
          <w:tbl>
            <w:tblPr>
              <w:tblStyle w:val="26"/>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734"/>
              <w:gridCol w:w="2020"/>
              <w:gridCol w:w="998"/>
              <w:gridCol w:w="25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建设项目名称</w:t>
                  </w:r>
                </w:p>
              </w:tc>
              <w:tc>
                <w:tcPr>
                  <w:tcW w:w="3614" w:type="pct"/>
                  <w:gridSpan w:val="4"/>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sz w:val="21"/>
                      <w:szCs w:val="21"/>
                    </w:rPr>
                    <w:t>新疆三艾斯交通科技有限公司年产1万吨道路养护材料建设项目、5万吨道路标线材料建设项目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建设地点</w:t>
                  </w:r>
                </w:p>
              </w:tc>
              <w:tc>
                <w:tcPr>
                  <w:tcW w:w="3614" w:type="pct"/>
                  <w:gridSpan w:val="4"/>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和静工业园区哈尔莫敦矿业片区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地理坐标</w:t>
                  </w:r>
                </w:p>
              </w:tc>
              <w:tc>
                <w:tcPr>
                  <w:tcW w:w="423"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经度</w:t>
                  </w:r>
                </w:p>
              </w:tc>
              <w:tc>
                <w:tcPr>
                  <w:tcW w:w="1164"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bCs/>
                      <w:sz w:val="21"/>
                      <w:szCs w:val="21"/>
                    </w:rPr>
                    <w:t>86°12′34.032″</w:t>
                  </w:r>
                </w:p>
              </w:tc>
              <w:tc>
                <w:tcPr>
                  <w:tcW w:w="57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纬度</w:t>
                  </w:r>
                </w:p>
              </w:tc>
              <w:tc>
                <w:tcPr>
                  <w:tcW w:w="1452"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bCs/>
                      <w:sz w:val="21"/>
                      <w:szCs w:val="21"/>
                    </w:rPr>
                    <w:t>42°25′33.124″"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主要危险物质及分布</w:t>
                  </w:r>
                </w:p>
              </w:tc>
              <w:tc>
                <w:tcPr>
                  <w:tcW w:w="3614" w:type="pct"/>
                  <w:gridSpan w:val="4"/>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①导热油：分布于导热油加热系统及管道；②沥青：分布于沥青储罐及输送管道；③废机油：分布于危险废物贮存库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385" w:type="pct"/>
                  <w:vAlign w:val="center"/>
                </w:tcPr>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环境影响途径及危害后果（大气、地表水、地下水等）</w:t>
                  </w:r>
                </w:p>
              </w:tc>
              <w:tc>
                <w:tcPr>
                  <w:tcW w:w="3614" w:type="pct"/>
                  <w:gridSpan w:val="4"/>
                  <w:vAlign w:val="center"/>
                </w:tcPr>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泄漏危害：导热油渗透性强，泄漏后可能污染土壤及地下水；沥青高温泄漏可能灼伤人员，冷却后凝固堵塞排水系统，降雨条件下污染物可随径流进入地表水体；废机油泄漏可能污染土壤、地下水。</w:t>
                  </w:r>
                </w:p>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火灾爆炸危害：导热油、沥青、废机油均具有可燃性。导热油高温泄漏易自燃，火势蔓延快；沥青燃烧产生一氧化碳、氮氧化物、硫化氢及苯并[a]芘等有毒气体，污染大气环境；废机油燃烧产生烟尘、多环芳烃等。次生危害：火灾产生的消防废水若外排，可能污染地表水及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风险防范措施要求</w:t>
                  </w:r>
                </w:p>
              </w:tc>
              <w:tc>
                <w:tcPr>
                  <w:tcW w:w="3614" w:type="pct"/>
                  <w:gridSpan w:val="4"/>
                  <w:vAlign w:val="center"/>
                </w:tcPr>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①</w:t>
                  </w:r>
                  <w:r>
                    <w:rPr>
                      <w:rFonts w:cs="Times New Roman"/>
                      <w:color w:val="000000" w:themeColor="text1"/>
                      <w:sz w:val="21"/>
                      <w:szCs w:val="21"/>
                      <w14:textFill>
                        <w14:solidFill>
                          <w14:schemeClr w14:val="tx1"/>
                        </w14:solidFill>
                      </w14:textFill>
                    </w:rPr>
                    <w:t>导热油系统定期检测管道阀门密封性，设置紧急切断装置；沥青储罐区设置围堰（容积≥最大单罐容积），输送管道采用防漏设计；废机油贮存库按重点防渗要求建设，配备泄漏收集托盘。</w:t>
                  </w:r>
                </w:p>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②</w:t>
                  </w:r>
                  <w:r>
                    <w:rPr>
                      <w:rFonts w:cs="Times New Roman"/>
                      <w:color w:val="000000" w:themeColor="text1"/>
                      <w:sz w:val="21"/>
                      <w:szCs w:val="21"/>
                      <w14:textFill>
                        <w14:solidFill>
                          <w14:schemeClr w14:val="tx1"/>
                        </w14:solidFill>
                      </w14:textFill>
                    </w:rPr>
                    <w:t>各风险区域严禁烟火，配备干粉灭火器、消防沙、火灾报警系统。</w:t>
                  </w:r>
                </w:p>
                <w:p>
                  <w:pPr>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③</w:t>
                  </w:r>
                  <w:r>
                    <w:rPr>
                      <w:rFonts w:cs="Times New Roman"/>
                      <w:color w:val="000000" w:themeColor="text1"/>
                      <w:sz w:val="21"/>
                      <w:szCs w:val="21"/>
                      <w14:textFill>
                        <w14:solidFill>
                          <w14:schemeClr w14:val="tx1"/>
                        </w14:solidFill>
                      </w14:textFill>
                    </w:rPr>
                    <w:t>设置事故应急池或利用围堰/集油沟收集消防废水，防止外排。</w:t>
                  </w:r>
                  <w:r>
                    <w:rPr>
                      <w:rFonts w:hint="eastAsia" w:ascii="宋体" w:hAnsi="宋体" w:cs="宋体"/>
                      <w:color w:val="000000" w:themeColor="text1"/>
                      <w:sz w:val="21"/>
                      <w:szCs w:val="21"/>
                      <w14:textFill>
                        <w14:solidFill>
                          <w14:schemeClr w14:val="tx1"/>
                        </w14:solidFill>
                      </w14:textFill>
                    </w:rPr>
                    <w:t>④</w:t>
                  </w:r>
                  <w:r>
                    <w:rPr>
                      <w:rFonts w:cs="Times New Roman"/>
                      <w:color w:val="000000" w:themeColor="text1"/>
                      <w:sz w:val="21"/>
                      <w:szCs w:val="21"/>
                      <w14:textFill>
                        <w14:solidFill>
                          <w14:schemeClr w14:val="tx1"/>
                        </w14:solidFill>
                      </w14:textFill>
                    </w:rPr>
                    <w:t>建立岗位责任制和日常巡查制度，每年至少组织一次应急演练。</w:t>
                  </w:r>
                  <w:r>
                    <w:rPr>
                      <w:rFonts w:hint="eastAsia" w:ascii="宋体" w:hAnsi="宋体" w:cs="宋体"/>
                      <w:color w:val="000000" w:themeColor="text1"/>
                      <w:sz w:val="21"/>
                      <w:szCs w:val="21"/>
                      <w14:textFill>
                        <w14:solidFill>
                          <w14:schemeClr w14:val="tx1"/>
                        </w14:solidFill>
                      </w14:textFill>
                    </w:rPr>
                    <w:t>⑤</w:t>
                  </w:r>
                  <w:r>
                    <w:rPr>
                      <w:rFonts w:cs="Times New Roman"/>
                      <w:color w:val="000000" w:themeColor="text1"/>
                      <w:sz w:val="21"/>
                      <w:szCs w:val="21"/>
                      <w14:textFill>
                        <w14:solidFill>
                          <w14:schemeClr w14:val="tx1"/>
                        </w14:solidFill>
                      </w14:textFill>
                    </w:rPr>
                    <w:t>导热油、废机油委托有资质单位处置；沥青泄漏凝固后按危险废物清理。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385" w:type="pct"/>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填表说明</w:t>
                  </w:r>
                </w:p>
              </w:tc>
              <w:tc>
                <w:tcPr>
                  <w:tcW w:w="3614" w:type="pct"/>
                  <w:gridSpan w:val="4"/>
                  <w:vAlign w:val="center"/>
                </w:tcPr>
                <w:p>
                  <w:pPr>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本项目在落实上述风险防范措施的前提下，环境风险可控</w:t>
                  </w:r>
                </w:p>
              </w:tc>
            </w:tr>
          </w:tbl>
          <w:p>
            <w:pPr>
              <w:ind w:firstLine="480"/>
            </w:pPr>
            <w:r>
              <w:rPr>
                <w:rFonts w:hint="eastAsia"/>
              </w:rPr>
              <w:t>本项目不构成重大风险源，通过采取相应的风险防范措施，可以将项目的风险水平降到较低的水平，因此本项目的环境风险水平在可接受的范围。</w:t>
            </w:r>
          </w:p>
          <w:p>
            <w:pPr>
              <w:ind w:firstLine="0" w:firstLineChars="0"/>
              <w:rPr>
                <w:b/>
                <w:bCs/>
              </w:rPr>
            </w:pPr>
            <w:r>
              <w:rPr>
                <w:b/>
                <w:bCs/>
              </w:rPr>
              <w:t>4.6</w:t>
            </w:r>
            <w:r>
              <w:rPr>
                <w:rFonts w:hint="eastAsia"/>
                <w:b/>
                <w:bCs/>
              </w:rPr>
              <w:t>排污许可管理</w:t>
            </w:r>
          </w:p>
          <w:p>
            <w:pPr>
              <w:widowControl/>
              <w:adjustRightInd w:val="0"/>
              <w:snapToGrid w:val="0"/>
              <w:ind w:firstLine="480"/>
              <w:rPr>
                <w:rFonts w:cs="Times New Roman"/>
                <w:color w:val="000000"/>
                <w:kern w:val="0"/>
                <w:lang w:bidi="ar"/>
              </w:rPr>
            </w:pPr>
            <w:r>
              <w:rPr>
                <w:rFonts w:hint="eastAsia" w:cs="Times New Roman"/>
                <w:color w:val="000000"/>
                <w:kern w:val="0"/>
                <w:lang w:bidi="ar"/>
              </w:rPr>
              <w:t>根据《固定污染源排污许可分类管理名录（2019年版）》，本项目属于“二十五、非金属矿物制品业30”中的“石墨及碳素制品制造3091（除石墨制品、碳制品、碳素新材料以外的），其他非金属矿物制品制造3099（单晶硅棒，沥青混合物）”类别。对照名录规定，应实行排污许可简化管理。本项目运营期将严格遵循以排污许可制为核心的固定污染源监管制度，将环评文件及其批复中的各项环境管理要求纳入排污许可证，确保依法持证排污、按证监管。</w:t>
            </w:r>
          </w:p>
          <w:p>
            <w:pPr>
              <w:spacing w:line="240" w:lineRule="auto"/>
              <w:ind w:firstLine="211" w:firstLineChars="100"/>
              <w:jc w:val="center"/>
              <w:textAlignment w:val="auto"/>
              <w:rPr>
                <w:b/>
                <w:bCs/>
                <w:sz w:val="21"/>
                <w:szCs w:val="21"/>
              </w:rPr>
            </w:pPr>
            <w:r>
              <w:rPr>
                <w:rFonts w:hint="eastAsia"/>
                <w:b/>
                <w:bCs/>
                <w:sz w:val="21"/>
                <w:szCs w:val="21"/>
              </w:rPr>
              <w:t>表4-</w:t>
            </w:r>
            <w:r>
              <w:rPr>
                <w:b/>
                <w:bCs/>
                <w:sz w:val="21"/>
                <w:szCs w:val="21"/>
              </w:rPr>
              <w:t xml:space="preserve">15  </w:t>
            </w:r>
            <w:r>
              <w:rPr>
                <w:rFonts w:hint="eastAsia"/>
                <w:b/>
                <w:bCs/>
                <w:sz w:val="21"/>
                <w:szCs w:val="21"/>
              </w:rPr>
              <w:t>排污许可分类管理名录对应类别</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320"/>
              <w:gridCol w:w="2455"/>
              <w:gridCol w:w="2599"/>
              <w:gridCol w:w="15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14" w:type="pct"/>
                  <w:vAlign w:val="center"/>
                </w:tcPr>
                <w:p>
                  <w:pPr>
                    <w:spacing w:line="240" w:lineRule="auto"/>
                    <w:ind w:firstLine="0" w:firstLineChars="0"/>
                    <w:jc w:val="center"/>
                    <w:textAlignment w:val="auto"/>
                    <w:rPr>
                      <w:rFonts w:cs="Times New Roman"/>
                      <w:b/>
                      <w:bCs/>
                      <w:sz w:val="21"/>
                      <w:szCs w:val="21"/>
                    </w:rPr>
                  </w:pPr>
                  <w:r>
                    <w:rPr>
                      <w:rFonts w:hint="eastAsia" w:cs="Times New Roman"/>
                      <w:b/>
                      <w:bCs/>
                      <w:sz w:val="21"/>
                      <w:szCs w:val="21"/>
                    </w:rPr>
                    <w:t>序号</w:t>
                  </w:r>
                </w:p>
              </w:tc>
              <w:tc>
                <w:tcPr>
                  <w:tcW w:w="760" w:type="pct"/>
                  <w:vAlign w:val="center"/>
                </w:tcPr>
                <w:p>
                  <w:pPr>
                    <w:spacing w:line="240" w:lineRule="auto"/>
                    <w:ind w:firstLine="0" w:firstLineChars="0"/>
                    <w:jc w:val="center"/>
                    <w:textAlignment w:val="auto"/>
                    <w:rPr>
                      <w:rFonts w:cs="Times New Roman"/>
                      <w:b/>
                      <w:bCs/>
                      <w:sz w:val="21"/>
                      <w:szCs w:val="21"/>
                    </w:rPr>
                  </w:pPr>
                  <w:r>
                    <w:rPr>
                      <w:rFonts w:hint="eastAsia" w:cs="Times New Roman"/>
                      <w:b/>
                      <w:bCs/>
                      <w:sz w:val="21"/>
                      <w:szCs w:val="21"/>
                    </w:rPr>
                    <w:t>行业类别</w:t>
                  </w:r>
                </w:p>
              </w:tc>
              <w:tc>
                <w:tcPr>
                  <w:tcW w:w="1414" w:type="pct"/>
                  <w:vAlign w:val="center"/>
                </w:tcPr>
                <w:p>
                  <w:pPr>
                    <w:spacing w:line="240" w:lineRule="auto"/>
                    <w:ind w:firstLine="0" w:firstLineChars="0"/>
                    <w:jc w:val="center"/>
                    <w:textAlignment w:val="auto"/>
                    <w:rPr>
                      <w:rFonts w:cs="Times New Roman"/>
                      <w:b/>
                      <w:bCs/>
                      <w:sz w:val="21"/>
                      <w:szCs w:val="21"/>
                    </w:rPr>
                  </w:pPr>
                  <w:r>
                    <w:rPr>
                      <w:rFonts w:hint="eastAsia" w:cs="Times New Roman"/>
                      <w:b/>
                      <w:bCs/>
                      <w:sz w:val="21"/>
                      <w:szCs w:val="21"/>
                    </w:rPr>
                    <w:t>重点管理</w:t>
                  </w:r>
                </w:p>
              </w:tc>
              <w:tc>
                <w:tcPr>
                  <w:tcW w:w="1497" w:type="pct"/>
                  <w:shd w:val="clear" w:color="auto" w:fill="E7E6E6" w:themeFill="background2"/>
                  <w:vAlign w:val="center"/>
                </w:tcPr>
                <w:p>
                  <w:pPr>
                    <w:spacing w:line="240" w:lineRule="auto"/>
                    <w:ind w:firstLine="0" w:firstLineChars="0"/>
                    <w:jc w:val="center"/>
                    <w:textAlignment w:val="auto"/>
                    <w:rPr>
                      <w:rFonts w:cs="Times New Roman"/>
                      <w:b/>
                      <w:bCs/>
                      <w:sz w:val="21"/>
                      <w:szCs w:val="21"/>
                    </w:rPr>
                  </w:pPr>
                  <w:r>
                    <w:rPr>
                      <w:rFonts w:hint="eastAsia" w:cs="Times New Roman"/>
                      <w:b/>
                      <w:bCs/>
                      <w:sz w:val="21"/>
                      <w:szCs w:val="21"/>
                    </w:rPr>
                    <w:t>简化管理</w:t>
                  </w:r>
                </w:p>
              </w:tc>
              <w:tc>
                <w:tcPr>
                  <w:tcW w:w="915" w:type="pct"/>
                  <w:vAlign w:val="center"/>
                </w:tcPr>
                <w:p>
                  <w:pPr>
                    <w:spacing w:line="240" w:lineRule="auto"/>
                    <w:ind w:firstLine="0" w:firstLineChars="0"/>
                    <w:jc w:val="center"/>
                    <w:textAlignment w:val="auto"/>
                    <w:rPr>
                      <w:rFonts w:cs="Times New Roman"/>
                      <w:b/>
                      <w:bCs/>
                      <w:sz w:val="21"/>
                      <w:szCs w:val="21"/>
                    </w:rPr>
                  </w:pPr>
                  <w:r>
                    <w:rPr>
                      <w:rFonts w:hint="eastAsia" w:cs="Times New Roman"/>
                      <w:b/>
                      <w:bCs/>
                      <w:sz w:val="21"/>
                      <w:szCs w:val="21"/>
                    </w:rPr>
                    <w:t>登记管理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000" w:type="pct"/>
                  <w:gridSpan w:val="5"/>
                  <w:shd w:val="clear" w:color="auto" w:fill="E7E6E6" w:themeFill="background2"/>
                  <w:vAlign w:val="center"/>
                </w:tcPr>
                <w:p>
                  <w:pPr>
                    <w:spacing w:line="240" w:lineRule="auto"/>
                    <w:ind w:firstLine="0" w:firstLineChars="0"/>
                    <w:jc w:val="center"/>
                    <w:textAlignment w:val="auto"/>
                    <w:rPr>
                      <w:rFonts w:cs="Times New Roman"/>
                      <w:sz w:val="21"/>
                      <w:szCs w:val="21"/>
                    </w:rPr>
                  </w:pPr>
                  <w:r>
                    <w:rPr>
                      <w:rFonts w:hint="eastAsia" w:cs="Times New Roman"/>
                      <w:sz w:val="21"/>
                      <w:szCs w:val="21"/>
                    </w:rPr>
                    <w:t>二十五、非金属矿物制品业30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414" w:type="pct"/>
                  <w:vAlign w:val="center"/>
                </w:tcPr>
                <w:p>
                  <w:pPr>
                    <w:spacing w:line="240" w:lineRule="auto"/>
                    <w:ind w:firstLine="0" w:firstLineChars="0"/>
                    <w:jc w:val="center"/>
                    <w:textAlignment w:val="auto"/>
                    <w:rPr>
                      <w:rFonts w:cs="Times New Roman"/>
                      <w:sz w:val="21"/>
                      <w:szCs w:val="21"/>
                    </w:rPr>
                  </w:pPr>
                  <w:r>
                    <w:rPr>
                      <w:rFonts w:cs="Times New Roman"/>
                      <w:sz w:val="21"/>
                      <w:szCs w:val="21"/>
                    </w:rPr>
                    <w:t>70</w:t>
                  </w:r>
                </w:p>
              </w:tc>
              <w:tc>
                <w:tcPr>
                  <w:tcW w:w="760" w:type="pct"/>
                  <w:vAlign w:val="center"/>
                </w:tcPr>
                <w:p>
                  <w:pPr>
                    <w:spacing w:line="240" w:lineRule="auto"/>
                    <w:ind w:firstLine="0" w:firstLineChars="0"/>
                    <w:textAlignment w:val="auto"/>
                    <w:rPr>
                      <w:rFonts w:cs="Times New Roman"/>
                      <w:sz w:val="21"/>
                      <w:szCs w:val="21"/>
                    </w:rPr>
                  </w:pPr>
                  <w:r>
                    <w:rPr>
                      <w:rFonts w:hint="eastAsia" w:cs="Times New Roman"/>
                      <w:sz w:val="21"/>
                      <w:szCs w:val="21"/>
                    </w:rPr>
                    <w:t>石墨及其他非金属矿物制品制造309</w:t>
                  </w:r>
                </w:p>
              </w:tc>
              <w:tc>
                <w:tcPr>
                  <w:tcW w:w="1414" w:type="pct"/>
                  <w:vAlign w:val="center"/>
                </w:tcPr>
                <w:p>
                  <w:pPr>
                    <w:spacing w:line="240" w:lineRule="auto"/>
                    <w:ind w:firstLine="0" w:firstLineChars="0"/>
                    <w:textAlignment w:val="auto"/>
                    <w:rPr>
                      <w:rFonts w:cs="Times New Roman"/>
                      <w:sz w:val="21"/>
                      <w:szCs w:val="21"/>
                    </w:rPr>
                  </w:pPr>
                  <w:r>
                    <w:rPr>
                      <w:rFonts w:hint="eastAsia" w:cs="Times New Roman"/>
                      <w:sz w:val="21"/>
                      <w:szCs w:val="21"/>
                    </w:rPr>
                    <w:t>石墨及碳素制品制造</w:t>
                  </w:r>
                  <w:r>
                    <w:rPr>
                      <w:rFonts w:cs="Times New Roman"/>
                      <w:sz w:val="21"/>
                      <w:szCs w:val="21"/>
                    </w:rPr>
                    <w:t>3091</w:t>
                  </w:r>
                  <w:r>
                    <w:rPr>
                      <w:rFonts w:hint="eastAsia" w:cs="Times New Roman"/>
                      <w:sz w:val="21"/>
                      <w:szCs w:val="21"/>
                    </w:rPr>
                    <w:t>（石墨制品、碳制品、碳素新材料），其他非金属矿物制品制造</w:t>
                  </w:r>
                  <w:r>
                    <w:rPr>
                      <w:rFonts w:cs="Times New Roman"/>
                      <w:sz w:val="21"/>
                      <w:szCs w:val="21"/>
                    </w:rPr>
                    <w:t>3099</w:t>
                  </w:r>
                  <w:r>
                    <w:rPr>
                      <w:rFonts w:hint="eastAsia" w:cs="Times New Roman"/>
                      <w:sz w:val="21"/>
                      <w:szCs w:val="21"/>
                    </w:rPr>
                    <w:t>（多晶硅棒）</w:t>
                  </w:r>
                </w:p>
              </w:tc>
              <w:tc>
                <w:tcPr>
                  <w:tcW w:w="1497" w:type="pct"/>
                  <w:shd w:val="clear" w:color="auto" w:fill="E7E6E6" w:themeFill="background2"/>
                  <w:vAlign w:val="center"/>
                </w:tcPr>
                <w:p>
                  <w:pPr>
                    <w:spacing w:line="240" w:lineRule="auto"/>
                    <w:ind w:firstLine="0" w:firstLineChars="0"/>
                    <w:textAlignment w:val="auto"/>
                    <w:rPr>
                      <w:rFonts w:cs="Times New Roman"/>
                      <w:sz w:val="21"/>
                      <w:szCs w:val="21"/>
                    </w:rPr>
                  </w:pPr>
                  <w:r>
                    <w:rPr>
                      <w:rFonts w:hint="eastAsia" w:cs="Times New Roman"/>
                      <w:sz w:val="21"/>
                      <w:szCs w:val="21"/>
                    </w:rPr>
                    <w:t>石墨及碳素制品制造3091（除石墨制品、碳制品、碳素新材料以外的），</w:t>
                  </w:r>
                  <w:r>
                    <w:rPr>
                      <w:rFonts w:hint="eastAsia" w:cs="Times New Roman"/>
                      <w:b/>
                      <w:bCs/>
                      <w:sz w:val="21"/>
                      <w:szCs w:val="21"/>
                    </w:rPr>
                    <w:t>其他非金属矿物制品制造3099（单晶硅棒，沥青混合物）</w:t>
                  </w:r>
                </w:p>
              </w:tc>
              <w:tc>
                <w:tcPr>
                  <w:tcW w:w="915" w:type="pct"/>
                  <w:vAlign w:val="center"/>
                </w:tcPr>
                <w:p>
                  <w:pPr>
                    <w:spacing w:line="240" w:lineRule="auto"/>
                    <w:ind w:firstLine="0" w:firstLineChars="0"/>
                    <w:textAlignment w:val="auto"/>
                    <w:rPr>
                      <w:rFonts w:cs="Times New Roman"/>
                      <w:sz w:val="21"/>
                      <w:szCs w:val="21"/>
                    </w:rPr>
                  </w:pPr>
                  <w:r>
                    <w:rPr>
                      <w:rFonts w:hint="eastAsia" w:cs="Times New Roman"/>
                      <w:sz w:val="21"/>
                      <w:szCs w:val="21"/>
                    </w:rPr>
                    <w:t>其他非金属矿物制品制造3099（除重点管理、简化管理以外的）</w:t>
                  </w:r>
                </w:p>
              </w:tc>
            </w:tr>
          </w:tbl>
          <w:p>
            <w:pPr>
              <w:ind w:firstLine="0" w:firstLineChars="0"/>
              <w:rPr>
                <w:rFonts w:cs="Times New Roman"/>
                <w:b/>
                <w:bCs/>
              </w:rPr>
            </w:pPr>
            <w:r>
              <w:rPr>
                <w:rFonts w:cs="Times New Roman"/>
                <w:b/>
                <w:bCs/>
              </w:rPr>
              <w:t>4.6.1</w:t>
            </w:r>
            <w:r>
              <w:rPr>
                <w:rFonts w:hint="eastAsia" w:cs="Times New Roman"/>
                <w:b/>
                <w:bCs/>
              </w:rPr>
              <w:t>排污口规范化设置</w:t>
            </w:r>
          </w:p>
          <w:p>
            <w:pPr>
              <w:ind w:firstLine="480"/>
              <w:rPr>
                <w:szCs w:val="24"/>
              </w:rPr>
            </w:pPr>
            <w:r>
              <w:rPr>
                <w:rFonts w:hint="eastAsia" w:cs="Times New Roman"/>
              </w:rPr>
              <w:t>污染源排污口的规范化整治，是加强企业环境管理的重要举措，也是实施污染物总量控制管理</w:t>
            </w:r>
            <w:r>
              <w:rPr>
                <w:rFonts w:hint="eastAsia"/>
                <w:szCs w:val="24"/>
              </w:rPr>
              <w:t>的基础工作。排污口规范化对于加强污染源管理，现场监督检查，促进企业落实污染治理措施，实现环境管理的科学化、定量化都具有很大的现实意义。</w:t>
            </w:r>
          </w:p>
          <w:p>
            <w:pPr>
              <w:pStyle w:val="11"/>
              <w:ind w:firstLine="480"/>
              <w:rPr>
                <w:rFonts w:ascii="Times New Roman" w:hAnsi="Times New Roman"/>
                <w:sz w:val="24"/>
                <w:szCs w:val="24"/>
              </w:rPr>
            </w:pPr>
            <w:r>
              <w:rPr>
                <w:rFonts w:hint="eastAsia" w:ascii="Times New Roman" w:hAnsi="Times New Roman"/>
                <w:sz w:val="24"/>
                <w:szCs w:val="24"/>
              </w:rPr>
              <w:t>排污口是企业排放污染物进入环境的通道，强化排污口的管理是实施污染物总量控制的基础工作之一，也是环境管理逐步实现污染物排放科学化、定量化的重要手段。</w:t>
            </w:r>
          </w:p>
          <w:p>
            <w:pPr>
              <w:pStyle w:val="11"/>
              <w:ind w:firstLine="0" w:firstLineChars="0"/>
              <w:rPr>
                <w:rFonts w:ascii="Times New Roman" w:hAnsi="Times New Roman"/>
                <w:sz w:val="24"/>
                <w:szCs w:val="24"/>
              </w:rPr>
            </w:pPr>
            <w:r>
              <w:rPr>
                <w:rFonts w:hint="eastAsia" w:ascii="Times New Roman" w:hAnsi="Times New Roman"/>
                <w:b/>
                <w:bCs/>
                <w:sz w:val="24"/>
                <w:szCs w:val="24"/>
              </w:rPr>
              <w:t>1、排污口规范化管理的基本原则</w:t>
            </w:r>
          </w:p>
          <w:p>
            <w:pPr>
              <w:ind w:firstLine="480"/>
            </w:pPr>
            <w:r>
              <w:rPr>
                <w:rFonts w:hint="eastAsia"/>
                <w:szCs w:val="24"/>
              </w:rPr>
              <w:t>（</w:t>
            </w:r>
            <w:r>
              <w:rPr>
                <w:rFonts w:hint="eastAsia"/>
              </w:rPr>
              <w:t>1）向环境排放污染物的排污口必须规范化；</w:t>
            </w:r>
          </w:p>
          <w:p>
            <w:pPr>
              <w:ind w:firstLine="480"/>
            </w:pPr>
            <w:r>
              <w:rPr>
                <w:rFonts w:hint="eastAsia"/>
              </w:rPr>
              <w:t>（2）排污口应便于采样与计量监测，便于日常现场监督检查。</w:t>
            </w:r>
          </w:p>
          <w:p>
            <w:pPr>
              <w:ind w:firstLine="0" w:firstLineChars="0"/>
              <w:rPr>
                <w:b/>
                <w:bCs/>
              </w:rPr>
            </w:pPr>
            <w:r>
              <w:rPr>
                <w:rFonts w:hint="eastAsia"/>
                <w:b/>
                <w:bCs/>
              </w:rPr>
              <w:t>2、排污口设置的技术要求</w:t>
            </w:r>
          </w:p>
          <w:p>
            <w:pPr>
              <w:ind w:firstLine="480"/>
            </w:pPr>
            <w:r>
              <w:rPr>
                <w:rFonts w:hint="eastAsia"/>
              </w:rPr>
              <w:t>（1）排污口的位置必须合理确定，按《排污口规范化整治技术要求（试行）》（环监〔1996〕470号）文件、“污染源监测技术规范”中的相关规定要求进行规范化管理。</w:t>
            </w:r>
          </w:p>
          <w:p>
            <w:pPr>
              <w:ind w:firstLine="480"/>
            </w:pPr>
            <w:r>
              <w:rPr>
                <w:rFonts w:hint="eastAsia"/>
              </w:rPr>
              <w:t>（2）废气排放口要求在废气处理设施的进气口、排气筒排气口均应设置便于采样、监测的采样口和监测平台，采样口直径不小于40mm。设置规范的、便于测量流量、流速的测速段。</w:t>
            </w:r>
          </w:p>
          <w:p>
            <w:pPr>
              <w:ind w:firstLine="480"/>
            </w:pPr>
            <w:r>
              <w:rPr>
                <w:rFonts w:hint="eastAsia"/>
              </w:rPr>
              <w:t>（</w:t>
            </w:r>
            <w:r>
              <w:t>3</w:t>
            </w:r>
            <w:r>
              <w:rPr>
                <w:rFonts w:hint="eastAsia"/>
              </w:rPr>
              <w:t>）固体废物暂存场要求生活垃圾、一般工业固废和危险废物必须设置专用堆放场所，有防扬散、防流失、防渗漏等措施，设置环境保护图形标志和警示标志。</w:t>
            </w:r>
          </w:p>
          <w:p>
            <w:pPr>
              <w:ind w:firstLine="0" w:firstLineChars="0"/>
              <w:rPr>
                <w:b/>
                <w:bCs/>
              </w:rPr>
            </w:pPr>
            <w:r>
              <w:rPr>
                <w:rFonts w:hint="eastAsia"/>
                <w:b/>
                <w:bCs/>
              </w:rPr>
              <w:t>3、排污口立标管理要求</w:t>
            </w:r>
          </w:p>
          <w:p>
            <w:pPr>
              <w:ind w:firstLine="480"/>
              <w:rPr>
                <w:szCs w:val="24"/>
              </w:rPr>
            </w:pPr>
            <w:r>
              <w:rPr>
                <w:rFonts w:hint="eastAsia"/>
              </w:rPr>
              <w:t>污染物排放口应按《环境保护图形标志》（GB15562.1-1995）与《环境保护图形标志--固体废物贮存（处置）场》（GB15562.2-1995）修改单的规定，设置生态环境部统一制作的环境保护图形标志牌；环保图形标志牌应设置在靠近采样点的醒目处，标志牌设置高度为其上缘距地面2m。根据项目的工艺特征和污染物排放情况，本项目废气、噪声、固废排污口标识见下表所示。</w:t>
            </w:r>
          </w:p>
          <w:p>
            <w:pPr>
              <w:pStyle w:val="11"/>
              <w:spacing w:line="240" w:lineRule="auto"/>
              <w:ind w:firstLine="422"/>
              <w:jc w:val="center"/>
              <w:rPr>
                <w:rFonts w:ascii="Times New Roman" w:hAnsi="Times New Roman"/>
                <w:b/>
                <w:bCs/>
                <w:sz w:val="21"/>
                <w:szCs w:val="21"/>
              </w:rPr>
            </w:pPr>
            <w:r>
              <w:rPr>
                <w:rFonts w:ascii="Times New Roman" w:hAnsi="Times New Roman"/>
                <w:b/>
                <w:bCs/>
                <w:sz w:val="21"/>
                <w:szCs w:val="21"/>
              </w:rPr>
              <w:t xml:space="preserve">表4-16  </w:t>
            </w:r>
            <w:r>
              <w:rPr>
                <w:rFonts w:hint="eastAsia" w:ascii="Times New Roman" w:hAnsi="Times New Roman"/>
                <w:b/>
                <w:bCs/>
                <w:sz w:val="21"/>
                <w:szCs w:val="21"/>
              </w:rPr>
              <w:t>环境保护图形符号一览表</w:t>
            </w:r>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335"/>
              <w:gridCol w:w="1630"/>
              <w:gridCol w:w="1778"/>
              <w:gridCol w:w="1035"/>
              <w:gridCol w:w="21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序号</w:t>
                  </w:r>
                </w:p>
              </w:tc>
              <w:tc>
                <w:tcPr>
                  <w:tcW w:w="769"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标志名称</w:t>
                  </w:r>
                </w:p>
              </w:tc>
              <w:tc>
                <w:tcPr>
                  <w:tcW w:w="939"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提示图形符号</w:t>
                  </w:r>
                </w:p>
              </w:tc>
              <w:tc>
                <w:tcPr>
                  <w:tcW w:w="1024"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警告图形符号</w:t>
                  </w:r>
                </w:p>
              </w:tc>
              <w:tc>
                <w:tcPr>
                  <w:tcW w:w="596"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功能</w:t>
                  </w:r>
                </w:p>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说明</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1</w:t>
                  </w:r>
                </w:p>
              </w:tc>
              <w:tc>
                <w:tcPr>
                  <w:tcW w:w="769"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废气排放</w:t>
                  </w:r>
                </w:p>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口</w:t>
                  </w:r>
                </w:p>
              </w:tc>
              <w:tc>
                <w:tcPr>
                  <w:tcW w:w="939"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790575" cy="790575"/>
                        <wp:effectExtent l="0" t="0" r="9525" b="952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24"/>
                                <a:stretch>
                                  <a:fillRect/>
                                </a:stretch>
                              </pic:blipFill>
                              <pic:spPr>
                                <a:xfrm>
                                  <a:off x="0" y="0"/>
                                  <a:ext cx="790575" cy="790575"/>
                                </a:xfrm>
                                <a:prstGeom prst="rect">
                                  <a:avLst/>
                                </a:prstGeom>
                              </pic:spPr>
                            </pic:pic>
                          </a:graphicData>
                        </a:graphic>
                      </wp:inline>
                    </w:drawing>
                  </w:r>
                </w:p>
              </w:tc>
              <w:tc>
                <w:tcPr>
                  <w:tcW w:w="1024"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819150" cy="781050"/>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25"/>
                                <a:stretch>
                                  <a:fillRect/>
                                </a:stretch>
                              </pic:blipFill>
                              <pic:spPr>
                                <a:xfrm>
                                  <a:off x="0" y="0"/>
                                  <a:ext cx="819150" cy="781050"/>
                                </a:xfrm>
                                <a:prstGeom prst="rect">
                                  <a:avLst/>
                                </a:prstGeom>
                              </pic:spPr>
                            </pic:pic>
                          </a:graphicData>
                        </a:graphic>
                      </wp:inline>
                    </w:drawing>
                  </w:r>
                </w:p>
              </w:tc>
              <w:tc>
                <w:tcPr>
                  <w:tcW w:w="596"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表示废气向大气环境排放</w:t>
                  </w:r>
                </w:p>
              </w:tc>
              <w:tc>
                <w:tcPr>
                  <w:tcW w:w="1250" w:type="pct"/>
                  <w:vMerge w:val="restar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排气筒按《固定污染源废气排放口监测点位设置技术规范》（T/CAEPI46-2022）设置监测孔、监测平台、监测梯架及其保</w:t>
                  </w:r>
                </w:p>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障性、辅助性设施等。不监测时用管帽、盖板等封闭，不得封死，便于在监测时开启使用，并在废气污染源处设置废气排放口标志。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2</w:t>
                  </w:r>
                </w:p>
              </w:tc>
              <w:tc>
                <w:tcPr>
                  <w:tcW w:w="769"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噪声排放</w:t>
                  </w:r>
                </w:p>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源</w:t>
                  </w:r>
                </w:p>
              </w:tc>
              <w:tc>
                <w:tcPr>
                  <w:tcW w:w="939"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847725" cy="810260"/>
                        <wp:effectExtent l="0" t="0" r="9525" b="889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26"/>
                                <a:stretch>
                                  <a:fillRect/>
                                </a:stretch>
                              </pic:blipFill>
                              <pic:spPr>
                                <a:xfrm>
                                  <a:off x="0" y="0"/>
                                  <a:ext cx="858086" cy="820777"/>
                                </a:xfrm>
                                <a:prstGeom prst="rect">
                                  <a:avLst/>
                                </a:prstGeom>
                              </pic:spPr>
                            </pic:pic>
                          </a:graphicData>
                        </a:graphic>
                      </wp:inline>
                    </w:drawing>
                  </w:r>
                </w:p>
              </w:tc>
              <w:tc>
                <w:tcPr>
                  <w:tcW w:w="1024"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787400" cy="638175"/>
                        <wp:effectExtent l="0" t="0" r="12700" b="952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pic:cNvPicPr>
                              </pic:nvPicPr>
                              <pic:blipFill>
                                <a:blip r:embed="rId27"/>
                                <a:stretch>
                                  <a:fillRect/>
                                </a:stretch>
                              </pic:blipFill>
                              <pic:spPr>
                                <a:xfrm rot="10800000" flipV="1">
                                  <a:off x="0" y="0"/>
                                  <a:ext cx="799383" cy="647827"/>
                                </a:xfrm>
                                <a:prstGeom prst="rect">
                                  <a:avLst/>
                                </a:prstGeom>
                              </pic:spPr>
                            </pic:pic>
                          </a:graphicData>
                        </a:graphic>
                      </wp:inline>
                    </w:drawing>
                  </w:r>
                </w:p>
              </w:tc>
              <w:tc>
                <w:tcPr>
                  <w:tcW w:w="596"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表示噪声向外环境排放</w:t>
                  </w:r>
                </w:p>
              </w:tc>
              <w:tc>
                <w:tcPr>
                  <w:tcW w:w="1250" w:type="pct"/>
                  <w:vMerge w:val="continue"/>
                  <w:vAlign w:val="center"/>
                </w:tcPr>
                <w:p>
                  <w:pPr>
                    <w:pStyle w:val="11"/>
                    <w:spacing w:line="240" w:lineRule="auto"/>
                    <w:ind w:firstLine="0" w:firstLineChars="0"/>
                    <w:jc w:val="center"/>
                    <w:rPr>
                      <w:rFonts w:ascii="Times New Roman" w:hAnsi="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422"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3</w:t>
                  </w:r>
                </w:p>
              </w:tc>
              <w:tc>
                <w:tcPr>
                  <w:tcW w:w="769"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一般固体</w:t>
                  </w:r>
                </w:p>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废物</w:t>
                  </w:r>
                </w:p>
              </w:tc>
              <w:tc>
                <w:tcPr>
                  <w:tcW w:w="939"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790575" cy="751205"/>
                        <wp:effectExtent l="0" t="0" r="9525" b="10795"/>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pic:cNvPicPr>
                              </pic:nvPicPr>
                              <pic:blipFill>
                                <a:blip r:embed="rId28"/>
                                <a:stretch>
                                  <a:fillRect/>
                                </a:stretch>
                              </pic:blipFill>
                              <pic:spPr>
                                <a:xfrm>
                                  <a:off x="0" y="0"/>
                                  <a:ext cx="797946" cy="758408"/>
                                </a:xfrm>
                                <a:prstGeom prst="rect">
                                  <a:avLst/>
                                </a:prstGeom>
                              </pic:spPr>
                            </pic:pic>
                          </a:graphicData>
                        </a:graphic>
                      </wp:inline>
                    </w:drawing>
                  </w:r>
                </w:p>
              </w:tc>
              <w:tc>
                <w:tcPr>
                  <w:tcW w:w="1024" w:type="pct"/>
                  <w:vAlign w:val="center"/>
                </w:tcPr>
                <w:p>
                  <w:pPr>
                    <w:pStyle w:val="11"/>
                    <w:spacing w:line="240" w:lineRule="auto"/>
                    <w:ind w:firstLine="0" w:firstLineChars="0"/>
                    <w:jc w:val="center"/>
                    <w:rPr>
                      <w:rFonts w:ascii="Times New Roman" w:hAnsi="Times New Roman"/>
                      <w:sz w:val="21"/>
                      <w:szCs w:val="21"/>
                    </w:rPr>
                  </w:pPr>
                  <w:r>
                    <w:drawing>
                      <wp:inline distT="0" distB="0" distL="0" distR="0">
                        <wp:extent cx="800100" cy="702945"/>
                        <wp:effectExtent l="0" t="0" r="0" b="190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29"/>
                                <a:stretch>
                                  <a:fillRect/>
                                </a:stretch>
                              </pic:blipFill>
                              <pic:spPr>
                                <a:xfrm>
                                  <a:off x="0" y="0"/>
                                  <a:ext cx="807982" cy="710413"/>
                                </a:xfrm>
                                <a:prstGeom prst="rect">
                                  <a:avLst/>
                                </a:prstGeom>
                              </pic:spPr>
                            </pic:pic>
                          </a:graphicData>
                        </a:graphic>
                      </wp:inline>
                    </w:drawing>
                  </w:r>
                </w:p>
              </w:tc>
              <w:tc>
                <w:tcPr>
                  <w:tcW w:w="596"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表示一般固体废物贮存、处置场</w:t>
                  </w:r>
                </w:p>
              </w:tc>
              <w:tc>
                <w:tcPr>
                  <w:tcW w:w="1250" w:type="pct"/>
                  <w:vMerge w:val="continue"/>
                  <w:vAlign w:val="center"/>
                </w:tcPr>
                <w:p>
                  <w:pPr>
                    <w:pStyle w:val="11"/>
                    <w:spacing w:line="240" w:lineRule="auto"/>
                    <w:ind w:firstLine="0" w:firstLineChars="0"/>
                    <w:jc w:val="center"/>
                    <w:rPr>
                      <w:rFonts w:ascii="Times New Roman" w:hAnsi="Times New Roman"/>
                      <w:sz w:val="21"/>
                      <w:szCs w:val="21"/>
                    </w:rPr>
                  </w:pPr>
                </w:p>
              </w:tc>
            </w:tr>
          </w:tbl>
          <w:p>
            <w:pPr>
              <w:pStyle w:val="11"/>
              <w:spacing w:before="240" w:line="240" w:lineRule="auto"/>
              <w:ind w:firstLine="422"/>
              <w:jc w:val="center"/>
              <w:rPr>
                <w:rFonts w:ascii="Times New Roman" w:hAnsi="Times New Roman"/>
                <w:b/>
                <w:bCs/>
                <w:sz w:val="21"/>
                <w:szCs w:val="21"/>
              </w:rPr>
            </w:pPr>
            <w:r>
              <w:rPr>
                <w:rFonts w:ascii="Times New Roman" w:hAnsi="Times New Roman"/>
                <w:b/>
                <w:bCs/>
                <w:sz w:val="21"/>
                <w:szCs w:val="21"/>
              </w:rPr>
              <w:t>表</w:t>
            </w:r>
            <w:r>
              <w:rPr>
                <w:rFonts w:hint="eastAsia" w:ascii="Times New Roman" w:hAnsi="Times New Roman"/>
                <w:b/>
                <w:bCs/>
                <w:sz w:val="21"/>
                <w:szCs w:val="21"/>
              </w:rPr>
              <w:t>4</w:t>
            </w:r>
            <w:r>
              <w:rPr>
                <w:rFonts w:ascii="Times New Roman" w:hAnsi="Times New Roman"/>
                <w:b/>
                <w:bCs/>
                <w:sz w:val="21"/>
                <w:szCs w:val="21"/>
              </w:rPr>
              <w:t xml:space="preserve">-17  </w:t>
            </w:r>
            <w:r>
              <w:rPr>
                <w:rFonts w:hint="eastAsia" w:ascii="Times New Roman" w:hAnsi="Times New Roman"/>
                <w:b/>
                <w:bCs/>
                <w:sz w:val="21"/>
                <w:szCs w:val="21"/>
              </w:rPr>
              <w:t>环境保护图形标志的形状及颜色</w:t>
            </w:r>
          </w:p>
          <w:tbl>
            <w:tblPr>
              <w:tblStyle w:val="2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69"/>
              <w:gridCol w:w="2169"/>
              <w:gridCol w:w="2170"/>
              <w:gridCol w:w="21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标志名称</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形状</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背景颜色</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图形颜色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警告标志</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三角形边框</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黄色</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黑色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提示标志</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正方形边框</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绿色</w:t>
                  </w:r>
                </w:p>
              </w:tc>
              <w:tc>
                <w:tcPr>
                  <w:tcW w:w="1250" w:type="pct"/>
                  <w:vAlign w:val="center"/>
                </w:tcPr>
                <w:p>
                  <w:pPr>
                    <w:pStyle w:val="11"/>
                    <w:spacing w:line="240" w:lineRule="auto"/>
                    <w:ind w:firstLine="0" w:firstLineChars="0"/>
                    <w:jc w:val="center"/>
                    <w:rPr>
                      <w:rFonts w:ascii="Times New Roman" w:hAnsi="Times New Roman"/>
                      <w:sz w:val="21"/>
                      <w:szCs w:val="21"/>
                    </w:rPr>
                  </w:pPr>
                  <w:r>
                    <w:rPr>
                      <w:rFonts w:hint="eastAsia" w:ascii="Times New Roman" w:hAnsi="Times New Roman"/>
                      <w:sz w:val="21"/>
                      <w:szCs w:val="21"/>
                    </w:rPr>
                    <w:t>白色</w:t>
                  </w:r>
                </w:p>
              </w:tc>
            </w:tr>
          </w:tbl>
          <w:p>
            <w:pPr>
              <w:ind w:firstLine="0" w:firstLineChars="0"/>
              <w:rPr>
                <w:b/>
                <w:bCs/>
              </w:rPr>
            </w:pPr>
            <w:r>
              <w:rPr>
                <w:rFonts w:hint="eastAsia"/>
                <w:b/>
                <w:bCs/>
              </w:rPr>
              <w:t>4、排污口建档管理要求</w:t>
            </w:r>
          </w:p>
          <w:p>
            <w:pPr>
              <w:ind w:firstLine="480"/>
            </w:pPr>
            <w:r>
              <w:rPr>
                <w:rFonts w:hint="eastAsia"/>
              </w:rPr>
              <w:t>（1）应使用《中华人民共和国规范化排污口标志登记证》，并按要求填写有关内容；</w:t>
            </w:r>
          </w:p>
          <w:p>
            <w:pPr>
              <w:ind w:firstLine="480"/>
            </w:pPr>
            <w:r>
              <w:rPr>
                <w:rFonts w:hint="eastAsia"/>
              </w:rPr>
              <w:t>（2）建设单位应将有关排污口的情况如：排污口的性质、编号、排污口的位置；主要排放的污染物种类、数量、浓度、排放规律、排放去向；污染治理设施的运行情况等进行建档管理，并报送生态环境主管部门备案。</w:t>
            </w:r>
          </w:p>
          <w:p>
            <w:pPr>
              <w:pStyle w:val="6"/>
              <w:rPr>
                <w:rFonts w:cs="Times New Roman"/>
              </w:rPr>
            </w:pPr>
            <w:r>
              <w:rPr>
                <w:rFonts w:cs="Times New Roman"/>
              </w:rPr>
              <w:t>4.</w:t>
            </w:r>
            <w:r>
              <w:rPr>
                <w:rFonts w:hint="eastAsia" w:cs="Times New Roman"/>
              </w:rPr>
              <w:t>7</w:t>
            </w:r>
            <w:r>
              <w:rPr>
                <w:rFonts w:cs="Times New Roman"/>
              </w:rPr>
              <w:t>环境保护计划</w:t>
            </w:r>
          </w:p>
          <w:p>
            <w:pPr>
              <w:ind w:firstLine="480"/>
              <w:rPr>
                <w:rFonts w:cs="Times New Roman"/>
                <w:highlight w:val="yellow"/>
              </w:rPr>
            </w:pPr>
            <w:r>
              <w:rPr>
                <w:rFonts w:hint="eastAsia" w:cs="Times New Roman"/>
              </w:rPr>
              <w:t>根据《排污单位自行监测技术指南总则》（HJ819-2017）、《排污许可证申请与核发技术规范石墨及其他非金属矿物制品制造》（HJ1119-2020）、《排污许可证申请与核发技术规范总则》（HJ942-2018）和《排污单位自行监测技术指南 总则》（HJ819-2017）等文件要求，本项目将开展排污单位自行监测工作，具体监测计划详见表4-1</w:t>
            </w:r>
            <w:r>
              <w:rPr>
                <w:rFonts w:cs="Times New Roman"/>
              </w:rPr>
              <w:t>8。</w:t>
            </w:r>
          </w:p>
          <w:p>
            <w:pPr>
              <w:pStyle w:val="81"/>
              <w:rPr>
                <w:rFonts w:ascii="Times New Roman" w:hAnsi="Times New Roman" w:cs="Times New Roman"/>
                <w:sz w:val="21"/>
                <w:szCs w:val="21"/>
              </w:rPr>
            </w:pPr>
            <w:r>
              <w:rPr>
                <w:rFonts w:ascii="Times New Roman" w:hAnsi="Times New Roman" w:cs="Times New Roman"/>
                <w:sz w:val="21"/>
                <w:szCs w:val="21"/>
              </w:rPr>
              <w:t>表4-1</w:t>
            </w:r>
            <w:r>
              <w:rPr>
                <w:rFonts w:ascii="Times New Roman" w:hAnsi="Times New Roman" w:cs="Times New Roman"/>
                <w:sz w:val="21"/>
                <w:szCs w:val="21"/>
                <w:lang w:val="en-US"/>
              </w:rPr>
              <w:t>8</w:t>
            </w:r>
            <w:r>
              <w:rPr>
                <w:rFonts w:ascii="Times New Roman" w:hAnsi="Times New Roman" w:cs="Times New Roman"/>
                <w:sz w:val="21"/>
                <w:szCs w:val="21"/>
              </w:rPr>
              <w:t xml:space="preserve">  环境监测计划</w:t>
            </w:r>
          </w:p>
          <w:tbl>
            <w:tblPr>
              <w:tblStyle w:val="26"/>
              <w:tblW w:w="492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550"/>
              <w:gridCol w:w="1413"/>
              <w:gridCol w:w="1418"/>
              <w:gridCol w:w="28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9" w:type="pct"/>
                  <w:vAlign w:val="center"/>
                </w:tcPr>
                <w:p>
                  <w:pPr>
                    <w:pStyle w:val="82"/>
                    <w:rPr>
                      <w:rFonts w:cs="Times New Roman"/>
                    </w:rPr>
                  </w:pPr>
                  <w:r>
                    <w:rPr>
                      <w:rFonts w:cs="Times New Roman"/>
                    </w:rPr>
                    <w:t>环境因素</w:t>
                  </w:r>
                </w:p>
              </w:tc>
              <w:tc>
                <w:tcPr>
                  <w:tcW w:w="907" w:type="pct"/>
                  <w:vAlign w:val="center"/>
                </w:tcPr>
                <w:p>
                  <w:pPr>
                    <w:pStyle w:val="82"/>
                    <w:rPr>
                      <w:rFonts w:cs="Times New Roman"/>
                    </w:rPr>
                  </w:pPr>
                  <w:r>
                    <w:rPr>
                      <w:rFonts w:cs="Times New Roman"/>
                    </w:rPr>
                    <w:t>监测项目</w:t>
                  </w:r>
                </w:p>
              </w:tc>
              <w:tc>
                <w:tcPr>
                  <w:tcW w:w="827" w:type="pct"/>
                  <w:vAlign w:val="center"/>
                </w:tcPr>
                <w:p>
                  <w:pPr>
                    <w:pStyle w:val="82"/>
                    <w:rPr>
                      <w:rFonts w:cs="Times New Roman"/>
                    </w:rPr>
                  </w:pPr>
                  <w:r>
                    <w:rPr>
                      <w:rFonts w:cs="Times New Roman"/>
                    </w:rPr>
                    <w:t>监测点位</w:t>
                  </w:r>
                </w:p>
              </w:tc>
              <w:tc>
                <w:tcPr>
                  <w:tcW w:w="830" w:type="pct"/>
                  <w:vAlign w:val="center"/>
                </w:tcPr>
                <w:p>
                  <w:pPr>
                    <w:pStyle w:val="82"/>
                    <w:rPr>
                      <w:rFonts w:cs="Times New Roman"/>
                    </w:rPr>
                  </w:pPr>
                  <w:r>
                    <w:rPr>
                      <w:rFonts w:cs="Times New Roman"/>
                    </w:rPr>
                    <w:t>监测频率</w:t>
                  </w:r>
                </w:p>
              </w:tc>
              <w:tc>
                <w:tcPr>
                  <w:tcW w:w="1687" w:type="pct"/>
                  <w:vAlign w:val="center"/>
                </w:tcPr>
                <w:p>
                  <w:pPr>
                    <w:pStyle w:val="82"/>
                    <w:rPr>
                      <w:rFonts w:cs="Times New Roman"/>
                    </w:rPr>
                  </w:pPr>
                  <w:r>
                    <w:rPr>
                      <w:rFonts w:cs="Times New Roman"/>
                    </w:rPr>
                    <w:t>排放标准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9" w:type="pct"/>
                  <w:vMerge w:val="restart"/>
                  <w:vAlign w:val="center"/>
                </w:tcPr>
                <w:p>
                  <w:pPr>
                    <w:pStyle w:val="82"/>
                    <w:rPr>
                      <w:rFonts w:cs="Times New Roman"/>
                    </w:rPr>
                  </w:pPr>
                  <w:r>
                    <w:rPr>
                      <w:rFonts w:cs="Times New Roman"/>
                    </w:rPr>
                    <w:t>有组织废气</w:t>
                  </w:r>
                </w:p>
              </w:tc>
              <w:tc>
                <w:tcPr>
                  <w:tcW w:w="907" w:type="pct"/>
                  <w:vAlign w:val="center"/>
                </w:tcPr>
                <w:p>
                  <w:pPr>
                    <w:pStyle w:val="82"/>
                    <w:rPr>
                      <w:rFonts w:cs="Times New Roman"/>
                    </w:rPr>
                  </w:pPr>
                  <w:r>
                    <w:rPr>
                      <w:rFonts w:cs="Times New Roman"/>
                    </w:rPr>
                    <w:t>颗粒物</w:t>
                  </w:r>
                </w:p>
              </w:tc>
              <w:tc>
                <w:tcPr>
                  <w:tcW w:w="827" w:type="pct"/>
                  <w:vAlign w:val="center"/>
                </w:tcPr>
                <w:p>
                  <w:pPr>
                    <w:pStyle w:val="82"/>
                    <w:rPr>
                      <w:rFonts w:cs="Times New Roman"/>
                    </w:rPr>
                  </w:pPr>
                  <w:r>
                    <w:rPr>
                      <w:rFonts w:hint="eastAsia" w:cs="Times New Roman"/>
                    </w:rPr>
                    <w:t>D</w:t>
                  </w:r>
                  <w:r>
                    <w:rPr>
                      <w:rFonts w:cs="Times New Roman"/>
                    </w:rPr>
                    <w:t>A001</w:t>
                  </w:r>
                </w:p>
              </w:tc>
              <w:tc>
                <w:tcPr>
                  <w:tcW w:w="830" w:type="pct"/>
                  <w:vAlign w:val="center"/>
                </w:tcPr>
                <w:p>
                  <w:pPr>
                    <w:pStyle w:val="82"/>
                    <w:rPr>
                      <w:rFonts w:cs="Times New Roman"/>
                    </w:rPr>
                  </w:pPr>
                  <w:r>
                    <w:rPr>
                      <w:rFonts w:hint="eastAsia" w:cs="Times New Roman"/>
                    </w:rPr>
                    <w:t>一次/半年</w:t>
                  </w:r>
                </w:p>
              </w:tc>
              <w:tc>
                <w:tcPr>
                  <w:tcW w:w="1687" w:type="pct"/>
                  <w:vMerge w:val="restart"/>
                  <w:vAlign w:val="center"/>
                </w:tcPr>
                <w:p>
                  <w:pPr>
                    <w:pStyle w:val="82"/>
                    <w:jc w:val="both"/>
                    <w:rPr>
                      <w:rFonts w:cs="Times New Roman"/>
                    </w:rPr>
                  </w:pPr>
                  <w:r>
                    <w:rPr>
                      <w:rFonts w:hint="eastAsia" w:cs="Times New Roman"/>
                      <w:color w:val="000000" w:themeColor="text1"/>
                      <w14:textFill>
                        <w14:solidFill>
                          <w14:schemeClr w14:val="tx1"/>
                        </w14:solidFill>
                      </w14:textFill>
                    </w:rPr>
                    <w:t>《大气污染物综合排放标准》（GB16297-1996）中表2的排放限值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49" w:type="pct"/>
                  <w:vMerge w:val="continue"/>
                  <w:vAlign w:val="center"/>
                </w:tcPr>
                <w:p>
                  <w:pPr>
                    <w:pStyle w:val="82"/>
                    <w:rPr>
                      <w:rFonts w:cs="Times New Roman"/>
                    </w:rPr>
                  </w:pPr>
                </w:p>
              </w:tc>
              <w:tc>
                <w:tcPr>
                  <w:tcW w:w="907" w:type="pct"/>
                  <w:vAlign w:val="center"/>
                </w:tcPr>
                <w:p>
                  <w:pPr>
                    <w:pStyle w:val="82"/>
                    <w:rPr>
                      <w:rFonts w:cs="Times New Roman"/>
                    </w:rPr>
                  </w:pPr>
                  <w:r>
                    <w:rPr>
                      <w:rFonts w:cs="Times New Roman"/>
                      <w:color w:val="000000"/>
                    </w:rPr>
                    <w:t>沥青烟、苯并[α]芘、非甲烷总烃</w:t>
                  </w:r>
                </w:p>
              </w:tc>
              <w:tc>
                <w:tcPr>
                  <w:tcW w:w="827" w:type="pct"/>
                  <w:vAlign w:val="center"/>
                </w:tcPr>
                <w:p>
                  <w:pPr>
                    <w:pStyle w:val="82"/>
                    <w:rPr>
                      <w:rFonts w:cs="Times New Roman"/>
                    </w:rPr>
                  </w:pPr>
                  <w:r>
                    <w:rPr>
                      <w:rFonts w:hint="eastAsia" w:cs="Times New Roman"/>
                    </w:rPr>
                    <w:t>D</w:t>
                  </w:r>
                  <w:r>
                    <w:rPr>
                      <w:rFonts w:cs="Times New Roman"/>
                    </w:rPr>
                    <w:t>A002</w:t>
                  </w:r>
                </w:p>
              </w:tc>
              <w:tc>
                <w:tcPr>
                  <w:tcW w:w="830" w:type="pct"/>
                  <w:vAlign w:val="center"/>
                </w:tcPr>
                <w:p>
                  <w:pPr>
                    <w:pStyle w:val="82"/>
                    <w:rPr>
                      <w:rFonts w:cs="Times New Roman"/>
                    </w:rPr>
                  </w:pPr>
                  <w:r>
                    <w:rPr>
                      <w:rFonts w:hint="eastAsia" w:cs="Times New Roman"/>
                    </w:rPr>
                    <w:t>一次/半年</w:t>
                  </w:r>
                </w:p>
              </w:tc>
              <w:tc>
                <w:tcPr>
                  <w:tcW w:w="1687" w:type="pct"/>
                  <w:vMerge w:val="continue"/>
                  <w:vAlign w:val="center"/>
                </w:tcPr>
                <w:p>
                  <w:pPr>
                    <w:pStyle w:val="82"/>
                    <w:jc w:val="both"/>
                    <w:rPr>
                      <w:rFonts w:cs="Times New Roman"/>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9" w:type="pct"/>
                  <w:vMerge w:val="restart"/>
                  <w:vAlign w:val="center"/>
                </w:tcPr>
                <w:p>
                  <w:pPr>
                    <w:pStyle w:val="82"/>
                    <w:rPr>
                      <w:rFonts w:cs="Times New Roman"/>
                    </w:rPr>
                  </w:pPr>
                  <w:r>
                    <w:rPr>
                      <w:rFonts w:hint="eastAsia" w:cs="Times New Roman"/>
                    </w:rPr>
                    <w:t>无组织</w:t>
                  </w:r>
                  <w:r>
                    <w:rPr>
                      <w:rFonts w:cs="Times New Roman"/>
                    </w:rPr>
                    <w:t>废气</w:t>
                  </w:r>
                </w:p>
              </w:tc>
              <w:tc>
                <w:tcPr>
                  <w:tcW w:w="907" w:type="pct"/>
                  <w:vAlign w:val="center"/>
                </w:tcPr>
                <w:p>
                  <w:pPr>
                    <w:pStyle w:val="82"/>
                    <w:rPr>
                      <w:rFonts w:cs="Times New Roman"/>
                    </w:rPr>
                  </w:pPr>
                  <w:r>
                    <w:rPr>
                      <w:rFonts w:cs="Times New Roman"/>
                      <w:color w:val="000000"/>
                    </w:rPr>
                    <w:t>沥青烟、苯并[α]芘、非甲烷总烃</w:t>
                  </w:r>
                  <w:r>
                    <w:rPr>
                      <w:rFonts w:hint="eastAsia" w:cs="Times New Roman"/>
                      <w:color w:val="000000"/>
                    </w:rPr>
                    <w:t>、</w:t>
                  </w:r>
                  <w:r>
                    <w:rPr>
                      <w:rFonts w:cs="Times New Roman"/>
                    </w:rPr>
                    <w:t>颗粒物</w:t>
                  </w:r>
                </w:p>
              </w:tc>
              <w:tc>
                <w:tcPr>
                  <w:tcW w:w="827" w:type="pct"/>
                  <w:vAlign w:val="center"/>
                </w:tcPr>
                <w:p>
                  <w:pPr>
                    <w:pStyle w:val="82"/>
                    <w:rPr>
                      <w:rFonts w:cs="Times New Roman"/>
                    </w:rPr>
                  </w:pPr>
                  <w:r>
                    <w:rPr>
                      <w:rFonts w:cs="Times New Roman"/>
                    </w:rPr>
                    <w:t>厂界</w:t>
                  </w:r>
                </w:p>
              </w:tc>
              <w:tc>
                <w:tcPr>
                  <w:tcW w:w="830" w:type="pct"/>
                  <w:vAlign w:val="center"/>
                </w:tcPr>
                <w:p>
                  <w:pPr>
                    <w:pStyle w:val="82"/>
                    <w:rPr>
                      <w:rFonts w:cs="Times New Roman"/>
                    </w:rPr>
                  </w:pPr>
                  <w:r>
                    <w:rPr>
                      <w:rFonts w:cs="Times New Roman"/>
                    </w:rPr>
                    <w:t>1次/</w:t>
                  </w:r>
                  <w:r>
                    <w:rPr>
                      <w:rFonts w:hint="eastAsia" w:cs="Times New Roman"/>
                    </w:rPr>
                    <w:t>半年</w:t>
                  </w:r>
                </w:p>
              </w:tc>
              <w:tc>
                <w:tcPr>
                  <w:tcW w:w="1687" w:type="pct"/>
                  <w:vAlign w:val="center"/>
                </w:tcPr>
                <w:p>
                  <w:pPr>
                    <w:pStyle w:val="82"/>
                    <w:jc w:val="both"/>
                    <w:rPr>
                      <w:color w:val="000000" w:themeColor="text1"/>
                      <w14:textFill>
                        <w14:solidFill>
                          <w14:schemeClr w14:val="tx1"/>
                        </w14:solidFill>
                      </w14:textFill>
                    </w:rPr>
                  </w:pPr>
                  <w:r>
                    <w:rPr>
                      <w:rFonts w:hint="eastAsia"/>
                      <w:color w:val="000000"/>
                    </w:rPr>
                    <w:t>《大气污染物综合排放标准》（GB16297-1996）表2中的</w:t>
                  </w:r>
                  <w:r>
                    <w:rPr>
                      <w:rFonts w:ascii="SourceHanSansCN-Regular" w:hAnsi="SourceHanSansCN-Regular"/>
                      <w:color w:val="000000"/>
                    </w:rPr>
                    <w:t>无组织排放监控点浓度限值</w:t>
                  </w:r>
                  <w:r>
                    <w:rPr>
                      <w:rFonts w:hint="eastAsia"/>
                      <w:color w:val="000000"/>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9" w:type="pct"/>
                  <w:vMerge w:val="continue"/>
                  <w:vAlign w:val="center"/>
                </w:tcPr>
                <w:p>
                  <w:pPr>
                    <w:pStyle w:val="82"/>
                    <w:rPr>
                      <w:rFonts w:cs="Times New Roman"/>
                    </w:rPr>
                  </w:pPr>
                </w:p>
              </w:tc>
              <w:tc>
                <w:tcPr>
                  <w:tcW w:w="907" w:type="pct"/>
                  <w:vAlign w:val="center"/>
                </w:tcPr>
                <w:p>
                  <w:pPr>
                    <w:pStyle w:val="82"/>
                    <w:rPr>
                      <w:rFonts w:cs="Times New Roman"/>
                      <w:color w:val="000000"/>
                    </w:rPr>
                  </w:pPr>
                  <w:r>
                    <w:rPr>
                      <w:rFonts w:hint="eastAsia" w:cs="Times New Roman"/>
                      <w:snapToGrid w:val="0"/>
                      <w:kern w:val="0"/>
                    </w:rPr>
                    <w:t>非甲烷总烃</w:t>
                  </w:r>
                </w:p>
              </w:tc>
              <w:tc>
                <w:tcPr>
                  <w:tcW w:w="827" w:type="pct"/>
                  <w:vAlign w:val="center"/>
                </w:tcPr>
                <w:p>
                  <w:pPr>
                    <w:pStyle w:val="82"/>
                    <w:rPr>
                      <w:rFonts w:cs="Times New Roman"/>
                    </w:rPr>
                  </w:pPr>
                  <w:r>
                    <w:rPr>
                      <w:rFonts w:hint="eastAsia" w:cs="Times New Roman"/>
                      <w:snapToGrid w:val="0"/>
                      <w:kern w:val="0"/>
                    </w:rPr>
                    <w:t>厂区内</w:t>
                  </w:r>
                </w:p>
              </w:tc>
              <w:tc>
                <w:tcPr>
                  <w:tcW w:w="830" w:type="pct"/>
                  <w:vAlign w:val="center"/>
                </w:tcPr>
                <w:p>
                  <w:pPr>
                    <w:pStyle w:val="82"/>
                    <w:rPr>
                      <w:rFonts w:cs="Times New Roman"/>
                    </w:rPr>
                  </w:pPr>
                  <w:r>
                    <w:rPr>
                      <w:rFonts w:cs="Times New Roman"/>
                    </w:rPr>
                    <w:t>1次/年</w:t>
                  </w:r>
                </w:p>
              </w:tc>
              <w:tc>
                <w:tcPr>
                  <w:tcW w:w="1687" w:type="pct"/>
                  <w:vAlign w:val="center"/>
                </w:tcPr>
                <w:p>
                  <w:pPr>
                    <w:pStyle w:val="82"/>
                    <w:jc w:val="both"/>
                    <w:rPr>
                      <w:color w:val="000000"/>
                    </w:rPr>
                  </w:pPr>
                  <w:r>
                    <w:rPr>
                      <w:rFonts w:hint="eastAsia" w:cs="Times New Roman"/>
                      <w:snapToGrid w:val="0"/>
                      <w:kern w:val="0"/>
                    </w:rPr>
                    <w:t>《</w:t>
                  </w:r>
                  <w:r>
                    <w:rPr>
                      <w:rFonts w:cs="Times New Roman"/>
                      <w:snapToGrid w:val="0"/>
                      <w:kern w:val="0"/>
                    </w:rPr>
                    <w:t>挥发性有机物无组织排放控制标准</w:t>
                  </w:r>
                  <w:r>
                    <w:rPr>
                      <w:rFonts w:hint="eastAsia" w:cs="Times New Roman"/>
                      <w:snapToGrid w:val="0"/>
                      <w:kern w:val="0"/>
                    </w:rPr>
                    <w:t>》（GB37822-2019）表A.1中排放限值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749" w:type="pct"/>
                  <w:vAlign w:val="center"/>
                </w:tcPr>
                <w:p>
                  <w:pPr>
                    <w:pStyle w:val="82"/>
                    <w:rPr>
                      <w:rFonts w:cs="Times New Roman"/>
                    </w:rPr>
                  </w:pPr>
                  <w:r>
                    <w:rPr>
                      <w:rFonts w:cs="Times New Roman"/>
                    </w:rPr>
                    <w:t>噪声</w:t>
                  </w:r>
                </w:p>
              </w:tc>
              <w:tc>
                <w:tcPr>
                  <w:tcW w:w="907" w:type="pct"/>
                  <w:vAlign w:val="center"/>
                </w:tcPr>
                <w:p>
                  <w:pPr>
                    <w:pStyle w:val="82"/>
                    <w:rPr>
                      <w:rFonts w:cs="Times New Roman"/>
                    </w:rPr>
                  </w:pPr>
                  <w:r>
                    <w:rPr>
                      <w:rFonts w:cs="Times New Roman"/>
                    </w:rPr>
                    <w:t>等效连续A声级Leq（A）</w:t>
                  </w:r>
                </w:p>
              </w:tc>
              <w:tc>
                <w:tcPr>
                  <w:tcW w:w="827" w:type="pct"/>
                  <w:vAlign w:val="center"/>
                </w:tcPr>
                <w:p>
                  <w:pPr>
                    <w:pStyle w:val="82"/>
                    <w:rPr>
                      <w:rFonts w:cs="Times New Roman"/>
                    </w:rPr>
                  </w:pPr>
                  <w:r>
                    <w:rPr>
                      <w:rFonts w:cs="Times New Roman"/>
                    </w:rPr>
                    <w:t>厂界四周1m处</w:t>
                  </w:r>
                </w:p>
              </w:tc>
              <w:tc>
                <w:tcPr>
                  <w:tcW w:w="830" w:type="pct"/>
                  <w:vAlign w:val="center"/>
                </w:tcPr>
                <w:p>
                  <w:pPr>
                    <w:pStyle w:val="82"/>
                    <w:rPr>
                      <w:rFonts w:cs="Times New Roman"/>
                    </w:rPr>
                  </w:pPr>
                  <w:r>
                    <w:rPr>
                      <w:rFonts w:cs="Times New Roman"/>
                    </w:rPr>
                    <w:t>1次/季度</w:t>
                  </w:r>
                </w:p>
              </w:tc>
              <w:tc>
                <w:tcPr>
                  <w:tcW w:w="1687" w:type="pct"/>
                  <w:vAlign w:val="center"/>
                </w:tcPr>
                <w:p>
                  <w:pPr>
                    <w:pStyle w:val="82"/>
                    <w:rPr>
                      <w:rFonts w:cs="Times New Roman"/>
                    </w:rPr>
                  </w:pPr>
                  <w:r>
                    <w:rPr>
                      <w:rFonts w:cs="Times New Roman"/>
                    </w:rPr>
                    <w:t>《工业企业厂界环境噪声排放标准》（GB12348-2008）3类标准</w:t>
                  </w:r>
                </w:p>
              </w:tc>
            </w:tr>
          </w:tbl>
          <w:p>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环保投资</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本项目总投资约</w:t>
            </w:r>
            <w:r>
              <w:rPr>
                <w:rFonts w:cs="Times New Roman"/>
                <w:color w:val="000000" w:themeColor="text1"/>
                <w:szCs w:val="24"/>
                <w14:textFill>
                  <w14:solidFill>
                    <w14:schemeClr w14:val="tx1"/>
                  </w14:solidFill>
                </w14:textFill>
              </w:rPr>
              <w:t>5000</w:t>
            </w:r>
            <w:r>
              <w:rPr>
                <w:rFonts w:hint="eastAsia"/>
                <w:color w:val="000000" w:themeColor="text1"/>
                <w14:textFill>
                  <w14:solidFill>
                    <w14:schemeClr w14:val="tx1"/>
                  </w14:solidFill>
                </w14:textFill>
              </w:rPr>
              <w:t>万元，其中环保投资</w:t>
            </w:r>
            <w:r>
              <w:rPr>
                <w:color w:val="000000" w:themeColor="text1"/>
                <w14:textFill>
                  <w14:solidFill>
                    <w14:schemeClr w14:val="tx1"/>
                  </w14:solidFill>
                </w14:textFill>
              </w:rPr>
              <w:t>59.5</w:t>
            </w:r>
            <w:r>
              <w:rPr>
                <w:rFonts w:hint="eastAsia"/>
                <w:color w:val="000000" w:themeColor="text1"/>
                <w14:textFill>
                  <w14:solidFill>
                    <w14:schemeClr w14:val="tx1"/>
                  </w14:solidFill>
                </w14:textFill>
              </w:rPr>
              <w:t>万元，占总投资</w:t>
            </w:r>
            <w:r>
              <w:rPr>
                <w:rFonts w:cs="Times New Roman"/>
                <w:color w:val="000000" w:themeColor="text1"/>
                <w:szCs w:val="24"/>
                <w14:textFill>
                  <w14:solidFill>
                    <w14:schemeClr w14:val="tx1"/>
                  </w14:solidFill>
                </w14:textFill>
              </w:rPr>
              <w:t>1.19</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。环保投资估算一览表见表</w:t>
            </w:r>
            <w:r>
              <w:rPr>
                <w:color w:val="000000" w:themeColor="text1"/>
                <w14:textFill>
                  <w14:solidFill>
                    <w14:schemeClr w14:val="tx1"/>
                  </w14:solidFill>
                </w14:textFill>
              </w:rPr>
              <w:t>4-19</w:t>
            </w:r>
            <w:r>
              <w:rPr>
                <w:rFonts w:hint="eastAsia"/>
                <w:color w:val="000000" w:themeColor="text1"/>
                <w14:textFill>
                  <w14:solidFill>
                    <w14:schemeClr w14:val="tx1"/>
                  </w14:solidFill>
                </w14:textFill>
              </w:rPr>
              <w:t>。</w:t>
            </w:r>
          </w:p>
          <w:p>
            <w:pPr>
              <w:pStyle w:val="39"/>
              <w:spacing w:before="163"/>
              <w:rPr>
                <w:color w:val="000000" w:themeColor="text1"/>
                <w14:textFill>
                  <w14:solidFill>
                    <w14:schemeClr w14:val="tx1"/>
                  </w14:solidFill>
                </w14:textFill>
              </w:rPr>
            </w:pPr>
            <w:r>
              <w:rPr>
                <w:rFonts w:hint="eastAsia"/>
                <w:color w:val="000000" w:themeColor="text1"/>
                <w14:textFill>
                  <w14:solidFill>
                    <w14:schemeClr w14:val="tx1"/>
                  </w14:solidFill>
                </w14:textFill>
              </w:rPr>
              <w:t>表4</w:t>
            </w:r>
            <w:r>
              <w:rPr>
                <w:color w:val="000000" w:themeColor="text1"/>
                <w14:textFill>
                  <w14:solidFill>
                    <w14:schemeClr w14:val="tx1"/>
                  </w14:solidFill>
                </w14:textFill>
              </w:rPr>
              <w:t>-19</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环保投资一览表</w:t>
            </w:r>
          </w:p>
          <w:tbl>
            <w:tblPr>
              <w:tblStyle w:val="27"/>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77"/>
              <w:gridCol w:w="1727"/>
              <w:gridCol w:w="4979"/>
              <w:gridCol w:w="12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b/>
                      <w:bCs/>
                      <w:kern w:val="0"/>
                      <w:sz w:val="21"/>
                      <w:szCs w:val="21"/>
                    </w:rPr>
                    <w:t>时段</w:t>
                  </w:r>
                </w:p>
              </w:tc>
              <w:tc>
                <w:tcPr>
                  <w:tcW w:w="995" w:type="pct"/>
                  <w:tcBorders>
                    <w:tl2br w:val="nil"/>
                    <w:tr2bl w:val="nil"/>
                  </w:tcBorders>
                  <w:vAlign w:val="center"/>
                </w:tcPr>
                <w:p>
                  <w:pPr>
                    <w:spacing w:line="240" w:lineRule="auto"/>
                    <w:ind w:firstLine="0" w:firstLineChars="0"/>
                    <w:jc w:val="center"/>
                    <w:textAlignment w:val="auto"/>
                    <w:rPr>
                      <w:b/>
                      <w:bCs/>
                      <w:kern w:val="0"/>
                      <w:sz w:val="21"/>
                      <w:szCs w:val="21"/>
                    </w:rPr>
                  </w:pPr>
                  <w:r>
                    <w:rPr>
                      <w:rFonts w:hint="eastAsia"/>
                      <w:b/>
                      <w:bCs/>
                      <w:kern w:val="0"/>
                      <w:sz w:val="21"/>
                      <w:szCs w:val="21"/>
                    </w:rPr>
                    <w:t>项目</w:t>
                  </w:r>
                </w:p>
              </w:tc>
              <w:tc>
                <w:tcPr>
                  <w:tcW w:w="2869"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b/>
                      <w:bCs/>
                      <w:kern w:val="0"/>
                      <w:sz w:val="21"/>
                      <w:szCs w:val="21"/>
                    </w:rPr>
                    <w:t>环保措施</w:t>
                  </w:r>
                </w:p>
              </w:tc>
              <w:tc>
                <w:tcPr>
                  <w:tcW w:w="746" w:type="pct"/>
                  <w:tcBorders>
                    <w:tl2br w:val="nil"/>
                    <w:tr2bl w:val="nil"/>
                  </w:tcBorders>
                  <w:vAlign w:val="center"/>
                </w:tcPr>
                <w:p>
                  <w:pPr>
                    <w:spacing w:line="240" w:lineRule="auto"/>
                    <w:ind w:firstLine="0" w:firstLineChars="0"/>
                    <w:jc w:val="center"/>
                    <w:textAlignment w:val="auto"/>
                    <w:rPr>
                      <w:b/>
                      <w:bCs/>
                      <w:kern w:val="0"/>
                      <w:sz w:val="21"/>
                      <w:szCs w:val="21"/>
                    </w:rPr>
                  </w:pPr>
                  <w:r>
                    <w:rPr>
                      <w:b/>
                      <w:bCs/>
                      <w:kern w:val="0"/>
                      <w:sz w:val="21"/>
                      <w:szCs w:val="21"/>
                    </w:rPr>
                    <w:t>投资</w:t>
                  </w:r>
                </w:p>
                <w:p>
                  <w:pPr>
                    <w:spacing w:line="240" w:lineRule="auto"/>
                    <w:ind w:firstLine="0" w:firstLineChars="0"/>
                    <w:jc w:val="center"/>
                    <w:textAlignment w:val="auto"/>
                    <w:rPr>
                      <w:color w:val="000000" w:themeColor="text1"/>
                      <w:szCs w:val="21"/>
                      <w14:textFill>
                        <w14:solidFill>
                          <w14:schemeClr w14:val="tx1"/>
                        </w14:solidFill>
                      </w14:textFill>
                    </w:rPr>
                  </w:pPr>
                  <w:r>
                    <w:rPr>
                      <w:b/>
                      <w:bCs/>
                      <w:kern w:val="0"/>
                      <w:sz w:val="21"/>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restart"/>
                  <w:tcBorders>
                    <w:tl2br w:val="nil"/>
                    <w:tr2bl w:val="nil"/>
                  </w:tcBorders>
                  <w:vAlign w:val="center"/>
                </w:tcPr>
                <w:p>
                  <w:pPr>
                    <w:pStyle w:val="34"/>
                    <w:rPr>
                      <w:color w:val="000000" w:themeColor="text1"/>
                      <w:szCs w:val="21"/>
                      <w14:textFill>
                        <w14:solidFill>
                          <w14:schemeClr w14:val="tx1"/>
                        </w14:solidFill>
                      </w14:textFill>
                    </w:rPr>
                  </w:pPr>
                  <w:r>
                    <w:rPr>
                      <w:rFonts w:hint="eastAsia"/>
                      <w:kern w:val="0"/>
                      <w:szCs w:val="21"/>
                    </w:rPr>
                    <w:t>施工期</w:t>
                  </w:r>
                </w:p>
              </w:tc>
              <w:tc>
                <w:tcPr>
                  <w:tcW w:w="995"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废气</w:t>
                  </w:r>
                  <w:r>
                    <w:rPr>
                      <w:rFonts w:cs="Times New Roman"/>
                      <w:sz w:val="21"/>
                      <w:szCs w:val="21"/>
                    </w:rPr>
                    <w:t>治理</w:t>
                  </w:r>
                </w:p>
              </w:tc>
              <w:tc>
                <w:tcPr>
                  <w:tcW w:w="2869"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洒水设施、篷布遮盖</w:t>
                  </w:r>
                </w:p>
              </w:tc>
              <w:tc>
                <w:tcPr>
                  <w:tcW w:w="746"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废水</w:t>
                  </w:r>
                  <w:r>
                    <w:rPr>
                      <w:rFonts w:cs="Times New Roman"/>
                      <w:sz w:val="21"/>
                      <w:szCs w:val="21"/>
                    </w:rPr>
                    <w:t>治理</w:t>
                  </w:r>
                </w:p>
              </w:tc>
              <w:tc>
                <w:tcPr>
                  <w:tcW w:w="2869"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临时沉淀池</w:t>
                  </w:r>
                </w:p>
              </w:tc>
              <w:tc>
                <w:tcPr>
                  <w:tcW w:w="746"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噪声</w:t>
                  </w:r>
                  <w:r>
                    <w:rPr>
                      <w:rFonts w:cs="Times New Roman"/>
                      <w:sz w:val="21"/>
                      <w:szCs w:val="21"/>
                    </w:rPr>
                    <w:t>治理</w:t>
                  </w:r>
                </w:p>
              </w:tc>
              <w:tc>
                <w:tcPr>
                  <w:tcW w:w="2869"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施工设备降噪，进出车辆减速</w:t>
                  </w:r>
                </w:p>
              </w:tc>
              <w:tc>
                <w:tcPr>
                  <w:tcW w:w="746"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kern w:val="0"/>
                      <w:sz w:val="21"/>
                      <w:szCs w:val="21"/>
                    </w:rPr>
                    <w:t>固体废物</w:t>
                  </w:r>
                </w:p>
              </w:tc>
              <w:tc>
                <w:tcPr>
                  <w:tcW w:w="2869"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建筑垃圾、生活垃圾清运</w:t>
                  </w:r>
                </w:p>
              </w:tc>
              <w:tc>
                <w:tcPr>
                  <w:tcW w:w="746" w:type="pct"/>
                  <w:tcBorders>
                    <w:tl2br w:val="nil"/>
                    <w:tr2bl w:val="nil"/>
                  </w:tcBorders>
                  <w:vAlign w:val="center"/>
                </w:tcPr>
                <w:p>
                  <w:pPr>
                    <w:spacing w:line="240" w:lineRule="auto"/>
                    <w:ind w:firstLine="0" w:firstLineChars="0"/>
                    <w:jc w:val="center"/>
                    <w:textAlignment w:val="auto"/>
                    <w:rPr>
                      <w:color w:val="000000" w:themeColor="text1"/>
                      <w:szCs w:val="21"/>
                      <w14:textFill>
                        <w14:solidFill>
                          <w14:schemeClr w14:val="tx1"/>
                        </w14:solidFill>
                      </w14:textFill>
                    </w:rPr>
                  </w:pPr>
                  <w:r>
                    <w:rPr>
                      <w:rFonts w:hint="eastAsia"/>
                      <w:kern w:val="0"/>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390" w:type="pct"/>
                  <w:vMerge w:val="restart"/>
                  <w:tcBorders>
                    <w:tl2br w:val="nil"/>
                    <w:tr2bl w:val="nil"/>
                  </w:tcBorders>
                  <w:vAlign w:val="center"/>
                </w:tcPr>
                <w:p>
                  <w:pPr>
                    <w:pStyle w:val="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运营期</w:t>
                  </w:r>
                </w:p>
              </w:tc>
              <w:tc>
                <w:tcPr>
                  <w:tcW w:w="995" w:type="pct"/>
                  <w:vMerge w:val="restart"/>
                  <w:tcBorders>
                    <w:tl2br w:val="nil"/>
                    <w:tr2bl w:val="nil"/>
                  </w:tcBorders>
                  <w:vAlign w:val="center"/>
                </w:tcPr>
                <w:p>
                  <w:pPr>
                    <w:pStyle w:val="34"/>
                    <w:rPr>
                      <w:color w:val="000000" w:themeColor="text1"/>
                      <w:szCs w:val="21"/>
                      <w14:textFill>
                        <w14:solidFill>
                          <w14:schemeClr w14:val="tx1"/>
                        </w14:solidFill>
                      </w14:textFill>
                    </w:rPr>
                  </w:pPr>
                  <w:r>
                    <w:rPr>
                      <w:rFonts w:hint="eastAsia"/>
                      <w:kern w:val="0"/>
                      <w:szCs w:val="21"/>
                    </w:rPr>
                    <w:t>废气</w:t>
                  </w:r>
                  <w:r>
                    <w:rPr>
                      <w:rFonts w:cs="Times New Roman"/>
                      <w:szCs w:val="21"/>
                    </w:rPr>
                    <w:t>治理</w:t>
                  </w:r>
                </w:p>
              </w:tc>
              <w:tc>
                <w:tcPr>
                  <w:tcW w:w="2869" w:type="pct"/>
                  <w:tcBorders>
                    <w:tl2br w:val="nil"/>
                    <w:tr2bl w:val="nil"/>
                  </w:tcBorders>
                  <w:vAlign w:val="center"/>
                </w:tcPr>
                <w:p>
                  <w:pPr>
                    <w:pStyle w:val="34"/>
                    <w:jc w:val="both"/>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粉末（液态）道路标线材料生产拆包卸料、投料及成品分装粉尘经集气罩收集后进入布袋除尘器处理，由15m高排气筒（DA001）排放</w:t>
                  </w:r>
                </w:p>
              </w:tc>
              <w:tc>
                <w:tcPr>
                  <w:tcW w:w="746" w:type="pct"/>
                  <w:vMerge w:val="restar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 w:hRule="atLeast"/>
              </w:trPr>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vMerge w:val="continue"/>
                  <w:tcBorders>
                    <w:tl2br w:val="nil"/>
                    <w:tr2bl w:val="nil"/>
                  </w:tcBorders>
                  <w:vAlign w:val="center"/>
                </w:tcPr>
                <w:p>
                  <w:pPr>
                    <w:pStyle w:val="34"/>
                    <w:rPr>
                      <w:kern w:val="0"/>
                      <w:szCs w:val="21"/>
                    </w:rPr>
                  </w:pPr>
                </w:p>
              </w:tc>
              <w:tc>
                <w:tcPr>
                  <w:tcW w:w="2869" w:type="pct"/>
                  <w:tcBorders>
                    <w:tl2br w:val="nil"/>
                    <w:tr2bl w:val="nil"/>
                  </w:tcBorders>
                  <w:vAlign w:val="center"/>
                </w:tcPr>
                <w:p>
                  <w:pPr>
                    <w:pStyle w:val="34"/>
                    <w:jc w:val="both"/>
                    <w:rPr>
                      <w:rFonts w:cs="Times New Roman"/>
                      <w:szCs w:val="21"/>
                    </w:rPr>
                  </w:pPr>
                  <w:r>
                    <w:rPr>
                      <w:rFonts w:hint="eastAsia" w:cs="Times New Roman"/>
                      <w:color w:val="000000" w:themeColor="text1"/>
                      <w:szCs w:val="21"/>
                      <w14:textFill>
                        <w14:solidFill>
                          <w14:schemeClr w14:val="tx1"/>
                        </w14:solidFill>
                      </w14:textFill>
                    </w:rPr>
                    <w:t>液态道路标线材料生产混合搅拌非甲烷总烃经负压收集后进入两级活性炭吸附装置，由15m高排气筒（DA002）排放</w:t>
                  </w:r>
                </w:p>
              </w:tc>
              <w:tc>
                <w:tcPr>
                  <w:tcW w:w="746" w:type="pct"/>
                  <w:vMerge w:val="continue"/>
                  <w:tcBorders>
                    <w:tl2br w:val="nil"/>
                    <w:tr2bl w:val="nil"/>
                  </w:tcBorders>
                  <w:vAlign w:val="center"/>
                </w:tcPr>
                <w:p>
                  <w:pPr>
                    <w:pStyle w:val="34"/>
                    <w:rPr>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vMerge w:val="continue"/>
                  <w:tcBorders>
                    <w:tl2br w:val="nil"/>
                    <w:tr2bl w:val="nil"/>
                  </w:tcBorders>
                  <w:vAlign w:val="center"/>
                </w:tcPr>
                <w:p>
                  <w:pPr>
                    <w:pStyle w:val="34"/>
                    <w:rPr>
                      <w:kern w:val="0"/>
                      <w:szCs w:val="21"/>
                    </w:rPr>
                  </w:pPr>
                </w:p>
              </w:tc>
              <w:tc>
                <w:tcPr>
                  <w:tcW w:w="2869" w:type="pct"/>
                  <w:tcBorders>
                    <w:tl2br w:val="nil"/>
                    <w:tr2bl w:val="nil"/>
                  </w:tcBorders>
                  <w:vAlign w:val="center"/>
                </w:tcPr>
                <w:p>
                  <w:pPr>
                    <w:spacing w:line="240" w:lineRule="auto"/>
                    <w:ind w:firstLine="0" w:firstLineChars="0"/>
                  </w:pPr>
                  <w:r>
                    <w:rPr>
                      <w:rFonts w:hint="eastAsia" w:cs="Times New Roman"/>
                      <w:sz w:val="21"/>
                      <w:szCs w:val="21"/>
                    </w:rPr>
                    <w:t>固体（液态）沥青养护环保材料生产沥青烟、非甲烷总烃、苯并[a]芘经管道收集后进入电捕焦油器+两级活性炭吸附装置，由15m高排气筒（DA002）排放</w:t>
                  </w:r>
                </w:p>
              </w:tc>
              <w:tc>
                <w:tcPr>
                  <w:tcW w:w="746" w:type="pct"/>
                  <w:vMerge w:val="continue"/>
                  <w:tcBorders>
                    <w:tl2br w:val="nil"/>
                    <w:tr2bl w:val="nil"/>
                  </w:tcBorders>
                  <w:vAlign w:val="center"/>
                </w:tcPr>
                <w:p>
                  <w:pPr>
                    <w:pStyle w:val="34"/>
                    <w:rPr>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4" w:hRule="atLeast"/>
              </w:trPr>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szCs w:val="21"/>
                    </w:rPr>
                  </w:pPr>
                  <w:r>
                    <w:rPr>
                      <w:rFonts w:hint="eastAsia"/>
                      <w:kern w:val="0"/>
                      <w:szCs w:val="21"/>
                    </w:rPr>
                    <w:t>废水</w:t>
                  </w:r>
                  <w:r>
                    <w:rPr>
                      <w:rFonts w:cs="Times New Roman"/>
                      <w:szCs w:val="21"/>
                    </w:rPr>
                    <w:t>治理</w:t>
                  </w:r>
                </w:p>
              </w:tc>
              <w:tc>
                <w:tcPr>
                  <w:tcW w:w="2869" w:type="pct"/>
                  <w:tcBorders>
                    <w:tl2br w:val="nil"/>
                    <w:tr2bl w:val="nil"/>
                  </w:tcBorders>
                  <w:vAlign w:val="center"/>
                </w:tcPr>
                <w:p>
                  <w:pPr>
                    <w:pStyle w:val="34"/>
                    <w:jc w:val="both"/>
                    <w:rPr>
                      <w:szCs w:val="21"/>
                    </w:rPr>
                  </w:pPr>
                  <w:r>
                    <w:rPr>
                      <w:rFonts w:hint="eastAsia"/>
                      <w:szCs w:val="21"/>
                    </w:rPr>
                    <w:t>生活污水进入厂区化粪池进行预处理后，排入园区管网，最终进入和静县污水处理厂处理</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color w:val="000000" w:themeColor="text1"/>
                      <w:szCs w:val="21"/>
                      <w14:textFill>
                        <w14:solidFill>
                          <w14:schemeClr w14:val="tx1"/>
                        </w14:solidFill>
                      </w14:textFill>
                    </w:rPr>
                  </w:pPr>
                  <w:r>
                    <w:rPr>
                      <w:rFonts w:hint="eastAsia"/>
                      <w:kern w:val="0"/>
                      <w:szCs w:val="21"/>
                    </w:rPr>
                    <w:t>噪声</w:t>
                  </w:r>
                  <w:r>
                    <w:rPr>
                      <w:rFonts w:cs="Times New Roman"/>
                      <w:szCs w:val="21"/>
                    </w:rPr>
                    <w:t>治理</w:t>
                  </w:r>
                </w:p>
              </w:tc>
              <w:tc>
                <w:tcPr>
                  <w:tcW w:w="2869" w:type="pct"/>
                  <w:tcBorders>
                    <w:tl2br w:val="nil"/>
                    <w:tr2bl w:val="nil"/>
                  </w:tcBorders>
                  <w:vAlign w:val="center"/>
                </w:tcPr>
                <w:p>
                  <w:pPr>
                    <w:pStyle w:val="34"/>
                    <w:rPr>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设备噪声主要采用隔音、减振、合理布局、绿化等降噪措施</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6" w:hRule="atLeast"/>
              </w:trPr>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vMerge w:val="restart"/>
                  <w:tcBorders>
                    <w:tl2br w:val="nil"/>
                    <w:tr2bl w:val="nil"/>
                  </w:tcBorders>
                  <w:vAlign w:val="center"/>
                </w:tcPr>
                <w:p>
                  <w:pPr>
                    <w:pStyle w:val="34"/>
                    <w:rPr>
                      <w:color w:val="000000" w:themeColor="text1"/>
                      <w:szCs w:val="21"/>
                      <w14:textFill>
                        <w14:solidFill>
                          <w14:schemeClr w14:val="tx1"/>
                        </w14:solidFill>
                      </w14:textFill>
                    </w:rPr>
                  </w:pPr>
                  <w:r>
                    <w:rPr>
                      <w:kern w:val="0"/>
                      <w:szCs w:val="21"/>
                    </w:rPr>
                    <w:t>固体废物</w:t>
                  </w:r>
                </w:p>
              </w:tc>
              <w:tc>
                <w:tcPr>
                  <w:tcW w:w="2869" w:type="pct"/>
                  <w:tcBorders>
                    <w:tl2br w:val="nil"/>
                    <w:tr2bl w:val="nil"/>
                  </w:tcBorders>
                  <w:vAlign w:val="center"/>
                </w:tcPr>
                <w:p>
                  <w:pPr>
                    <w:pStyle w:val="34"/>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废导热油、</w:t>
                  </w:r>
                  <w:r>
                    <w:rPr>
                      <w:rFonts w:hint="eastAsia"/>
                      <w:color w:val="000000"/>
                    </w:rPr>
                    <w:t>废焦油</w:t>
                  </w:r>
                  <w:r>
                    <w:rPr>
                      <w:rFonts w:hint="eastAsia"/>
                      <w:color w:val="000000" w:themeColor="text1"/>
                      <w:szCs w:val="21"/>
                      <w14:textFill>
                        <w14:solidFill>
                          <w14:schemeClr w14:val="tx1"/>
                        </w14:solidFill>
                      </w14:textFill>
                    </w:rPr>
                    <w:t>、废机油、沾有废机油的废抹布和废手套、废机油桶、废活性炭、废原料桶集中收集后存放于危险废物贮存库，委托有处理资质单位进行清运及处置</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vMerge w:val="continue"/>
                  <w:tcBorders>
                    <w:tl2br w:val="nil"/>
                    <w:tr2bl w:val="nil"/>
                  </w:tcBorders>
                  <w:vAlign w:val="center"/>
                </w:tcPr>
                <w:p>
                  <w:pPr>
                    <w:pStyle w:val="34"/>
                    <w:rPr>
                      <w:rFonts w:ascii="宋体" w:hAnsi="宋体" w:cs="宋体"/>
                      <w:szCs w:val="21"/>
                    </w:rPr>
                  </w:pPr>
                </w:p>
              </w:tc>
              <w:tc>
                <w:tcPr>
                  <w:tcW w:w="2869" w:type="pct"/>
                  <w:tcBorders>
                    <w:tl2br w:val="nil"/>
                    <w:tr2bl w:val="nil"/>
                  </w:tcBorders>
                  <w:vAlign w:val="center"/>
                </w:tcPr>
                <w:p>
                  <w:pPr>
                    <w:pStyle w:val="34"/>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废包装袋收集后外售废旧物资回收单位；布袋集尘集中收集后，拉运至和静工业园区一般工业固废填埋场；废布袋收集后交由厂家回收</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vMerge w:val="continue"/>
                  <w:tcBorders>
                    <w:tl2br w:val="nil"/>
                    <w:tr2bl w:val="nil"/>
                  </w:tcBorders>
                  <w:vAlign w:val="center"/>
                </w:tcPr>
                <w:p>
                  <w:pPr>
                    <w:pStyle w:val="34"/>
                    <w:rPr>
                      <w:rFonts w:ascii="宋体" w:hAnsi="宋体" w:cs="宋体"/>
                      <w:szCs w:val="21"/>
                    </w:rPr>
                  </w:pPr>
                </w:p>
              </w:tc>
              <w:tc>
                <w:tcPr>
                  <w:tcW w:w="2869" w:type="pct"/>
                  <w:tcBorders>
                    <w:tl2br w:val="nil"/>
                    <w:tr2bl w:val="nil"/>
                  </w:tcBorders>
                  <w:vAlign w:val="center"/>
                </w:tcPr>
                <w:p>
                  <w:pPr>
                    <w:pStyle w:val="34"/>
                    <w:rPr>
                      <w:color w:val="000000" w:themeColor="text1"/>
                      <w:szCs w:val="21"/>
                      <w14:textFill>
                        <w14:solidFill>
                          <w14:schemeClr w14:val="tx1"/>
                        </w14:solidFill>
                      </w14:textFill>
                    </w:rPr>
                  </w:pPr>
                  <w:r>
                    <w:rPr>
                      <w:rFonts w:hint="eastAsia" w:cs="Times New Roman"/>
                      <w:color w:val="000000"/>
                    </w:rPr>
                    <w:t>生活垃圾集中收集至垃圾箱后由环卫部门统一清运</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color w:val="000000" w:themeColor="text1"/>
                      <w:szCs w:val="21"/>
                      <w14:textFill>
                        <w14:solidFill>
                          <w14:schemeClr w14:val="tx1"/>
                        </w14:solidFill>
                      </w14:textFill>
                    </w:rPr>
                  </w:pPr>
                  <w:r>
                    <w:rPr>
                      <w:rFonts w:hint="eastAsia" w:cs="Times New Roman"/>
                      <w:color w:val="000000"/>
                      <w:szCs w:val="21"/>
                    </w:rPr>
                    <w:t>环境风险措施</w:t>
                  </w:r>
                </w:p>
              </w:tc>
              <w:tc>
                <w:tcPr>
                  <w:tcW w:w="2869" w:type="pct"/>
                  <w:tcBorders>
                    <w:tl2br w:val="nil"/>
                    <w:tr2bl w:val="nil"/>
                  </w:tcBorders>
                  <w:vAlign w:val="center"/>
                </w:tcPr>
                <w:p>
                  <w:pPr>
                    <w:pStyle w:val="34"/>
                    <w:rPr>
                      <w:rFonts w:cs="Times New Roman"/>
                      <w:color w:val="000000"/>
                    </w:rPr>
                  </w:pPr>
                  <w:r>
                    <w:rPr>
                      <w:rFonts w:cs="Times New Roman"/>
                      <w:color w:val="000000"/>
                      <w:szCs w:val="21"/>
                    </w:rPr>
                    <w:t>制定详细的应急预案，组建事故应急救援组织体系，风险防范中所提及的各类防范措施均设置到位</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rFonts w:cs="Times New Roman"/>
                      <w:color w:val="000000"/>
                      <w:szCs w:val="21"/>
                    </w:rPr>
                  </w:pPr>
                  <w:r>
                    <w:rPr>
                      <w:rFonts w:hint="eastAsia" w:cs="Times New Roman"/>
                      <w:color w:val="000000"/>
                      <w:szCs w:val="21"/>
                    </w:rPr>
                    <w:t>环境管理</w:t>
                  </w:r>
                </w:p>
              </w:tc>
              <w:tc>
                <w:tcPr>
                  <w:tcW w:w="2869" w:type="pct"/>
                  <w:tcBorders>
                    <w:tl2br w:val="nil"/>
                    <w:tr2bl w:val="nil"/>
                  </w:tcBorders>
                  <w:vAlign w:val="center"/>
                </w:tcPr>
                <w:p>
                  <w:pPr>
                    <w:pStyle w:val="34"/>
                    <w:rPr>
                      <w:rFonts w:cs="Times New Roman"/>
                      <w:color w:val="000000"/>
                      <w:szCs w:val="21"/>
                    </w:rPr>
                  </w:pPr>
                  <w:r>
                    <w:rPr>
                      <w:rFonts w:hint="eastAsia" w:cs="Times New Roman"/>
                      <w:color w:val="000000"/>
                      <w:szCs w:val="21"/>
                    </w:rPr>
                    <w:t>加强环境管理，对设备进行维护，设标识牌，建立危险废物转运台账，环保设施运行台账等</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rFonts w:cs="Times New Roman"/>
                      <w:color w:val="000000"/>
                      <w:szCs w:val="21"/>
                    </w:rPr>
                  </w:pPr>
                  <w:r>
                    <w:rPr>
                      <w:rFonts w:hint="eastAsia" w:cs="Times New Roman"/>
                      <w:color w:val="000000"/>
                      <w:szCs w:val="21"/>
                    </w:rPr>
                    <w:t>环境监测</w:t>
                  </w:r>
                </w:p>
              </w:tc>
              <w:tc>
                <w:tcPr>
                  <w:tcW w:w="2869" w:type="pct"/>
                  <w:tcBorders>
                    <w:tl2br w:val="nil"/>
                    <w:tr2bl w:val="nil"/>
                  </w:tcBorders>
                  <w:vAlign w:val="center"/>
                </w:tcPr>
                <w:p>
                  <w:pPr>
                    <w:pStyle w:val="34"/>
                    <w:rPr>
                      <w:rFonts w:cs="Times New Roman"/>
                      <w:color w:val="000000"/>
                      <w:szCs w:val="21"/>
                    </w:rPr>
                  </w:pPr>
                  <w:r>
                    <w:rPr>
                      <w:rFonts w:hint="eastAsia" w:cs="Times New Roman"/>
                      <w:color w:val="000000"/>
                      <w:szCs w:val="21"/>
                    </w:rPr>
                    <w:t>开展自行监测</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0" w:type="pct"/>
                  <w:vMerge w:val="continue"/>
                  <w:tcBorders>
                    <w:tl2br w:val="nil"/>
                    <w:tr2bl w:val="nil"/>
                  </w:tcBorders>
                  <w:vAlign w:val="center"/>
                </w:tcPr>
                <w:p>
                  <w:pPr>
                    <w:pStyle w:val="34"/>
                    <w:rPr>
                      <w:color w:val="000000" w:themeColor="text1"/>
                      <w:szCs w:val="21"/>
                      <w14:textFill>
                        <w14:solidFill>
                          <w14:schemeClr w14:val="tx1"/>
                        </w14:solidFill>
                      </w14:textFill>
                    </w:rPr>
                  </w:pPr>
                </w:p>
              </w:tc>
              <w:tc>
                <w:tcPr>
                  <w:tcW w:w="995" w:type="pct"/>
                  <w:tcBorders>
                    <w:tl2br w:val="nil"/>
                    <w:tr2bl w:val="nil"/>
                  </w:tcBorders>
                  <w:vAlign w:val="center"/>
                </w:tcPr>
                <w:p>
                  <w:pPr>
                    <w:pStyle w:val="34"/>
                    <w:rPr>
                      <w:rFonts w:cs="Times New Roman"/>
                      <w:color w:val="000000"/>
                      <w:szCs w:val="21"/>
                    </w:rPr>
                  </w:pPr>
                  <w:r>
                    <w:rPr>
                      <w:rFonts w:hint="eastAsia" w:cs="Times New Roman"/>
                      <w:color w:val="000000"/>
                      <w:szCs w:val="21"/>
                    </w:rPr>
                    <w:t>其他</w:t>
                  </w:r>
                </w:p>
              </w:tc>
              <w:tc>
                <w:tcPr>
                  <w:tcW w:w="2869" w:type="pct"/>
                  <w:tcBorders>
                    <w:tl2br w:val="nil"/>
                    <w:tr2bl w:val="nil"/>
                  </w:tcBorders>
                  <w:vAlign w:val="center"/>
                </w:tcPr>
                <w:p>
                  <w:pPr>
                    <w:pStyle w:val="34"/>
                    <w:rPr>
                      <w:rFonts w:cs="Times New Roman"/>
                      <w:color w:val="000000"/>
                      <w:szCs w:val="21"/>
                    </w:rPr>
                  </w:pPr>
                  <w:r>
                    <w:rPr>
                      <w:rFonts w:hint="eastAsia" w:cs="Times New Roman"/>
                      <w:color w:val="000000"/>
                      <w:szCs w:val="21"/>
                    </w:rPr>
                    <w:t>厂区绿化、</w:t>
                  </w:r>
                  <w:r>
                    <w:rPr>
                      <w:rFonts w:hint="eastAsia" w:cs="Times New Roman"/>
                      <w:szCs w:val="21"/>
                    </w:rPr>
                    <w:t>相关科研费用等</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54" w:type="pct"/>
                  <w:gridSpan w:val="3"/>
                  <w:tcBorders>
                    <w:tl2br w:val="nil"/>
                    <w:tr2bl w:val="nil"/>
                  </w:tcBorders>
                  <w:vAlign w:val="center"/>
                </w:tcPr>
                <w:p>
                  <w:pPr>
                    <w:pStyle w:val="34"/>
                    <w:rPr>
                      <w:rFonts w:ascii="宋体" w:cs="宋体" w:hAnsiTheme="minorHAnsi"/>
                      <w:color w:val="000000" w:themeColor="text1"/>
                      <w:kern w:val="0"/>
                      <w:szCs w:val="21"/>
                      <w14:textFill>
                        <w14:solidFill>
                          <w14:schemeClr w14:val="tx1"/>
                        </w14:solidFill>
                      </w14:textFill>
                    </w:rPr>
                  </w:pPr>
                  <w:r>
                    <w:rPr>
                      <w:rFonts w:hint="eastAsia" w:ascii="宋体" w:cs="宋体" w:hAnsiTheme="minorHAnsi"/>
                      <w:color w:val="000000" w:themeColor="text1"/>
                      <w:kern w:val="0"/>
                      <w:szCs w:val="21"/>
                      <w14:textFill>
                        <w14:solidFill>
                          <w14:schemeClr w14:val="tx1"/>
                        </w14:solidFill>
                      </w14:textFill>
                    </w:rPr>
                    <w:t>合计</w:t>
                  </w:r>
                </w:p>
              </w:tc>
              <w:tc>
                <w:tcPr>
                  <w:tcW w:w="746" w:type="pct"/>
                  <w:tcBorders>
                    <w:tl2br w:val="nil"/>
                    <w:tr2bl w:val="nil"/>
                  </w:tcBorders>
                  <w:vAlign w:val="center"/>
                </w:tcPr>
                <w:p>
                  <w:pPr>
                    <w:pStyle w:val="34"/>
                    <w:rPr>
                      <w:color w:val="000000" w:themeColor="text1"/>
                      <w:szCs w:val="21"/>
                      <w14:textFill>
                        <w14:solidFill>
                          <w14:schemeClr w14:val="tx1"/>
                        </w14:solidFill>
                      </w14:textFill>
                    </w:rPr>
                  </w:pPr>
                  <w:r>
                    <w:rPr>
                      <w:color w:val="000000" w:themeColor="text1"/>
                      <w:szCs w:val="21"/>
                      <w14:textFill>
                        <w14:solidFill>
                          <w14:schemeClr w14:val="tx1"/>
                        </w14:solidFill>
                      </w14:textFill>
                    </w:rPr>
                    <w:t>59.5</w:t>
                  </w:r>
                </w:p>
              </w:tc>
            </w:tr>
          </w:tbl>
          <w:p>
            <w:pPr>
              <w:ind w:firstLine="0" w:firstLineChars="0"/>
            </w:pPr>
          </w:p>
        </w:tc>
      </w:tr>
    </w:tbl>
    <w:p>
      <w:pPr>
        <w:pStyle w:val="5"/>
        <w:rPr>
          <w:snapToGrid w:val="0"/>
          <w:color w:val="000000" w:themeColor="text1"/>
          <w14:textFill>
            <w14:solidFill>
              <w14:schemeClr w14:val="tx1"/>
            </w14:solidFill>
          </w14:textFill>
        </w:rPr>
        <w:sectPr>
          <w:pgSz w:w="11906" w:h="16838"/>
          <w:pgMar w:top="1418" w:right="1418" w:bottom="1418" w:left="1418" w:header="851" w:footer="992" w:gutter="0"/>
          <w:cols w:space="425" w:num="1"/>
          <w:docGrid w:type="lines" w:linePitch="326" w:charSpace="0"/>
        </w:sectPr>
      </w:pPr>
    </w:p>
    <w:p>
      <w:pPr>
        <w:pStyle w:val="5"/>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五、</w:t>
      </w:r>
      <w:bookmarkStart w:id="29" w:name="_Hlk54167917"/>
      <w:r>
        <w:rPr>
          <w:rFonts w:hint="eastAsia"/>
          <w:snapToGrid w:val="0"/>
          <w:color w:val="000000" w:themeColor="text1"/>
          <w14:textFill>
            <w14:solidFill>
              <w14:schemeClr w14:val="tx1"/>
            </w14:solidFill>
          </w14:textFill>
        </w:rPr>
        <w:t>环境保护措施监督检查清单</w:t>
      </w:r>
      <w:bookmarkEnd w:id="29"/>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86"/>
        <w:gridCol w:w="1134"/>
        <w:gridCol w:w="1134"/>
        <w:gridCol w:w="2835"/>
        <w:gridCol w:w="22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33" w:type="pct"/>
            <w:tcBorders>
              <w:tl2br w:val="single" w:color="auto" w:sz="12" w:space="0"/>
            </w:tcBorders>
          </w:tcPr>
          <w:p>
            <w:pPr>
              <w:adjustRightInd w:val="0"/>
              <w:snapToGrid w:val="0"/>
              <w:spacing w:line="240" w:lineRule="auto"/>
              <w:ind w:firstLine="632" w:firstLineChars="300"/>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内容</w:t>
            </w:r>
          </w:p>
          <w:p>
            <w:pPr>
              <w:adjustRightInd w:val="0"/>
              <w:snapToGrid w:val="0"/>
              <w:spacing w:line="240" w:lineRule="auto"/>
              <w:ind w:firstLine="0" w:firstLineChars="0"/>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要素</w:t>
            </w:r>
          </w:p>
        </w:tc>
        <w:tc>
          <w:tcPr>
            <w:tcW w:w="627"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排放口</w:t>
            </w:r>
            <w:r>
              <w:rPr>
                <w:rFonts w:hint="eastAsia" w:cs="Times New Roman"/>
                <w:b/>
                <w:bCs/>
                <w:color w:val="000000" w:themeColor="text1"/>
                <w:sz w:val="21"/>
                <w:szCs w:val="21"/>
                <w14:textFill>
                  <w14:solidFill>
                    <w14:schemeClr w14:val="tx1"/>
                  </w14:solidFill>
                </w14:textFill>
              </w:rPr>
              <w:t>（</w:t>
            </w:r>
            <w:r>
              <w:rPr>
                <w:rFonts w:cs="Times New Roman"/>
                <w:b/>
                <w:bCs/>
                <w:color w:val="000000" w:themeColor="text1"/>
                <w:sz w:val="21"/>
                <w:szCs w:val="21"/>
                <w14:textFill>
                  <w14:solidFill>
                    <w14:schemeClr w14:val="tx1"/>
                  </w14:solidFill>
                </w14:textFill>
              </w:rPr>
              <w:t>编号、名称</w:t>
            </w:r>
            <w:r>
              <w:rPr>
                <w:rFonts w:hint="eastAsia" w:cs="Times New Roman"/>
                <w:b/>
                <w:bCs/>
                <w:color w:val="000000" w:themeColor="text1"/>
                <w:sz w:val="21"/>
                <w:szCs w:val="21"/>
                <w14:textFill>
                  <w14:solidFill>
                    <w14:schemeClr w14:val="tx1"/>
                  </w14:solidFill>
                </w14:textFill>
              </w:rPr>
              <w:t>）</w:t>
            </w:r>
            <w:r>
              <w:rPr>
                <w:rFonts w:cs="Times New Roman"/>
                <w:b/>
                <w:bCs/>
                <w:color w:val="000000" w:themeColor="text1"/>
                <w:sz w:val="21"/>
                <w:szCs w:val="21"/>
                <w14:textFill>
                  <w14:solidFill>
                    <w14:schemeClr w14:val="tx1"/>
                  </w14:solidFill>
                </w14:textFill>
              </w:rPr>
              <w:t>/污染源</w:t>
            </w:r>
          </w:p>
        </w:tc>
        <w:tc>
          <w:tcPr>
            <w:tcW w:w="627"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污染物项目</w:t>
            </w:r>
          </w:p>
        </w:tc>
        <w:tc>
          <w:tcPr>
            <w:tcW w:w="1568"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环境保护措施</w:t>
            </w:r>
          </w:p>
        </w:tc>
        <w:tc>
          <w:tcPr>
            <w:tcW w:w="1245"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执行标准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933" w:type="pct"/>
            <w:vMerge w:val="restart"/>
            <w:vAlign w:val="center"/>
          </w:tcPr>
          <w:p>
            <w:pPr>
              <w:adjustRightInd w:val="0"/>
              <w:snapToGrid w:val="0"/>
              <w:spacing w:line="240" w:lineRule="auto"/>
              <w:ind w:firstLine="0" w:firstLineChars="0"/>
              <w:jc w:val="center"/>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大气环境</w:t>
            </w: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有组织废气D</w:t>
            </w:r>
            <w:r>
              <w:rPr>
                <w:color w:val="000000"/>
                <w:sz w:val="21"/>
                <w:szCs w:val="21"/>
              </w:rPr>
              <w:t>A001</w:t>
            </w: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颗粒物</w:t>
            </w:r>
          </w:p>
        </w:tc>
        <w:tc>
          <w:tcPr>
            <w:tcW w:w="1568"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粉末（液态）道路标线材料生产拆包卸料、投料及成品分装粉尘经集气罩+布袋除尘器处理后，由15m高排气筒（DA001）排放；</w:t>
            </w:r>
          </w:p>
        </w:tc>
        <w:tc>
          <w:tcPr>
            <w:tcW w:w="1245" w:type="pct"/>
            <w:vMerge w:val="restar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《大气污染物综合排放标准》（GB16297-1996）中表2的排放限值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7" w:hRule="atLeast"/>
          <w:jc w:val="center"/>
        </w:trPr>
        <w:tc>
          <w:tcPr>
            <w:tcW w:w="933" w:type="pct"/>
            <w:vMerge w:val="continue"/>
            <w:vAlign w:val="center"/>
          </w:tcPr>
          <w:p>
            <w:pPr>
              <w:adjustRightInd w:val="0"/>
              <w:snapToGrid w:val="0"/>
              <w:spacing w:line="240" w:lineRule="auto"/>
              <w:ind w:firstLine="422"/>
              <w:jc w:val="center"/>
              <w:rPr>
                <w:rFonts w:cs="Times New Roman"/>
                <w:b/>
                <w:bCs/>
                <w:color w:val="000000" w:themeColor="text1"/>
                <w:sz w:val="21"/>
                <w:szCs w:val="21"/>
                <w14:textFill>
                  <w14:solidFill>
                    <w14:schemeClr w14:val="tx1"/>
                  </w14:solidFill>
                </w14:textFill>
              </w:rPr>
            </w:pP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有组织废气D</w:t>
            </w:r>
            <w:r>
              <w:rPr>
                <w:color w:val="000000"/>
                <w:sz w:val="21"/>
                <w:szCs w:val="21"/>
              </w:rPr>
              <w:t>A002</w:t>
            </w: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非甲烷总烃、沥青烟、苯并[a]芘</w:t>
            </w:r>
          </w:p>
        </w:tc>
        <w:tc>
          <w:tcPr>
            <w:tcW w:w="1568"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液态道路标线材料生产混合搅拌非甲烷总烃经负压收集后进入两级活性炭吸附装置，由15m高排气筒（DA002）排放；</w:t>
            </w:r>
          </w:p>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固体（液态）沥青养护环保材料生产沥青烟、非甲烷总烃、苯并[a]芘经管道收集后进入电捕焦油器+两级活性炭吸附装置，由15m高排气筒（DA002）排放</w:t>
            </w:r>
          </w:p>
        </w:tc>
        <w:tc>
          <w:tcPr>
            <w:tcW w:w="1245" w:type="pct"/>
            <w:vMerge w:val="continue"/>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933" w:type="pct"/>
            <w:vMerge w:val="continue"/>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p>
        </w:tc>
        <w:tc>
          <w:tcPr>
            <w:tcW w:w="627" w:type="pct"/>
            <w:vMerge w:val="restar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olor w:val="000000"/>
                <w:sz w:val="21"/>
                <w:szCs w:val="21"/>
              </w:rPr>
              <w:t>无组织废气</w:t>
            </w: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颗粒物、非甲烷总烃、沥青烟、</w:t>
            </w:r>
            <w:r>
              <w:rPr>
                <w:rFonts w:hint="eastAsia" w:cs="Times New Roman"/>
                <w:sz w:val="21"/>
                <w:szCs w:val="21"/>
              </w:rPr>
              <w:t>苯并[a]芘</w:t>
            </w:r>
          </w:p>
        </w:tc>
        <w:tc>
          <w:tcPr>
            <w:tcW w:w="1568"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车间采取全封闭措施，利用自然沉降和洒水抑尘减少颗粒物，同时保持微负压状态，将废气有效收集处理；加强沥青搅拌机的密封性</w:t>
            </w:r>
          </w:p>
        </w:tc>
        <w:tc>
          <w:tcPr>
            <w:tcW w:w="1245"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《大气污染物综合排放标准》（GB16297-1996）表2中的无组织排放监控点浓度限值要求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9" w:hRule="atLeast"/>
          <w:jc w:val="center"/>
        </w:trPr>
        <w:tc>
          <w:tcPr>
            <w:tcW w:w="933" w:type="pct"/>
            <w:vMerge w:val="continue"/>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p>
        </w:tc>
        <w:tc>
          <w:tcPr>
            <w:tcW w:w="627" w:type="pct"/>
            <w:vMerge w:val="continue"/>
            <w:vAlign w:val="center"/>
          </w:tcPr>
          <w:p>
            <w:pPr>
              <w:adjustRightInd w:val="0"/>
              <w:snapToGrid w:val="0"/>
              <w:spacing w:line="240" w:lineRule="auto"/>
              <w:ind w:firstLine="0" w:firstLineChars="0"/>
              <w:jc w:val="center"/>
              <w:textAlignment w:val="auto"/>
              <w:rPr>
                <w:color w:val="000000"/>
                <w:sz w:val="21"/>
                <w:szCs w:val="21"/>
              </w:rPr>
            </w:pPr>
          </w:p>
        </w:tc>
        <w:tc>
          <w:tcPr>
            <w:tcW w:w="627" w:type="pct"/>
            <w:vAlign w:val="center"/>
          </w:tcPr>
          <w:p>
            <w:pPr>
              <w:adjustRightInd w:val="0"/>
              <w:snapToGrid w:val="0"/>
              <w:spacing w:line="240" w:lineRule="auto"/>
              <w:ind w:firstLine="0" w:firstLineChars="0"/>
              <w:jc w:val="center"/>
              <w:textAlignment w:val="auto"/>
              <w:rPr>
                <w:color w:val="000000"/>
                <w:sz w:val="21"/>
                <w:szCs w:val="21"/>
              </w:rPr>
            </w:pPr>
            <w:r>
              <w:rPr>
                <w:rFonts w:hint="eastAsia"/>
                <w:color w:val="000000"/>
                <w:sz w:val="21"/>
                <w:szCs w:val="21"/>
              </w:rPr>
              <w:t>厂区内：非甲烷总烃</w:t>
            </w:r>
          </w:p>
        </w:tc>
        <w:tc>
          <w:tcPr>
            <w:tcW w:w="1568"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车间采取全封闭措施，同时保持微负压状态，将废气有效收集处理；加强沥青搅拌机的密封性</w:t>
            </w:r>
          </w:p>
        </w:tc>
        <w:tc>
          <w:tcPr>
            <w:tcW w:w="1245"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《挥发性有机物无组织排放控制标准》（GB37822-2019）表A.1厂区内VOCs无组织排放限值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6"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地表水环境</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olor w:val="000000"/>
                <w:sz w:val="21"/>
                <w:szCs w:val="21"/>
              </w:rPr>
              <w:t>生活污水</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pH、COD、BOD</w:t>
            </w:r>
            <w:r>
              <w:rPr>
                <w:rFonts w:hint="eastAsia" w:cs="Times New Roman"/>
                <w:color w:val="000000" w:themeColor="text1"/>
                <w:sz w:val="21"/>
                <w:szCs w:val="21"/>
                <w:vertAlign w:val="subscript"/>
                <w14:textFill>
                  <w14:solidFill>
                    <w14:schemeClr w14:val="tx1"/>
                  </w14:solidFill>
                </w14:textFill>
              </w:rPr>
              <w:t>5</w:t>
            </w:r>
            <w:r>
              <w:rPr>
                <w:rFonts w:hint="eastAsia" w:cs="Times New Roman"/>
                <w:color w:val="000000" w:themeColor="text1"/>
                <w:sz w:val="21"/>
                <w:szCs w:val="21"/>
                <w14:textFill>
                  <w14:solidFill>
                    <w14:schemeClr w14:val="tx1"/>
                  </w14:solidFill>
                </w14:textFill>
              </w:rPr>
              <w:t>、NH</w:t>
            </w:r>
            <w:r>
              <w:rPr>
                <w:rFonts w:hint="eastAsia" w:cs="Times New Roman"/>
                <w:color w:val="000000" w:themeColor="text1"/>
                <w:sz w:val="21"/>
                <w:szCs w:val="21"/>
                <w:vertAlign w:val="subscript"/>
                <w14:textFill>
                  <w14:solidFill>
                    <w14:schemeClr w14:val="tx1"/>
                  </w14:solidFill>
                </w14:textFill>
              </w:rPr>
              <w:t>3</w:t>
            </w:r>
            <w:r>
              <w:rPr>
                <w:rFonts w:hint="eastAsia" w:cs="Times New Roman"/>
                <w:color w:val="000000" w:themeColor="text1"/>
                <w:sz w:val="21"/>
                <w:szCs w:val="21"/>
                <w14:textFill>
                  <w14:solidFill>
                    <w14:schemeClr w14:val="tx1"/>
                  </w14:solidFill>
                </w14:textFill>
              </w:rPr>
              <w:t>-N、SS</w:t>
            </w:r>
          </w:p>
        </w:tc>
        <w:tc>
          <w:tcPr>
            <w:tcW w:w="1568" w:type="pct"/>
            <w:vAlign w:val="center"/>
          </w:tcPr>
          <w:p>
            <w:pPr>
              <w:spacing w:line="240" w:lineRule="auto"/>
              <w:ind w:firstLine="0" w:firstLineChars="0"/>
              <w:contextualSpacing/>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生活污水进入厂区化粪池进行预处理后，排入园区管网，最终进入和静县污水处理厂处理</w:t>
            </w:r>
          </w:p>
        </w:tc>
        <w:tc>
          <w:tcPr>
            <w:tcW w:w="1245"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声环境</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设备噪声</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噪声</w:t>
            </w:r>
          </w:p>
        </w:tc>
        <w:tc>
          <w:tcPr>
            <w:tcW w:w="1568"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设备噪声主要采用隔音、减振、合理布局、绿化等降噪措施</w:t>
            </w:r>
          </w:p>
        </w:tc>
        <w:tc>
          <w:tcPr>
            <w:tcW w:w="1245" w:type="pct"/>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《工业企业厂界环境噪声</w:t>
            </w:r>
            <w:r>
              <w:rPr>
                <w:rFonts w:cs="Times New Roman"/>
                <w:color w:val="000000" w:themeColor="text1"/>
                <w:sz w:val="21"/>
                <w:szCs w:val="21"/>
                <w14:textFill>
                  <w14:solidFill>
                    <w14:schemeClr w14:val="tx1"/>
                  </w14:solidFill>
                </w14:textFill>
              </w:rPr>
              <w:t>排放标准》（GB12348-2008）3类标准，即昼间≤65dB(A)、夜间≤55dB(A)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电磁辐射</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627"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1568"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1245" w:type="pct"/>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固体废物</w:t>
            </w:r>
          </w:p>
        </w:tc>
        <w:tc>
          <w:tcPr>
            <w:tcW w:w="4067" w:type="pct"/>
            <w:gridSpan w:val="4"/>
            <w:vAlign w:val="center"/>
          </w:tcPr>
          <w:p>
            <w:pPr>
              <w:pStyle w:val="7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包装袋收集后外售废旧物资回收单位；布袋集尘集中收集后，拉运至和静工业园区一般工业固废填埋场；废布袋收集后交由厂家回收；废焦油、废导热油、废机油、沾有废机油的废抹布和废手套、废机油桶、废活性炭、废原料桶集中收集后存放于危险废物贮存库，委托有处理资质单位进行清运及处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土壤及地下水污染防治措施</w:t>
            </w:r>
          </w:p>
        </w:tc>
        <w:tc>
          <w:tcPr>
            <w:tcW w:w="4067" w:type="pct"/>
            <w:gridSpan w:val="4"/>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sz w:val="21"/>
                <w:szCs w:val="21"/>
              </w:rPr>
              <w:t>采取地面防渗等措施，可以有效保证污染物不会流失进入土壤、地下水环境，防止污染物污染土壤、地下水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z w:val="21"/>
                <w:szCs w:val="21"/>
                <w14:textFill>
                  <w14:solidFill>
                    <w14:schemeClr w14:val="tx1"/>
                  </w14:solidFill>
                </w14:textFill>
              </w:rPr>
            </w:pPr>
            <w:r>
              <w:rPr>
                <w:rFonts w:cs="Times New Roman"/>
                <w:b/>
                <w:bCs/>
                <w:color w:val="000000" w:themeColor="text1"/>
                <w:sz w:val="21"/>
                <w:szCs w:val="21"/>
                <w14:textFill>
                  <w14:solidFill>
                    <w14:schemeClr w14:val="tx1"/>
                  </w14:solidFill>
                </w14:textFill>
              </w:rPr>
              <w:t>生态保护措施</w:t>
            </w:r>
          </w:p>
        </w:tc>
        <w:tc>
          <w:tcPr>
            <w:tcW w:w="4067" w:type="pct"/>
            <w:gridSpan w:val="4"/>
            <w:vAlign w:val="center"/>
          </w:tcPr>
          <w:p>
            <w:pPr>
              <w:adjustRightInd w:val="0"/>
              <w:snapToGrid w:val="0"/>
              <w:spacing w:line="240" w:lineRule="auto"/>
              <w:ind w:firstLine="0" w:firstLineChars="0"/>
              <w:jc w:val="center"/>
              <w:textAlignment w:val="auto"/>
              <w:rPr>
                <w:rFonts w:cs="Times New Roman"/>
                <w:color w:val="000000" w:themeColor="text1"/>
                <w:sz w:val="21"/>
                <w:szCs w:val="21"/>
                <w14:textFill>
                  <w14:solidFill>
                    <w14:schemeClr w14:val="tx1"/>
                  </w14:solidFill>
                </w14:textFill>
              </w:rPr>
            </w:pPr>
            <w:r>
              <w:rPr>
                <w:rFonts w:cs="Times New Roman"/>
                <w:sz w:val="21"/>
                <w:szCs w:val="21"/>
              </w:rPr>
              <w:t>厂区绿化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4"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pacing w:val="-8"/>
                <w:sz w:val="21"/>
                <w:szCs w:val="21"/>
                <w14:textFill>
                  <w14:solidFill>
                    <w14:schemeClr w14:val="tx1"/>
                  </w14:solidFill>
                </w14:textFill>
              </w:rPr>
            </w:pPr>
            <w:r>
              <w:rPr>
                <w:rFonts w:cs="Times New Roman"/>
                <w:b/>
                <w:bCs/>
                <w:color w:val="000000" w:themeColor="text1"/>
                <w:spacing w:val="-8"/>
                <w:sz w:val="21"/>
                <w:szCs w:val="21"/>
                <w14:textFill>
                  <w14:solidFill>
                    <w14:schemeClr w14:val="tx1"/>
                  </w14:solidFill>
                </w14:textFill>
              </w:rPr>
              <w:t>环境风险</w:t>
            </w:r>
          </w:p>
          <w:p>
            <w:pPr>
              <w:adjustRightInd w:val="0"/>
              <w:snapToGrid w:val="0"/>
              <w:spacing w:line="240" w:lineRule="auto"/>
              <w:ind w:firstLine="0" w:firstLineChars="0"/>
              <w:jc w:val="center"/>
              <w:textAlignment w:val="auto"/>
              <w:rPr>
                <w:rFonts w:cs="Times New Roman"/>
                <w:b/>
                <w:bCs/>
                <w:color w:val="000000" w:themeColor="text1"/>
                <w:spacing w:val="-8"/>
                <w:sz w:val="21"/>
                <w:szCs w:val="21"/>
                <w14:textFill>
                  <w14:solidFill>
                    <w14:schemeClr w14:val="tx1"/>
                  </w14:solidFill>
                </w14:textFill>
              </w:rPr>
            </w:pPr>
            <w:r>
              <w:rPr>
                <w:rFonts w:cs="Times New Roman"/>
                <w:b/>
                <w:bCs/>
                <w:color w:val="000000" w:themeColor="text1"/>
                <w:spacing w:val="-8"/>
                <w:sz w:val="21"/>
                <w:szCs w:val="21"/>
                <w14:textFill>
                  <w14:solidFill>
                    <w14:schemeClr w14:val="tx1"/>
                  </w14:solidFill>
                </w14:textFill>
              </w:rPr>
              <w:t>防范措施</w:t>
            </w:r>
          </w:p>
        </w:tc>
        <w:tc>
          <w:tcPr>
            <w:tcW w:w="4067" w:type="pct"/>
            <w:gridSpan w:val="4"/>
            <w:vAlign w:val="center"/>
          </w:tcPr>
          <w:p>
            <w:pPr>
              <w:adjustRightInd w:val="0"/>
              <w:snapToGrid w:val="0"/>
              <w:spacing w:line="240" w:lineRule="auto"/>
              <w:ind w:firstLine="0" w:firstLineChars="0"/>
              <w:textAlignment w:val="auto"/>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项目通过加强运行管理、健全风险防控体系、设置泄漏报警装置等措施，并落实本评价提出的各项风险防范对策后，可最大限度降低事故发生概率。配合有效的环境风险应急预案，事故影响可以得到及时控制，环境风险可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jc w:val="center"/>
        </w:trPr>
        <w:tc>
          <w:tcPr>
            <w:tcW w:w="933" w:type="pct"/>
            <w:vAlign w:val="center"/>
          </w:tcPr>
          <w:p>
            <w:pPr>
              <w:adjustRightInd w:val="0"/>
              <w:snapToGrid w:val="0"/>
              <w:spacing w:line="240" w:lineRule="auto"/>
              <w:ind w:firstLine="0" w:firstLineChars="0"/>
              <w:jc w:val="center"/>
              <w:textAlignment w:val="auto"/>
              <w:rPr>
                <w:rFonts w:cs="Times New Roman"/>
                <w:b/>
                <w:bCs/>
                <w:color w:val="000000" w:themeColor="text1"/>
                <w:spacing w:val="-8"/>
                <w:sz w:val="21"/>
                <w:szCs w:val="21"/>
                <w14:textFill>
                  <w14:solidFill>
                    <w14:schemeClr w14:val="tx1"/>
                  </w14:solidFill>
                </w14:textFill>
              </w:rPr>
            </w:pPr>
            <w:r>
              <w:rPr>
                <w:rFonts w:cs="Times New Roman"/>
                <w:b/>
                <w:bCs/>
                <w:color w:val="000000" w:themeColor="text1"/>
                <w:spacing w:val="-8"/>
                <w:sz w:val="21"/>
                <w:szCs w:val="21"/>
                <w14:textFill>
                  <w14:solidFill>
                    <w14:schemeClr w14:val="tx1"/>
                  </w14:solidFill>
                </w14:textFill>
              </w:rPr>
              <w:t>其他环境</w:t>
            </w:r>
          </w:p>
          <w:p>
            <w:pPr>
              <w:adjustRightInd w:val="0"/>
              <w:snapToGrid w:val="0"/>
              <w:spacing w:line="240" w:lineRule="auto"/>
              <w:ind w:firstLine="0" w:firstLineChars="0"/>
              <w:jc w:val="center"/>
              <w:textAlignment w:val="auto"/>
              <w:rPr>
                <w:rFonts w:cs="Times New Roman"/>
                <w:b/>
                <w:bCs/>
                <w:color w:val="000000" w:themeColor="text1"/>
                <w:spacing w:val="-8"/>
                <w:sz w:val="21"/>
                <w:szCs w:val="21"/>
                <w14:textFill>
                  <w14:solidFill>
                    <w14:schemeClr w14:val="tx1"/>
                  </w14:solidFill>
                </w14:textFill>
              </w:rPr>
            </w:pPr>
            <w:r>
              <w:rPr>
                <w:rFonts w:cs="Times New Roman"/>
                <w:b/>
                <w:bCs/>
                <w:color w:val="000000" w:themeColor="text1"/>
                <w:spacing w:val="-8"/>
                <w:sz w:val="21"/>
                <w:szCs w:val="21"/>
                <w14:textFill>
                  <w14:solidFill>
                    <w14:schemeClr w14:val="tx1"/>
                  </w14:solidFill>
                </w14:textFill>
              </w:rPr>
              <w:t>管理要求</w:t>
            </w:r>
          </w:p>
        </w:tc>
        <w:tc>
          <w:tcPr>
            <w:tcW w:w="4067" w:type="pct"/>
            <w:gridSpan w:val="4"/>
            <w:vAlign w:val="center"/>
          </w:tcPr>
          <w:p>
            <w:pPr>
              <w:adjustRightInd w:val="0"/>
              <w:snapToGrid w:val="0"/>
              <w:spacing w:line="240" w:lineRule="auto"/>
              <w:ind w:firstLine="0" w:firstLineChars="0"/>
              <w:textAlignment w:val="auto"/>
              <w:rPr>
                <w:rFonts w:cs="Times New Roman"/>
                <w:sz w:val="21"/>
                <w:szCs w:val="21"/>
              </w:rPr>
            </w:pPr>
            <w:r>
              <w:rPr>
                <w:rFonts w:cs="Times New Roman"/>
                <w:sz w:val="21"/>
                <w:szCs w:val="21"/>
              </w:rPr>
              <w:t>一、</w:t>
            </w:r>
            <w:r>
              <w:rPr>
                <w:rFonts w:hint="eastAsia" w:cs="Times New Roman"/>
                <w:sz w:val="21"/>
                <w:szCs w:val="21"/>
              </w:rPr>
              <w:t>环境管理机构和职责</w:t>
            </w:r>
          </w:p>
          <w:p>
            <w:pPr>
              <w:adjustRightInd w:val="0"/>
              <w:snapToGrid w:val="0"/>
              <w:spacing w:line="240" w:lineRule="auto"/>
              <w:ind w:firstLine="420"/>
              <w:textAlignment w:val="auto"/>
              <w:rPr>
                <w:rFonts w:cs="Times New Roman"/>
                <w:sz w:val="21"/>
                <w:szCs w:val="21"/>
              </w:rPr>
            </w:pPr>
            <w:r>
              <w:rPr>
                <w:rFonts w:hint="eastAsia" w:cs="Times New Roman"/>
                <w:sz w:val="21"/>
                <w:szCs w:val="21"/>
              </w:rPr>
              <w:t>根据国家有关环境保护法规的要求和本项目生产的实际需要，该企业须配备专职环保管理人员。环保管理人员应由熟悉企业排污状况、具备一定清洁生产知识、责任心强和组织协调能力强的人员担任，以利于监督管理，负责全厂的环境保护管理工作，发现问题能及时解决并向上级环保主管部门报告。</w:t>
            </w:r>
          </w:p>
          <w:p>
            <w:pPr>
              <w:adjustRightInd w:val="0"/>
              <w:snapToGrid w:val="0"/>
              <w:spacing w:line="240" w:lineRule="auto"/>
              <w:ind w:firstLine="0" w:firstLineChars="0"/>
              <w:textAlignment w:val="auto"/>
              <w:rPr>
                <w:rFonts w:cs="Times New Roman"/>
                <w:sz w:val="21"/>
                <w:szCs w:val="21"/>
              </w:rPr>
            </w:pPr>
            <w:r>
              <w:rPr>
                <w:rFonts w:hint="eastAsia" w:cs="Times New Roman"/>
                <w:sz w:val="21"/>
                <w:szCs w:val="21"/>
              </w:rPr>
              <w:t>二、环境管理内容</w:t>
            </w:r>
          </w:p>
          <w:p>
            <w:pPr>
              <w:adjustRightInd w:val="0"/>
              <w:snapToGrid w:val="0"/>
              <w:spacing w:line="240" w:lineRule="auto"/>
              <w:ind w:firstLine="420"/>
              <w:jc w:val="left"/>
              <w:textAlignment w:val="auto"/>
              <w:rPr>
                <w:rFonts w:cs="Times New Roman"/>
                <w:sz w:val="21"/>
                <w:szCs w:val="21"/>
              </w:rPr>
            </w:pPr>
            <w:r>
              <w:rPr>
                <w:rFonts w:cs="Times New Roman"/>
                <w:sz w:val="21"/>
                <w:szCs w:val="21"/>
              </w:rPr>
              <w:t>（1）</w:t>
            </w:r>
            <w:r>
              <w:rPr>
                <w:rFonts w:hint="eastAsia" w:cs="Times New Roman"/>
                <w:sz w:val="21"/>
                <w:szCs w:val="21"/>
              </w:rPr>
              <w:t>设置</w:t>
            </w:r>
            <w:r>
              <w:rPr>
                <w:rFonts w:cs="Times New Roman"/>
                <w:sz w:val="21"/>
                <w:szCs w:val="21"/>
              </w:rPr>
              <w:t>环境保护职责管理条例</w:t>
            </w:r>
            <w:r>
              <w:rPr>
                <w:rFonts w:hint="eastAsia" w:cs="Times New Roman"/>
                <w:sz w:val="21"/>
                <w:szCs w:val="21"/>
              </w:rPr>
              <w:t>、</w:t>
            </w:r>
            <w:r>
              <w:rPr>
                <w:rFonts w:cs="Times New Roman"/>
                <w:sz w:val="21"/>
                <w:szCs w:val="21"/>
              </w:rPr>
              <w:t>废气排放管理制度</w:t>
            </w:r>
            <w:r>
              <w:rPr>
                <w:rFonts w:hint="eastAsia" w:cs="Times New Roman"/>
                <w:sz w:val="21"/>
                <w:szCs w:val="21"/>
              </w:rPr>
              <w:t>、</w:t>
            </w:r>
            <w:r>
              <w:rPr>
                <w:rFonts w:cs="Times New Roman"/>
                <w:sz w:val="21"/>
                <w:szCs w:val="21"/>
              </w:rPr>
              <w:t>固废的管理与处置制度</w:t>
            </w:r>
            <w:r>
              <w:rPr>
                <w:rFonts w:hint="eastAsia" w:cs="Times New Roman"/>
                <w:sz w:val="21"/>
                <w:szCs w:val="21"/>
              </w:rPr>
              <w:t>等环境管理制度；</w:t>
            </w:r>
          </w:p>
          <w:p>
            <w:pPr>
              <w:adjustRightInd w:val="0"/>
              <w:snapToGrid w:val="0"/>
              <w:spacing w:line="240" w:lineRule="auto"/>
              <w:ind w:firstLine="420"/>
              <w:textAlignment w:val="auto"/>
              <w:rPr>
                <w:rFonts w:cs="Times New Roman"/>
                <w:sz w:val="21"/>
                <w:szCs w:val="21"/>
              </w:rPr>
            </w:pPr>
            <w:r>
              <w:rPr>
                <w:rFonts w:cs="Times New Roman"/>
                <w:sz w:val="21"/>
                <w:szCs w:val="21"/>
              </w:rPr>
              <w:t>（2）</w:t>
            </w:r>
            <w:r>
              <w:rPr>
                <w:rFonts w:hint="eastAsia" w:cs="Times New Roman"/>
                <w:sz w:val="21"/>
                <w:szCs w:val="21"/>
              </w:rPr>
              <w:t>督促和协助企业建立健全环境管理体系和管理人员；</w:t>
            </w:r>
          </w:p>
          <w:p>
            <w:pPr>
              <w:adjustRightInd w:val="0"/>
              <w:snapToGrid w:val="0"/>
              <w:spacing w:line="240" w:lineRule="auto"/>
              <w:ind w:firstLine="420"/>
              <w:textAlignment w:val="auto"/>
              <w:rPr>
                <w:rFonts w:cs="Times New Roman"/>
                <w:sz w:val="21"/>
                <w:szCs w:val="21"/>
              </w:rPr>
            </w:pPr>
            <w:r>
              <w:rPr>
                <w:rFonts w:cs="Times New Roman"/>
                <w:sz w:val="21"/>
                <w:szCs w:val="21"/>
              </w:rPr>
              <w:t>（3）</w:t>
            </w:r>
            <w:r>
              <w:rPr>
                <w:rFonts w:hint="eastAsia" w:cs="Times New Roman"/>
                <w:sz w:val="21"/>
                <w:szCs w:val="21"/>
              </w:rPr>
              <w:t>宣传国家、自治区、自治州有关环境保护方面的法律法规和政策；</w:t>
            </w:r>
          </w:p>
          <w:p>
            <w:pPr>
              <w:adjustRightInd w:val="0"/>
              <w:snapToGrid w:val="0"/>
              <w:spacing w:line="240" w:lineRule="auto"/>
              <w:ind w:firstLine="420"/>
              <w:textAlignment w:val="auto"/>
              <w:rPr>
                <w:rFonts w:cs="Times New Roman"/>
                <w:sz w:val="21"/>
                <w:szCs w:val="21"/>
              </w:rPr>
            </w:pPr>
            <w:r>
              <w:rPr>
                <w:rFonts w:hint="eastAsia" w:cs="Times New Roman"/>
                <w:sz w:val="21"/>
                <w:szCs w:val="21"/>
              </w:rPr>
              <w:t>（4）实施“三同时”验收和污染物达标排放的监督管理；</w:t>
            </w:r>
          </w:p>
          <w:p>
            <w:pPr>
              <w:adjustRightInd w:val="0"/>
              <w:snapToGrid w:val="0"/>
              <w:spacing w:line="240" w:lineRule="auto"/>
              <w:ind w:firstLine="420"/>
              <w:textAlignment w:val="auto"/>
              <w:rPr>
                <w:rFonts w:cs="Times New Roman"/>
                <w:sz w:val="21"/>
                <w:szCs w:val="21"/>
              </w:rPr>
            </w:pPr>
            <w:r>
              <w:rPr>
                <w:rFonts w:hint="eastAsia" w:cs="Times New Roman"/>
                <w:sz w:val="21"/>
                <w:szCs w:val="21"/>
              </w:rPr>
              <w:t>（5）检查环保设施的运行状况和是否达标排放。</w:t>
            </w:r>
          </w:p>
        </w:tc>
      </w:tr>
    </w:tbl>
    <w:p>
      <w:pPr>
        <w:pStyle w:val="5"/>
        <w:rPr>
          <w:snapToGrid w:val="0"/>
          <w:color w:val="000000" w:themeColor="text1"/>
          <w14:textFill>
            <w14:solidFill>
              <w14:schemeClr w14:val="tx1"/>
            </w14:solidFill>
          </w14:textFill>
        </w:rPr>
        <w:sectPr>
          <w:pgSz w:w="11906" w:h="16838"/>
          <w:pgMar w:top="1418" w:right="1418" w:bottom="1418" w:left="1418" w:header="851" w:footer="992" w:gutter="0"/>
          <w:cols w:space="425" w:num="1"/>
          <w:docGrid w:type="lines" w:linePitch="326" w:charSpace="0"/>
        </w:sectPr>
      </w:pPr>
    </w:p>
    <w:p>
      <w:pPr>
        <w:pStyle w:val="5"/>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六、结论</w:t>
      </w:r>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060" w:type="dxa"/>
          </w:tcPr>
          <w:p>
            <w:pPr>
              <w:ind w:firstLine="480"/>
              <w:rPr>
                <w:color w:val="000000" w:themeColor="text1"/>
                <w14:textFill>
                  <w14:solidFill>
                    <w14:schemeClr w14:val="tx1"/>
                  </w14:solidFill>
                </w14:textFill>
              </w:rPr>
            </w:pPr>
            <w:bookmarkStart w:id="30" w:name="_Hlk97246050"/>
            <w:r>
              <w:rPr>
                <w:rFonts w:hint="eastAsia"/>
                <w:color w:val="000000" w:themeColor="text1"/>
                <w14:textFill>
                  <w14:solidFill>
                    <w14:schemeClr w14:val="tx1"/>
                  </w14:solidFill>
                </w14:textFill>
              </w:rPr>
              <w:t>综上所述，本项目符合国家产业政策及相关规划要求，工程选址可行，平面布置基本合理。在项目认真落实本报告提出的各项污染防治措施前提下，各项污染物能够实现达标排放，项目运营对周边地表水、环境空气、声环境等影响较小。因此，从环境角度分析，本项目环境影响可以接受。</w:t>
            </w:r>
          </w:p>
          <w:bookmarkEnd w:id="30"/>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p>
            <w:pPr>
              <w:ind w:firstLine="0" w:firstLineChars="0"/>
              <w:rPr>
                <w:color w:val="000000" w:themeColor="text1"/>
                <w14:textFill>
                  <w14:solidFill>
                    <w14:schemeClr w14:val="tx1"/>
                  </w14:solidFill>
                </w14:textFill>
              </w:rPr>
            </w:pPr>
          </w:p>
        </w:tc>
      </w:tr>
    </w:tbl>
    <w:p>
      <w:pPr>
        <w:ind w:firstLine="0" w:firstLineChars="0"/>
        <w:rPr>
          <w:color w:val="000000" w:themeColor="text1"/>
          <w14:textFill>
            <w14:solidFill>
              <w14:schemeClr w14:val="tx1"/>
            </w14:solidFill>
          </w14:textFill>
        </w:rPr>
        <w:sectPr>
          <w:pgSz w:w="11906" w:h="16838"/>
          <w:pgMar w:top="1418" w:right="1418" w:bottom="1418" w:left="1418" w:header="851" w:footer="992" w:gutter="0"/>
          <w:cols w:space="425" w:num="1"/>
          <w:docGrid w:type="lines" w:linePitch="326" w:charSpace="0"/>
        </w:sectPr>
      </w:pPr>
    </w:p>
    <w:p>
      <w:pPr>
        <w:ind w:firstLine="0" w:firstLineChars="0"/>
        <w:rPr>
          <w:b/>
          <w:bCs/>
          <w:snapToGrid w:val="0"/>
          <w:color w:val="000000" w:themeColor="text1"/>
          <w14:textFill>
            <w14:solidFill>
              <w14:schemeClr w14:val="tx1"/>
            </w14:solidFill>
          </w14:textFill>
        </w:rPr>
      </w:pPr>
      <w:r>
        <w:rPr>
          <w:rFonts w:hint="eastAsia"/>
          <w:b/>
          <w:bCs/>
          <w:snapToGrid w:val="0"/>
          <w:color w:val="000000" w:themeColor="text1"/>
          <w14:textFill>
            <w14:solidFill>
              <w14:schemeClr w14:val="tx1"/>
            </w14:solidFill>
          </w14:textFill>
        </w:rPr>
        <w:t>附表</w:t>
      </w:r>
    </w:p>
    <w:p>
      <w:pPr>
        <w:pStyle w:val="5"/>
        <w:jc w:val="center"/>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建设项目污染物排放量汇总表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22"/>
        <w:gridCol w:w="1724"/>
        <w:gridCol w:w="1523"/>
        <w:gridCol w:w="1378"/>
        <w:gridCol w:w="1657"/>
        <w:gridCol w:w="1523"/>
        <w:gridCol w:w="1660"/>
        <w:gridCol w:w="1660"/>
        <w:gridCol w:w="13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2" w:hRule="atLeast"/>
        </w:trPr>
        <w:tc>
          <w:tcPr>
            <w:tcW w:w="545" w:type="pct"/>
            <w:tcBorders>
              <w:tl2br w:val="single" w:color="auto" w:sz="12" w:space="0"/>
            </w:tcBorders>
            <w:tcMar>
              <w:left w:w="28" w:type="dxa"/>
              <w:right w:w="28" w:type="dxa"/>
            </w:tcMar>
            <w:vAlign w:val="center"/>
          </w:tcPr>
          <w:p>
            <w:pPr>
              <w:pStyle w:val="34"/>
              <w:rPr>
                <w:rFonts w:cs="Times New Roman"/>
                <w:snapToGrid w:val="0"/>
                <w:color w:val="000000" w:themeColor="text1"/>
                <w14:textFill>
                  <w14:solidFill>
                    <w14:schemeClr w14:val="tx1"/>
                  </w14:solidFill>
                </w14:textFill>
              </w:rPr>
            </w:pPr>
            <w:bookmarkStart w:id="31" w:name="_Hlk72769786"/>
            <w:r>
              <w:rPr>
                <w:rFonts w:hint="eastAsia" w:cs="Times New Roman"/>
                <w:snapToGrid w:val="0"/>
                <w:color w:val="000000" w:themeColor="text1"/>
                <w14:textFill>
                  <w14:solidFill>
                    <w14:schemeClr w14:val="tx1"/>
                  </w14:solidFill>
                </w14:textFill>
              </w:rPr>
              <w:t xml:space="preserve"> </w:t>
            </w:r>
            <w:r>
              <w:rPr>
                <w:rFonts w:cs="Times New Roman"/>
                <w:snapToGrid w:val="0"/>
                <w:color w:val="000000" w:themeColor="text1"/>
                <w14:textFill>
                  <w14:solidFill>
                    <w14:schemeClr w14:val="tx1"/>
                  </w14:solidFill>
                </w14:textFill>
              </w:rPr>
              <w:t xml:space="preserve">       项目</w:t>
            </w:r>
          </w:p>
          <w:p>
            <w:pPr>
              <w:pStyle w:val="34"/>
              <w:jc w:val="both"/>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分类</w:t>
            </w:r>
          </w:p>
        </w:tc>
        <w:tc>
          <w:tcPr>
            <w:tcW w:w="617"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污染物名称</w:t>
            </w:r>
          </w:p>
        </w:tc>
        <w:tc>
          <w:tcPr>
            <w:tcW w:w="545"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现有工程</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排放量（固体废物产生量）</w:t>
            </w:r>
            <w:r>
              <w:rPr>
                <w:rFonts w:cs="Times New Roman"/>
                <w:snapToGrid w:val="0"/>
                <w:color w:val="000000" w:themeColor="text1"/>
                <w14:textFill>
                  <w14:solidFill>
                    <w14:schemeClr w14:val="tx1"/>
                  </w14:solidFill>
                </w14:textFill>
              </w:rPr>
              <w:fldChar w:fldCharType="begin"/>
            </w:r>
            <w:r>
              <w:rPr>
                <w:rFonts w:cs="Times New Roman"/>
                <w:snapToGrid w:val="0"/>
                <w:color w:val="000000" w:themeColor="text1"/>
                <w14:textFill>
                  <w14:solidFill>
                    <w14:schemeClr w14:val="tx1"/>
                  </w14:solidFill>
                </w14:textFill>
              </w:rPr>
              <w:instrText xml:space="preserve"> = 1 \* GB3 \* MERGEFORMAT </w:instrText>
            </w:r>
            <w:r>
              <w:rPr>
                <w:rFonts w:cs="Times New Roman"/>
                <w:snapToGrid w:val="0"/>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rFonts w:cs="Times New Roman"/>
                <w:snapToGrid w:val="0"/>
                <w:color w:val="000000" w:themeColor="text1"/>
                <w14:textFill>
                  <w14:solidFill>
                    <w14:schemeClr w14:val="tx1"/>
                  </w14:solidFill>
                </w14:textFill>
              </w:rPr>
              <w:fldChar w:fldCharType="end"/>
            </w:r>
          </w:p>
        </w:tc>
        <w:tc>
          <w:tcPr>
            <w:tcW w:w="493"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现有工程</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许可排放量</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fldChar w:fldCharType="begin"/>
            </w:r>
            <w:r>
              <w:rPr>
                <w:rFonts w:cs="Times New Roman"/>
                <w:snapToGrid w:val="0"/>
                <w:color w:val="000000" w:themeColor="text1"/>
                <w14:textFill>
                  <w14:solidFill>
                    <w14:schemeClr w14:val="tx1"/>
                  </w14:solidFill>
                </w14:textFill>
              </w:rPr>
              <w:instrText xml:space="preserve"> = 2 \* GB3 \* MERGEFORMAT </w:instrText>
            </w:r>
            <w:r>
              <w:rPr>
                <w:rFonts w:cs="Times New Roman"/>
                <w:snapToGrid w:val="0"/>
                <w:color w:val="000000" w:themeColor="text1"/>
                <w14:textFill>
                  <w14:solidFill>
                    <w14:schemeClr w14:val="tx1"/>
                  </w14:solidFill>
                </w14:textFill>
              </w:rPr>
              <w:fldChar w:fldCharType="separate"/>
            </w:r>
            <w:r>
              <w:rPr>
                <w:rFonts w:hint="eastAsia" w:ascii="宋体" w:hAnsi="宋体" w:cs="宋体"/>
                <w:snapToGrid w:val="0"/>
                <w:color w:val="000000" w:themeColor="text1"/>
                <w14:textFill>
                  <w14:solidFill>
                    <w14:schemeClr w14:val="tx1"/>
                  </w14:solidFill>
                </w14:textFill>
              </w:rPr>
              <w:t>②</w:t>
            </w:r>
            <w:r>
              <w:rPr>
                <w:rFonts w:cs="Times New Roman"/>
                <w:snapToGrid w:val="0"/>
                <w:color w:val="000000" w:themeColor="text1"/>
                <w14:textFill>
                  <w14:solidFill>
                    <w14:schemeClr w14:val="tx1"/>
                  </w14:solidFill>
                </w14:textFill>
              </w:rPr>
              <w:fldChar w:fldCharType="end"/>
            </w:r>
          </w:p>
        </w:tc>
        <w:tc>
          <w:tcPr>
            <w:tcW w:w="593"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在建工程</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排放量（固体废物产生量）</w:t>
            </w:r>
            <w:r>
              <w:rPr>
                <w:rFonts w:cs="Times New Roman"/>
                <w:snapToGrid w:val="0"/>
                <w:color w:val="000000" w:themeColor="text1"/>
                <w14:textFill>
                  <w14:solidFill>
                    <w14:schemeClr w14:val="tx1"/>
                  </w14:solidFill>
                </w14:textFill>
              </w:rPr>
              <w:fldChar w:fldCharType="begin"/>
            </w:r>
            <w:r>
              <w:rPr>
                <w:rFonts w:cs="Times New Roman"/>
                <w:snapToGrid w:val="0"/>
                <w:color w:val="000000" w:themeColor="text1"/>
                <w14:textFill>
                  <w14:solidFill>
                    <w14:schemeClr w14:val="tx1"/>
                  </w14:solidFill>
                </w14:textFill>
              </w:rPr>
              <w:instrText xml:space="preserve"> = 3 \* GB3 \* MERGEFORMAT </w:instrText>
            </w:r>
            <w:r>
              <w:rPr>
                <w:rFonts w:cs="Times New Roman"/>
                <w:snapToGrid w:val="0"/>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rFonts w:cs="Times New Roman"/>
                <w:snapToGrid w:val="0"/>
                <w:color w:val="000000" w:themeColor="text1"/>
                <w14:textFill>
                  <w14:solidFill>
                    <w14:schemeClr w14:val="tx1"/>
                  </w14:solidFill>
                </w14:textFill>
              </w:rPr>
              <w:fldChar w:fldCharType="end"/>
            </w:r>
          </w:p>
        </w:tc>
        <w:tc>
          <w:tcPr>
            <w:tcW w:w="545"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本项目</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排放量（固体废物产生量）</w:t>
            </w:r>
            <w:r>
              <w:rPr>
                <w:rFonts w:cs="Times New Roman"/>
                <w:snapToGrid w:val="0"/>
                <w:color w:val="000000" w:themeColor="text1"/>
                <w14:textFill>
                  <w14:solidFill>
                    <w14:schemeClr w14:val="tx1"/>
                  </w14:solidFill>
                </w14:textFill>
              </w:rPr>
              <w:fldChar w:fldCharType="begin"/>
            </w:r>
            <w:r>
              <w:rPr>
                <w:rFonts w:cs="Times New Roman"/>
                <w:snapToGrid w:val="0"/>
                <w:color w:val="000000" w:themeColor="text1"/>
                <w14:textFill>
                  <w14:solidFill>
                    <w14:schemeClr w14:val="tx1"/>
                  </w14:solidFill>
                </w14:textFill>
              </w:rPr>
              <w:instrText xml:space="preserve"> = 4 \* GB3 \* MERGEFORMAT </w:instrText>
            </w:r>
            <w:r>
              <w:rPr>
                <w:rFonts w:cs="Times New Roman"/>
                <w:snapToGrid w:val="0"/>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rFonts w:cs="Times New Roman"/>
                <w:snapToGrid w:val="0"/>
                <w:color w:val="000000" w:themeColor="text1"/>
                <w14:textFill>
                  <w14:solidFill>
                    <w14:schemeClr w14:val="tx1"/>
                  </w14:solidFill>
                </w14:textFill>
              </w:rPr>
              <w:fldChar w:fldCharType="end"/>
            </w:r>
          </w:p>
        </w:tc>
        <w:tc>
          <w:tcPr>
            <w:tcW w:w="594" w:type="pct"/>
            <w:tcMar>
              <w:left w:w="28" w:type="dxa"/>
              <w:right w:w="28" w:type="dxa"/>
            </w:tcMar>
            <w:vAlign w:val="center"/>
          </w:tcPr>
          <w:p>
            <w:pPr>
              <w:pStyle w:val="34"/>
              <w:rPr>
                <w:rFonts w:cs="Times New Roman"/>
                <w:snapToGrid w:val="0"/>
                <w:color w:val="000000" w:themeColor="text1"/>
                <w:spacing w:val="-16"/>
                <w14:textFill>
                  <w14:solidFill>
                    <w14:schemeClr w14:val="tx1"/>
                  </w14:solidFill>
                </w14:textFill>
              </w:rPr>
            </w:pPr>
            <w:r>
              <w:rPr>
                <w:rFonts w:cs="Times New Roman"/>
                <w:snapToGrid w:val="0"/>
                <w:color w:val="000000" w:themeColor="text1"/>
                <w:spacing w:val="-16"/>
                <w14:textFill>
                  <w14:solidFill>
                    <w14:schemeClr w14:val="tx1"/>
                  </w14:solidFill>
                </w14:textFill>
              </w:rPr>
              <w:t>以新带老削减量</w:t>
            </w:r>
          </w:p>
          <w:p>
            <w:pPr>
              <w:pStyle w:val="34"/>
              <w:rPr>
                <w:rFonts w:cs="Times New Roman"/>
                <w:snapToGrid w:val="0"/>
                <w:color w:val="000000" w:themeColor="text1"/>
                <w:spacing w:val="-16"/>
                <w14:textFill>
                  <w14:solidFill>
                    <w14:schemeClr w14:val="tx1"/>
                  </w14:solidFill>
                </w14:textFill>
              </w:rPr>
            </w:pPr>
            <w:r>
              <w:rPr>
                <w:rFonts w:cs="Times New Roman"/>
                <w:snapToGrid w:val="0"/>
                <w:color w:val="000000" w:themeColor="text1"/>
                <w:spacing w:val="-16"/>
                <w14:textFill>
                  <w14:solidFill>
                    <w14:schemeClr w14:val="tx1"/>
                  </w14:solidFill>
                </w14:textFill>
              </w:rPr>
              <w:t>（新建项目不填）</w:t>
            </w:r>
            <w:r>
              <w:rPr>
                <w:rFonts w:cs="Times New Roman"/>
                <w:snapToGrid w:val="0"/>
                <w:color w:val="000000" w:themeColor="text1"/>
                <w:spacing w:val="-16"/>
                <w14:textFill>
                  <w14:solidFill>
                    <w14:schemeClr w14:val="tx1"/>
                  </w14:solidFill>
                </w14:textFill>
              </w:rPr>
              <w:fldChar w:fldCharType="begin"/>
            </w:r>
            <w:r>
              <w:rPr>
                <w:rFonts w:cs="Times New Roman"/>
                <w:snapToGrid w:val="0"/>
                <w:color w:val="000000" w:themeColor="text1"/>
                <w:spacing w:val="-16"/>
                <w14:textFill>
                  <w14:solidFill>
                    <w14:schemeClr w14:val="tx1"/>
                  </w14:solidFill>
                </w14:textFill>
              </w:rPr>
              <w:instrText xml:space="preserve"> = 5 \* GB3 \* MERGEFORMAT </w:instrText>
            </w:r>
            <w:r>
              <w:rPr>
                <w:rFonts w:cs="Times New Roman"/>
                <w:snapToGrid w:val="0"/>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⑤</w:t>
            </w:r>
            <w:r>
              <w:rPr>
                <w:rFonts w:cs="Times New Roman"/>
                <w:snapToGrid w:val="0"/>
                <w:color w:val="000000" w:themeColor="text1"/>
                <w:spacing w:val="-16"/>
                <w14:textFill>
                  <w14:solidFill>
                    <w14:schemeClr w14:val="tx1"/>
                  </w14:solidFill>
                </w14:textFill>
              </w:rPr>
              <w:fldChar w:fldCharType="end"/>
            </w:r>
          </w:p>
        </w:tc>
        <w:tc>
          <w:tcPr>
            <w:tcW w:w="594" w:type="pct"/>
            <w:tcMar>
              <w:left w:w="28" w:type="dxa"/>
              <w:right w:w="28" w:type="dxa"/>
            </w:tcMar>
            <w:vAlign w:val="center"/>
          </w:tcPr>
          <w:p>
            <w:pPr>
              <w:pStyle w:val="34"/>
              <w:rPr>
                <w:rFonts w:cs="Times New Roman"/>
                <w:snapToGrid w:val="0"/>
                <w:color w:val="000000" w:themeColor="text1"/>
                <w:spacing w:val="-16"/>
                <w14:textFill>
                  <w14:solidFill>
                    <w14:schemeClr w14:val="tx1"/>
                  </w14:solidFill>
                </w14:textFill>
              </w:rPr>
            </w:pPr>
            <w:r>
              <w:rPr>
                <w:rFonts w:cs="Times New Roman"/>
                <w:snapToGrid w:val="0"/>
                <w:color w:val="000000" w:themeColor="text1"/>
                <w:spacing w:val="-16"/>
                <w14:textFill>
                  <w14:solidFill>
                    <w14:schemeClr w14:val="tx1"/>
                  </w14:solidFill>
                </w14:textFill>
              </w:rPr>
              <w:t>本项目建成后</w:t>
            </w:r>
          </w:p>
          <w:p>
            <w:pPr>
              <w:pStyle w:val="34"/>
              <w:rPr>
                <w:rFonts w:cs="Times New Roman"/>
                <w:snapToGrid w:val="0"/>
                <w:color w:val="000000" w:themeColor="text1"/>
                <w:spacing w:val="-16"/>
                <w14:textFill>
                  <w14:solidFill>
                    <w14:schemeClr w14:val="tx1"/>
                  </w14:solidFill>
                </w14:textFill>
              </w:rPr>
            </w:pPr>
            <w:r>
              <w:rPr>
                <w:rFonts w:cs="Times New Roman"/>
                <w:snapToGrid w:val="0"/>
                <w:color w:val="000000" w:themeColor="text1"/>
                <w:spacing w:val="-16"/>
                <w14:textFill>
                  <w14:solidFill>
                    <w14:schemeClr w14:val="tx1"/>
                  </w14:solidFill>
                </w14:textFill>
              </w:rPr>
              <w:t>全厂排放量（固体废物产生量）</w:t>
            </w:r>
            <w:r>
              <w:rPr>
                <w:rFonts w:cs="Times New Roman"/>
                <w:snapToGrid w:val="0"/>
                <w:color w:val="000000" w:themeColor="text1"/>
                <w:spacing w:val="-16"/>
                <w14:textFill>
                  <w14:solidFill>
                    <w14:schemeClr w14:val="tx1"/>
                  </w14:solidFill>
                </w14:textFill>
              </w:rPr>
              <w:fldChar w:fldCharType="begin"/>
            </w:r>
            <w:r>
              <w:rPr>
                <w:rFonts w:cs="Times New Roman"/>
                <w:snapToGrid w:val="0"/>
                <w:color w:val="000000" w:themeColor="text1"/>
                <w:spacing w:val="-16"/>
                <w14:textFill>
                  <w14:solidFill>
                    <w14:schemeClr w14:val="tx1"/>
                  </w14:solidFill>
                </w14:textFill>
              </w:rPr>
              <w:instrText xml:space="preserve"> = 6 \* GB3 \* MERGEFORMAT </w:instrText>
            </w:r>
            <w:r>
              <w:rPr>
                <w:rFonts w:cs="Times New Roman"/>
                <w:snapToGrid w:val="0"/>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⑥</w:t>
            </w:r>
            <w:r>
              <w:rPr>
                <w:rFonts w:cs="Times New Roman"/>
                <w:snapToGrid w:val="0"/>
                <w:color w:val="000000" w:themeColor="text1"/>
                <w:spacing w:val="-16"/>
                <w14:textFill>
                  <w14:solidFill>
                    <w14:schemeClr w14:val="tx1"/>
                  </w14:solidFill>
                </w14:textFill>
              </w:rPr>
              <w:fldChar w:fldCharType="end"/>
            </w:r>
          </w:p>
        </w:tc>
        <w:tc>
          <w:tcPr>
            <w:tcW w:w="474" w:type="pct"/>
            <w:tcMar>
              <w:left w:w="28" w:type="dxa"/>
              <w:right w:w="28" w:type="dxa"/>
            </w:tcMar>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变化量</w:t>
            </w:r>
            <w:r>
              <w:rPr>
                <w:rFonts w:cs="Times New Roman"/>
                <w:snapToGrid w:val="0"/>
                <w:color w:val="000000" w:themeColor="text1"/>
                <w14:textFill>
                  <w14:solidFill>
                    <w14:schemeClr w14:val="tx1"/>
                  </w14:solidFill>
                </w14:textFill>
              </w:rPr>
              <w:fldChar w:fldCharType="begin"/>
            </w:r>
            <w:r>
              <w:rPr>
                <w:rFonts w:cs="Times New Roman"/>
                <w:snapToGrid w:val="0"/>
                <w:color w:val="000000" w:themeColor="text1"/>
                <w14:textFill>
                  <w14:solidFill>
                    <w14:schemeClr w14:val="tx1"/>
                  </w14:solidFill>
                </w14:textFill>
              </w:rPr>
              <w:instrText xml:space="preserve"> = 7 \* GB3 \* MERGEFORMAT </w:instrText>
            </w:r>
            <w:r>
              <w:rPr>
                <w:rFonts w:cs="Times New Roman"/>
                <w:snapToGrid w:val="0"/>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⑦</w:t>
            </w:r>
            <w:r>
              <w:rPr>
                <w:rFonts w:cs="Times New Roman"/>
                <w:snapToGrid w:val="0"/>
                <w:color w:val="000000" w:themeColor="text1"/>
                <w14:textFill>
                  <w14:solidFill>
                    <w14:schemeClr w14:val="tx1"/>
                  </w14:solidFill>
                </w14:textFill>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restar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有组织</w:t>
            </w:r>
            <w:r>
              <w:rPr>
                <w:rFonts w:cs="Times New Roman"/>
                <w:snapToGrid w:val="0"/>
                <w:color w:val="000000" w:themeColor="text1"/>
                <w14:textFill>
                  <w14:solidFill>
                    <w14:schemeClr w14:val="tx1"/>
                  </w14:solidFill>
                </w14:textFill>
              </w:rPr>
              <w:t>废气</w:t>
            </w:r>
          </w:p>
        </w:tc>
        <w:tc>
          <w:tcPr>
            <w:tcW w:w="617" w:type="pct"/>
            <w:vAlign w:val="center"/>
          </w:tcPr>
          <w:p>
            <w:pPr>
              <w:pStyle w:val="34"/>
              <w:rPr>
                <w:rFonts w:cs="Times New Roman"/>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颗粒物</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0.063t/a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szCs w:val="21"/>
              </w:rPr>
              <w:t>0.063t/a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rFonts w:cs="Times New Roman"/>
                <w:szCs w:val="21"/>
              </w:rPr>
              <w:t>0.063t/a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非甲烷总烃</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0</w:t>
            </w:r>
            <w:r>
              <w:rPr>
                <w:rFonts w:cs="Times New Roman"/>
                <w:sz w:val="21"/>
                <w:szCs w:val="21"/>
              </w:rPr>
              <w:t>.385t/a</w:t>
            </w:r>
          </w:p>
        </w:tc>
        <w:tc>
          <w:tcPr>
            <w:tcW w:w="594"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zCs w:val="21"/>
              </w:rPr>
            </w:pPr>
            <w:r>
              <w:rPr>
                <w:rFonts w:hint="eastAsia" w:cs="Times New Roman"/>
                <w:szCs w:val="21"/>
              </w:rPr>
              <w:t>0</w:t>
            </w:r>
            <w:r>
              <w:rPr>
                <w:rFonts w:cs="Times New Roman"/>
                <w:szCs w:val="21"/>
              </w:rPr>
              <w:t>.385t/a</w:t>
            </w:r>
          </w:p>
        </w:tc>
        <w:tc>
          <w:tcPr>
            <w:tcW w:w="474" w:type="pct"/>
            <w:vAlign w:val="center"/>
          </w:tcPr>
          <w:p>
            <w:pPr>
              <w:pStyle w:val="34"/>
              <w:rPr>
                <w:rFonts w:cs="Times New Roman"/>
                <w:szCs w:val="21"/>
              </w:rPr>
            </w:pPr>
            <w:r>
              <w:rPr>
                <w:rFonts w:hint="eastAsia" w:cs="Times New Roman"/>
                <w:szCs w:val="21"/>
              </w:rPr>
              <w:t>+0</w:t>
            </w:r>
            <w:r>
              <w:rPr>
                <w:rFonts w:cs="Times New Roman"/>
                <w:szCs w:val="21"/>
              </w:rPr>
              <w:t>.385t/a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沥青烟</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0.172t/a</w:t>
            </w:r>
          </w:p>
        </w:tc>
        <w:tc>
          <w:tcPr>
            <w:tcW w:w="594"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tcPr>
          <w:p>
            <w:pPr>
              <w:pStyle w:val="34"/>
              <w:rPr>
                <w:rFonts w:cs="Times New Roman"/>
                <w:szCs w:val="21"/>
              </w:rPr>
            </w:pPr>
            <w:r>
              <w:rPr>
                <w:rFonts w:cs="Times New Roman"/>
                <w:szCs w:val="21"/>
              </w:rPr>
              <w:t>0.172t/a</w:t>
            </w:r>
          </w:p>
        </w:tc>
        <w:tc>
          <w:tcPr>
            <w:tcW w:w="474" w:type="pct"/>
          </w:tcPr>
          <w:p>
            <w:pPr>
              <w:pStyle w:val="34"/>
              <w:rPr>
                <w:rFonts w:cs="Times New Roman"/>
                <w:szCs w:val="21"/>
              </w:rPr>
            </w:pPr>
            <w:r>
              <w:rPr>
                <w:rFonts w:hint="eastAsia" w:cs="Times New Roman"/>
                <w:szCs w:val="21"/>
              </w:rPr>
              <w:t>+</w:t>
            </w:r>
            <w:r>
              <w:rPr>
                <w:rFonts w:cs="Times New Roman"/>
                <w:szCs w:val="21"/>
              </w:rPr>
              <w:t>0.172t/a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color w:val="000000" w:themeColor="text1"/>
                <w14:textFill>
                  <w14:solidFill>
                    <w14:schemeClr w14:val="tx1"/>
                  </w14:solidFill>
                </w14:textFill>
              </w:rPr>
            </w:pPr>
            <w:r>
              <w:rPr>
                <w:rFonts w:hint="eastAsia" w:cs="Times New Roman"/>
                <w:szCs w:val="21"/>
              </w:rPr>
              <w:t>苯并[a]芘</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0.00002t/a</w:t>
            </w:r>
          </w:p>
        </w:tc>
        <w:tc>
          <w:tcPr>
            <w:tcW w:w="594" w:type="pct"/>
            <w:vAlign w:val="center"/>
          </w:tcPr>
          <w:p>
            <w:pPr>
              <w:pStyle w:val="34"/>
              <w:rPr>
                <w:rFonts w:cs="Times New Roman"/>
                <w:color w:val="000000" w:themeColor="text1"/>
                <w:kern w:val="0"/>
                <w:szCs w:val="21"/>
                <w14:textFill>
                  <w14:solidFill>
                    <w14:schemeClr w14:val="tx1"/>
                  </w14:solidFill>
                </w14:textFill>
              </w:rPr>
            </w:pPr>
            <w:r>
              <w:rPr>
                <w:rFonts w:hint="eastAsia" w:cs="Times New Roman"/>
                <w:color w:val="000000" w:themeColor="text1"/>
                <w:kern w:val="0"/>
                <w:szCs w:val="21"/>
                <w14:textFill>
                  <w14:solidFill>
                    <w14:schemeClr w14:val="tx1"/>
                  </w14:solidFill>
                </w14:textFill>
              </w:rPr>
              <w:t>0</w:t>
            </w:r>
          </w:p>
        </w:tc>
        <w:tc>
          <w:tcPr>
            <w:tcW w:w="594" w:type="pct"/>
          </w:tcPr>
          <w:p>
            <w:pPr>
              <w:pStyle w:val="34"/>
              <w:rPr>
                <w:rFonts w:cs="Times New Roman"/>
                <w:szCs w:val="21"/>
              </w:rPr>
            </w:pPr>
            <w:r>
              <w:rPr>
                <w:rFonts w:cs="Times New Roman"/>
                <w:szCs w:val="21"/>
              </w:rPr>
              <w:t>0.00002t/a</w:t>
            </w:r>
          </w:p>
        </w:tc>
        <w:tc>
          <w:tcPr>
            <w:tcW w:w="474" w:type="pct"/>
          </w:tcPr>
          <w:p>
            <w:pPr>
              <w:pStyle w:val="34"/>
              <w:rPr>
                <w:rFonts w:cs="Times New Roman"/>
                <w:szCs w:val="21"/>
              </w:rPr>
            </w:pPr>
            <w:r>
              <w:rPr>
                <w:rFonts w:hint="eastAsia" w:cs="Times New Roman"/>
                <w:szCs w:val="21"/>
              </w:rPr>
              <w:t>+</w:t>
            </w:r>
            <w:r>
              <w:rPr>
                <w:rFonts w:cs="Times New Roman"/>
                <w:szCs w:val="21"/>
              </w:rPr>
              <w:t>0.00002t/a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restar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无组织</w:t>
            </w:r>
            <w:r>
              <w:rPr>
                <w:rFonts w:cs="Times New Roman"/>
                <w:snapToGrid w:val="0"/>
                <w:color w:val="000000" w:themeColor="text1"/>
                <w14:textFill>
                  <w14:solidFill>
                    <w14:schemeClr w14:val="tx1"/>
                  </w14:solidFill>
                </w14:textFill>
              </w:rPr>
              <w:t>废气</w:t>
            </w:r>
          </w:p>
        </w:tc>
        <w:tc>
          <w:tcPr>
            <w:tcW w:w="617" w:type="pct"/>
            <w:vAlign w:val="center"/>
          </w:tcPr>
          <w:p>
            <w:pPr>
              <w:pStyle w:val="34"/>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颗粒物</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hint="eastAsia" w:cs="Times New Roman"/>
                <w:sz w:val="21"/>
                <w:szCs w:val="21"/>
              </w:rPr>
              <w:t>1</w:t>
            </w:r>
            <w:r>
              <w:rPr>
                <w:rFonts w:cs="Times New Roman"/>
                <w:sz w:val="21"/>
                <w:szCs w:val="21"/>
              </w:rPr>
              <w:t>.7338t/a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zCs w:val="21"/>
              </w:rPr>
            </w:pPr>
            <w:r>
              <w:rPr>
                <w:rFonts w:hint="eastAsia" w:cs="Times New Roman"/>
                <w:szCs w:val="21"/>
              </w:rPr>
              <w:t>1</w:t>
            </w:r>
            <w:r>
              <w:rPr>
                <w:rFonts w:cs="Times New Roman"/>
                <w:szCs w:val="21"/>
              </w:rPr>
              <w:t>.7338t/a</w:t>
            </w:r>
          </w:p>
        </w:tc>
        <w:tc>
          <w:tcPr>
            <w:tcW w:w="474" w:type="pct"/>
            <w:vAlign w:val="center"/>
          </w:tcPr>
          <w:p>
            <w:pPr>
              <w:pStyle w:val="34"/>
              <w:rPr>
                <w:rFonts w:cs="Times New Roman"/>
                <w:szCs w:val="21"/>
              </w:rPr>
            </w:pPr>
            <w:r>
              <w:rPr>
                <w:rFonts w:hint="eastAsia" w:cs="Times New Roman"/>
                <w:szCs w:val="21"/>
              </w:rPr>
              <w:t>+1</w:t>
            </w:r>
            <w:r>
              <w:rPr>
                <w:rFonts w:cs="Times New Roman"/>
                <w:szCs w:val="21"/>
              </w:rPr>
              <w:t>.7338t/a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非甲烷总烃</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0.124t/a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tcPr>
          <w:p>
            <w:pPr>
              <w:pStyle w:val="34"/>
              <w:rPr>
                <w:rFonts w:cs="Times New Roman"/>
                <w:szCs w:val="21"/>
              </w:rPr>
            </w:pPr>
            <w:r>
              <w:rPr>
                <w:rFonts w:cs="Times New Roman"/>
                <w:szCs w:val="21"/>
              </w:rPr>
              <w:t>0.124t/a</w:t>
            </w:r>
          </w:p>
        </w:tc>
        <w:tc>
          <w:tcPr>
            <w:tcW w:w="474" w:type="pct"/>
          </w:tcPr>
          <w:p>
            <w:pPr>
              <w:pStyle w:val="34"/>
              <w:rPr>
                <w:rFonts w:cs="Times New Roman"/>
                <w:szCs w:val="21"/>
              </w:rPr>
            </w:pPr>
            <w:r>
              <w:rPr>
                <w:rFonts w:hint="eastAsia" w:cs="Times New Roman"/>
                <w:szCs w:val="21"/>
              </w:rPr>
              <w:t>+</w:t>
            </w:r>
            <w:r>
              <w:rPr>
                <w:rFonts w:cs="Times New Roman"/>
                <w:szCs w:val="21"/>
              </w:rPr>
              <w:t>0.124t/a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color w:val="000000" w:themeColor="text1"/>
                <w14:textFill>
                  <w14:solidFill>
                    <w14:schemeClr w14:val="tx1"/>
                  </w14:solidFill>
                </w14:textFill>
              </w:rPr>
            </w:pPr>
            <w:r>
              <w:rPr>
                <w:rFonts w:hint="eastAsia" w:cs="Times New Roman"/>
                <w:szCs w:val="21"/>
              </w:rPr>
              <w:t>苯并[a]芘</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adjustRightInd w:val="0"/>
              <w:snapToGrid w:val="0"/>
              <w:spacing w:line="240" w:lineRule="auto"/>
              <w:ind w:firstLine="0" w:firstLineChars="0"/>
              <w:jc w:val="center"/>
              <w:textAlignment w:val="auto"/>
              <w:rPr>
                <w:rFonts w:cs="Times New Roman"/>
                <w:sz w:val="21"/>
                <w:szCs w:val="21"/>
              </w:rPr>
            </w:pPr>
            <w:r>
              <w:rPr>
                <w:rFonts w:cs="Times New Roman"/>
                <w:sz w:val="21"/>
                <w:szCs w:val="21"/>
              </w:rPr>
              <w:t>0.00001t/a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zCs w:val="21"/>
              </w:rPr>
            </w:pPr>
            <w:r>
              <w:rPr>
                <w:rFonts w:cs="Times New Roman"/>
                <w:szCs w:val="21"/>
              </w:rPr>
              <w:t>0.00001t/a</w:t>
            </w:r>
          </w:p>
        </w:tc>
        <w:tc>
          <w:tcPr>
            <w:tcW w:w="474" w:type="pct"/>
            <w:vAlign w:val="center"/>
          </w:tcPr>
          <w:p>
            <w:pPr>
              <w:pStyle w:val="34"/>
              <w:rPr>
                <w:rFonts w:cs="Times New Roman"/>
                <w:szCs w:val="21"/>
              </w:rPr>
            </w:pPr>
            <w:r>
              <w:rPr>
                <w:rFonts w:hint="eastAsia" w:cs="Times New Roman"/>
                <w:szCs w:val="21"/>
              </w:rPr>
              <w:t>+</w:t>
            </w:r>
            <w:r>
              <w:rPr>
                <w:rFonts w:cs="Times New Roman"/>
                <w:szCs w:val="21"/>
              </w:rPr>
              <w:t>0.00001t/a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restar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废水</w:t>
            </w:r>
          </w:p>
        </w:tc>
        <w:tc>
          <w:tcPr>
            <w:tcW w:w="617" w:type="pc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生活废水量</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zCs w:val="21"/>
              </w:rPr>
            </w:pPr>
            <w:r>
              <w:rPr>
                <w:color w:val="000000" w:themeColor="text1"/>
                <w:szCs w:val="21"/>
                <w14:textFill>
                  <w14:solidFill>
                    <w14:schemeClr w14:val="tx1"/>
                  </w14:solidFill>
                </w14:textFill>
              </w:rPr>
              <w:t>345.6</w:t>
            </w:r>
            <w:r>
              <w:rPr>
                <w:rFonts w:cs="Times New Roman"/>
                <w:szCs w:val="21"/>
              </w:rPr>
              <w:t>t/a</w:t>
            </w:r>
          </w:p>
        </w:tc>
        <w:tc>
          <w:tcPr>
            <w:tcW w:w="594"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zCs w:val="21"/>
              </w:rPr>
            </w:pPr>
            <w:r>
              <w:rPr>
                <w:color w:val="000000" w:themeColor="text1"/>
                <w:szCs w:val="21"/>
                <w14:textFill>
                  <w14:solidFill>
                    <w14:schemeClr w14:val="tx1"/>
                  </w14:solidFill>
                </w14:textFill>
              </w:rPr>
              <w:t>345.6</w:t>
            </w:r>
            <w:r>
              <w:rPr>
                <w:rFonts w:cs="Times New Roman"/>
                <w:szCs w:val="21"/>
              </w:rPr>
              <w:t>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color w:val="000000" w:themeColor="text1"/>
                <w:szCs w:val="21"/>
                <w14:textFill>
                  <w14:solidFill>
                    <w14:schemeClr w14:val="tx1"/>
                  </w14:solidFill>
                </w14:textFill>
              </w:rPr>
              <w:t>345.6</w:t>
            </w:r>
            <w:r>
              <w:rPr>
                <w:rFonts w:cs="Times New Roman"/>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COD</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0.124</w:t>
            </w:r>
            <w:r>
              <w:rPr>
                <w:rFonts w:cs="Times New Roman"/>
                <w:szCs w:val="21"/>
              </w:rPr>
              <w:t>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0.124</w:t>
            </w:r>
            <w:r>
              <w:rPr>
                <w:rFonts w:cs="Times New Roman"/>
                <w:szCs w:val="21"/>
              </w:rPr>
              <w:t>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color w:val="000000" w:themeColor="text1"/>
                <w:szCs w:val="21"/>
                <w14:textFill>
                  <w14:solidFill>
                    <w14:schemeClr w14:val="tx1"/>
                  </w14:solidFill>
                </w14:textFill>
              </w:rPr>
              <w:t>0.124</w:t>
            </w:r>
            <w:r>
              <w:rPr>
                <w:rFonts w:cs="Times New Roman"/>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BOD</w:t>
            </w:r>
            <w:r>
              <w:rPr>
                <w:rFonts w:cs="Times New Roman"/>
                <w:color w:val="000000" w:themeColor="text1"/>
                <w:szCs w:val="21"/>
                <w:vertAlign w:val="subscript"/>
                <w14:textFill>
                  <w14:solidFill>
                    <w14:schemeClr w14:val="tx1"/>
                  </w14:solidFill>
                </w14:textFill>
              </w:rPr>
              <w:t>5</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0.062</w:t>
            </w:r>
            <w:r>
              <w:rPr>
                <w:rFonts w:cs="Times New Roman"/>
                <w:szCs w:val="21"/>
              </w:rPr>
              <w:t>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0.062</w:t>
            </w:r>
            <w:r>
              <w:rPr>
                <w:rFonts w:cs="Times New Roman"/>
                <w:szCs w:val="21"/>
              </w:rPr>
              <w:t>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color w:val="000000" w:themeColor="text1"/>
                <w:szCs w:val="21"/>
                <w14:textFill>
                  <w14:solidFill>
                    <w14:schemeClr w14:val="tx1"/>
                  </w14:solidFill>
                </w14:textFill>
              </w:rPr>
              <w:t>0.062</w:t>
            </w:r>
            <w:r>
              <w:rPr>
                <w:rFonts w:cs="Times New Roman"/>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SS</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0.057</w:t>
            </w:r>
            <w:r>
              <w:rPr>
                <w:rFonts w:cs="Times New Roman"/>
                <w:szCs w:val="21"/>
              </w:rPr>
              <w:t>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0.057</w:t>
            </w:r>
            <w:r>
              <w:rPr>
                <w:rFonts w:cs="Times New Roman"/>
                <w:szCs w:val="21"/>
              </w:rPr>
              <w:t>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color w:val="000000" w:themeColor="text1"/>
                <w:szCs w:val="21"/>
                <w14:textFill>
                  <w14:solidFill>
                    <w14:schemeClr w14:val="tx1"/>
                  </w14:solidFill>
                </w14:textFill>
              </w:rPr>
              <w:t>0.057</w:t>
            </w:r>
            <w:r>
              <w:rPr>
                <w:rFonts w:cs="Times New Roman"/>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NH</w:t>
            </w:r>
            <w:r>
              <w:rPr>
                <w:rFonts w:cs="Times New Roman"/>
                <w:color w:val="000000" w:themeColor="text1"/>
                <w:szCs w:val="21"/>
                <w:vertAlign w:val="subscript"/>
                <w14:textFill>
                  <w14:solidFill>
                    <w14:schemeClr w14:val="tx1"/>
                  </w14:solidFill>
                </w14:textFill>
              </w:rPr>
              <w:t>3</w:t>
            </w:r>
            <w:r>
              <w:rPr>
                <w:rFonts w:cs="Times New Roman"/>
                <w:color w:val="000000" w:themeColor="text1"/>
                <w:szCs w:val="21"/>
                <w14:textFill>
                  <w14:solidFill>
                    <w14:schemeClr w14:val="tx1"/>
                  </w14:solidFill>
                </w14:textFill>
              </w:rPr>
              <w:t>-N</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0.008</w:t>
            </w:r>
            <w:r>
              <w:rPr>
                <w:rFonts w:cs="Times New Roman"/>
                <w:szCs w:val="21"/>
              </w:rPr>
              <w:t>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color w:val="000000" w:themeColor="text1"/>
                <w:szCs w:val="21"/>
                <w14:textFill>
                  <w14:solidFill>
                    <w14:schemeClr w14:val="tx1"/>
                  </w14:solidFill>
                </w14:textFill>
              </w:rPr>
              <w:t>0.008</w:t>
            </w:r>
            <w:r>
              <w:rPr>
                <w:rFonts w:cs="Times New Roman"/>
                <w:szCs w:val="21"/>
              </w:rPr>
              <w:t>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color w:val="000000" w:themeColor="text1"/>
                <w:szCs w:val="21"/>
                <w14:textFill>
                  <w14:solidFill>
                    <w14:schemeClr w14:val="tx1"/>
                  </w14:solidFill>
                </w14:textFill>
              </w:rPr>
              <w:t>0.008</w:t>
            </w:r>
            <w:r>
              <w:rPr>
                <w:rFonts w:cs="Times New Roman"/>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restar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一般工业</w:t>
            </w:r>
          </w:p>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固体废物</w:t>
            </w:r>
          </w:p>
        </w:tc>
        <w:tc>
          <w:tcPr>
            <w:tcW w:w="617" w:type="pct"/>
            <w:vAlign w:val="center"/>
          </w:tcPr>
          <w:p>
            <w:pPr>
              <w:pStyle w:val="34"/>
              <w:rPr>
                <w:rFonts w:cs="Times New Roman"/>
                <w:snapToGrid w:val="0"/>
                <w:color w:val="000000" w:themeColor="text1"/>
                <w14:textFill>
                  <w14:solidFill>
                    <w14:schemeClr w14:val="tx1"/>
                  </w14:solidFill>
                </w14:textFill>
              </w:rPr>
            </w:pPr>
            <w:r>
              <w:rPr>
                <w:rFonts w:hint="eastAsia"/>
              </w:rPr>
              <w:t>废包装袋</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szCs w:val="21"/>
              </w:rPr>
            </w:pPr>
            <w:r>
              <w:rPr>
                <w:szCs w:val="21"/>
              </w:rPr>
              <w:t>0.3</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szCs w:val="21"/>
              </w:rPr>
            </w:pPr>
            <w:r>
              <w:rPr>
                <w:szCs w:val="21"/>
              </w:rPr>
              <w:t>0.3</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szCs w:val="21"/>
              </w:rPr>
              <w:t>0.3</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zCs w:val="21"/>
              </w:rPr>
            </w:pPr>
            <w:r>
              <w:rPr>
                <w:rFonts w:hint="eastAsia" w:cs="Times New Roman"/>
                <w:szCs w:val="21"/>
              </w:rPr>
              <w:t>废布袋</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szCs w:val="21"/>
              </w:rPr>
            </w:pPr>
            <w:r>
              <w:rPr>
                <w:rFonts w:hint="eastAsia"/>
                <w:szCs w:val="21"/>
              </w:rPr>
              <w:t>0</w:t>
            </w:r>
            <w:r>
              <w:rPr>
                <w:szCs w:val="21"/>
              </w:rPr>
              <w:t>.4</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szCs w:val="21"/>
              </w:rPr>
            </w:pPr>
            <w:r>
              <w:rPr>
                <w:rFonts w:hint="eastAsia"/>
                <w:szCs w:val="21"/>
              </w:rPr>
              <w:t>0</w:t>
            </w:r>
            <w:r>
              <w:rPr>
                <w:szCs w:val="21"/>
              </w:rPr>
              <w:t>.4</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zCs w:val="21"/>
              </w:rPr>
            </w:pPr>
            <w:r>
              <w:rPr>
                <w:rFonts w:hint="eastAsia" w:cs="Times New Roman"/>
                <w:szCs w:val="21"/>
              </w:rPr>
              <w:t>+</w:t>
            </w:r>
            <w:r>
              <w:rPr>
                <w:rFonts w:hint="eastAsia"/>
                <w:szCs w:val="21"/>
              </w:rPr>
              <w:t>0</w:t>
            </w:r>
            <w:r>
              <w:rPr>
                <w:szCs w:val="21"/>
              </w:rPr>
              <w:t>.4</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zCs w:val="21"/>
              </w:rPr>
            </w:pPr>
            <w:r>
              <w:rPr>
                <w:rFonts w:hint="eastAsia"/>
              </w:rPr>
              <w:t>布袋集尘</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szCs w:val="21"/>
              </w:rPr>
            </w:pPr>
            <w:r>
              <w:rPr>
                <w:szCs w:val="21"/>
              </w:rPr>
              <w:t>6.2538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szCs w:val="21"/>
              </w:rPr>
            </w:pPr>
            <w:r>
              <w:rPr>
                <w:szCs w:val="21"/>
              </w:rPr>
              <w:t>6.2538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zCs w:val="21"/>
              </w:rPr>
            </w:pPr>
            <w:r>
              <w:rPr>
                <w:rFonts w:hint="eastAsia" w:cs="Times New Roman"/>
                <w:szCs w:val="21"/>
              </w:rPr>
              <w:t>+</w:t>
            </w:r>
            <w:r>
              <w:rPr>
                <w:szCs w:val="21"/>
              </w:rPr>
              <w:t>6.2538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生活垃圾</w:t>
            </w:r>
          </w:p>
        </w:tc>
        <w:tc>
          <w:tcPr>
            <w:tcW w:w="617" w:type="pct"/>
            <w:vAlign w:val="center"/>
          </w:tcPr>
          <w:p>
            <w:pPr>
              <w:pStyle w:val="34"/>
              <w:rPr>
                <w:rFonts w:cs="Times New Roman"/>
                <w:snapToGrid w:val="0"/>
                <w:color w:val="000000" w:themeColor="text1"/>
                <w14:textFill>
                  <w14:solidFill>
                    <w14:schemeClr w14:val="tx1"/>
                  </w14:solidFill>
                </w14:textFill>
              </w:rPr>
            </w:pPr>
            <w:r>
              <w:t>生活垃圾</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14:textFill>
                  <w14:solidFill>
                    <w14:schemeClr w14:val="tx1"/>
                  </w14:solidFill>
                </w14:textFill>
              </w:rPr>
              <w:t>2.7</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14:textFill>
                  <w14:solidFill>
                    <w14:schemeClr w14:val="tx1"/>
                  </w14:solidFill>
                </w14:textFill>
              </w:rPr>
              <w:t>2.7</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rFonts w:cs="Times New Roman"/>
                <w:color w:val="000000" w:themeColor="text1"/>
                <w14:textFill>
                  <w14:solidFill>
                    <w14:schemeClr w14:val="tx1"/>
                  </w14:solidFill>
                </w14:textFill>
              </w:rPr>
              <w:t>2.7</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restar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危险废物</w:t>
            </w:r>
          </w:p>
        </w:tc>
        <w:tc>
          <w:tcPr>
            <w:tcW w:w="617" w:type="pct"/>
            <w:vAlign w:val="center"/>
          </w:tcPr>
          <w:p>
            <w:pPr>
              <w:pStyle w:val="34"/>
            </w:pPr>
            <w:r>
              <w:rPr>
                <w:rFonts w:hint="eastAsia"/>
              </w:rPr>
              <w:t>废焦油</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0</w:t>
            </w:r>
            <w:r>
              <w:rPr>
                <w:rFonts w:cs="Times New Roman"/>
                <w:color w:val="000000" w:themeColor="text1"/>
                <w14:textFill>
                  <w14:solidFill>
                    <w14:schemeClr w14:val="tx1"/>
                  </w14:solidFill>
                </w14:textFill>
              </w:rPr>
              <w:t>.8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color w:val="000000" w:themeColor="text1"/>
                <w:kern w:val="0"/>
                <w:szCs w:val="21"/>
                <w14:textFill>
                  <w14:solidFill>
                    <w14:schemeClr w14:val="tx1"/>
                  </w14:solidFill>
                </w14:textFill>
              </w:rPr>
            </w:pPr>
            <w:r>
              <w:rPr>
                <w:rFonts w:hint="eastAsia" w:cs="Times New Roman"/>
                <w:color w:val="000000" w:themeColor="text1"/>
                <w:kern w:val="0"/>
                <w:szCs w:val="21"/>
                <w14:textFill>
                  <w14:solidFill>
                    <w14:schemeClr w14:val="tx1"/>
                  </w14:solidFill>
                </w14:textFill>
              </w:rPr>
              <w:t>0</w:t>
            </w:r>
          </w:p>
        </w:tc>
        <w:tc>
          <w:tcPr>
            <w:tcW w:w="594" w:type="pct"/>
          </w:tcPr>
          <w:p>
            <w:pPr>
              <w:pStyle w:val="34"/>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0</w:t>
            </w:r>
            <w:r>
              <w:rPr>
                <w:rFonts w:cs="Times New Roman"/>
                <w:color w:val="000000" w:themeColor="text1"/>
                <w14:textFill>
                  <w14:solidFill>
                    <w14:schemeClr w14:val="tx1"/>
                  </w14:solidFill>
                </w14:textFill>
              </w:rPr>
              <w:t>.8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tcPr>
          <w:p>
            <w:pPr>
              <w:pStyle w:val="34"/>
              <w:rPr>
                <w:rFonts w:cs="Times New Roman"/>
                <w:szCs w:val="21"/>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0</w:t>
            </w:r>
            <w:r>
              <w:rPr>
                <w:rFonts w:cs="Times New Roman"/>
                <w:color w:val="000000" w:themeColor="text1"/>
                <w14:textFill>
                  <w14:solidFill>
                    <w14:schemeClr w14:val="tx1"/>
                  </w14:solidFill>
                </w14:textFill>
              </w:rPr>
              <w:t>.8</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rFonts w:cs="Times New Roman"/>
                <w:snapToGrid w:val="0"/>
                <w:color w:val="000000" w:themeColor="text1"/>
                <w14:textFill>
                  <w14:solidFill>
                    <w14:schemeClr w14:val="tx1"/>
                  </w14:solidFill>
                </w14:textFill>
              </w:rPr>
            </w:pPr>
            <w:r>
              <w:rPr>
                <w:rFonts w:hint="eastAsia"/>
              </w:rPr>
              <w:t>废机油</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rFonts w:cs="Times New Roman"/>
                <w:snapToGrid w:val="0"/>
                <w:color w:val="000000" w:themeColor="text1"/>
                <w14:textFill>
                  <w14:solidFill>
                    <w14:schemeClr w14:val="tx1"/>
                  </w14:solidFill>
                </w14:textFill>
              </w:rPr>
              <w:t>0.1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pPr>
            <w:r>
              <w:rPr>
                <w:rFonts w:hint="eastAsia"/>
              </w:rPr>
              <w:t>沾有废机油的废抹布和废手套</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pPr>
            <w:r>
              <w:rPr>
                <w:rFonts w:hint="eastAsia"/>
              </w:rPr>
              <w:t>废机油桶</w:t>
            </w:r>
          </w:p>
        </w:tc>
        <w:tc>
          <w:tcPr>
            <w:tcW w:w="545"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vAlign w:val="center"/>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c>
          <w:tcPr>
            <w:tcW w:w="474" w:type="pct"/>
            <w:vAlign w:val="center"/>
          </w:tcPr>
          <w:p>
            <w:pPr>
              <w:pStyle w:val="34"/>
              <w:rPr>
                <w:rFonts w:cs="Times New Roman"/>
                <w:snapToGrid w:val="0"/>
                <w:color w:val="000000" w:themeColor="text1"/>
                <w14:textFill>
                  <w14:solidFill>
                    <w14:schemeClr w14:val="tx1"/>
                  </w14:solidFill>
                </w14:textFill>
              </w:rPr>
            </w:pPr>
            <w:r>
              <w:rPr>
                <w:rFonts w:hint="eastAsia" w:cs="Times New Roman"/>
                <w:szCs w:val="21"/>
              </w:rPr>
              <w:t>+</w:t>
            </w:r>
            <w:r>
              <w:rPr>
                <w:rFonts w:cs="Times New Roman"/>
                <w:snapToGrid w:val="0"/>
                <w:color w:val="000000" w:themeColor="text1"/>
                <w14:textFill>
                  <w14:solidFill>
                    <w14:schemeClr w14:val="tx1"/>
                  </w14:solidFill>
                </w14:textFill>
              </w:rPr>
              <w:t>0.</w:t>
            </w:r>
            <w:r>
              <w:rPr>
                <w:rFonts w:hint="eastAsia" w:cs="Times New Roman"/>
                <w:snapToGrid w:val="0"/>
                <w:color w:val="000000" w:themeColor="text1"/>
                <w14:textFill>
                  <w14:solidFill>
                    <w14:schemeClr w14:val="tx1"/>
                  </w14:solidFill>
                </w14:textFill>
              </w:rPr>
              <w:t>0</w:t>
            </w:r>
            <w:r>
              <w:rPr>
                <w:rFonts w:cs="Times New Roman"/>
                <w:snapToGrid w:val="0"/>
                <w:color w:val="000000" w:themeColor="text1"/>
                <w14:textFill>
                  <w14:solidFill>
                    <w14:schemeClr w14:val="tx1"/>
                  </w14:solidFill>
                </w14:textFill>
              </w:rPr>
              <w:t>1</w:t>
            </w:r>
            <w:r>
              <w:rPr>
                <w:rFonts w:hint="eastAsia" w:cs="Times New Roman"/>
                <w:color w:val="000000" w:themeColor="text1"/>
                <w:kern w:val="0"/>
                <w:szCs w:val="21"/>
                <w14:textFill>
                  <w14:solidFill>
                    <w14:schemeClr w14:val="tx1"/>
                  </w14:solidFill>
                </w14:textFill>
              </w:rPr>
              <w:t>t</w:t>
            </w:r>
            <w:r>
              <w:rPr>
                <w:rFonts w:cs="Times New Roman"/>
                <w:color w:val="000000" w:themeColor="text1"/>
                <w:kern w:val="0"/>
                <w:szCs w:val="21"/>
                <w14:textFill>
                  <w14:solidFill>
                    <w14:schemeClr w14:val="tx1"/>
                  </w14:solidFill>
                </w14:textFill>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pPr>
            <w:r>
              <w:rPr>
                <w:rFonts w:hint="eastAsia"/>
              </w:rPr>
              <w:t>废导热油</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2t/次</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vAlign w:val="center"/>
          </w:tcPr>
          <w:p>
            <w:pPr>
              <w:pStyle w:val="34"/>
              <w:rPr>
                <w:rFonts w:cs="Times New Roman"/>
                <w:snapToGrid w:val="0"/>
                <w:color w:val="000000" w:themeColor="text1"/>
                <w14:textFill>
                  <w14:solidFill>
                    <w14:schemeClr w14:val="tx1"/>
                  </w14:solidFill>
                </w14:textFill>
              </w:rPr>
            </w:pPr>
            <w:r>
              <w:rPr>
                <w:rFonts w:hint="eastAsia" w:cs="Times New Roman"/>
                <w:snapToGrid w:val="0"/>
                <w:color w:val="000000" w:themeColor="text1"/>
                <w14:textFill>
                  <w14:solidFill>
                    <w14:schemeClr w14:val="tx1"/>
                  </w14:solidFill>
                </w14:textFill>
              </w:rPr>
              <w:t>2t/次</w:t>
            </w:r>
          </w:p>
        </w:tc>
        <w:tc>
          <w:tcPr>
            <w:tcW w:w="474" w:type="pct"/>
            <w:vAlign w:val="center"/>
          </w:tcPr>
          <w:p>
            <w:pPr>
              <w:pStyle w:val="34"/>
              <w:rPr>
                <w:rFonts w:cs="Times New Roman"/>
                <w:szCs w:val="21"/>
              </w:rPr>
            </w:pPr>
            <w:r>
              <w:rPr>
                <w:rFonts w:hint="eastAsia" w:cs="Times New Roman"/>
                <w:szCs w:val="21"/>
              </w:rPr>
              <w:t>+</w:t>
            </w:r>
            <w:r>
              <w:rPr>
                <w:rFonts w:hint="eastAsia" w:cs="Times New Roman"/>
                <w:snapToGrid w:val="0"/>
                <w:color w:val="000000" w:themeColor="text1"/>
                <w14:textFill>
                  <w14:solidFill>
                    <w14:schemeClr w14:val="tx1"/>
                  </w14:solidFill>
                </w14:textFill>
              </w:rPr>
              <w:t>2t/次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pPr>
            <w:r>
              <w:rPr>
                <w:rFonts w:hint="eastAsia"/>
                <w:snapToGrid w:val="0"/>
                <w:kern w:val="0"/>
              </w:rPr>
              <w:t>废活性炭</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snapToGrid w:val="0"/>
                <w:color w:val="000000" w:themeColor="text1"/>
                <w14:textFill>
                  <w14:solidFill>
                    <w14:schemeClr w14:val="tx1"/>
                  </w14:solidFill>
                </w14:textFill>
              </w:rPr>
            </w:pPr>
            <w:r>
              <w:rPr>
                <w:rFonts w:cs="Times New Roman"/>
                <w:color w:val="000000" w:themeColor="text1"/>
                <w14:textFill>
                  <w14:solidFill>
                    <w14:schemeClr w14:val="tx1"/>
                  </w14:solidFill>
                </w14:textFill>
              </w:rPr>
              <w:t>5.4324t/a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tcPr>
          <w:p>
            <w:pPr>
              <w:pStyle w:val="34"/>
              <w:rPr>
                <w:rFonts w:cs="Times New Roman"/>
                <w:snapToGrid w:val="0"/>
                <w:color w:val="000000" w:themeColor="text1"/>
                <w14:textFill>
                  <w14:solidFill>
                    <w14:schemeClr w14:val="tx1"/>
                  </w14:solidFill>
                </w14:textFill>
              </w:rPr>
            </w:pPr>
            <w:r>
              <w:rPr>
                <w:rFonts w:cs="Times New Roman"/>
                <w:color w:val="000000" w:themeColor="text1"/>
                <w14:textFill>
                  <w14:solidFill>
                    <w14:schemeClr w14:val="tx1"/>
                  </w14:solidFill>
                </w14:textFill>
              </w:rPr>
              <w:t>5.4324t/a</w:t>
            </w:r>
          </w:p>
        </w:tc>
        <w:tc>
          <w:tcPr>
            <w:tcW w:w="474" w:type="pct"/>
          </w:tcPr>
          <w:p>
            <w:pPr>
              <w:pStyle w:val="34"/>
              <w:rPr>
                <w:rFonts w:cs="Times New Roman"/>
                <w:szCs w:val="21"/>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5.4324t/a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545" w:type="pct"/>
            <w:vMerge w:val="continue"/>
            <w:vAlign w:val="center"/>
          </w:tcPr>
          <w:p>
            <w:pPr>
              <w:pStyle w:val="34"/>
              <w:rPr>
                <w:rFonts w:cs="Times New Roman"/>
                <w:snapToGrid w:val="0"/>
                <w:color w:val="000000" w:themeColor="text1"/>
                <w14:textFill>
                  <w14:solidFill>
                    <w14:schemeClr w14:val="tx1"/>
                  </w14:solidFill>
                </w14:textFill>
              </w:rPr>
            </w:pPr>
          </w:p>
        </w:tc>
        <w:tc>
          <w:tcPr>
            <w:tcW w:w="617" w:type="pct"/>
            <w:vAlign w:val="center"/>
          </w:tcPr>
          <w:p>
            <w:pPr>
              <w:pStyle w:val="34"/>
              <w:rPr>
                <w:snapToGrid w:val="0"/>
                <w:kern w:val="0"/>
              </w:rPr>
            </w:pPr>
            <w:r>
              <w:rPr>
                <w:rFonts w:hint="eastAsia"/>
                <w:snapToGrid w:val="0"/>
                <w:kern w:val="0"/>
              </w:rPr>
              <w:t>废原料桶</w:t>
            </w:r>
          </w:p>
        </w:tc>
        <w:tc>
          <w:tcPr>
            <w:tcW w:w="545"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4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3"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45" w:type="pct"/>
            <w:vAlign w:val="center"/>
          </w:tcPr>
          <w:p>
            <w:pPr>
              <w:pStyle w:val="34"/>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5</w:t>
            </w:r>
            <w:r>
              <w:rPr>
                <w:rFonts w:cs="Times New Roman"/>
                <w:color w:val="000000" w:themeColor="text1"/>
                <w14:textFill>
                  <w14:solidFill>
                    <w14:schemeClr w14:val="tx1"/>
                  </w14:solidFill>
                </w14:textFill>
              </w:rPr>
              <w:t>t/a</w:t>
            </w:r>
          </w:p>
        </w:tc>
        <w:tc>
          <w:tcPr>
            <w:tcW w:w="594" w:type="pct"/>
          </w:tcPr>
          <w:p>
            <w:pPr>
              <w:pStyle w:val="34"/>
              <w:rPr>
                <w:rFonts w:cs="Times New Roman"/>
                <w:color w:val="000000" w:themeColor="text1"/>
                <w:kern w:val="0"/>
                <w:szCs w:val="21"/>
                <w14:textFill>
                  <w14:solidFill>
                    <w14:schemeClr w14:val="tx1"/>
                  </w14:solidFill>
                </w14:textFill>
              </w:rPr>
            </w:pPr>
            <w:r>
              <w:rPr>
                <w:rFonts w:cs="Times New Roman"/>
                <w:color w:val="000000" w:themeColor="text1"/>
                <w:kern w:val="0"/>
                <w:szCs w:val="21"/>
                <w14:textFill>
                  <w14:solidFill>
                    <w14:schemeClr w14:val="tx1"/>
                  </w14:solidFill>
                </w14:textFill>
              </w:rPr>
              <w:t>0</w:t>
            </w:r>
          </w:p>
        </w:tc>
        <w:tc>
          <w:tcPr>
            <w:tcW w:w="594" w:type="pct"/>
          </w:tcPr>
          <w:p>
            <w:pPr>
              <w:pStyle w:val="34"/>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5</w:t>
            </w:r>
            <w:r>
              <w:rPr>
                <w:rFonts w:cs="Times New Roman"/>
                <w:color w:val="000000" w:themeColor="text1"/>
                <w14:textFill>
                  <w14:solidFill>
                    <w14:schemeClr w14:val="tx1"/>
                  </w14:solidFill>
                </w14:textFill>
              </w:rPr>
              <w:t>t/a</w:t>
            </w:r>
          </w:p>
        </w:tc>
        <w:tc>
          <w:tcPr>
            <w:tcW w:w="474" w:type="pct"/>
          </w:tcPr>
          <w:p>
            <w:pPr>
              <w:pStyle w:val="34"/>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+5</w:t>
            </w:r>
            <w:r>
              <w:rPr>
                <w:rFonts w:cs="Times New Roman"/>
                <w:color w:val="000000" w:themeColor="text1"/>
                <w14:textFill>
                  <w14:solidFill>
                    <w14:schemeClr w14:val="tx1"/>
                  </w14:solidFill>
                </w14:textFill>
              </w:rPr>
              <w:t>t/a</w:t>
            </w:r>
          </w:p>
        </w:tc>
      </w:tr>
      <w:bookmarkEnd w:id="31"/>
    </w:tbl>
    <w:p>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注：</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6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⑥</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1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①</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3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③</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4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④</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5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⑤</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7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⑦</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6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⑥</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 = 1 \* GB3 \* MERGEFORMAT </w:instrText>
      </w:r>
      <w:r>
        <w:rPr>
          <w:rFonts w:hint="eastAsia"/>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①</w:t>
      </w:r>
      <w:r>
        <w:rPr>
          <w:rFonts w:hint="eastAsia"/>
          <w:color w:val="000000" w:themeColor="text1"/>
          <w14:textFill>
            <w14:solidFill>
              <w14:schemeClr w14:val="tx1"/>
            </w14:solidFill>
          </w14:textFill>
        </w:rPr>
        <w:fldChar w:fldCharType="end"/>
      </w:r>
    </w:p>
    <w:p>
      <w:pPr>
        <w:ind w:firstLine="0" w:firstLineChars="0"/>
        <w:sectPr>
          <w:pgSz w:w="16838" w:h="11906" w:orient="landscape"/>
          <w:pgMar w:top="1418" w:right="1418" w:bottom="1418" w:left="1418" w:header="851" w:footer="992" w:gutter="0"/>
          <w:cols w:space="425" w:num="1"/>
          <w:docGrid w:type="lines" w:linePitch="326" w:charSpace="0"/>
        </w:sectPr>
      </w:pPr>
    </w:p>
    <w:p>
      <w:pPr>
        <w:spacing w:line="240" w:lineRule="auto"/>
        <w:ind w:firstLine="0" w:firstLineChars="0"/>
        <w:rPr>
          <w:color w:val="000000" w:themeColor="text1"/>
          <w14:textFill>
            <w14:solidFill>
              <w14:schemeClr w14:val="tx1"/>
            </w14:solidFill>
          </w14:textFill>
        </w:rPr>
      </w:pPr>
    </w:p>
    <w:sectPr>
      <w:pgSz w:w="11906" w:h="16838"/>
      <w:pgMar w:top="1418" w:right="1418" w:bottom="1418" w:left="141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swiss"/>
    <w:pitch w:val="default"/>
    <w:sig w:usb0="E10022FF" w:usb1="C000E47F" w:usb2="00000029" w:usb3="00000000" w:csb0="200001DF" w:csb1="20000000"/>
  </w:font>
  <w:font w:name="SourceHanSansCN-Regular">
    <w:altName w:val="Vrinda"/>
    <w:panose1 w:val="020B0500000000000000"/>
    <w:charset w:val="00"/>
    <w:family w:val="roman"/>
    <w:pitch w:val="default"/>
    <w:sig w:usb0="00000000" w:usb1="00000000" w:usb2="00000000" w:usb3="00000000" w:csb0="00000000" w:csb1="00000000"/>
  </w:font>
  <w:font w:name="Vrinda">
    <w:panose1 w:val="020B0502040204020203"/>
    <w:charset w:val="00"/>
    <w:family w:val="auto"/>
    <w:pitch w:val="default"/>
    <w:sig w:usb0="00010003" w:usb1="00000000" w:usb2="00000000" w:usb3="00000000" w:csb0="0000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250202"/>
    </w:sdtPr>
    <w:sdtContent>
      <w:p>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6EF34F"/>
    <w:multiLevelType w:val="singleLevel"/>
    <w:tmpl w:val="556EF34F"/>
    <w:lvl w:ilvl="0" w:tentative="0">
      <w:start w:val="4"/>
      <w:numFmt w:val="chineseCounting"/>
      <w:suff w:val="nothing"/>
      <w:lvlText w:val="%1、"/>
      <w:lvlJc w:val="left"/>
      <w:rPr>
        <w:rFonts w:hint="eastAsia"/>
      </w:rPr>
    </w:lvl>
  </w:abstractNum>
  <w:abstractNum w:abstractNumId="1">
    <w:nsid w:val="68D08242"/>
    <w:multiLevelType w:val="singleLevel"/>
    <w:tmpl w:val="68D0824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ZGQ1YjY3YWE4ZjQxNzM3Mjc0MGM1ZTljYWMwNWUifQ=="/>
  </w:docVars>
  <w:rsids>
    <w:rsidRoot w:val="00E42F12"/>
    <w:rsid w:val="00000011"/>
    <w:rsid w:val="00002286"/>
    <w:rsid w:val="00003779"/>
    <w:rsid w:val="00004030"/>
    <w:rsid w:val="00004535"/>
    <w:rsid w:val="00005265"/>
    <w:rsid w:val="000056D4"/>
    <w:rsid w:val="00005DF0"/>
    <w:rsid w:val="00011588"/>
    <w:rsid w:val="00012585"/>
    <w:rsid w:val="00012DBF"/>
    <w:rsid w:val="000130B4"/>
    <w:rsid w:val="000146ED"/>
    <w:rsid w:val="00014DD3"/>
    <w:rsid w:val="0001586B"/>
    <w:rsid w:val="000160E7"/>
    <w:rsid w:val="00016FF3"/>
    <w:rsid w:val="0002170E"/>
    <w:rsid w:val="00021755"/>
    <w:rsid w:val="00021FDB"/>
    <w:rsid w:val="00021FE2"/>
    <w:rsid w:val="000237FF"/>
    <w:rsid w:val="000248C0"/>
    <w:rsid w:val="00024B2C"/>
    <w:rsid w:val="000266FA"/>
    <w:rsid w:val="00027FF1"/>
    <w:rsid w:val="000303C0"/>
    <w:rsid w:val="0003177B"/>
    <w:rsid w:val="00031848"/>
    <w:rsid w:val="00032722"/>
    <w:rsid w:val="000327C5"/>
    <w:rsid w:val="0003302B"/>
    <w:rsid w:val="000349C5"/>
    <w:rsid w:val="0003576B"/>
    <w:rsid w:val="00035924"/>
    <w:rsid w:val="00035D20"/>
    <w:rsid w:val="000364B9"/>
    <w:rsid w:val="00037528"/>
    <w:rsid w:val="00037CF2"/>
    <w:rsid w:val="00037FCA"/>
    <w:rsid w:val="000411C0"/>
    <w:rsid w:val="00041C54"/>
    <w:rsid w:val="0004324B"/>
    <w:rsid w:val="0004387D"/>
    <w:rsid w:val="00045D54"/>
    <w:rsid w:val="0004645A"/>
    <w:rsid w:val="00046675"/>
    <w:rsid w:val="00050209"/>
    <w:rsid w:val="00050507"/>
    <w:rsid w:val="000512F1"/>
    <w:rsid w:val="000519C2"/>
    <w:rsid w:val="00051EF7"/>
    <w:rsid w:val="00052874"/>
    <w:rsid w:val="00052F50"/>
    <w:rsid w:val="000535F3"/>
    <w:rsid w:val="00054033"/>
    <w:rsid w:val="0005404D"/>
    <w:rsid w:val="00054D84"/>
    <w:rsid w:val="00054F8E"/>
    <w:rsid w:val="00056938"/>
    <w:rsid w:val="00056A8A"/>
    <w:rsid w:val="00056C0A"/>
    <w:rsid w:val="000600E5"/>
    <w:rsid w:val="000609E8"/>
    <w:rsid w:val="00061F0E"/>
    <w:rsid w:val="00062122"/>
    <w:rsid w:val="00062845"/>
    <w:rsid w:val="000628AF"/>
    <w:rsid w:val="00062AB8"/>
    <w:rsid w:val="0006526E"/>
    <w:rsid w:val="0006571B"/>
    <w:rsid w:val="00065EBA"/>
    <w:rsid w:val="00066708"/>
    <w:rsid w:val="000669FA"/>
    <w:rsid w:val="00070A73"/>
    <w:rsid w:val="00070BA3"/>
    <w:rsid w:val="00071688"/>
    <w:rsid w:val="00071FB9"/>
    <w:rsid w:val="00072560"/>
    <w:rsid w:val="00072D16"/>
    <w:rsid w:val="00073C72"/>
    <w:rsid w:val="00074946"/>
    <w:rsid w:val="00076335"/>
    <w:rsid w:val="000775A2"/>
    <w:rsid w:val="00077F08"/>
    <w:rsid w:val="0008065F"/>
    <w:rsid w:val="00081096"/>
    <w:rsid w:val="0008256C"/>
    <w:rsid w:val="0008290B"/>
    <w:rsid w:val="00083888"/>
    <w:rsid w:val="00083AB0"/>
    <w:rsid w:val="00084A61"/>
    <w:rsid w:val="000859AF"/>
    <w:rsid w:val="00086278"/>
    <w:rsid w:val="00086C65"/>
    <w:rsid w:val="000872AF"/>
    <w:rsid w:val="00087720"/>
    <w:rsid w:val="0008776E"/>
    <w:rsid w:val="00087854"/>
    <w:rsid w:val="00087BF4"/>
    <w:rsid w:val="00090692"/>
    <w:rsid w:val="00092497"/>
    <w:rsid w:val="00093B52"/>
    <w:rsid w:val="0009420A"/>
    <w:rsid w:val="00095045"/>
    <w:rsid w:val="000961C8"/>
    <w:rsid w:val="000962F1"/>
    <w:rsid w:val="000968DC"/>
    <w:rsid w:val="00097169"/>
    <w:rsid w:val="00097CE9"/>
    <w:rsid w:val="00097F8D"/>
    <w:rsid w:val="000A04E0"/>
    <w:rsid w:val="000A09CF"/>
    <w:rsid w:val="000A0DA6"/>
    <w:rsid w:val="000A16C0"/>
    <w:rsid w:val="000A28BC"/>
    <w:rsid w:val="000A2DF6"/>
    <w:rsid w:val="000A356F"/>
    <w:rsid w:val="000A4135"/>
    <w:rsid w:val="000A717C"/>
    <w:rsid w:val="000A79A1"/>
    <w:rsid w:val="000B32BF"/>
    <w:rsid w:val="000B32D6"/>
    <w:rsid w:val="000B39CF"/>
    <w:rsid w:val="000B3CE8"/>
    <w:rsid w:val="000B4692"/>
    <w:rsid w:val="000B500D"/>
    <w:rsid w:val="000B5935"/>
    <w:rsid w:val="000B5B00"/>
    <w:rsid w:val="000C2355"/>
    <w:rsid w:val="000C45A6"/>
    <w:rsid w:val="000C4AE8"/>
    <w:rsid w:val="000C55C8"/>
    <w:rsid w:val="000C594F"/>
    <w:rsid w:val="000C607C"/>
    <w:rsid w:val="000C687E"/>
    <w:rsid w:val="000C697A"/>
    <w:rsid w:val="000D077A"/>
    <w:rsid w:val="000D09BC"/>
    <w:rsid w:val="000D14D9"/>
    <w:rsid w:val="000D2810"/>
    <w:rsid w:val="000D3641"/>
    <w:rsid w:val="000D3E20"/>
    <w:rsid w:val="000D40CA"/>
    <w:rsid w:val="000D4E26"/>
    <w:rsid w:val="000D5774"/>
    <w:rsid w:val="000D5B2E"/>
    <w:rsid w:val="000D5D7A"/>
    <w:rsid w:val="000D7B11"/>
    <w:rsid w:val="000E0387"/>
    <w:rsid w:val="000E0C43"/>
    <w:rsid w:val="000E0D2C"/>
    <w:rsid w:val="000E0DBE"/>
    <w:rsid w:val="000E14AE"/>
    <w:rsid w:val="000E2AFB"/>
    <w:rsid w:val="000E33AB"/>
    <w:rsid w:val="000E3658"/>
    <w:rsid w:val="000E3A22"/>
    <w:rsid w:val="000E3DFE"/>
    <w:rsid w:val="000E4502"/>
    <w:rsid w:val="000E5AF8"/>
    <w:rsid w:val="000E616F"/>
    <w:rsid w:val="000E689F"/>
    <w:rsid w:val="000E74D3"/>
    <w:rsid w:val="000E788A"/>
    <w:rsid w:val="000E7D66"/>
    <w:rsid w:val="000F00E7"/>
    <w:rsid w:val="000F0A6D"/>
    <w:rsid w:val="000F0E36"/>
    <w:rsid w:val="000F1E90"/>
    <w:rsid w:val="000F25D1"/>
    <w:rsid w:val="000F2784"/>
    <w:rsid w:val="000F5746"/>
    <w:rsid w:val="000F6582"/>
    <w:rsid w:val="0010013A"/>
    <w:rsid w:val="00100AA3"/>
    <w:rsid w:val="00100EE9"/>
    <w:rsid w:val="00101AE9"/>
    <w:rsid w:val="001027B0"/>
    <w:rsid w:val="00102FA5"/>
    <w:rsid w:val="00103045"/>
    <w:rsid w:val="0010380F"/>
    <w:rsid w:val="00103BA8"/>
    <w:rsid w:val="001045D7"/>
    <w:rsid w:val="00106964"/>
    <w:rsid w:val="00106A93"/>
    <w:rsid w:val="00106CB6"/>
    <w:rsid w:val="00107019"/>
    <w:rsid w:val="0010703E"/>
    <w:rsid w:val="00107539"/>
    <w:rsid w:val="00110163"/>
    <w:rsid w:val="00111ACF"/>
    <w:rsid w:val="00112D08"/>
    <w:rsid w:val="00113737"/>
    <w:rsid w:val="00113A4E"/>
    <w:rsid w:val="00115FF4"/>
    <w:rsid w:val="00116EC6"/>
    <w:rsid w:val="00120B3B"/>
    <w:rsid w:val="00122519"/>
    <w:rsid w:val="00122B9C"/>
    <w:rsid w:val="00122C01"/>
    <w:rsid w:val="00123572"/>
    <w:rsid w:val="00124469"/>
    <w:rsid w:val="00124C3A"/>
    <w:rsid w:val="00125187"/>
    <w:rsid w:val="00126CA7"/>
    <w:rsid w:val="001272F9"/>
    <w:rsid w:val="00127C10"/>
    <w:rsid w:val="00127DC9"/>
    <w:rsid w:val="00127E9B"/>
    <w:rsid w:val="0013118C"/>
    <w:rsid w:val="0013179F"/>
    <w:rsid w:val="00132049"/>
    <w:rsid w:val="0013262A"/>
    <w:rsid w:val="00133D69"/>
    <w:rsid w:val="0013450C"/>
    <w:rsid w:val="00134FB0"/>
    <w:rsid w:val="00135B37"/>
    <w:rsid w:val="00137693"/>
    <w:rsid w:val="001400F0"/>
    <w:rsid w:val="00140B06"/>
    <w:rsid w:val="00140BE3"/>
    <w:rsid w:val="00140ED3"/>
    <w:rsid w:val="00141455"/>
    <w:rsid w:val="00141580"/>
    <w:rsid w:val="00141C32"/>
    <w:rsid w:val="00142086"/>
    <w:rsid w:val="001441AB"/>
    <w:rsid w:val="00144F14"/>
    <w:rsid w:val="00146892"/>
    <w:rsid w:val="00147436"/>
    <w:rsid w:val="00147671"/>
    <w:rsid w:val="00150368"/>
    <w:rsid w:val="001514EF"/>
    <w:rsid w:val="001525E9"/>
    <w:rsid w:val="0015301F"/>
    <w:rsid w:val="00153C2C"/>
    <w:rsid w:val="00154EB9"/>
    <w:rsid w:val="00155A85"/>
    <w:rsid w:val="001563F4"/>
    <w:rsid w:val="00156A4B"/>
    <w:rsid w:val="0015783A"/>
    <w:rsid w:val="00157B41"/>
    <w:rsid w:val="0016185C"/>
    <w:rsid w:val="00161F0E"/>
    <w:rsid w:val="00163D32"/>
    <w:rsid w:val="0016564D"/>
    <w:rsid w:val="00170127"/>
    <w:rsid w:val="00170CCF"/>
    <w:rsid w:val="0017156B"/>
    <w:rsid w:val="00171A5D"/>
    <w:rsid w:val="00172C3C"/>
    <w:rsid w:val="00173FE6"/>
    <w:rsid w:val="00174269"/>
    <w:rsid w:val="00174836"/>
    <w:rsid w:val="0017584A"/>
    <w:rsid w:val="00176FDA"/>
    <w:rsid w:val="001771FE"/>
    <w:rsid w:val="001800DE"/>
    <w:rsid w:val="001809DF"/>
    <w:rsid w:val="00181FEA"/>
    <w:rsid w:val="00184153"/>
    <w:rsid w:val="00184209"/>
    <w:rsid w:val="001867BD"/>
    <w:rsid w:val="001876D4"/>
    <w:rsid w:val="001877CF"/>
    <w:rsid w:val="00191A72"/>
    <w:rsid w:val="00191AFA"/>
    <w:rsid w:val="00194D1D"/>
    <w:rsid w:val="00196C42"/>
    <w:rsid w:val="00196D29"/>
    <w:rsid w:val="00197517"/>
    <w:rsid w:val="0019788F"/>
    <w:rsid w:val="00197AF6"/>
    <w:rsid w:val="00197C10"/>
    <w:rsid w:val="001A026B"/>
    <w:rsid w:val="001A028D"/>
    <w:rsid w:val="001A0652"/>
    <w:rsid w:val="001A1228"/>
    <w:rsid w:val="001A332C"/>
    <w:rsid w:val="001A3676"/>
    <w:rsid w:val="001A517C"/>
    <w:rsid w:val="001A5774"/>
    <w:rsid w:val="001A5C10"/>
    <w:rsid w:val="001A797A"/>
    <w:rsid w:val="001B096F"/>
    <w:rsid w:val="001B0F5A"/>
    <w:rsid w:val="001B241E"/>
    <w:rsid w:val="001B3C53"/>
    <w:rsid w:val="001B49C0"/>
    <w:rsid w:val="001B545E"/>
    <w:rsid w:val="001C00EA"/>
    <w:rsid w:val="001C046A"/>
    <w:rsid w:val="001C25AB"/>
    <w:rsid w:val="001C26D5"/>
    <w:rsid w:val="001C2947"/>
    <w:rsid w:val="001C3F0F"/>
    <w:rsid w:val="001C4709"/>
    <w:rsid w:val="001C47D6"/>
    <w:rsid w:val="001C55A7"/>
    <w:rsid w:val="001C6CF0"/>
    <w:rsid w:val="001C78C0"/>
    <w:rsid w:val="001D1B30"/>
    <w:rsid w:val="001D21ED"/>
    <w:rsid w:val="001D2AB6"/>
    <w:rsid w:val="001D4639"/>
    <w:rsid w:val="001D4C17"/>
    <w:rsid w:val="001D6591"/>
    <w:rsid w:val="001D76AC"/>
    <w:rsid w:val="001E2C7B"/>
    <w:rsid w:val="001E3F5A"/>
    <w:rsid w:val="001E3F90"/>
    <w:rsid w:val="001E51B5"/>
    <w:rsid w:val="001E57B0"/>
    <w:rsid w:val="001E63E1"/>
    <w:rsid w:val="001F03BE"/>
    <w:rsid w:val="001F053B"/>
    <w:rsid w:val="001F0ACD"/>
    <w:rsid w:val="001F126F"/>
    <w:rsid w:val="001F15E0"/>
    <w:rsid w:val="001F242B"/>
    <w:rsid w:val="001F4530"/>
    <w:rsid w:val="001F513F"/>
    <w:rsid w:val="001F54DE"/>
    <w:rsid w:val="001F5E66"/>
    <w:rsid w:val="001F6630"/>
    <w:rsid w:val="001F694D"/>
    <w:rsid w:val="001F7068"/>
    <w:rsid w:val="001F770F"/>
    <w:rsid w:val="001F7BD9"/>
    <w:rsid w:val="00200E7E"/>
    <w:rsid w:val="0020217B"/>
    <w:rsid w:val="0020327D"/>
    <w:rsid w:val="00203B93"/>
    <w:rsid w:val="00205049"/>
    <w:rsid w:val="00206E27"/>
    <w:rsid w:val="00207628"/>
    <w:rsid w:val="0021151F"/>
    <w:rsid w:val="0021170E"/>
    <w:rsid w:val="00213442"/>
    <w:rsid w:val="002175B4"/>
    <w:rsid w:val="002177DE"/>
    <w:rsid w:val="0022108A"/>
    <w:rsid w:val="002217B7"/>
    <w:rsid w:val="00222DFB"/>
    <w:rsid w:val="002235D1"/>
    <w:rsid w:val="00223ECF"/>
    <w:rsid w:val="00224EAE"/>
    <w:rsid w:val="00230B7A"/>
    <w:rsid w:val="002325F0"/>
    <w:rsid w:val="00232EE3"/>
    <w:rsid w:val="002330A8"/>
    <w:rsid w:val="00234038"/>
    <w:rsid w:val="00234985"/>
    <w:rsid w:val="00234FC5"/>
    <w:rsid w:val="00237524"/>
    <w:rsid w:val="00237638"/>
    <w:rsid w:val="00241253"/>
    <w:rsid w:val="0024130D"/>
    <w:rsid w:val="002415FD"/>
    <w:rsid w:val="00242508"/>
    <w:rsid w:val="00242910"/>
    <w:rsid w:val="00242920"/>
    <w:rsid w:val="00243DD6"/>
    <w:rsid w:val="002449F5"/>
    <w:rsid w:val="00244A84"/>
    <w:rsid w:val="00245F3E"/>
    <w:rsid w:val="00246AC3"/>
    <w:rsid w:val="0024783F"/>
    <w:rsid w:val="00247E0F"/>
    <w:rsid w:val="0025197C"/>
    <w:rsid w:val="00251B45"/>
    <w:rsid w:val="00252AB7"/>
    <w:rsid w:val="00253661"/>
    <w:rsid w:val="00254B65"/>
    <w:rsid w:val="00257B2D"/>
    <w:rsid w:val="002602E6"/>
    <w:rsid w:val="0026086D"/>
    <w:rsid w:val="00261150"/>
    <w:rsid w:val="00261534"/>
    <w:rsid w:val="00261734"/>
    <w:rsid w:val="00261C8C"/>
    <w:rsid w:val="002628E7"/>
    <w:rsid w:val="00263C52"/>
    <w:rsid w:val="00263F77"/>
    <w:rsid w:val="002659C3"/>
    <w:rsid w:val="00266035"/>
    <w:rsid w:val="00267641"/>
    <w:rsid w:val="0026772D"/>
    <w:rsid w:val="00267D80"/>
    <w:rsid w:val="0027145F"/>
    <w:rsid w:val="002715AA"/>
    <w:rsid w:val="00271BDC"/>
    <w:rsid w:val="00273C80"/>
    <w:rsid w:val="00275464"/>
    <w:rsid w:val="0027585A"/>
    <w:rsid w:val="00276753"/>
    <w:rsid w:val="00276984"/>
    <w:rsid w:val="00276B05"/>
    <w:rsid w:val="00277038"/>
    <w:rsid w:val="00281015"/>
    <w:rsid w:val="0028374E"/>
    <w:rsid w:val="00283E24"/>
    <w:rsid w:val="002840BF"/>
    <w:rsid w:val="002842F2"/>
    <w:rsid w:val="00284EEE"/>
    <w:rsid w:val="00285337"/>
    <w:rsid w:val="00286CD5"/>
    <w:rsid w:val="00287536"/>
    <w:rsid w:val="00287664"/>
    <w:rsid w:val="00287B11"/>
    <w:rsid w:val="002902FE"/>
    <w:rsid w:val="00290605"/>
    <w:rsid w:val="00292153"/>
    <w:rsid w:val="00292281"/>
    <w:rsid w:val="00292B69"/>
    <w:rsid w:val="00292D8B"/>
    <w:rsid w:val="00293705"/>
    <w:rsid w:val="002941F5"/>
    <w:rsid w:val="00294330"/>
    <w:rsid w:val="00294993"/>
    <w:rsid w:val="00297212"/>
    <w:rsid w:val="002A042A"/>
    <w:rsid w:val="002A1838"/>
    <w:rsid w:val="002A1885"/>
    <w:rsid w:val="002A1CFA"/>
    <w:rsid w:val="002A4249"/>
    <w:rsid w:val="002A42A3"/>
    <w:rsid w:val="002A52C3"/>
    <w:rsid w:val="002A5A64"/>
    <w:rsid w:val="002A5B5F"/>
    <w:rsid w:val="002A758B"/>
    <w:rsid w:val="002A7BAE"/>
    <w:rsid w:val="002B0225"/>
    <w:rsid w:val="002B041C"/>
    <w:rsid w:val="002B0F2F"/>
    <w:rsid w:val="002B1AE5"/>
    <w:rsid w:val="002B1E75"/>
    <w:rsid w:val="002B2757"/>
    <w:rsid w:val="002B31DA"/>
    <w:rsid w:val="002B41A3"/>
    <w:rsid w:val="002B5377"/>
    <w:rsid w:val="002B6DDD"/>
    <w:rsid w:val="002B6E2E"/>
    <w:rsid w:val="002B7823"/>
    <w:rsid w:val="002C0A60"/>
    <w:rsid w:val="002C1890"/>
    <w:rsid w:val="002C2E9B"/>
    <w:rsid w:val="002C30C8"/>
    <w:rsid w:val="002C32F0"/>
    <w:rsid w:val="002C3436"/>
    <w:rsid w:val="002C35D5"/>
    <w:rsid w:val="002C3B5A"/>
    <w:rsid w:val="002C3C58"/>
    <w:rsid w:val="002C548A"/>
    <w:rsid w:val="002C7D80"/>
    <w:rsid w:val="002C7F53"/>
    <w:rsid w:val="002D05FE"/>
    <w:rsid w:val="002D09FB"/>
    <w:rsid w:val="002D1235"/>
    <w:rsid w:val="002D1557"/>
    <w:rsid w:val="002D2597"/>
    <w:rsid w:val="002D3227"/>
    <w:rsid w:val="002D38B5"/>
    <w:rsid w:val="002D62B1"/>
    <w:rsid w:val="002E0507"/>
    <w:rsid w:val="002E1991"/>
    <w:rsid w:val="002E2739"/>
    <w:rsid w:val="002E3523"/>
    <w:rsid w:val="002E3D43"/>
    <w:rsid w:val="002E409F"/>
    <w:rsid w:val="002E51B8"/>
    <w:rsid w:val="002E6022"/>
    <w:rsid w:val="002E669B"/>
    <w:rsid w:val="002E7B00"/>
    <w:rsid w:val="002E7F57"/>
    <w:rsid w:val="002F0424"/>
    <w:rsid w:val="002F0546"/>
    <w:rsid w:val="002F10B3"/>
    <w:rsid w:val="002F1114"/>
    <w:rsid w:val="002F14A8"/>
    <w:rsid w:val="002F1E02"/>
    <w:rsid w:val="002F31A2"/>
    <w:rsid w:val="002F32CD"/>
    <w:rsid w:val="002F4570"/>
    <w:rsid w:val="002F49AA"/>
    <w:rsid w:val="002F6A79"/>
    <w:rsid w:val="002F72C6"/>
    <w:rsid w:val="00300168"/>
    <w:rsid w:val="00301427"/>
    <w:rsid w:val="003019BD"/>
    <w:rsid w:val="00301FC9"/>
    <w:rsid w:val="00302915"/>
    <w:rsid w:val="00302931"/>
    <w:rsid w:val="00303DCB"/>
    <w:rsid w:val="0030482F"/>
    <w:rsid w:val="00304DB3"/>
    <w:rsid w:val="00304F9B"/>
    <w:rsid w:val="00306014"/>
    <w:rsid w:val="00306140"/>
    <w:rsid w:val="003067C7"/>
    <w:rsid w:val="00306824"/>
    <w:rsid w:val="00306A16"/>
    <w:rsid w:val="00306C59"/>
    <w:rsid w:val="0030792D"/>
    <w:rsid w:val="00307BF9"/>
    <w:rsid w:val="0031039E"/>
    <w:rsid w:val="003124FA"/>
    <w:rsid w:val="00312A18"/>
    <w:rsid w:val="003159D1"/>
    <w:rsid w:val="00316575"/>
    <w:rsid w:val="0031727D"/>
    <w:rsid w:val="003177AA"/>
    <w:rsid w:val="00326989"/>
    <w:rsid w:val="0033018D"/>
    <w:rsid w:val="0033153A"/>
    <w:rsid w:val="00332FCE"/>
    <w:rsid w:val="00333C11"/>
    <w:rsid w:val="00334500"/>
    <w:rsid w:val="00340105"/>
    <w:rsid w:val="0034137C"/>
    <w:rsid w:val="00342850"/>
    <w:rsid w:val="00342D2F"/>
    <w:rsid w:val="003446CC"/>
    <w:rsid w:val="00345831"/>
    <w:rsid w:val="00345A60"/>
    <w:rsid w:val="00346C47"/>
    <w:rsid w:val="00346F2B"/>
    <w:rsid w:val="0034758F"/>
    <w:rsid w:val="00347B82"/>
    <w:rsid w:val="00350983"/>
    <w:rsid w:val="00350B49"/>
    <w:rsid w:val="00351453"/>
    <w:rsid w:val="00351BF2"/>
    <w:rsid w:val="003521CE"/>
    <w:rsid w:val="0035236E"/>
    <w:rsid w:val="00352B51"/>
    <w:rsid w:val="0035300F"/>
    <w:rsid w:val="003534CC"/>
    <w:rsid w:val="003539B6"/>
    <w:rsid w:val="00354043"/>
    <w:rsid w:val="00354E73"/>
    <w:rsid w:val="00355E2F"/>
    <w:rsid w:val="00357764"/>
    <w:rsid w:val="00360185"/>
    <w:rsid w:val="003607D7"/>
    <w:rsid w:val="003612CC"/>
    <w:rsid w:val="0036141E"/>
    <w:rsid w:val="0036312C"/>
    <w:rsid w:val="0036646B"/>
    <w:rsid w:val="0037030F"/>
    <w:rsid w:val="00370547"/>
    <w:rsid w:val="00371C60"/>
    <w:rsid w:val="00371DA7"/>
    <w:rsid w:val="00371DC8"/>
    <w:rsid w:val="003722E7"/>
    <w:rsid w:val="00373473"/>
    <w:rsid w:val="00373857"/>
    <w:rsid w:val="00374131"/>
    <w:rsid w:val="0037455C"/>
    <w:rsid w:val="00374A3D"/>
    <w:rsid w:val="00375FED"/>
    <w:rsid w:val="0037631C"/>
    <w:rsid w:val="003766A2"/>
    <w:rsid w:val="0037695B"/>
    <w:rsid w:val="00376EF7"/>
    <w:rsid w:val="0038069E"/>
    <w:rsid w:val="00380E88"/>
    <w:rsid w:val="00380F3C"/>
    <w:rsid w:val="00381127"/>
    <w:rsid w:val="003832E5"/>
    <w:rsid w:val="00383BAD"/>
    <w:rsid w:val="003852FF"/>
    <w:rsid w:val="00385E88"/>
    <w:rsid w:val="00386255"/>
    <w:rsid w:val="00386DBD"/>
    <w:rsid w:val="00387B52"/>
    <w:rsid w:val="00387F4D"/>
    <w:rsid w:val="003923AB"/>
    <w:rsid w:val="003930D9"/>
    <w:rsid w:val="00393645"/>
    <w:rsid w:val="0039373C"/>
    <w:rsid w:val="00396647"/>
    <w:rsid w:val="00397094"/>
    <w:rsid w:val="00397572"/>
    <w:rsid w:val="003A0F81"/>
    <w:rsid w:val="003A1468"/>
    <w:rsid w:val="003A3499"/>
    <w:rsid w:val="003A41F8"/>
    <w:rsid w:val="003A46AA"/>
    <w:rsid w:val="003A4D1F"/>
    <w:rsid w:val="003A4E7D"/>
    <w:rsid w:val="003A6206"/>
    <w:rsid w:val="003A66A7"/>
    <w:rsid w:val="003A6B81"/>
    <w:rsid w:val="003A7B58"/>
    <w:rsid w:val="003B0000"/>
    <w:rsid w:val="003B24C0"/>
    <w:rsid w:val="003B2583"/>
    <w:rsid w:val="003B271F"/>
    <w:rsid w:val="003B27D1"/>
    <w:rsid w:val="003B3EC3"/>
    <w:rsid w:val="003B3F0B"/>
    <w:rsid w:val="003B4A96"/>
    <w:rsid w:val="003B6C75"/>
    <w:rsid w:val="003C1ACF"/>
    <w:rsid w:val="003C27FE"/>
    <w:rsid w:val="003C3143"/>
    <w:rsid w:val="003C50D3"/>
    <w:rsid w:val="003C6629"/>
    <w:rsid w:val="003D04AB"/>
    <w:rsid w:val="003D0797"/>
    <w:rsid w:val="003D0E71"/>
    <w:rsid w:val="003D1F12"/>
    <w:rsid w:val="003D3881"/>
    <w:rsid w:val="003D3D7E"/>
    <w:rsid w:val="003D586B"/>
    <w:rsid w:val="003D5A40"/>
    <w:rsid w:val="003D622A"/>
    <w:rsid w:val="003D62D8"/>
    <w:rsid w:val="003D6437"/>
    <w:rsid w:val="003D69B7"/>
    <w:rsid w:val="003D6AB1"/>
    <w:rsid w:val="003D76C4"/>
    <w:rsid w:val="003E0882"/>
    <w:rsid w:val="003E0EF6"/>
    <w:rsid w:val="003E14F4"/>
    <w:rsid w:val="003E166C"/>
    <w:rsid w:val="003E1903"/>
    <w:rsid w:val="003E22EA"/>
    <w:rsid w:val="003E37E1"/>
    <w:rsid w:val="003E401B"/>
    <w:rsid w:val="003E6B37"/>
    <w:rsid w:val="003F009C"/>
    <w:rsid w:val="003F07CE"/>
    <w:rsid w:val="003F13C8"/>
    <w:rsid w:val="003F2EB8"/>
    <w:rsid w:val="003F517C"/>
    <w:rsid w:val="003F5D06"/>
    <w:rsid w:val="003F5D89"/>
    <w:rsid w:val="003F6C63"/>
    <w:rsid w:val="003F7AAA"/>
    <w:rsid w:val="003F7CB4"/>
    <w:rsid w:val="00400F25"/>
    <w:rsid w:val="00402C40"/>
    <w:rsid w:val="00405893"/>
    <w:rsid w:val="004058C1"/>
    <w:rsid w:val="004058F1"/>
    <w:rsid w:val="00406D7C"/>
    <w:rsid w:val="004070D6"/>
    <w:rsid w:val="00410700"/>
    <w:rsid w:val="00411712"/>
    <w:rsid w:val="004118E7"/>
    <w:rsid w:val="0041204D"/>
    <w:rsid w:val="00412928"/>
    <w:rsid w:val="0041320B"/>
    <w:rsid w:val="00414274"/>
    <w:rsid w:val="00414F27"/>
    <w:rsid w:val="0041522F"/>
    <w:rsid w:val="00416768"/>
    <w:rsid w:val="00416C98"/>
    <w:rsid w:val="0042083B"/>
    <w:rsid w:val="00422BA5"/>
    <w:rsid w:val="0042524D"/>
    <w:rsid w:val="00426CAC"/>
    <w:rsid w:val="00427AE3"/>
    <w:rsid w:val="00430907"/>
    <w:rsid w:val="004312A4"/>
    <w:rsid w:val="00432031"/>
    <w:rsid w:val="004331BA"/>
    <w:rsid w:val="00433E8E"/>
    <w:rsid w:val="0043495C"/>
    <w:rsid w:val="004376DC"/>
    <w:rsid w:val="0043789B"/>
    <w:rsid w:val="004401C9"/>
    <w:rsid w:val="004405B2"/>
    <w:rsid w:val="00440BCD"/>
    <w:rsid w:val="00440C67"/>
    <w:rsid w:val="00441CEC"/>
    <w:rsid w:val="00441D59"/>
    <w:rsid w:val="00441DA4"/>
    <w:rsid w:val="00442351"/>
    <w:rsid w:val="00445225"/>
    <w:rsid w:val="004453B8"/>
    <w:rsid w:val="00446F06"/>
    <w:rsid w:val="0044715A"/>
    <w:rsid w:val="004479AA"/>
    <w:rsid w:val="004502C0"/>
    <w:rsid w:val="00451CA4"/>
    <w:rsid w:val="00451E96"/>
    <w:rsid w:val="00452228"/>
    <w:rsid w:val="00453427"/>
    <w:rsid w:val="0045351B"/>
    <w:rsid w:val="00454D13"/>
    <w:rsid w:val="00456438"/>
    <w:rsid w:val="00457158"/>
    <w:rsid w:val="00462FF4"/>
    <w:rsid w:val="004636BC"/>
    <w:rsid w:val="00464F5E"/>
    <w:rsid w:val="00465EC6"/>
    <w:rsid w:val="00466B68"/>
    <w:rsid w:val="004676A2"/>
    <w:rsid w:val="00467E5C"/>
    <w:rsid w:val="00470D18"/>
    <w:rsid w:val="00470FB2"/>
    <w:rsid w:val="00471443"/>
    <w:rsid w:val="00471DFD"/>
    <w:rsid w:val="00471E42"/>
    <w:rsid w:val="0047231C"/>
    <w:rsid w:val="00473BF6"/>
    <w:rsid w:val="0047455E"/>
    <w:rsid w:val="00474B98"/>
    <w:rsid w:val="00475086"/>
    <w:rsid w:val="00475945"/>
    <w:rsid w:val="0047617D"/>
    <w:rsid w:val="004767D7"/>
    <w:rsid w:val="00476D6E"/>
    <w:rsid w:val="00477FFB"/>
    <w:rsid w:val="004816DF"/>
    <w:rsid w:val="0048229B"/>
    <w:rsid w:val="004823AE"/>
    <w:rsid w:val="00483169"/>
    <w:rsid w:val="004840F0"/>
    <w:rsid w:val="0048461C"/>
    <w:rsid w:val="00485F15"/>
    <w:rsid w:val="0048668A"/>
    <w:rsid w:val="00486C05"/>
    <w:rsid w:val="004871D4"/>
    <w:rsid w:val="0048767B"/>
    <w:rsid w:val="00490127"/>
    <w:rsid w:val="0049021A"/>
    <w:rsid w:val="00490BC9"/>
    <w:rsid w:val="004910A5"/>
    <w:rsid w:val="0049159B"/>
    <w:rsid w:val="0049199F"/>
    <w:rsid w:val="004924EB"/>
    <w:rsid w:val="004935E3"/>
    <w:rsid w:val="00493A59"/>
    <w:rsid w:val="00494019"/>
    <w:rsid w:val="0049417A"/>
    <w:rsid w:val="00495766"/>
    <w:rsid w:val="00495BAE"/>
    <w:rsid w:val="00496636"/>
    <w:rsid w:val="00496E25"/>
    <w:rsid w:val="004A02EA"/>
    <w:rsid w:val="004A09A3"/>
    <w:rsid w:val="004A1554"/>
    <w:rsid w:val="004A1713"/>
    <w:rsid w:val="004A18B7"/>
    <w:rsid w:val="004A2251"/>
    <w:rsid w:val="004A22D3"/>
    <w:rsid w:val="004A2635"/>
    <w:rsid w:val="004A2A5B"/>
    <w:rsid w:val="004A3E41"/>
    <w:rsid w:val="004A55C6"/>
    <w:rsid w:val="004A5AB3"/>
    <w:rsid w:val="004A603C"/>
    <w:rsid w:val="004A7FA0"/>
    <w:rsid w:val="004B1422"/>
    <w:rsid w:val="004B1FAB"/>
    <w:rsid w:val="004B268A"/>
    <w:rsid w:val="004B46C2"/>
    <w:rsid w:val="004B4869"/>
    <w:rsid w:val="004B5290"/>
    <w:rsid w:val="004B5DD7"/>
    <w:rsid w:val="004B600A"/>
    <w:rsid w:val="004B71E0"/>
    <w:rsid w:val="004B750A"/>
    <w:rsid w:val="004C15F7"/>
    <w:rsid w:val="004C2F72"/>
    <w:rsid w:val="004C3CAA"/>
    <w:rsid w:val="004C54C7"/>
    <w:rsid w:val="004D32B9"/>
    <w:rsid w:val="004D37E1"/>
    <w:rsid w:val="004D4A63"/>
    <w:rsid w:val="004D77AC"/>
    <w:rsid w:val="004D7AAB"/>
    <w:rsid w:val="004D7CD6"/>
    <w:rsid w:val="004D7D95"/>
    <w:rsid w:val="004E0168"/>
    <w:rsid w:val="004E03A2"/>
    <w:rsid w:val="004E0BAC"/>
    <w:rsid w:val="004E0E80"/>
    <w:rsid w:val="004E2E79"/>
    <w:rsid w:val="004E3CA4"/>
    <w:rsid w:val="004E48DF"/>
    <w:rsid w:val="004E5951"/>
    <w:rsid w:val="004E5A3E"/>
    <w:rsid w:val="004E5EF6"/>
    <w:rsid w:val="004F05F6"/>
    <w:rsid w:val="004F096C"/>
    <w:rsid w:val="004F144C"/>
    <w:rsid w:val="004F1625"/>
    <w:rsid w:val="004F19A4"/>
    <w:rsid w:val="004F2564"/>
    <w:rsid w:val="004F2FB8"/>
    <w:rsid w:val="004F38A7"/>
    <w:rsid w:val="004F4664"/>
    <w:rsid w:val="004F5B98"/>
    <w:rsid w:val="004F67C6"/>
    <w:rsid w:val="004F6F98"/>
    <w:rsid w:val="004F7358"/>
    <w:rsid w:val="005024DE"/>
    <w:rsid w:val="00503156"/>
    <w:rsid w:val="005031B1"/>
    <w:rsid w:val="0050444C"/>
    <w:rsid w:val="00504516"/>
    <w:rsid w:val="00504648"/>
    <w:rsid w:val="00505A34"/>
    <w:rsid w:val="0050730B"/>
    <w:rsid w:val="00510C80"/>
    <w:rsid w:val="005113B6"/>
    <w:rsid w:val="00511726"/>
    <w:rsid w:val="00511977"/>
    <w:rsid w:val="0051224A"/>
    <w:rsid w:val="00512696"/>
    <w:rsid w:val="005131CA"/>
    <w:rsid w:val="00513D0D"/>
    <w:rsid w:val="005147D1"/>
    <w:rsid w:val="00515082"/>
    <w:rsid w:val="00516F90"/>
    <w:rsid w:val="00517564"/>
    <w:rsid w:val="00517CD4"/>
    <w:rsid w:val="00517FAF"/>
    <w:rsid w:val="0052046B"/>
    <w:rsid w:val="00520884"/>
    <w:rsid w:val="005222D4"/>
    <w:rsid w:val="005233D9"/>
    <w:rsid w:val="00523A0F"/>
    <w:rsid w:val="00523DBD"/>
    <w:rsid w:val="00524009"/>
    <w:rsid w:val="00525A07"/>
    <w:rsid w:val="00525C90"/>
    <w:rsid w:val="00530065"/>
    <w:rsid w:val="00530983"/>
    <w:rsid w:val="00530D48"/>
    <w:rsid w:val="00531B3F"/>
    <w:rsid w:val="00532719"/>
    <w:rsid w:val="0053457C"/>
    <w:rsid w:val="00535E21"/>
    <w:rsid w:val="00535E64"/>
    <w:rsid w:val="00536C50"/>
    <w:rsid w:val="00536F56"/>
    <w:rsid w:val="00536FB9"/>
    <w:rsid w:val="0053778C"/>
    <w:rsid w:val="00541E52"/>
    <w:rsid w:val="00543D97"/>
    <w:rsid w:val="00544539"/>
    <w:rsid w:val="005457F1"/>
    <w:rsid w:val="0054723A"/>
    <w:rsid w:val="00547A5E"/>
    <w:rsid w:val="00547B64"/>
    <w:rsid w:val="0055066E"/>
    <w:rsid w:val="00550851"/>
    <w:rsid w:val="00550A05"/>
    <w:rsid w:val="00550C62"/>
    <w:rsid w:val="0055139D"/>
    <w:rsid w:val="005513EB"/>
    <w:rsid w:val="005526DB"/>
    <w:rsid w:val="00554AEC"/>
    <w:rsid w:val="0055534B"/>
    <w:rsid w:val="00556D9D"/>
    <w:rsid w:val="005603F4"/>
    <w:rsid w:val="00560543"/>
    <w:rsid w:val="00561D94"/>
    <w:rsid w:val="005622B6"/>
    <w:rsid w:val="005629A2"/>
    <w:rsid w:val="00564125"/>
    <w:rsid w:val="005653FB"/>
    <w:rsid w:val="00565EC7"/>
    <w:rsid w:val="00567568"/>
    <w:rsid w:val="0057035A"/>
    <w:rsid w:val="005705B7"/>
    <w:rsid w:val="00570A4F"/>
    <w:rsid w:val="00570B3F"/>
    <w:rsid w:val="00571068"/>
    <w:rsid w:val="00573212"/>
    <w:rsid w:val="00573333"/>
    <w:rsid w:val="00573866"/>
    <w:rsid w:val="005739BB"/>
    <w:rsid w:val="00580629"/>
    <w:rsid w:val="005815BE"/>
    <w:rsid w:val="0058257F"/>
    <w:rsid w:val="0058296B"/>
    <w:rsid w:val="0058361A"/>
    <w:rsid w:val="005866C1"/>
    <w:rsid w:val="00586ABD"/>
    <w:rsid w:val="005870DC"/>
    <w:rsid w:val="005871CE"/>
    <w:rsid w:val="00590233"/>
    <w:rsid w:val="0059077C"/>
    <w:rsid w:val="005911F2"/>
    <w:rsid w:val="00594932"/>
    <w:rsid w:val="00594B37"/>
    <w:rsid w:val="00595F95"/>
    <w:rsid w:val="00597984"/>
    <w:rsid w:val="005A029F"/>
    <w:rsid w:val="005A0920"/>
    <w:rsid w:val="005A0AE4"/>
    <w:rsid w:val="005A1029"/>
    <w:rsid w:val="005A11D9"/>
    <w:rsid w:val="005A1A27"/>
    <w:rsid w:val="005A2E86"/>
    <w:rsid w:val="005A4798"/>
    <w:rsid w:val="005A4AB8"/>
    <w:rsid w:val="005A584A"/>
    <w:rsid w:val="005A588D"/>
    <w:rsid w:val="005A5B31"/>
    <w:rsid w:val="005A6AFD"/>
    <w:rsid w:val="005A6E84"/>
    <w:rsid w:val="005A78C7"/>
    <w:rsid w:val="005B0A0E"/>
    <w:rsid w:val="005B0A36"/>
    <w:rsid w:val="005B1123"/>
    <w:rsid w:val="005B1625"/>
    <w:rsid w:val="005B1658"/>
    <w:rsid w:val="005B2EFB"/>
    <w:rsid w:val="005B3063"/>
    <w:rsid w:val="005B3818"/>
    <w:rsid w:val="005B3CA1"/>
    <w:rsid w:val="005B4AAF"/>
    <w:rsid w:val="005B4F15"/>
    <w:rsid w:val="005B5EC9"/>
    <w:rsid w:val="005B62E1"/>
    <w:rsid w:val="005B6B40"/>
    <w:rsid w:val="005B7140"/>
    <w:rsid w:val="005B7F7D"/>
    <w:rsid w:val="005C0884"/>
    <w:rsid w:val="005C11E8"/>
    <w:rsid w:val="005C1CAE"/>
    <w:rsid w:val="005C3DC1"/>
    <w:rsid w:val="005C4622"/>
    <w:rsid w:val="005C5033"/>
    <w:rsid w:val="005C560B"/>
    <w:rsid w:val="005C6018"/>
    <w:rsid w:val="005C6564"/>
    <w:rsid w:val="005C6AC4"/>
    <w:rsid w:val="005D264D"/>
    <w:rsid w:val="005D4B52"/>
    <w:rsid w:val="005D6E9F"/>
    <w:rsid w:val="005D6EB3"/>
    <w:rsid w:val="005E0500"/>
    <w:rsid w:val="005E1BB2"/>
    <w:rsid w:val="005E2335"/>
    <w:rsid w:val="005E23B1"/>
    <w:rsid w:val="005E270C"/>
    <w:rsid w:val="005E3115"/>
    <w:rsid w:val="005E38FF"/>
    <w:rsid w:val="005E3AAC"/>
    <w:rsid w:val="005E41AD"/>
    <w:rsid w:val="005E4E49"/>
    <w:rsid w:val="005E4FB2"/>
    <w:rsid w:val="005E51B2"/>
    <w:rsid w:val="005E5B92"/>
    <w:rsid w:val="005E68D4"/>
    <w:rsid w:val="005E7439"/>
    <w:rsid w:val="005F0EB7"/>
    <w:rsid w:val="005F3B62"/>
    <w:rsid w:val="005F5AC1"/>
    <w:rsid w:val="005F6AAC"/>
    <w:rsid w:val="005F7203"/>
    <w:rsid w:val="005F748D"/>
    <w:rsid w:val="00600893"/>
    <w:rsid w:val="00600D09"/>
    <w:rsid w:val="00601DD1"/>
    <w:rsid w:val="00602632"/>
    <w:rsid w:val="006038BD"/>
    <w:rsid w:val="006047A3"/>
    <w:rsid w:val="00604FB6"/>
    <w:rsid w:val="00606443"/>
    <w:rsid w:val="0060686E"/>
    <w:rsid w:val="006074B2"/>
    <w:rsid w:val="00611D7F"/>
    <w:rsid w:val="00612A86"/>
    <w:rsid w:val="00613B39"/>
    <w:rsid w:val="00614E25"/>
    <w:rsid w:val="0061766A"/>
    <w:rsid w:val="00617885"/>
    <w:rsid w:val="0062140E"/>
    <w:rsid w:val="00622CAA"/>
    <w:rsid w:val="006231CB"/>
    <w:rsid w:val="0062383B"/>
    <w:rsid w:val="00623F38"/>
    <w:rsid w:val="006240CC"/>
    <w:rsid w:val="00625D65"/>
    <w:rsid w:val="006274B2"/>
    <w:rsid w:val="00631FD5"/>
    <w:rsid w:val="00632266"/>
    <w:rsid w:val="00634765"/>
    <w:rsid w:val="00635CCB"/>
    <w:rsid w:val="006361C9"/>
    <w:rsid w:val="00637076"/>
    <w:rsid w:val="006378D9"/>
    <w:rsid w:val="00637F7C"/>
    <w:rsid w:val="00640025"/>
    <w:rsid w:val="00640350"/>
    <w:rsid w:val="006411CD"/>
    <w:rsid w:val="00641599"/>
    <w:rsid w:val="00641954"/>
    <w:rsid w:val="00641DA4"/>
    <w:rsid w:val="00642E19"/>
    <w:rsid w:val="00643238"/>
    <w:rsid w:val="006436E6"/>
    <w:rsid w:val="00643805"/>
    <w:rsid w:val="0064423E"/>
    <w:rsid w:val="00645126"/>
    <w:rsid w:val="0064532C"/>
    <w:rsid w:val="006457D2"/>
    <w:rsid w:val="006458ED"/>
    <w:rsid w:val="0064638F"/>
    <w:rsid w:val="006464A4"/>
    <w:rsid w:val="00647DBF"/>
    <w:rsid w:val="00647F0F"/>
    <w:rsid w:val="00652F16"/>
    <w:rsid w:val="0065502C"/>
    <w:rsid w:val="0065521B"/>
    <w:rsid w:val="00655841"/>
    <w:rsid w:val="00656195"/>
    <w:rsid w:val="00656196"/>
    <w:rsid w:val="00656A6B"/>
    <w:rsid w:val="006571AD"/>
    <w:rsid w:val="0065761B"/>
    <w:rsid w:val="0065783B"/>
    <w:rsid w:val="00661598"/>
    <w:rsid w:val="00662618"/>
    <w:rsid w:val="00663B4B"/>
    <w:rsid w:val="00663DF6"/>
    <w:rsid w:val="0066575E"/>
    <w:rsid w:val="006665FD"/>
    <w:rsid w:val="00666907"/>
    <w:rsid w:val="00670021"/>
    <w:rsid w:val="006722BC"/>
    <w:rsid w:val="00672541"/>
    <w:rsid w:val="0067311C"/>
    <w:rsid w:val="00674102"/>
    <w:rsid w:val="006741B6"/>
    <w:rsid w:val="006743E3"/>
    <w:rsid w:val="00674D05"/>
    <w:rsid w:val="00676828"/>
    <w:rsid w:val="006768A9"/>
    <w:rsid w:val="00676BF1"/>
    <w:rsid w:val="006772BD"/>
    <w:rsid w:val="00677932"/>
    <w:rsid w:val="00680023"/>
    <w:rsid w:val="00680B8B"/>
    <w:rsid w:val="00681A78"/>
    <w:rsid w:val="00682226"/>
    <w:rsid w:val="006825B7"/>
    <w:rsid w:val="00684BE9"/>
    <w:rsid w:val="00685551"/>
    <w:rsid w:val="00686472"/>
    <w:rsid w:val="00686A25"/>
    <w:rsid w:val="006909A2"/>
    <w:rsid w:val="00690A72"/>
    <w:rsid w:val="0069161E"/>
    <w:rsid w:val="00694B48"/>
    <w:rsid w:val="00695397"/>
    <w:rsid w:val="006A011B"/>
    <w:rsid w:val="006A1660"/>
    <w:rsid w:val="006A1CA2"/>
    <w:rsid w:val="006A2351"/>
    <w:rsid w:val="006A246E"/>
    <w:rsid w:val="006A2606"/>
    <w:rsid w:val="006A3923"/>
    <w:rsid w:val="006A7329"/>
    <w:rsid w:val="006B08A5"/>
    <w:rsid w:val="006B268A"/>
    <w:rsid w:val="006B3590"/>
    <w:rsid w:val="006B4B11"/>
    <w:rsid w:val="006B4F4D"/>
    <w:rsid w:val="006B4F7C"/>
    <w:rsid w:val="006B5AA6"/>
    <w:rsid w:val="006B642C"/>
    <w:rsid w:val="006B75D9"/>
    <w:rsid w:val="006C0009"/>
    <w:rsid w:val="006C1E58"/>
    <w:rsid w:val="006C33F7"/>
    <w:rsid w:val="006C4F1B"/>
    <w:rsid w:val="006C4F77"/>
    <w:rsid w:val="006C5989"/>
    <w:rsid w:val="006C6BB8"/>
    <w:rsid w:val="006C72E3"/>
    <w:rsid w:val="006C75A6"/>
    <w:rsid w:val="006C7C2E"/>
    <w:rsid w:val="006D037D"/>
    <w:rsid w:val="006D0639"/>
    <w:rsid w:val="006D0D12"/>
    <w:rsid w:val="006D2214"/>
    <w:rsid w:val="006D2E72"/>
    <w:rsid w:val="006D3209"/>
    <w:rsid w:val="006D34DC"/>
    <w:rsid w:val="006D3AE5"/>
    <w:rsid w:val="006D4DE8"/>
    <w:rsid w:val="006D695B"/>
    <w:rsid w:val="006E1764"/>
    <w:rsid w:val="006E1BD4"/>
    <w:rsid w:val="006E27EF"/>
    <w:rsid w:val="006E2B7C"/>
    <w:rsid w:val="006E414F"/>
    <w:rsid w:val="006E531C"/>
    <w:rsid w:val="006E624A"/>
    <w:rsid w:val="006E688E"/>
    <w:rsid w:val="006E6BF7"/>
    <w:rsid w:val="006E7FAB"/>
    <w:rsid w:val="006F0A8C"/>
    <w:rsid w:val="006F0F02"/>
    <w:rsid w:val="006F193C"/>
    <w:rsid w:val="006F2597"/>
    <w:rsid w:val="006F2613"/>
    <w:rsid w:val="006F4346"/>
    <w:rsid w:val="006F50FA"/>
    <w:rsid w:val="006F7C72"/>
    <w:rsid w:val="00700C5F"/>
    <w:rsid w:val="007023E4"/>
    <w:rsid w:val="007024E4"/>
    <w:rsid w:val="0070266C"/>
    <w:rsid w:val="007036F7"/>
    <w:rsid w:val="00703A30"/>
    <w:rsid w:val="007047F9"/>
    <w:rsid w:val="007071C6"/>
    <w:rsid w:val="007112C8"/>
    <w:rsid w:val="0071250D"/>
    <w:rsid w:val="00714C7E"/>
    <w:rsid w:val="00715243"/>
    <w:rsid w:val="0071575B"/>
    <w:rsid w:val="00717468"/>
    <w:rsid w:val="00720478"/>
    <w:rsid w:val="007229EB"/>
    <w:rsid w:val="0072337A"/>
    <w:rsid w:val="00723E19"/>
    <w:rsid w:val="00723F5E"/>
    <w:rsid w:val="00724480"/>
    <w:rsid w:val="00724F14"/>
    <w:rsid w:val="00725CA6"/>
    <w:rsid w:val="0072664C"/>
    <w:rsid w:val="00726961"/>
    <w:rsid w:val="00726CDE"/>
    <w:rsid w:val="00727360"/>
    <w:rsid w:val="00730483"/>
    <w:rsid w:val="007304BB"/>
    <w:rsid w:val="00730C13"/>
    <w:rsid w:val="00731203"/>
    <w:rsid w:val="0073124E"/>
    <w:rsid w:val="00731892"/>
    <w:rsid w:val="00731F89"/>
    <w:rsid w:val="0073262B"/>
    <w:rsid w:val="00732D96"/>
    <w:rsid w:val="007339A5"/>
    <w:rsid w:val="00733DDA"/>
    <w:rsid w:val="007349F3"/>
    <w:rsid w:val="00734D01"/>
    <w:rsid w:val="00735422"/>
    <w:rsid w:val="00735804"/>
    <w:rsid w:val="00735860"/>
    <w:rsid w:val="0073707D"/>
    <w:rsid w:val="00737E39"/>
    <w:rsid w:val="00737FFA"/>
    <w:rsid w:val="00740E89"/>
    <w:rsid w:val="00740FF4"/>
    <w:rsid w:val="00741601"/>
    <w:rsid w:val="00742E19"/>
    <w:rsid w:val="007435A8"/>
    <w:rsid w:val="00743B0D"/>
    <w:rsid w:val="00744E76"/>
    <w:rsid w:val="00744F2A"/>
    <w:rsid w:val="007458AA"/>
    <w:rsid w:val="00747643"/>
    <w:rsid w:val="007479EC"/>
    <w:rsid w:val="00750F64"/>
    <w:rsid w:val="00751EBD"/>
    <w:rsid w:val="00752214"/>
    <w:rsid w:val="0075223F"/>
    <w:rsid w:val="00752975"/>
    <w:rsid w:val="00752AD4"/>
    <w:rsid w:val="00753CE9"/>
    <w:rsid w:val="007545C8"/>
    <w:rsid w:val="0075487A"/>
    <w:rsid w:val="00754EE4"/>
    <w:rsid w:val="00755750"/>
    <w:rsid w:val="007568B5"/>
    <w:rsid w:val="00756C72"/>
    <w:rsid w:val="00760554"/>
    <w:rsid w:val="00760F3E"/>
    <w:rsid w:val="00761528"/>
    <w:rsid w:val="007616FA"/>
    <w:rsid w:val="00761F12"/>
    <w:rsid w:val="0076206E"/>
    <w:rsid w:val="00763FF1"/>
    <w:rsid w:val="00764099"/>
    <w:rsid w:val="00764E8A"/>
    <w:rsid w:val="00764F69"/>
    <w:rsid w:val="00765CD0"/>
    <w:rsid w:val="00765E97"/>
    <w:rsid w:val="00766170"/>
    <w:rsid w:val="0076683F"/>
    <w:rsid w:val="00766A90"/>
    <w:rsid w:val="00767C1F"/>
    <w:rsid w:val="007704F1"/>
    <w:rsid w:val="00770EAB"/>
    <w:rsid w:val="0077133C"/>
    <w:rsid w:val="0077138C"/>
    <w:rsid w:val="00771B7B"/>
    <w:rsid w:val="00774A0B"/>
    <w:rsid w:val="007755D7"/>
    <w:rsid w:val="00775C2D"/>
    <w:rsid w:val="00776818"/>
    <w:rsid w:val="007779AE"/>
    <w:rsid w:val="007806CA"/>
    <w:rsid w:val="00780A71"/>
    <w:rsid w:val="007822ED"/>
    <w:rsid w:val="00783ACD"/>
    <w:rsid w:val="00783CE9"/>
    <w:rsid w:val="0078405D"/>
    <w:rsid w:val="00785F2B"/>
    <w:rsid w:val="00786407"/>
    <w:rsid w:val="00786ED8"/>
    <w:rsid w:val="007872C2"/>
    <w:rsid w:val="00787E55"/>
    <w:rsid w:val="007901A6"/>
    <w:rsid w:val="00790CCE"/>
    <w:rsid w:val="00792DE2"/>
    <w:rsid w:val="00793E20"/>
    <w:rsid w:val="00794255"/>
    <w:rsid w:val="00795434"/>
    <w:rsid w:val="007959A4"/>
    <w:rsid w:val="00795F32"/>
    <w:rsid w:val="007965BB"/>
    <w:rsid w:val="007969F1"/>
    <w:rsid w:val="007975AA"/>
    <w:rsid w:val="007A0BD3"/>
    <w:rsid w:val="007A1BD3"/>
    <w:rsid w:val="007A2AEC"/>
    <w:rsid w:val="007A3434"/>
    <w:rsid w:val="007A36D3"/>
    <w:rsid w:val="007A3CAF"/>
    <w:rsid w:val="007A45D6"/>
    <w:rsid w:val="007A685C"/>
    <w:rsid w:val="007A6A8F"/>
    <w:rsid w:val="007A7576"/>
    <w:rsid w:val="007A7AF2"/>
    <w:rsid w:val="007B0516"/>
    <w:rsid w:val="007B0749"/>
    <w:rsid w:val="007B0B80"/>
    <w:rsid w:val="007B0C17"/>
    <w:rsid w:val="007B1C83"/>
    <w:rsid w:val="007B1CA8"/>
    <w:rsid w:val="007B4AE4"/>
    <w:rsid w:val="007B4C0D"/>
    <w:rsid w:val="007B7D9C"/>
    <w:rsid w:val="007C180C"/>
    <w:rsid w:val="007C2382"/>
    <w:rsid w:val="007C3BE8"/>
    <w:rsid w:val="007C4599"/>
    <w:rsid w:val="007C4D8D"/>
    <w:rsid w:val="007C6063"/>
    <w:rsid w:val="007D02DA"/>
    <w:rsid w:val="007D083F"/>
    <w:rsid w:val="007D0B48"/>
    <w:rsid w:val="007D1417"/>
    <w:rsid w:val="007D1744"/>
    <w:rsid w:val="007D2066"/>
    <w:rsid w:val="007D255A"/>
    <w:rsid w:val="007D25C3"/>
    <w:rsid w:val="007D39BC"/>
    <w:rsid w:val="007D526B"/>
    <w:rsid w:val="007D5E5A"/>
    <w:rsid w:val="007E0384"/>
    <w:rsid w:val="007E170A"/>
    <w:rsid w:val="007E1DDD"/>
    <w:rsid w:val="007E22F9"/>
    <w:rsid w:val="007E2408"/>
    <w:rsid w:val="007E333B"/>
    <w:rsid w:val="007E39F8"/>
    <w:rsid w:val="007E4493"/>
    <w:rsid w:val="007E4A63"/>
    <w:rsid w:val="007E66B4"/>
    <w:rsid w:val="007E76A0"/>
    <w:rsid w:val="007E7FD5"/>
    <w:rsid w:val="007F004D"/>
    <w:rsid w:val="007F00D4"/>
    <w:rsid w:val="007F0104"/>
    <w:rsid w:val="007F01D6"/>
    <w:rsid w:val="007F0784"/>
    <w:rsid w:val="007F1894"/>
    <w:rsid w:val="007F2A7B"/>
    <w:rsid w:val="007F3D3D"/>
    <w:rsid w:val="007F41B5"/>
    <w:rsid w:val="007F4C8D"/>
    <w:rsid w:val="007F5754"/>
    <w:rsid w:val="007F58E6"/>
    <w:rsid w:val="007F6DA7"/>
    <w:rsid w:val="007F7D6A"/>
    <w:rsid w:val="0080019E"/>
    <w:rsid w:val="00801029"/>
    <w:rsid w:val="00802B53"/>
    <w:rsid w:val="0080374E"/>
    <w:rsid w:val="00804130"/>
    <w:rsid w:val="00804188"/>
    <w:rsid w:val="00806304"/>
    <w:rsid w:val="0080636B"/>
    <w:rsid w:val="008066AE"/>
    <w:rsid w:val="0080677C"/>
    <w:rsid w:val="00806A2F"/>
    <w:rsid w:val="0081059E"/>
    <w:rsid w:val="00810713"/>
    <w:rsid w:val="00810933"/>
    <w:rsid w:val="00810D97"/>
    <w:rsid w:val="00810F73"/>
    <w:rsid w:val="0081535B"/>
    <w:rsid w:val="00815582"/>
    <w:rsid w:val="00815EB0"/>
    <w:rsid w:val="00815F4F"/>
    <w:rsid w:val="00816A88"/>
    <w:rsid w:val="00820C51"/>
    <w:rsid w:val="008217F6"/>
    <w:rsid w:val="008228E5"/>
    <w:rsid w:val="00822E93"/>
    <w:rsid w:val="0082341B"/>
    <w:rsid w:val="00823BE5"/>
    <w:rsid w:val="0082470E"/>
    <w:rsid w:val="00825BFE"/>
    <w:rsid w:val="0082768C"/>
    <w:rsid w:val="008303A0"/>
    <w:rsid w:val="00830540"/>
    <w:rsid w:val="00830B71"/>
    <w:rsid w:val="00834045"/>
    <w:rsid w:val="00834C99"/>
    <w:rsid w:val="00836330"/>
    <w:rsid w:val="00836CF0"/>
    <w:rsid w:val="00836F73"/>
    <w:rsid w:val="0083764E"/>
    <w:rsid w:val="00842D24"/>
    <w:rsid w:val="008432D0"/>
    <w:rsid w:val="0084428A"/>
    <w:rsid w:val="00845787"/>
    <w:rsid w:val="00845C44"/>
    <w:rsid w:val="008471BD"/>
    <w:rsid w:val="0084782A"/>
    <w:rsid w:val="00850940"/>
    <w:rsid w:val="00850C7B"/>
    <w:rsid w:val="00850D0C"/>
    <w:rsid w:val="008513CC"/>
    <w:rsid w:val="008514A3"/>
    <w:rsid w:val="00852D7E"/>
    <w:rsid w:val="00853AFF"/>
    <w:rsid w:val="00853C94"/>
    <w:rsid w:val="00854C87"/>
    <w:rsid w:val="008562BC"/>
    <w:rsid w:val="008565E3"/>
    <w:rsid w:val="00856B4E"/>
    <w:rsid w:val="00857E44"/>
    <w:rsid w:val="0086077D"/>
    <w:rsid w:val="008607CE"/>
    <w:rsid w:val="00861D1D"/>
    <w:rsid w:val="0086249A"/>
    <w:rsid w:val="008627E4"/>
    <w:rsid w:val="00864FC5"/>
    <w:rsid w:val="00865415"/>
    <w:rsid w:val="00866710"/>
    <w:rsid w:val="0087030D"/>
    <w:rsid w:val="00870B19"/>
    <w:rsid w:val="008755DF"/>
    <w:rsid w:val="0087675D"/>
    <w:rsid w:val="00877837"/>
    <w:rsid w:val="008805DD"/>
    <w:rsid w:val="00880C56"/>
    <w:rsid w:val="008826F1"/>
    <w:rsid w:val="008834CC"/>
    <w:rsid w:val="00883C8E"/>
    <w:rsid w:val="00884497"/>
    <w:rsid w:val="008854F8"/>
    <w:rsid w:val="00886B73"/>
    <w:rsid w:val="00886F2A"/>
    <w:rsid w:val="00891D24"/>
    <w:rsid w:val="00892596"/>
    <w:rsid w:val="00893A6E"/>
    <w:rsid w:val="0089417E"/>
    <w:rsid w:val="00894D2A"/>
    <w:rsid w:val="00895170"/>
    <w:rsid w:val="008966E8"/>
    <w:rsid w:val="00897A96"/>
    <w:rsid w:val="008A0DBE"/>
    <w:rsid w:val="008A2967"/>
    <w:rsid w:val="008A30DB"/>
    <w:rsid w:val="008A3C45"/>
    <w:rsid w:val="008A4CEE"/>
    <w:rsid w:val="008A5569"/>
    <w:rsid w:val="008A5A09"/>
    <w:rsid w:val="008A5D14"/>
    <w:rsid w:val="008A6CDC"/>
    <w:rsid w:val="008A70D3"/>
    <w:rsid w:val="008A7F3B"/>
    <w:rsid w:val="008B015F"/>
    <w:rsid w:val="008B0BEB"/>
    <w:rsid w:val="008B105E"/>
    <w:rsid w:val="008B375B"/>
    <w:rsid w:val="008B3EC9"/>
    <w:rsid w:val="008B40D9"/>
    <w:rsid w:val="008B4141"/>
    <w:rsid w:val="008B4A93"/>
    <w:rsid w:val="008C313E"/>
    <w:rsid w:val="008C3692"/>
    <w:rsid w:val="008C702D"/>
    <w:rsid w:val="008C706F"/>
    <w:rsid w:val="008C70AC"/>
    <w:rsid w:val="008C77C8"/>
    <w:rsid w:val="008D0517"/>
    <w:rsid w:val="008D241D"/>
    <w:rsid w:val="008D27F0"/>
    <w:rsid w:val="008D42DA"/>
    <w:rsid w:val="008D4316"/>
    <w:rsid w:val="008D4330"/>
    <w:rsid w:val="008D7741"/>
    <w:rsid w:val="008D7B2A"/>
    <w:rsid w:val="008D7BAA"/>
    <w:rsid w:val="008D7EBA"/>
    <w:rsid w:val="008E0A6B"/>
    <w:rsid w:val="008E0EB6"/>
    <w:rsid w:val="008E1DF0"/>
    <w:rsid w:val="008E30B1"/>
    <w:rsid w:val="008E4592"/>
    <w:rsid w:val="008E4FB9"/>
    <w:rsid w:val="008E601C"/>
    <w:rsid w:val="008E6A02"/>
    <w:rsid w:val="008F0F84"/>
    <w:rsid w:val="008F10AF"/>
    <w:rsid w:val="008F3305"/>
    <w:rsid w:val="008F34ED"/>
    <w:rsid w:val="008F38EB"/>
    <w:rsid w:val="008F468C"/>
    <w:rsid w:val="008F5370"/>
    <w:rsid w:val="008F6533"/>
    <w:rsid w:val="00901016"/>
    <w:rsid w:val="00901CB0"/>
    <w:rsid w:val="00901D02"/>
    <w:rsid w:val="00902070"/>
    <w:rsid w:val="00902464"/>
    <w:rsid w:val="009027CD"/>
    <w:rsid w:val="00902F2E"/>
    <w:rsid w:val="00904206"/>
    <w:rsid w:val="00904AB7"/>
    <w:rsid w:val="00906DFB"/>
    <w:rsid w:val="00910194"/>
    <w:rsid w:val="00913814"/>
    <w:rsid w:val="0091407A"/>
    <w:rsid w:val="00914650"/>
    <w:rsid w:val="009159A4"/>
    <w:rsid w:val="00915BF6"/>
    <w:rsid w:val="00915C5C"/>
    <w:rsid w:val="00916E15"/>
    <w:rsid w:val="00917427"/>
    <w:rsid w:val="00917800"/>
    <w:rsid w:val="009229E8"/>
    <w:rsid w:val="009258ED"/>
    <w:rsid w:val="00927431"/>
    <w:rsid w:val="009300DD"/>
    <w:rsid w:val="0093140F"/>
    <w:rsid w:val="00932326"/>
    <w:rsid w:val="00932374"/>
    <w:rsid w:val="009344DC"/>
    <w:rsid w:val="00935D00"/>
    <w:rsid w:val="00936A63"/>
    <w:rsid w:val="009370A0"/>
    <w:rsid w:val="00937A1B"/>
    <w:rsid w:val="009417B4"/>
    <w:rsid w:val="00941D6B"/>
    <w:rsid w:val="009432F9"/>
    <w:rsid w:val="00943421"/>
    <w:rsid w:val="00943BBF"/>
    <w:rsid w:val="00945D35"/>
    <w:rsid w:val="00946936"/>
    <w:rsid w:val="00946D16"/>
    <w:rsid w:val="00950C1A"/>
    <w:rsid w:val="00955114"/>
    <w:rsid w:val="00956E31"/>
    <w:rsid w:val="00957AD0"/>
    <w:rsid w:val="00960B23"/>
    <w:rsid w:val="00961B09"/>
    <w:rsid w:val="00962645"/>
    <w:rsid w:val="00963775"/>
    <w:rsid w:val="00963BF3"/>
    <w:rsid w:val="00963EAF"/>
    <w:rsid w:val="00964A91"/>
    <w:rsid w:val="00964E60"/>
    <w:rsid w:val="009651BC"/>
    <w:rsid w:val="0096607D"/>
    <w:rsid w:val="00967418"/>
    <w:rsid w:val="0097058B"/>
    <w:rsid w:val="00971411"/>
    <w:rsid w:val="0097161A"/>
    <w:rsid w:val="00971B50"/>
    <w:rsid w:val="00972173"/>
    <w:rsid w:val="00972594"/>
    <w:rsid w:val="00972B70"/>
    <w:rsid w:val="009730DB"/>
    <w:rsid w:val="00974713"/>
    <w:rsid w:val="00975CA9"/>
    <w:rsid w:val="009765B9"/>
    <w:rsid w:val="00977E88"/>
    <w:rsid w:val="00980794"/>
    <w:rsid w:val="009808C1"/>
    <w:rsid w:val="00981188"/>
    <w:rsid w:val="009843C4"/>
    <w:rsid w:val="00986434"/>
    <w:rsid w:val="00986565"/>
    <w:rsid w:val="00986764"/>
    <w:rsid w:val="00987545"/>
    <w:rsid w:val="00987695"/>
    <w:rsid w:val="00987DDE"/>
    <w:rsid w:val="00987EC7"/>
    <w:rsid w:val="00990142"/>
    <w:rsid w:val="00990DEF"/>
    <w:rsid w:val="00990F64"/>
    <w:rsid w:val="00991B4F"/>
    <w:rsid w:val="00992714"/>
    <w:rsid w:val="00992BDE"/>
    <w:rsid w:val="00992EC1"/>
    <w:rsid w:val="009932DB"/>
    <w:rsid w:val="00994821"/>
    <w:rsid w:val="00994A84"/>
    <w:rsid w:val="00995498"/>
    <w:rsid w:val="00995C15"/>
    <w:rsid w:val="00996A25"/>
    <w:rsid w:val="00996BBA"/>
    <w:rsid w:val="0099790B"/>
    <w:rsid w:val="009A103B"/>
    <w:rsid w:val="009A20C6"/>
    <w:rsid w:val="009A2436"/>
    <w:rsid w:val="009A3EA6"/>
    <w:rsid w:val="009A5D22"/>
    <w:rsid w:val="009A5FA0"/>
    <w:rsid w:val="009A6494"/>
    <w:rsid w:val="009A6B49"/>
    <w:rsid w:val="009A7CD2"/>
    <w:rsid w:val="009B0579"/>
    <w:rsid w:val="009B11BF"/>
    <w:rsid w:val="009B3747"/>
    <w:rsid w:val="009B3D01"/>
    <w:rsid w:val="009B3F88"/>
    <w:rsid w:val="009B3FFF"/>
    <w:rsid w:val="009B76DC"/>
    <w:rsid w:val="009B7F15"/>
    <w:rsid w:val="009C1975"/>
    <w:rsid w:val="009C1B32"/>
    <w:rsid w:val="009C1D77"/>
    <w:rsid w:val="009C225A"/>
    <w:rsid w:val="009C2BD9"/>
    <w:rsid w:val="009C2C89"/>
    <w:rsid w:val="009C350E"/>
    <w:rsid w:val="009C38E5"/>
    <w:rsid w:val="009C3C45"/>
    <w:rsid w:val="009C437D"/>
    <w:rsid w:val="009C5065"/>
    <w:rsid w:val="009C6DB9"/>
    <w:rsid w:val="009C7477"/>
    <w:rsid w:val="009D0281"/>
    <w:rsid w:val="009D02C5"/>
    <w:rsid w:val="009D0605"/>
    <w:rsid w:val="009D1E90"/>
    <w:rsid w:val="009D2B0D"/>
    <w:rsid w:val="009D41BC"/>
    <w:rsid w:val="009D64AB"/>
    <w:rsid w:val="009E04A9"/>
    <w:rsid w:val="009E078C"/>
    <w:rsid w:val="009E0EFB"/>
    <w:rsid w:val="009E13F8"/>
    <w:rsid w:val="009E1E98"/>
    <w:rsid w:val="009E32A3"/>
    <w:rsid w:val="009E49F6"/>
    <w:rsid w:val="009E6657"/>
    <w:rsid w:val="009E686A"/>
    <w:rsid w:val="009E6B61"/>
    <w:rsid w:val="009F0181"/>
    <w:rsid w:val="009F0ED3"/>
    <w:rsid w:val="009F1C0C"/>
    <w:rsid w:val="009F213D"/>
    <w:rsid w:val="009F4F5C"/>
    <w:rsid w:val="009F557A"/>
    <w:rsid w:val="009F6797"/>
    <w:rsid w:val="009F7DDB"/>
    <w:rsid w:val="00A0140E"/>
    <w:rsid w:val="00A015B8"/>
    <w:rsid w:val="00A02E1B"/>
    <w:rsid w:val="00A03516"/>
    <w:rsid w:val="00A03872"/>
    <w:rsid w:val="00A0495A"/>
    <w:rsid w:val="00A04EB9"/>
    <w:rsid w:val="00A075C0"/>
    <w:rsid w:val="00A10E99"/>
    <w:rsid w:val="00A12A61"/>
    <w:rsid w:val="00A2069B"/>
    <w:rsid w:val="00A23335"/>
    <w:rsid w:val="00A23986"/>
    <w:rsid w:val="00A239B2"/>
    <w:rsid w:val="00A23F46"/>
    <w:rsid w:val="00A25763"/>
    <w:rsid w:val="00A3166B"/>
    <w:rsid w:val="00A31B66"/>
    <w:rsid w:val="00A31FA1"/>
    <w:rsid w:val="00A32541"/>
    <w:rsid w:val="00A35FB7"/>
    <w:rsid w:val="00A36AE0"/>
    <w:rsid w:val="00A37B92"/>
    <w:rsid w:val="00A40BE5"/>
    <w:rsid w:val="00A40C62"/>
    <w:rsid w:val="00A41CEA"/>
    <w:rsid w:val="00A41F34"/>
    <w:rsid w:val="00A43096"/>
    <w:rsid w:val="00A4338A"/>
    <w:rsid w:val="00A43432"/>
    <w:rsid w:val="00A44161"/>
    <w:rsid w:val="00A44926"/>
    <w:rsid w:val="00A45CB5"/>
    <w:rsid w:val="00A462E8"/>
    <w:rsid w:val="00A470A1"/>
    <w:rsid w:val="00A47233"/>
    <w:rsid w:val="00A47732"/>
    <w:rsid w:val="00A50F05"/>
    <w:rsid w:val="00A51D50"/>
    <w:rsid w:val="00A53013"/>
    <w:rsid w:val="00A53116"/>
    <w:rsid w:val="00A5370C"/>
    <w:rsid w:val="00A55469"/>
    <w:rsid w:val="00A5708C"/>
    <w:rsid w:val="00A618E7"/>
    <w:rsid w:val="00A61F2C"/>
    <w:rsid w:val="00A62669"/>
    <w:rsid w:val="00A62BBE"/>
    <w:rsid w:val="00A62E87"/>
    <w:rsid w:val="00A630A9"/>
    <w:rsid w:val="00A6425B"/>
    <w:rsid w:val="00A64C71"/>
    <w:rsid w:val="00A65234"/>
    <w:rsid w:val="00A65C0F"/>
    <w:rsid w:val="00A6610A"/>
    <w:rsid w:val="00A67BBE"/>
    <w:rsid w:val="00A711BC"/>
    <w:rsid w:val="00A721B6"/>
    <w:rsid w:val="00A727EC"/>
    <w:rsid w:val="00A7528F"/>
    <w:rsid w:val="00A753A2"/>
    <w:rsid w:val="00A7583D"/>
    <w:rsid w:val="00A75A46"/>
    <w:rsid w:val="00A76BF7"/>
    <w:rsid w:val="00A76F7F"/>
    <w:rsid w:val="00A77028"/>
    <w:rsid w:val="00A771CC"/>
    <w:rsid w:val="00A779B7"/>
    <w:rsid w:val="00A8075E"/>
    <w:rsid w:val="00A82086"/>
    <w:rsid w:val="00A82B02"/>
    <w:rsid w:val="00A835B7"/>
    <w:rsid w:val="00A83B4E"/>
    <w:rsid w:val="00A84949"/>
    <w:rsid w:val="00A84E38"/>
    <w:rsid w:val="00A851AD"/>
    <w:rsid w:val="00A851E3"/>
    <w:rsid w:val="00A85A03"/>
    <w:rsid w:val="00A85C79"/>
    <w:rsid w:val="00A8617E"/>
    <w:rsid w:val="00A86CF2"/>
    <w:rsid w:val="00A86EA1"/>
    <w:rsid w:val="00A87D6D"/>
    <w:rsid w:val="00A90097"/>
    <w:rsid w:val="00A9030B"/>
    <w:rsid w:val="00A91076"/>
    <w:rsid w:val="00A921AE"/>
    <w:rsid w:val="00A92F18"/>
    <w:rsid w:val="00A9487D"/>
    <w:rsid w:val="00A94911"/>
    <w:rsid w:val="00A95506"/>
    <w:rsid w:val="00A97143"/>
    <w:rsid w:val="00A9768B"/>
    <w:rsid w:val="00A979F8"/>
    <w:rsid w:val="00AA0FA7"/>
    <w:rsid w:val="00AA1E0C"/>
    <w:rsid w:val="00AA200B"/>
    <w:rsid w:val="00AA2683"/>
    <w:rsid w:val="00AA27F2"/>
    <w:rsid w:val="00AA2B88"/>
    <w:rsid w:val="00AA40FE"/>
    <w:rsid w:val="00AA4C01"/>
    <w:rsid w:val="00AA7718"/>
    <w:rsid w:val="00AA779E"/>
    <w:rsid w:val="00AA7C92"/>
    <w:rsid w:val="00AB0940"/>
    <w:rsid w:val="00AB098D"/>
    <w:rsid w:val="00AB0C33"/>
    <w:rsid w:val="00AB2BC8"/>
    <w:rsid w:val="00AB36E6"/>
    <w:rsid w:val="00AB491F"/>
    <w:rsid w:val="00AB4B5A"/>
    <w:rsid w:val="00AB5033"/>
    <w:rsid w:val="00AB6EEA"/>
    <w:rsid w:val="00AB7307"/>
    <w:rsid w:val="00AC114E"/>
    <w:rsid w:val="00AC1240"/>
    <w:rsid w:val="00AC1688"/>
    <w:rsid w:val="00AC2ADB"/>
    <w:rsid w:val="00AC5216"/>
    <w:rsid w:val="00AC5267"/>
    <w:rsid w:val="00AC5374"/>
    <w:rsid w:val="00AC5DC8"/>
    <w:rsid w:val="00AC64BD"/>
    <w:rsid w:val="00AD1272"/>
    <w:rsid w:val="00AD19E8"/>
    <w:rsid w:val="00AD2477"/>
    <w:rsid w:val="00AD2CD1"/>
    <w:rsid w:val="00AD316A"/>
    <w:rsid w:val="00AD36AE"/>
    <w:rsid w:val="00AD381E"/>
    <w:rsid w:val="00AD3D85"/>
    <w:rsid w:val="00AD495A"/>
    <w:rsid w:val="00AD73DB"/>
    <w:rsid w:val="00AE0EFB"/>
    <w:rsid w:val="00AE12E6"/>
    <w:rsid w:val="00AE24F1"/>
    <w:rsid w:val="00AE38F3"/>
    <w:rsid w:val="00AE7B2C"/>
    <w:rsid w:val="00AE7B86"/>
    <w:rsid w:val="00AF090D"/>
    <w:rsid w:val="00AF0A27"/>
    <w:rsid w:val="00AF1459"/>
    <w:rsid w:val="00AF27C5"/>
    <w:rsid w:val="00AF27E1"/>
    <w:rsid w:val="00AF35B8"/>
    <w:rsid w:val="00AF3627"/>
    <w:rsid w:val="00AF3E59"/>
    <w:rsid w:val="00AF3EB5"/>
    <w:rsid w:val="00AF44E2"/>
    <w:rsid w:val="00AF610D"/>
    <w:rsid w:val="00AF626D"/>
    <w:rsid w:val="00AF79F0"/>
    <w:rsid w:val="00AF7B7D"/>
    <w:rsid w:val="00AF7D96"/>
    <w:rsid w:val="00B0030B"/>
    <w:rsid w:val="00B00564"/>
    <w:rsid w:val="00B01003"/>
    <w:rsid w:val="00B01D1F"/>
    <w:rsid w:val="00B02CC2"/>
    <w:rsid w:val="00B0323D"/>
    <w:rsid w:val="00B04B7D"/>
    <w:rsid w:val="00B06EA4"/>
    <w:rsid w:val="00B07CD1"/>
    <w:rsid w:val="00B10167"/>
    <w:rsid w:val="00B10BC5"/>
    <w:rsid w:val="00B11953"/>
    <w:rsid w:val="00B11C1A"/>
    <w:rsid w:val="00B12712"/>
    <w:rsid w:val="00B1342D"/>
    <w:rsid w:val="00B15D35"/>
    <w:rsid w:val="00B16C2D"/>
    <w:rsid w:val="00B2027B"/>
    <w:rsid w:val="00B216EE"/>
    <w:rsid w:val="00B22EA3"/>
    <w:rsid w:val="00B2317D"/>
    <w:rsid w:val="00B23E17"/>
    <w:rsid w:val="00B24810"/>
    <w:rsid w:val="00B249B8"/>
    <w:rsid w:val="00B25961"/>
    <w:rsid w:val="00B261D5"/>
    <w:rsid w:val="00B2654C"/>
    <w:rsid w:val="00B26F2D"/>
    <w:rsid w:val="00B30C15"/>
    <w:rsid w:val="00B32547"/>
    <w:rsid w:val="00B35F3C"/>
    <w:rsid w:val="00B35FEC"/>
    <w:rsid w:val="00B404DC"/>
    <w:rsid w:val="00B407B1"/>
    <w:rsid w:val="00B40B7A"/>
    <w:rsid w:val="00B41467"/>
    <w:rsid w:val="00B43692"/>
    <w:rsid w:val="00B440A7"/>
    <w:rsid w:val="00B44752"/>
    <w:rsid w:val="00B44EC8"/>
    <w:rsid w:val="00B45015"/>
    <w:rsid w:val="00B45721"/>
    <w:rsid w:val="00B45900"/>
    <w:rsid w:val="00B46032"/>
    <w:rsid w:val="00B46302"/>
    <w:rsid w:val="00B468EB"/>
    <w:rsid w:val="00B47965"/>
    <w:rsid w:val="00B51CA6"/>
    <w:rsid w:val="00B53536"/>
    <w:rsid w:val="00B53638"/>
    <w:rsid w:val="00B54B26"/>
    <w:rsid w:val="00B55886"/>
    <w:rsid w:val="00B55B03"/>
    <w:rsid w:val="00B5688C"/>
    <w:rsid w:val="00B605C3"/>
    <w:rsid w:val="00B60941"/>
    <w:rsid w:val="00B61219"/>
    <w:rsid w:val="00B614C1"/>
    <w:rsid w:val="00B6240D"/>
    <w:rsid w:val="00B65116"/>
    <w:rsid w:val="00B65E9D"/>
    <w:rsid w:val="00B66244"/>
    <w:rsid w:val="00B66F99"/>
    <w:rsid w:val="00B67A13"/>
    <w:rsid w:val="00B70CD3"/>
    <w:rsid w:val="00B70FA1"/>
    <w:rsid w:val="00B7215B"/>
    <w:rsid w:val="00B72426"/>
    <w:rsid w:val="00B72720"/>
    <w:rsid w:val="00B72D68"/>
    <w:rsid w:val="00B734EA"/>
    <w:rsid w:val="00B74AB5"/>
    <w:rsid w:val="00B75C2B"/>
    <w:rsid w:val="00B7609C"/>
    <w:rsid w:val="00B767C7"/>
    <w:rsid w:val="00B76AC9"/>
    <w:rsid w:val="00B80100"/>
    <w:rsid w:val="00B82FEA"/>
    <w:rsid w:val="00B849F2"/>
    <w:rsid w:val="00B85302"/>
    <w:rsid w:val="00B90D81"/>
    <w:rsid w:val="00B91CBE"/>
    <w:rsid w:val="00B93B7E"/>
    <w:rsid w:val="00B95247"/>
    <w:rsid w:val="00B95587"/>
    <w:rsid w:val="00B958A6"/>
    <w:rsid w:val="00B96C68"/>
    <w:rsid w:val="00B974AF"/>
    <w:rsid w:val="00BA051A"/>
    <w:rsid w:val="00BA06E5"/>
    <w:rsid w:val="00BA0908"/>
    <w:rsid w:val="00BA1BF7"/>
    <w:rsid w:val="00BA3D41"/>
    <w:rsid w:val="00BA484A"/>
    <w:rsid w:val="00BA5755"/>
    <w:rsid w:val="00BA582A"/>
    <w:rsid w:val="00BA5AFB"/>
    <w:rsid w:val="00BA68B2"/>
    <w:rsid w:val="00BA6AE8"/>
    <w:rsid w:val="00BA730B"/>
    <w:rsid w:val="00BB0891"/>
    <w:rsid w:val="00BB1802"/>
    <w:rsid w:val="00BB298C"/>
    <w:rsid w:val="00BB2BB2"/>
    <w:rsid w:val="00BB2FBF"/>
    <w:rsid w:val="00BB3D8B"/>
    <w:rsid w:val="00BB6899"/>
    <w:rsid w:val="00BB75E0"/>
    <w:rsid w:val="00BB7ACD"/>
    <w:rsid w:val="00BC05DC"/>
    <w:rsid w:val="00BC0D8E"/>
    <w:rsid w:val="00BC49E7"/>
    <w:rsid w:val="00BC5577"/>
    <w:rsid w:val="00BD0062"/>
    <w:rsid w:val="00BD19F4"/>
    <w:rsid w:val="00BD3241"/>
    <w:rsid w:val="00BD6B8D"/>
    <w:rsid w:val="00BD708B"/>
    <w:rsid w:val="00BD7994"/>
    <w:rsid w:val="00BE0253"/>
    <w:rsid w:val="00BE0BC3"/>
    <w:rsid w:val="00BE106B"/>
    <w:rsid w:val="00BE20B0"/>
    <w:rsid w:val="00BE2535"/>
    <w:rsid w:val="00BE3C74"/>
    <w:rsid w:val="00BE3E1E"/>
    <w:rsid w:val="00BE454E"/>
    <w:rsid w:val="00BE500F"/>
    <w:rsid w:val="00BE7CCF"/>
    <w:rsid w:val="00BF05A3"/>
    <w:rsid w:val="00BF0A7F"/>
    <w:rsid w:val="00BF125D"/>
    <w:rsid w:val="00BF2E8B"/>
    <w:rsid w:val="00BF3E3C"/>
    <w:rsid w:val="00BF40A5"/>
    <w:rsid w:val="00BF4150"/>
    <w:rsid w:val="00BF5F2E"/>
    <w:rsid w:val="00BF68A2"/>
    <w:rsid w:val="00C01097"/>
    <w:rsid w:val="00C0203E"/>
    <w:rsid w:val="00C026E8"/>
    <w:rsid w:val="00C03222"/>
    <w:rsid w:val="00C04126"/>
    <w:rsid w:val="00C05D9F"/>
    <w:rsid w:val="00C06AF4"/>
    <w:rsid w:val="00C10011"/>
    <w:rsid w:val="00C105C5"/>
    <w:rsid w:val="00C10E48"/>
    <w:rsid w:val="00C11682"/>
    <w:rsid w:val="00C122A7"/>
    <w:rsid w:val="00C12585"/>
    <w:rsid w:val="00C12899"/>
    <w:rsid w:val="00C12AC6"/>
    <w:rsid w:val="00C14191"/>
    <w:rsid w:val="00C15E34"/>
    <w:rsid w:val="00C16E09"/>
    <w:rsid w:val="00C2055B"/>
    <w:rsid w:val="00C20F95"/>
    <w:rsid w:val="00C22092"/>
    <w:rsid w:val="00C2284C"/>
    <w:rsid w:val="00C22D40"/>
    <w:rsid w:val="00C22F65"/>
    <w:rsid w:val="00C2362E"/>
    <w:rsid w:val="00C23EC6"/>
    <w:rsid w:val="00C248F9"/>
    <w:rsid w:val="00C24B01"/>
    <w:rsid w:val="00C25272"/>
    <w:rsid w:val="00C2582B"/>
    <w:rsid w:val="00C25D6B"/>
    <w:rsid w:val="00C261FD"/>
    <w:rsid w:val="00C26A7F"/>
    <w:rsid w:val="00C26AFE"/>
    <w:rsid w:val="00C26B6D"/>
    <w:rsid w:val="00C30FC7"/>
    <w:rsid w:val="00C32140"/>
    <w:rsid w:val="00C32E04"/>
    <w:rsid w:val="00C33699"/>
    <w:rsid w:val="00C36A95"/>
    <w:rsid w:val="00C36BCA"/>
    <w:rsid w:val="00C40462"/>
    <w:rsid w:val="00C40B5D"/>
    <w:rsid w:val="00C41181"/>
    <w:rsid w:val="00C4133A"/>
    <w:rsid w:val="00C420E3"/>
    <w:rsid w:val="00C42E8E"/>
    <w:rsid w:val="00C433BC"/>
    <w:rsid w:val="00C44C90"/>
    <w:rsid w:val="00C44EB1"/>
    <w:rsid w:val="00C4509B"/>
    <w:rsid w:val="00C4592A"/>
    <w:rsid w:val="00C504C7"/>
    <w:rsid w:val="00C506D7"/>
    <w:rsid w:val="00C52674"/>
    <w:rsid w:val="00C5270D"/>
    <w:rsid w:val="00C53C31"/>
    <w:rsid w:val="00C54096"/>
    <w:rsid w:val="00C550EC"/>
    <w:rsid w:val="00C55219"/>
    <w:rsid w:val="00C577D1"/>
    <w:rsid w:val="00C57DC5"/>
    <w:rsid w:val="00C610E6"/>
    <w:rsid w:val="00C616C8"/>
    <w:rsid w:val="00C61823"/>
    <w:rsid w:val="00C61865"/>
    <w:rsid w:val="00C61DD3"/>
    <w:rsid w:val="00C62741"/>
    <w:rsid w:val="00C62B3B"/>
    <w:rsid w:val="00C63B81"/>
    <w:rsid w:val="00C63BAF"/>
    <w:rsid w:val="00C64542"/>
    <w:rsid w:val="00C67DCB"/>
    <w:rsid w:val="00C71269"/>
    <w:rsid w:val="00C721EF"/>
    <w:rsid w:val="00C72D24"/>
    <w:rsid w:val="00C73C5D"/>
    <w:rsid w:val="00C73DA6"/>
    <w:rsid w:val="00C74EBE"/>
    <w:rsid w:val="00C75169"/>
    <w:rsid w:val="00C807EA"/>
    <w:rsid w:val="00C80B1A"/>
    <w:rsid w:val="00C82357"/>
    <w:rsid w:val="00C83018"/>
    <w:rsid w:val="00C8513B"/>
    <w:rsid w:val="00C855DD"/>
    <w:rsid w:val="00C8691B"/>
    <w:rsid w:val="00C8766A"/>
    <w:rsid w:val="00C90BF3"/>
    <w:rsid w:val="00C90FF9"/>
    <w:rsid w:val="00C9202C"/>
    <w:rsid w:val="00C92EFD"/>
    <w:rsid w:val="00C93DF9"/>
    <w:rsid w:val="00C94818"/>
    <w:rsid w:val="00C94AE4"/>
    <w:rsid w:val="00C976DE"/>
    <w:rsid w:val="00CA1D51"/>
    <w:rsid w:val="00CA3547"/>
    <w:rsid w:val="00CA4458"/>
    <w:rsid w:val="00CA48AE"/>
    <w:rsid w:val="00CA5596"/>
    <w:rsid w:val="00CA5B4B"/>
    <w:rsid w:val="00CA62F6"/>
    <w:rsid w:val="00CA6A5F"/>
    <w:rsid w:val="00CB0057"/>
    <w:rsid w:val="00CB16DB"/>
    <w:rsid w:val="00CB20AD"/>
    <w:rsid w:val="00CB2233"/>
    <w:rsid w:val="00CB3406"/>
    <w:rsid w:val="00CB3A07"/>
    <w:rsid w:val="00CB3A72"/>
    <w:rsid w:val="00CB49BA"/>
    <w:rsid w:val="00CB4FD6"/>
    <w:rsid w:val="00CB5D0F"/>
    <w:rsid w:val="00CB7488"/>
    <w:rsid w:val="00CB79AA"/>
    <w:rsid w:val="00CC1E44"/>
    <w:rsid w:val="00CC329D"/>
    <w:rsid w:val="00CC3A31"/>
    <w:rsid w:val="00CC4935"/>
    <w:rsid w:val="00CC49AF"/>
    <w:rsid w:val="00CC5180"/>
    <w:rsid w:val="00CC57C8"/>
    <w:rsid w:val="00CC62D0"/>
    <w:rsid w:val="00CD11E5"/>
    <w:rsid w:val="00CD13A6"/>
    <w:rsid w:val="00CD416C"/>
    <w:rsid w:val="00CD594F"/>
    <w:rsid w:val="00CD5954"/>
    <w:rsid w:val="00CD6C40"/>
    <w:rsid w:val="00CD6ECA"/>
    <w:rsid w:val="00CD7AC0"/>
    <w:rsid w:val="00CE0E9F"/>
    <w:rsid w:val="00CE1019"/>
    <w:rsid w:val="00CE1911"/>
    <w:rsid w:val="00CE1F0E"/>
    <w:rsid w:val="00CE24DA"/>
    <w:rsid w:val="00CE36F5"/>
    <w:rsid w:val="00CE3CA3"/>
    <w:rsid w:val="00CE4181"/>
    <w:rsid w:val="00CE551E"/>
    <w:rsid w:val="00CE5EC2"/>
    <w:rsid w:val="00CE65E8"/>
    <w:rsid w:val="00CE7CBA"/>
    <w:rsid w:val="00CF0A15"/>
    <w:rsid w:val="00CF0FEE"/>
    <w:rsid w:val="00CF14B0"/>
    <w:rsid w:val="00CF16FB"/>
    <w:rsid w:val="00CF1876"/>
    <w:rsid w:val="00CF2A98"/>
    <w:rsid w:val="00CF2AFC"/>
    <w:rsid w:val="00CF32C8"/>
    <w:rsid w:val="00CF427F"/>
    <w:rsid w:val="00CF6D00"/>
    <w:rsid w:val="00CF7178"/>
    <w:rsid w:val="00CF758C"/>
    <w:rsid w:val="00CF763A"/>
    <w:rsid w:val="00CF795C"/>
    <w:rsid w:val="00CF7FE4"/>
    <w:rsid w:val="00D00456"/>
    <w:rsid w:val="00D008D0"/>
    <w:rsid w:val="00D0108A"/>
    <w:rsid w:val="00D01664"/>
    <w:rsid w:val="00D02AB6"/>
    <w:rsid w:val="00D02D46"/>
    <w:rsid w:val="00D077CC"/>
    <w:rsid w:val="00D07AC9"/>
    <w:rsid w:val="00D100C7"/>
    <w:rsid w:val="00D12883"/>
    <w:rsid w:val="00D14324"/>
    <w:rsid w:val="00D14C67"/>
    <w:rsid w:val="00D158ED"/>
    <w:rsid w:val="00D15D61"/>
    <w:rsid w:val="00D1704B"/>
    <w:rsid w:val="00D171D4"/>
    <w:rsid w:val="00D17654"/>
    <w:rsid w:val="00D17C13"/>
    <w:rsid w:val="00D2000F"/>
    <w:rsid w:val="00D20E0C"/>
    <w:rsid w:val="00D25B5A"/>
    <w:rsid w:val="00D2709D"/>
    <w:rsid w:val="00D30089"/>
    <w:rsid w:val="00D30611"/>
    <w:rsid w:val="00D30812"/>
    <w:rsid w:val="00D31370"/>
    <w:rsid w:val="00D31768"/>
    <w:rsid w:val="00D33486"/>
    <w:rsid w:val="00D33701"/>
    <w:rsid w:val="00D33A0E"/>
    <w:rsid w:val="00D34FAA"/>
    <w:rsid w:val="00D35783"/>
    <w:rsid w:val="00D36492"/>
    <w:rsid w:val="00D36AF1"/>
    <w:rsid w:val="00D374D1"/>
    <w:rsid w:val="00D37854"/>
    <w:rsid w:val="00D4217E"/>
    <w:rsid w:val="00D42B97"/>
    <w:rsid w:val="00D4433B"/>
    <w:rsid w:val="00D5338A"/>
    <w:rsid w:val="00D5428B"/>
    <w:rsid w:val="00D561D7"/>
    <w:rsid w:val="00D56987"/>
    <w:rsid w:val="00D57060"/>
    <w:rsid w:val="00D57786"/>
    <w:rsid w:val="00D57FB7"/>
    <w:rsid w:val="00D639F0"/>
    <w:rsid w:val="00D640DE"/>
    <w:rsid w:val="00D64174"/>
    <w:rsid w:val="00D6464B"/>
    <w:rsid w:val="00D64A75"/>
    <w:rsid w:val="00D64CD3"/>
    <w:rsid w:val="00D65B37"/>
    <w:rsid w:val="00D6646D"/>
    <w:rsid w:val="00D71105"/>
    <w:rsid w:val="00D71CA8"/>
    <w:rsid w:val="00D71DD9"/>
    <w:rsid w:val="00D71EF6"/>
    <w:rsid w:val="00D7240C"/>
    <w:rsid w:val="00D72761"/>
    <w:rsid w:val="00D733E0"/>
    <w:rsid w:val="00D74C2C"/>
    <w:rsid w:val="00D74CE0"/>
    <w:rsid w:val="00D750A0"/>
    <w:rsid w:val="00D752D3"/>
    <w:rsid w:val="00D755AC"/>
    <w:rsid w:val="00D76D9E"/>
    <w:rsid w:val="00D7753B"/>
    <w:rsid w:val="00D77793"/>
    <w:rsid w:val="00D77FE2"/>
    <w:rsid w:val="00D81C56"/>
    <w:rsid w:val="00D828C8"/>
    <w:rsid w:val="00D82903"/>
    <w:rsid w:val="00D83737"/>
    <w:rsid w:val="00D838F6"/>
    <w:rsid w:val="00D84295"/>
    <w:rsid w:val="00D8486D"/>
    <w:rsid w:val="00D85BAB"/>
    <w:rsid w:val="00D8631C"/>
    <w:rsid w:val="00D86AF5"/>
    <w:rsid w:val="00D871DF"/>
    <w:rsid w:val="00D90F74"/>
    <w:rsid w:val="00D9109B"/>
    <w:rsid w:val="00D910C0"/>
    <w:rsid w:val="00D91696"/>
    <w:rsid w:val="00D91915"/>
    <w:rsid w:val="00D9202D"/>
    <w:rsid w:val="00D945B1"/>
    <w:rsid w:val="00D94C8D"/>
    <w:rsid w:val="00D95828"/>
    <w:rsid w:val="00D95CF2"/>
    <w:rsid w:val="00D96177"/>
    <w:rsid w:val="00D96A4B"/>
    <w:rsid w:val="00D97515"/>
    <w:rsid w:val="00D9785C"/>
    <w:rsid w:val="00D978D4"/>
    <w:rsid w:val="00D97A81"/>
    <w:rsid w:val="00DA0034"/>
    <w:rsid w:val="00DA011B"/>
    <w:rsid w:val="00DA0B6F"/>
    <w:rsid w:val="00DA0FAE"/>
    <w:rsid w:val="00DA1C4D"/>
    <w:rsid w:val="00DA2464"/>
    <w:rsid w:val="00DA24D4"/>
    <w:rsid w:val="00DA2B8B"/>
    <w:rsid w:val="00DA2FF5"/>
    <w:rsid w:val="00DA300F"/>
    <w:rsid w:val="00DA39E4"/>
    <w:rsid w:val="00DA45B1"/>
    <w:rsid w:val="00DA46A3"/>
    <w:rsid w:val="00DA57E2"/>
    <w:rsid w:val="00DA61ED"/>
    <w:rsid w:val="00DB0D9A"/>
    <w:rsid w:val="00DB0DD1"/>
    <w:rsid w:val="00DB1E67"/>
    <w:rsid w:val="00DB1F6D"/>
    <w:rsid w:val="00DB2952"/>
    <w:rsid w:val="00DB2FC2"/>
    <w:rsid w:val="00DB31E8"/>
    <w:rsid w:val="00DB39EB"/>
    <w:rsid w:val="00DB3A0C"/>
    <w:rsid w:val="00DB3FA5"/>
    <w:rsid w:val="00DB426C"/>
    <w:rsid w:val="00DB5009"/>
    <w:rsid w:val="00DB5224"/>
    <w:rsid w:val="00DB5E21"/>
    <w:rsid w:val="00DB6A92"/>
    <w:rsid w:val="00DB7682"/>
    <w:rsid w:val="00DB77BE"/>
    <w:rsid w:val="00DC071B"/>
    <w:rsid w:val="00DC0F3F"/>
    <w:rsid w:val="00DC1546"/>
    <w:rsid w:val="00DC1604"/>
    <w:rsid w:val="00DC1E5A"/>
    <w:rsid w:val="00DC1EBC"/>
    <w:rsid w:val="00DC2821"/>
    <w:rsid w:val="00DC31E1"/>
    <w:rsid w:val="00DC3622"/>
    <w:rsid w:val="00DC4F87"/>
    <w:rsid w:val="00DC5318"/>
    <w:rsid w:val="00DC6BC7"/>
    <w:rsid w:val="00DD101E"/>
    <w:rsid w:val="00DD144D"/>
    <w:rsid w:val="00DD2C95"/>
    <w:rsid w:val="00DD2D29"/>
    <w:rsid w:val="00DD3AD5"/>
    <w:rsid w:val="00DD4544"/>
    <w:rsid w:val="00DD46DA"/>
    <w:rsid w:val="00DD6850"/>
    <w:rsid w:val="00DD71A1"/>
    <w:rsid w:val="00DD72FA"/>
    <w:rsid w:val="00DD79F5"/>
    <w:rsid w:val="00DE33DD"/>
    <w:rsid w:val="00DE3959"/>
    <w:rsid w:val="00DE3EC8"/>
    <w:rsid w:val="00DE5368"/>
    <w:rsid w:val="00DE5A13"/>
    <w:rsid w:val="00DE7C83"/>
    <w:rsid w:val="00DF103D"/>
    <w:rsid w:val="00DF37EB"/>
    <w:rsid w:val="00DF3C38"/>
    <w:rsid w:val="00DF4831"/>
    <w:rsid w:val="00DF6742"/>
    <w:rsid w:val="00E00D8E"/>
    <w:rsid w:val="00E021F0"/>
    <w:rsid w:val="00E02E5B"/>
    <w:rsid w:val="00E0438F"/>
    <w:rsid w:val="00E04476"/>
    <w:rsid w:val="00E04AE6"/>
    <w:rsid w:val="00E06F1A"/>
    <w:rsid w:val="00E07250"/>
    <w:rsid w:val="00E103DE"/>
    <w:rsid w:val="00E12D88"/>
    <w:rsid w:val="00E133D9"/>
    <w:rsid w:val="00E13E5A"/>
    <w:rsid w:val="00E15AF2"/>
    <w:rsid w:val="00E164A0"/>
    <w:rsid w:val="00E16731"/>
    <w:rsid w:val="00E16922"/>
    <w:rsid w:val="00E16954"/>
    <w:rsid w:val="00E219B8"/>
    <w:rsid w:val="00E21F87"/>
    <w:rsid w:val="00E2235F"/>
    <w:rsid w:val="00E23873"/>
    <w:rsid w:val="00E23B37"/>
    <w:rsid w:val="00E23F0E"/>
    <w:rsid w:val="00E24D3E"/>
    <w:rsid w:val="00E26030"/>
    <w:rsid w:val="00E2670B"/>
    <w:rsid w:val="00E26BB2"/>
    <w:rsid w:val="00E26C40"/>
    <w:rsid w:val="00E3063F"/>
    <w:rsid w:val="00E30B7D"/>
    <w:rsid w:val="00E313DF"/>
    <w:rsid w:val="00E31CEC"/>
    <w:rsid w:val="00E345B7"/>
    <w:rsid w:val="00E35BEF"/>
    <w:rsid w:val="00E35EC4"/>
    <w:rsid w:val="00E400C3"/>
    <w:rsid w:val="00E404C2"/>
    <w:rsid w:val="00E4193B"/>
    <w:rsid w:val="00E4274B"/>
    <w:rsid w:val="00E42E8F"/>
    <w:rsid w:val="00E42F12"/>
    <w:rsid w:val="00E431E0"/>
    <w:rsid w:val="00E4324C"/>
    <w:rsid w:val="00E4341C"/>
    <w:rsid w:val="00E43A48"/>
    <w:rsid w:val="00E45648"/>
    <w:rsid w:val="00E459A8"/>
    <w:rsid w:val="00E45BCB"/>
    <w:rsid w:val="00E45CA0"/>
    <w:rsid w:val="00E45E5B"/>
    <w:rsid w:val="00E477FA"/>
    <w:rsid w:val="00E524A1"/>
    <w:rsid w:val="00E52625"/>
    <w:rsid w:val="00E52794"/>
    <w:rsid w:val="00E52955"/>
    <w:rsid w:val="00E53001"/>
    <w:rsid w:val="00E5571F"/>
    <w:rsid w:val="00E5598E"/>
    <w:rsid w:val="00E568E5"/>
    <w:rsid w:val="00E5691A"/>
    <w:rsid w:val="00E56F17"/>
    <w:rsid w:val="00E57B9E"/>
    <w:rsid w:val="00E6031C"/>
    <w:rsid w:val="00E6054B"/>
    <w:rsid w:val="00E60854"/>
    <w:rsid w:val="00E619D1"/>
    <w:rsid w:val="00E61F06"/>
    <w:rsid w:val="00E62E3C"/>
    <w:rsid w:val="00E630B1"/>
    <w:rsid w:val="00E6352E"/>
    <w:rsid w:val="00E65183"/>
    <w:rsid w:val="00E666D4"/>
    <w:rsid w:val="00E67C8B"/>
    <w:rsid w:val="00E67FCA"/>
    <w:rsid w:val="00E701DC"/>
    <w:rsid w:val="00E7046C"/>
    <w:rsid w:val="00E70EA2"/>
    <w:rsid w:val="00E70EE0"/>
    <w:rsid w:val="00E72716"/>
    <w:rsid w:val="00E72BF3"/>
    <w:rsid w:val="00E7324D"/>
    <w:rsid w:val="00E737D2"/>
    <w:rsid w:val="00E75414"/>
    <w:rsid w:val="00E761BD"/>
    <w:rsid w:val="00E77D90"/>
    <w:rsid w:val="00E77E88"/>
    <w:rsid w:val="00E810F1"/>
    <w:rsid w:val="00E814C3"/>
    <w:rsid w:val="00E82303"/>
    <w:rsid w:val="00E82E2C"/>
    <w:rsid w:val="00E83612"/>
    <w:rsid w:val="00E84BE0"/>
    <w:rsid w:val="00E85661"/>
    <w:rsid w:val="00E85CC0"/>
    <w:rsid w:val="00E85E5A"/>
    <w:rsid w:val="00E860F6"/>
    <w:rsid w:val="00E86722"/>
    <w:rsid w:val="00E869A6"/>
    <w:rsid w:val="00E87228"/>
    <w:rsid w:val="00E87A01"/>
    <w:rsid w:val="00E90362"/>
    <w:rsid w:val="00E905EE"/>
    <w:rsid w:val="00E92D4F"/>
    <w:rsid w:val="00E94543"/>
    <w:rsid w:val="00E96829"/>
    <w:rsid w:val="00E97795"/>
    <w:rsid w:val="00E9784B"/>
    <w:rsid w:val="00E97A5A"/>
    <w:rsid w:val="00EA1774"/>
    <w:rsid w:val="00EA1C39"/>
    <w:rsid w:val="00EA28BA"/>
    <w:rsid w:val="00EA2DF9"/>
    <w:rsid w:val="00EA3B1E"/>
    <w:rsid w:val="00EA5391"/>
    <w:rsid w:val="00EA5A40"/>
    <w:rsid w:val="00EA5C0A"/>
    <w:rsid w:val="00EB3D56"/>
    <w:rsid w:val="00EB6BB3"/>
    <w:rsid w:val="00EC07F7"/>
    <w:rsid w:val="00EC0AC1"/>
    <w:rsid w:val="00EC136C"/>
    <w:rsid w:val="00EC18E6"/>
    <w:rsid w:val="00EC1E61"/>
    <w:rsid w:val="00EC26BF"/>
    <w:rsid w:val="00EC3A04"/>
    <w:rsid w:val="00EC3B2C"/>
    <w:rsid w:val="00EC47A8"/>
    <w:rsid w:val="00EC66D2"/>
    <w:rsid w:val="00EC67E9"/>
    <w:rsid w:val="00EC70BE"/>
    <w:rsid w:val="00EC7239"/>
    <w:rsid w:val="00ED0A3E"/>
    <w:rsid w:val="00ED3559"/>
    <w:rsid w:val="00ED3835"/>
    <w:rsid w:val="00ED3D36"/>
    <w:rsid w:val="00ED53D8"/>
    <w:rsid w:val="00ED58CB"/>
    <w:rsid w:val="00ED5F19"/>
    <w:rsid w:val="00ED605A"/>
    <w:rsid w:val="00ED64C3"/>
    <w:rsid w:val="00ED6D83"/>
    <w:rsid w:val="00ED711A"/>
    <w:rsid w:val="00ED7514"/>
    <w:rsid w:val="00ED7523"/>
    <w:rsid w:val="00EE0509"/>
    <w:rsid w:val="00EE06C7"/>
    <w:rsid w:val="00EE1170"/>
    <w:rsid w:val="00EE148E"/>
    <w:rsid w:val="00EE1C1D"/>
    <w:rsid w:val="00EE203A"/>
    <w:rsid w:val="00EE4907"/>
    <w:rsid w:val="00EE56A8"/>
    <w:rsid w:val="00EF09C9"/>
    <w:rsid w:val="00EF09D3"/>
    <w:rsid w:val="00EF0A05"/>
    <w:rsid w:val="00EF112E"/>
    <w:rsid w:val="00EF383D"/>
    <w:rsid w:val="00EF3B04"/>
    <w:rsid w:val="00EF3F7F"/>
    <w:rsid w:val="00EF44C8"/>
    <w:rsid w:val="00EF4522"/>
    <w:rsid w:val="00EF4599"/>
    <w:rsid w:val="00EF51FA"/>
    <w:rsid w:val="00EF615C"/>
    <w:rsid w:val="00EF6EE4"/>
    <w:rsid w:val="00EF7B96"/>
    <w:rsid w:val="00EF7BFC"/>
    <w:rsid w:val="00F00413"/>
    <w:rsid w:val="00F005D6"/>
    <w:rsid w:val="00F0069B"/>
    <w:rsid w:val="00F00BAB"/>
    <w:rsid w:val="00F016A0"/>
    <w:rsid w:val="00F01939"/>
    <w:rsid w:val="00F02F6C"/>
    <w:rsid w:val="00F032FA"/>
    <w:rsid w:val="00F043CD"/>
    <w:rsid w:val="00F0453F"/>
    <w:rsid w:val="00F04BF6"/>
    <w:rsid w:val="00F059E2"/>
    <w:rsid w:val="00F06560"/>
    <w:rsid w:val="00F111F7"/>
    <w:rsid w:val="00F113CD"/>
    <w:rsid w:val="00F11AEB"/>
    <w:rsid w:val="00F12F43"/>
    <w:rsid w:val="00F135D3"/>
    <w:rsid w:val="00F13D9C"/>
    <w:rsid w:val="00F14871"/>
    <w:rsid w:val="00F14996"/>
    <w:rsid w:val="00F15269"/>
    <w:rsid w:val="00F15B45"/>
    <w:rsid w:val="00F17019"/>
    <w:rsid w:val="00F21A66"/>
    <w:rsid w:val="00F237BF"/>
    <w:rsid w:val="00F23AB7"/>
    <w:rsid w:val="00F262CA"/>
    <w:rsid w:val="00F269AB"/>
    <w:rsid w:val="00F27707"/>
    <w:rsid w:val="00F27877"/>
    <w:rsid w:val="00F27E94"/>
    <w:rsid w:val="00F3048F"/>
    <w:rsid w:val="00F3064E"/>
    <w:rsid w:val="00F30C06"/>
    <w:rsid w:val="00F31BE8"/>
    <w:rsid w:val="00F36B4E"/>
    <w:rsid w:val="00F36EBF"/>
    <w:rsid w:val="00F40775"/>
    <w:rsid w:val="00F417A3"/>
    <w:rsid w:val="00F41D3B"/>
    <w:rsid w:val="00F43DB9"/>
    <w:rsid w:val="00F47C10"/>
    <w:rsid w:val="00F504E9"/>
    <w:rsid w:val="00F5177D"/>
    <w:rsid w:val="00F51B55"/>
    <w:rsid w:val="00F51C36"/>
    <w:rsid w:val="00F51C38"/>
    <w:rsid w:val="00F51EF3"/>
    <w:rsid w:val="00F51F01"/>
    <w:rsid w:val="00F52227"/>
    <w:rsid w:val="00F52600"/>
    <w:rsid w:val="00F5261A"/>
    <w:rsid w:val="00F53833"/>
    <w:rsid w:val="00F53D47"/>
    <w:rsid w:val="00F546F2"/>
    <w:rsid w:val="00F549BD"/>
    <w:rsid w:val="00F553E3"/>
    <w:rsid w:val="00F556AA"/>
    <w:rsid w:val="00F55AFA"/>
    <w:rsid w:val="00F560F7"/>
    <w:rsid w:val="00F56621"/>
    <w:rsid w:val="00F61331"/>
    <w:rsid w:val="00F63753"/>
    <w:rsid w:val="00F63A5F"/>
    <w:rsid w:val="00F670E9"/>
    <w:rsid w:val="00F71021"/>
    <w:rsid w:val="00F73AC2"/>
    <w:rsid w:val="00F73E2E"/>
    <w:rsid w:val="00F73F62"/>
    <w:rsid w:val="00F74AF9"/>
    <w:rsid w:val="00F74CEB"/>
    <w:rsid w:val="00F75D7D"/>
    <w:rsid w:val="00F7603B"/>
    <w:rsid w:val="00F7622C"/>
    <w:rsid w:val="00F801CD"/>
    <w:rsid w:val="00F803FA"/>
    <w:rsid w:val="00F81F42"/>
    <w:rsid w:val="00F8311B"/>
    <w:rsid w:val="00F8338F"/>
    <w:rsid w:val="00F834A5"/>
    <w:rsid w:val="00F844EA"/>
    <w:rsid w:val="00F84BF4"/>
    <w:rsid w:val="00F84EE1"/>
    <w:rsid w:val="00F850DE"/>
    <w:rsid w:val="00F864A3"/>
    <w:rsid w:val="00F9013B"/>
    <w:rsid w:val="00F904A4"/>
    <w:rsid w:val="00F9054C"/>
    <w:rsid w:val="00F90FE1"/>
    <w:rsid w:val="00F91627"/>
    <w:rsid w:val="00F93E31"/>
    <w:rsid w:val="00F94B50"/>
    <w:rsid w:val="00F96D3B"/>
    <w:rsid w:val="00F975B2"/>
    <w:rsid w:val="00F9772E"/>
    <w:rsid w:val="00F97FFC"/>
    <w:rsid w:val="00FA156A"/>
    <w:rsid w:val="00FA18E6"/>
    <w:rsid w:val="00FA1E22"/>
    <w:rsid w:val="00FA1EA0"/>
    <w:rsid w:val="00FA2337"/>
    <w:rsid w:val="00FA3583"/>
    <w:rsid w:val="00FA3637"/>
    <w:rsid w:val="00FA5610"/>
    <w:rsid w:val="00FA6CDD"/>
    <w:rsid w:val="00FA6F3F"/>
    <w:rsid w:val="00FB14E8"/>
    <w:rsid w:val="00FB20FF"/>
    <w:rsid w:val="00FB2B49"/>
    <w:rsid w:val="00FB2FB6"/>
    <w:rsid w:val="00FB33FE"/>
    <w:rsid w:val="00FB3411"/>
    <w:rsid w:val="00FB35FD"/>
    <w:rsid w:val="00FB404F"/>
    <w:rsid w:val="00FB510E"/>
    <w:rsid w:val="00FB6708"/>
    <w:rsid w:val="00FB7AF6"/>
    <w:rsid w:val="00FB7D78"/>
    <w:rsid w:val="00FC2459"/>
    <w:rsid w:val="00FC3C1C"/>
    <w:rsid w:val="00FC567F"/>
    <w:rsid w:val="00FC5D6D"/>
    <w:rsid w:val="00FC62FC"/>
    <w:rsid w:val="00FD03DA"/>
    <w:rsid w:val="00FD0B2D"/>
    <w:rsid w:val="00FD0BF8"/>
    <w:rsid w:val="00FD125B"/>
    <w:rsid w:val="00FD1902"/>
    <w:rsid w:val="00FD1B6E"/>
    <w:rsid w:val="00FD41CF"/>
    <w:rsid w:val="00FD60E6"/>
    <w:rsid w:val="00FD641E"/>
    <w:rsid w:val="00FD6CE6"/>
    <w:rsid w:val="00FD7103"/>
    <w:rsid w:val="00FE01CA"/>
    <w:rsid w:val="00FE0AE5"/>
    <w:rsid w:val="00FE13BC"/>
    <w:rsid w:val="00FE13C5"/>
    <w:rsid w:val="00FE155E"/>
    <w:rsid w:val="00FE171A"/>
    <w:rsid w:val="00FE1C2E"/>
    <w:rsid w:val="00FE214A"/>
    <w:rsid w:val="00FE43E3"/>
    <w:rsid w:val="00FE4C60"/>
    <w:rsid w:val="00FE795E"/>
    <w:rsid w:val="00FF02A4"/>
    <w:rsid w:val="00FF088C"/>
    <w:rsid w:val="00FF121D"/>
    <w:rsid w:val="00FF1689"/>
    <w:rsid w:val="00FF1D09"/>
    <w:rsid w:val="00FF2B0C"/>
    <w:rsid w:val="00FF400B"/>
    <w:rsid w:val="00FF4520"/>
    <w:rsid w:val="00FF48EE"/>
    <w:rsid w:val="00FF4C65"/>
    <w:rsid w:val="00FF5091"/>
    <w:rsid w:val="00FF53F0"/>
    <w:rsid w:val="00FF6422"/>
    <w:rsid w:val="01C127E1"/>
    <w:rsid w:val="01F2753D"/>
    <w:rsid w:val="032A0C00"/>
    <w:rsid w:val="03E847A6"/>
    <w:rsid w:val="04073A28"/>
    <w:rsid w:val="0446138B"/>
    <w:rsid w:val="04C97752"/>
    <w:rsid w:val="05175CB0"/>
    <w:rsid w:val="05B830D4"/>
    <w:rsid w:val="0788465B"/>
    <w:rsid w:val="086F1377"/>
    <w:rsid w:val="097645D3"/>
    <w:rsid w:val="09AC48EF"/>
    <w:rsid w:val="09CD44CE"/>
    <w:rsid w:val="0A20245E"/>
    <w:rsid w:val="0A40100F"/>
    <w:rsid w:val="0A4F320E"/>
    <w:rsid w:val="0A817046"/>
    <w:rsid w:val="0A8E3AF2"/>
    <w:rsid w:val="0AD14F4A"/>
    <w:rsid w:val="0ADE26CB"/>
    <w:rsid w:val="0B161399"/>
    <w:rsid w:val="0B3E48F6"/>
    <w:rsid w:val="0C032502"/>
    <w:rsid w:val="0CAC0156"/>
    <w:rsid w:val="0E26206B"/>
    <w:rsid w:val="10316128"/>
    <w:rsid w:val="107E39A7"/>
    <w:rsid w:val="108205DF"/>
    <w:rsid w:val="110113F5"/>
    <w:rsid w:val="11D95BD1"/>
    <w:rsid w:val="122907E8"/>
    <w:rsid w:val="12B80632"/>
    <w:rsid w:val="12C23BEA"/>
    <w:rsid w:val="134358DA"/>
    <w:rsid w:val="13DD188A"/>
    <w:rsid w:val="13E03A64"/>
    <w:rsid w:val="151F47F0"/>
    <w:rsid w:val="1583211E"/>
    <w:rsid w:val="15D171CD"/>
    <w:rsid w:val="16144628"/>
    <w:rsid w:val="16446531"/>
    <w:rsid w:val="16532632"/>
    <w:rsid w:val="16583A87"/>
    <w:rsid w:val="16730DB6"/>
    <w:rsid w:val="175005C5"/>
    <w:rsid w:val="17CD1C16"/>
    <w:rsid w:val="18D246ED"/>
    <w:rsid w:val="195C6635"/>
    <w:rsid w:val="1974012E"/>
    <w:rsid w:val="198C38D3"/>
    <w:rsid w:val="19DB488C"/>
    <w:rsid w:val="1AF000F5"/>
    <w:rsid w:val="1BCA6B98"/>
    <w:rsid w:val="1BDE669C"/>
    <w:rsid w:val="1C6568C1"/>
    <w:rsid w:val="1D344C11"/>
    <w:rsid w:val="1D474C36"/>
    <w:rsid w:val="1DDF0828"/>
    <w:rsid w:val="1DE33F41"/>
    <w:rsid w:val="1E6729E0"/>
    <w:rsid w:val="1E6A4663"/>
    <w:rsid w:val="1E780D27"/>
    <w:rsid w:val="1E844324"/>
    <w:rsid w:val="1EC260BF"/>
    <w:rsid w:val="1F024892"/>
    <w:rsid w:val="1F4E188E"/>
    <w:rsid w:val="1F9F21F4"/>
    <w:rsid w:val="1FB36D96"/>
    <w:rsid w:val="20BB2F90"/>
    <w:rsid w:val="20DA3C69"/>
    <w:rsid w:val="21246D4B"/>
    <w:rsid w:val="2138748F"/>
    <w:rsid w:val="21511635"/>
    <w:rsid w:val="223B6FB4"/>
    <w:rsid w:val="226C6BFB"/>
    <w:rsid w:val="22AA14D2"/>
    <w:rsid w:val="23CC022F"/>
    <w:rsid w:val="249D12EE"/>
    <w:rsid w:val="24B93C4E"/>
    <w:rsid w:val="257F4BA7"/>
    <w:rsid w:val="270E3DDA"/>
    <w:rsid w:val="278A18D2"/>
    <w:rsid w:val="27C070C8"/>
    <w:rsid w:val="291458F7"/>
    <w:rsid w:val="29B01A73"/>
    <w:rsid w:val="2B4C581C"/>
    <w:rsid w:val="2BA03472"/>
    <w:rsid w:val="2BA230D5"/>
    <w:rsid w:val="2C31056E"/>
    <w:rsid w:val="2D3C0B12"/>
    <w:rsid w:val="2DAC0902"/>
    <w:rsid w:val="2E4567ED"/>
    <w:rsid w:val="2E7C6418"/>
    <w:rsid w:val="2F695895"/>
    <w:rsid w:val="31064B21"/>
    <w:rsid w:val="32CE2FBA"/>
    <w:rsid w:val="3321610D"/>
    <w:rsid w:val="34285A1D"/>
    <w:rsid w:val="35021C06"/>
    <w:rsid w:val="356D6ABA"/>
    <w:rsid w:val="357240D1"/>
    <w:rsid w:val="35BD2D58"/>
    <w:rsid w:val="3852678F"/>
    <w:rsid w:val="38544E94"/>
    <w:rsid w:val="39CE47E2"/>
    <w:rsid w:val="39FA7ED0"/>
    <w:rsid w:val="3AD508FF"/>
    <w:rsid w:val="3AF8522A"/>
    <w:rsid w:val="3B665FE4"/>
    <w:rsid w:val="3BAC0116"/>
    <w:rsid w:val="3D4311FF"/>
    <w:rsid w:val="3E0F3DFA"/>
    <w:rsid w:val="3E274D3E"/>
    <w:rsid w:val="3F514D57"/>
    <w:rsid w:val="406C6823"/>
    <w:rsid w:val="412C6F00"/>
    <w:rsid w:val="413A31F9"/>
    <w:rsid w:val="413E0889"/>
    <w:rsid w:val="415A335D"/>
    <w:rsid w:val="41C924BE"/>
    <w:rsid w:val="4392593E"/>
    <w:rsid w:val="439A35C1"/>
    <w:rsid w:val="43D16466"/>
    <w:rsid w:val="440A64FC"/>
    <w:rsid w:val="443338EB"/>
    <w:rsid w:val="44572BAD"/>
    <w:rsid w:val="45F621B4"/>
    <w:rsid w:val="47150D60"/>
    <w:rsid w:val="47B642F1"/>
    <w:rsid w:val="48A63035"/>
    <w:rsid w:val="48B268BC"/>
    <w:rsid w:val="49913EE5"/>
    <w:rsid w:val="49C80690"/>
    <w:rsid w:val="4A070E34"/>
    <w:rsid w:val="4A6873F9"/>
    <w:rsid w:val="4DD97DFE"/>
    <w:rsid w:val="4E796039"/>
    <w:rsid w:val="500E7377"/>
    <w:rsid w:val="506D3493"/>
    <w:rsid w:val="506D7517"/>
    <w:rsid w:val="53B35B89"/>
    <w:rsid w:val="53F464D0"/>
    <w:rsid w:val="53F97C37"/>
    <w:rsid w:val="549D0A75"/>
    <w:rsid w:val="56D4209E"/>
    <w:rsid w:val="57541431"/>
    <w:rsid w:val="578660ED"/>
    <w:rsid w:val="585148E1"/>
    <w:rsid w:val="585965FA"/>
    <w:rsid w:val="599124C8"/>
    <w:rsid w:val="59D625D1"/>
    <w:rsid w:val="5A3E471D"/>
    <w:rsid w:val="5AD85ED5"/>
    <w:rsid w:val="5B164E85"/>
    <w:rsid w:val="5CD06305"/>
    <w:rsid w:val="5D7A3273"/>
    <w:rsid w:val="5E6E102A"/>
    <w:rsid w:val="5E9D546B"/>
    <w:rsid w:val="5F6652E9"/>
    <w:rsid w:val="5F8C403F"/>
    <w:rsid w:val="608B62B2"/>
    <w:rsid w:val="61B612BE"/>
    <w:rsid w:val="63DA0EDD"/>
    <w:rsid w:val="645864C5"/>
    <w:rsid w:val="651A3F0B"/>
    <w:rsid w:val="655774EE"/>
    <w:rsid w:val="65B42D41"/>
    <w:rsid w:val="6653074D"/>
    <w:rsid w:val="67627252"/>
    <w:rsid w:val="6AB04778"/>
    <w:rsid w:val="6B330E59"/>
    <w:rsid w:val="6B655563"/>
    <w:rsid w:val="6CB4125F"/>
    <w:rsid w:val="6CBC7404"/>
    <w:rsid w:val="6DA5360D"/>
    <w:rsid w:val="6EF13C87"/>
    <w:rsid w:val="70137AA4"/>
    <w:rsid w:val="706856BC"/>
    <w:rsid w:val="707E3A8B"/>
    <w:rsid w:val="71A072F4"/>
    <w:rsid w:val="71D05D75"/>
    <w:rsid w:val="71F17B50"/>
    <w:rsid w:val="721942C2"/>
    <w:rsid w:val="722F0678"/>
    <w:rsid w:val="723D3431"/>
    <w:rsid w:val="72763DC3"/>
    <w:rsid w:val="7334639B"/>
    <w:rsid w:val="73B13A3B"/>
    <w:rsid w:val="749F55EB"/>
    <w:rsid w:val="75E50365"/>
    <w:rsid w:val="75E86628"/>
    <w:rsid w:val="771234A5"/>
    <w:rsid w:val="773367B4"/>
    <w:rsid w:val="77626189"/>
    <w:rsid w:val="781B78E5"/>
    <w:rsid w:val="792C76C0"/>
    <w:rsid w:val="79CE2867"/>
    <w:rsid w:val="79DA711C"/>
    <w:rsid w:val="7A6A04A0"/>
    <w:rsid w:val="7A9B3D65"/>
    <w:rsid w:val="7AF6338B"/>
    <w:rsid w:val="7B082483"/>
    <w:rsid w:val="7BE9206A"/>
    <w:rsid w:val="7D2D3A06"/>
    <w:rsid w:val="7E372025"/>
    <w:rsid w:val="7E394088"/>
    <w:rsid w:val="7F815F12"/>
    <w:rsid w:val="7FA42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textAlignment w:val="center"/>
    </w:pPr>
    <w:rPr>
      <w:rFonts w:ascii="Times New Roman" w:hAnsi="Times New Roman" w:eastAsia="宋体" w:cstheme="minorBidi"/>
      <w:kern w:val="2"/>
      <w:sz w:val="24"/>
      <w:szCs w:val="22"/>
      <w:lang w:val="en-US" w:eastAsia="zh-CN" w:bidi="ar-SA"/>
    </w:rPr>
  </w:style>
  <w:style w:type="paragraph" w:styleId="5">
    <w:name w:val="heading 1"/>
    <w:basedOn w:val="1"/>
    <w:next w:val="1"/>
    <w:link w:val="35"/>
    <w:qFormat/>
    <w:uiPriority w:val="0"/>
    <w:pPr>
      <w:keepNext/>
      <w:keepLines/>
      <w:spacing w:before="240" w:after="120" w:line="240" w:lineRule="auto"/>
      <w:ind w:firstLine="0" w:firstLineChars="0"/>
      <w:jc w:val="left"/>
      <w:outlineLvl w:val="0"/>
    </w:pPr>
    <w:rPr>
      <w:b/>
      <w:bCs/>
      <w:kern w:val="44"/>
      <w:sz w:val="28"/>
      <w:szCs w:val="44"/>
    </w:rPr>
  </w:style>
  <w:style w:type="paragraph" w:styleId="6">
    <w:name w:val="heading 2"/>
    <w:basedOn w:val="1"/>
    <w:next w:val="1"/>
    <w:link w:val="36"/>
    <w:unhideWhenUsed/>
    <w:qFormat/>
    <w:uiPriority w:val="9"/>
    <w:pPr>
      <w:keepNext/>
      <w:keepLines/>
      <w:spacing w:before="120" w:after="60" w:line="240" w:lineRule="auto"/>
      <w:ind w:firstLine="0" w:firstLineChars="0"/>
      <w:outlineLvl w:val="1"/>
    </w:pPr>
    <w:rPr>
      <w:rFonts w:cstheme="majorBidi"/>
      <w:b/>
      <w:bCs/>
      <w:szCs w:val="32"/>
    </w:rPr>
  </w:style>
  <w:style w:type="paragraph" w:styleId="7">
    <w:name w:val="heading 3"/>
    <w:basedOn w:val="1"/>
    <w:next w:val="1"/>
    <w:link w:val="40"/>
    <w:unhideWhenUsed/>
    <w:qFormat/>
    <w:uiPriority w:val="9"/>
    <w:pPr>
      <w:keepNext/>
      <w:keepLines/>
      <w:spacing w:before="120" w:after="60" w:line="240" w:lineRule="auto"/>
      <w:ind w:firstLine="0" w:firstLineChars="0"/>
      <w:outlineLvl w:val="2"/>
    </w:pPr>
    <w:rPr>
      <w:b/>
      <w:bCs/>
      <w:szCs w:val="32"/>
    </w:rPr>
  </w:style>
  <w:style w:type="paragraph" w:styleId="8">
    <w:name w:val="heading 4"/>
    <w:basedOn w:val="1"/>
    <w:next w:val="1"/>
    <w:link w:val="41"/>
    <w:unhideWhenUsed/>
    <w:qFormat/>
    <w:uiPriority w:val="9"/>
    <w:pPr>
      <w:keepNext/>
      <w:keepLines/>
      <w:spacing w:before="120" w:after="60" w:line="240" w:lineRule="auto"/>
      <w:ind w:firstLine="0" w:firstLineChars="0"/>
      <w:outlineLvl w:val="3"/>
    </w:pPr>
    <w:rPr>
      <w:rFonts w:cstheme="majorBidi"/>
      <w:b/>
      <w:bCs/>
      <w:szCs w:val="28"/>
    </w:rPr>
  </w:style>
  <w:style w:type="paragraph" w:styleId="9">
    <w:name w:val="heading 5"/>
    <w:basedOn w:val="1"/>
    <w:next w:val="1"/>
    <w:link w:val="100"/>
    <w:unhideWhenUsed/>
    <w:qFormat/>
    <w:uiPriority w:val="9"/>
    <w:pPr>
      <w:keepNext/>
      <w:keepLines/>
      <w:autoSpaceDE w:val="0"/>
      <w:autoSpaceDN w:val="0"/>
      <w:spacing w:before="280" w:after="290" w:line="376" w:lineRule="auto"/>
      <w:ind w:firstLine="0" w:firstLineChars="0"/>
      <w:jc w:val="left"/>
      <w:textAlignment w:val="auto"/>
      <w:outlineLvl w:val="4"/>
    </w:pPr>
    <w:rPr>
      <w:rFonts w:ascii="宋体" w:hAnsi="宋体" w:cs="宋体"/>
      <w:b/>
      <w:bCs/>
      <w:kern w:val="0"/>
      <w:sz w:val="28"/>
      <w:szCs w:val="28"/>
      <w:lang w:eastAsia="en-US"/>
    </w:rPr>
  </w:style>
  <w:style w:type="paragraph" w:styleId="10">
    <w:name w:val="heading 6"/>
    <w:basedOn w:val="1"/>
    <w:next w:val="1"/>
    <w:link w:val="101"/>
    <w:unhideWhenUsed/>
    <w:qFormat/>
    <w:uiPriority w:val="9"/>
    <w:pPr>
      <w:keepNext/>
      <w:keepLines/>
      <w:autoSpaceDE w:val="0"/>
      <w:autoSpaceDN w:val="0"/>
      <w:spacing w:before="240" w:after="64" w:line="320" w:lineRule="auto"/>
      <w:ind w:firstLine="0" w:firstLineChars="0"/>
      <w:jc w:val="left"/>
      <w:textAlignment w:val="auto"/>
      <w:outlineLvl w:val="5"/>
    </w:pPr>
    <w:rPr>
      <w:rFonts w:asciiTheme="majorHAnsi" w:hAnsiTheme="majorHAnsi" w:eastAsiaTheme="majorEastAsia" w:cstheme="majorBidi"/>
      <w:b/>
      <w:bCs/>
      <w:kern w:val="0"/>
      <w:szCs w:val="24"/>
      <w:lang w:eastAsia="en-US"/>
    </w:rPr>
  </w:style>
  <w:style w:type="character" w:default="1" w:styleId="28">
    <w:name w:val="Default Paragraph Font"/>
    <w:semiHidden/>
    <w:unhideWhenUsed/>
    <w:qFormat/>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link w:val="99"/>
    <w:unhideWhenUsed/>
    <w:qFormat/>
    <w:uiPriority w:val="99"/>
    <w:pPr>
      <w:ind w:left="0" w:leftChars="0" w:firstLine="480"/>
    </w:pPr>
  </w:style>
  <w:style w:type="paragraph" w:styleId="3">
    <w:name w:val="Body Text Indent"/>
    <w:basedOn w:val="1"/>
    <w:next w:val="4"/>
    <w:link w:val="103"/>
    <w:semiHidden/>
    <w:unhideWhenUsed/>
    <w:qFormat/>
    <w:uiPriority w:val="99"/>
    <w:pPr>
      <w:spacing w:after="120"/>
      <w:ind w:left="420" w:leftChars="200"/>
    </w:pPr>
  </w:style>
  <w:style w:type="paragraph" w:customStyle="1" w:styleId="4">
    <w:name w:val="样式 正文文本缩进 + 行距: 1.5 倍行距"/>
    <w:basedOn w:val="3"/>
    <w:qFormat/>
    <w:uiPriority w:val="0"/>
    <w:pPr>
      <w:ind w:firstLine="560"/>
    </w:pPr>
    <w:rPr>
      <w:rFonts w:cs="宋体"/>
      <w:sz w:val="28"/>
    </w:rPr>
  </w:style>
  <w:style w:type="paragraph" w:styleId="11">
    <w:name w:val="Normal Indent"/>
    <w:basedOn w:val="1"/>
    <w:link w:val="86"/>
    <w:qFormat/>
    <w:uiPriority w:val="0"/>
    <w:pPr>
      <w:adjustRightInd w:val="0"/>
      <w:snapToGrid w:val="0"/>
      <w:ind w:firstLine="420"/>
      <w:textAlignment w:val="auto"/>
    </w:pPr>
    <w:rPr>
      <w:rFonts w:ascii="宋体" w:hAnsi="宋体" w:cs="Times New Roman"/>
      <w:sz w:val="28"/>
      <w:szCs w:val="20"/>
    </w:rPr>
  </w:style>
  <w:style w:type="paragraph" w:styleId="12">
    <w:name w:val="annotation text"/>
    <w:basedOn w:val="1"/>
    <w:link w:val="48"/>
    <w:unhideWhenUsed/>
    <w:qFormat/>
    <w:uiPriority w:val="0"/>
    <w:pPr>
      <w:jc w:val="left"/>
      <w:textAlignment w:val="auto"/>
    </w:pPr>
  </w:style>
  <w:style w:type="paragraph" w:styleId="13">
    <w:name w:val="Body Text"/>
    <w:basedOn w:val="1"/>
    <w:next w:val="1"/>
    <w:link w:val="102"/>
    <w:qFormat/>
    <w:uiPriority w:val="1"/>
    <w:rPr>
      <w:szCs w:val="24"/>
    </w:rPr>
  </w:style>
  <w:style w:type="paragraph" w:styleId="14">
    <w:name w:val="List 2"/>
    <w:basedOn w:val="1"/>
    <w:semiHidden/>
    <w:unhideWhenUsed/>
    <w:qFormat/>
    <w:uiPriority w:val="99"/>
    <w:pPr>
      <w:ind w:left="100" w:leftChars="200" w:hanging="200" w:hangingChars="200"/>
      <w:contextualSpacing/>
      <w:textAlignment w:val="auto"/>
    </w:pPr>
    <w:rPr>
      <w:rFonts w:cs="Times New Roman"/>
    </w:rPr>
  </w:style>
  <w:style w:type="paragraph" w:styleId="15">
    <w:name w:val="Date"/>
    <w:basedOn w:val="1"/>
    <w:next w:val="1"/>
    <w:link w:val="68"/>
    <w:semiHidden/>
    <w:unhideWhenUsed/>
    <w:qFormat/>
    <w:uiPriority w:val="99"/>
    <w:pPr>
      <w:ind w:left="100" w:leftChars="2500"/>
    </w:pPr>
  </w:style>
  <w:style w:type="paragraph" w:styleId="16">
    <w:name w:val="Balloon Text"/>
    <w:basedOn w:val="1"/>
    <w:link w:val="44"/>
    <w:unhideWhenUsed/>
    <w:qFormat/>
    <w:uiPriority w:val="0"/>
    <w:pPr>
      <w:spacing w:line="240" w:lineRule="auto"/>
    </w:pPr>
    <w:rPr>
      <w:sz w:val="18"/>
      <w:szCs w:val="18"/>
    </w:rPr>
  </w:style>
  <w:style w:type="paragraph" w:styleId="17">
    <w:name w:val="footer"/>
    <w:basedOn w:val="1"/>
    <w:link w:val="43"/>
    <w:unhideWhenUsed/>
    <w:qFormat/>
    <w:uiPriority w:val="0"/>
    <w:pPr>
      <w:tabs>
        <w:tab w:val="center" w:pos="4153"/>
        <w:tab w:val="right" w:pos="8306"/>
      </w:tabs>
      <w:snapToGrid w:val="0"/>
      <w:spacing w:line="240" w:lineRule="auto"/>
      <w:jc w:val="left"/>
    </w:pPr>
    <w:rPr>
      <w:sz w:val="18"/>
      <w:szCs w:val="18"/>
    </w:rPr>
  </w:style>
  <w:style w:type="paragraph" w:styleId="18">
    <w:name w:val="header"/>
    <w:basedOn w:val="1"/>
    <w:link w:val="42"/>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9">
    <w:name w:val="Subtitle"/>
    <w:basedOn w:val="1"/>
    <w:next w:val="1"/>
    <w:link w:val="38"/>
    <w:qFormat/>
    <w:uiPriority w:val="11"/>
    <w:pPr>
      <w:spacing w:before="120" w:after="60" w:line="240" w:lineRule="auto"/>
      <w:ind w:firstLine="0" w:firstLineChars="0"/>
      <w:outlineLvl w:val="3"/>
    </w:pPr>
    <w:rPr>
      <w:b/>
      <w:bCs/>
      <w:kern w:val="28"/>
      <w:szCs w:val="32"/>
    </w:rPr>
  </w:style>
  <w:style w:type="paragraph" w:styleId="20">
    <w:name w:val="List"/>
    <w:basedOn w:val="1"/>
    <w:semiHidden/>
    <w:unhideWhenUsed/>
    <w:qFormat/>
    <w:uiPriority w:val="99"/>
    <w:pPr>
      <w:ind w:left="200" w:hanging="200" w:hangingChars="200"/>
      <w:contextualSpacing/>
    </w:pPr>
  </w:style>
  <w:style w:type="paragraph" w:styleId="21">
    <w:name w:val="Body Text Indent 3"/>
    <w:basedOn w:val="1"/>
    <w:link w:val="57"/>
    <w:semiHidden/>
    <w:unhideWhenUsed/>
    <w:qFormat/>
    <w:uiPriority w:val="99"/>
    <w:pPr>
      <w:ind w:left="359" w:leftChars="171" w:firstLine="420"/>
      <w:textAlignment w:val="auto"/>
    </w:pPr>
    <w:rPr>
      <w:rFonts w:cs="Times New Roman"/>
      <w:sz w:val="21"/>
      <w:szCs w:val="24"/>
    </w:rPr>
  </w:style>
  <w:style w:type="paragraph" w:styleId="22">
    <w:name w:val="Normal (Web)"/>
    <w:basedOn w:val="1"/>
    <w:semiHidden/>
    <w:unhideWhenUsed/>
    <w:qFormat/>
    <w:uiPriority w:val="99"/>
    <w:pPr>
      <w:widowControl/>
      <w:spacing w:before="100" w:beforeAutospacing="1" w:after="100" w:afterAutospacing="1" w:line="240" w:lineRule="auto"/>
      <w:ind w:firstLine="0" w:firstLineChars="0"/>
      <w:jc w:val="left"/>
      <w:textAlignment w:val="auto"/>
    </w:pPr>
    <w:rPr>
      <w:rFonts w:ascii="宋体" w:hAnsi="宋体" w:cs="宋体"/>
      <w:kern w:val="0"/>
      <w:szCs w:val="24"/>
    </w:rPr>
  </w:style>
  <w:style w:type="paragraph" w:styleId="23">
    <w:name w:val="Title"/>
    <w:basedOn w:val="1"/>
    <w:next w:val="1"/>
    <w:link w:val="37"/>
    <w:qFormat/>
    <w:uiPriority w:val="10"/>
    <w:pPr>
      <w:spacing w:before="120" w:after="60" w:line="240" w:lineRule="auto"/>
      <w:ind w:firstLine="0" w:firstLineChars="0"/>
      <w:outlineLvl w:val="2"/>
    </w:pPr>
    <w:rPr>
      <w:rFonts w:cstheme="majorBidi"/>
      <w:b/>
      <w:bCs/>
      <w:szCs w:val="32"/>
    </w:rPr>
  </w:style>
  <w:style w:type="paragraph" w:styleId="24">
    <w:name w:val="annotation subject"/>
    <w:basedOn w:val="12"/>
    <w:next w:val="12"/>
    <w:link w:val="52"/>
    <w:unhideWhenUsed/>
    <w:qFormat/>
    <w:uiPriority w:val="99"/>
    <w:pPr>
      <w:textAlignment w:val="center"/>
    </w:pPr>
    <w:rPr>
      <w:b/>
      <w:bCs/>
    </w:rPr>
  </w:style>
  <w:style w:type="paragraph" w:styleId="25">
    <w:name w:val="Body Text First Indent"/>
    <w:basedOn w:val="13"/>
    <w:next w:val="1"/>
    <w:link w:val="104"/>
    <w:qFormat/>
    <w:uiPriority w:val="0"/>
    <w:pPr>
      <w:ind w:firstLine="420" w:firstLineChars="100"/>
    </w:p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rPr>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Hyperlink"/>
    <w:basedOn w:val="28"/>
    <w:unhideWhenUsed/>
    <w:qFormat/>
    <w:uiPriority w:val="99"/>
    <w:rPr>
      <w:color w:val="0563C1" w:themeColor="hyperlink"/>
      <w:u w:val="single"/>
      <w14:textFill>
        <w14:solidFill>
          <w14:schemeClr w14:val="hlink"/>
        </w14:solidFill>
      </w14:textFill>
    </w:rPr>
  </w:style>
  <w:style w:type="character" w:styleId="32">
    <w:name w:val="HTML Code"/>
    <w:basedOn w:val="28"/>
    <w:semiHidden/>
    <w:unhideWhenUsed/>
    <w:qFormat/>
    <w:uiPriority w:val="99"/>
    <w:rPr>
      <w:rFonts w:ascii="Courier New" w:hAnsi="Courier New"/>
      <w:sz w:val="20"/>
    </w:rPr>
  </w:style>
  <w:style w:type="character" w:styleId="33">
    <w:name w:val="annotation reference"/>
    <w:basedOn w:val="28"/>
    <w:semiHidden/>
    <w:unhideWhenUsed/>
    <w:qFormat/>
    <w:uiPriority w:val="0"/>
    <w:rPr>
      <w:sz w:val="21"/>
      <w:szCs w:val="21"/>
    </w:rPr>
  </w:style>
  <w:style w:type="paragraph" w:styleId="34">
    <w:name w:val="No Spacing"/>
    <w:basedOn w:val="20"/>
    <w:next w:val="1"/>
    <w:link w:val="51"/>
    <w:qFormat/>
    <w:uiPriority w:val="1"/>
    <w:pPr>
      <w:spacing w:line="240" w:lineRule="auto"/>
      <w:ind w:left="0" w:firstLine="0" w:firstLineChars="0"/>
      <w:jc w:val="center"/>
    </w:pPr>
    <w:rPr>
      <w:sz w:val="21"/>
    </w:rPr>
  </w:style>
  <w:style w:type="character" w:customStyle="1" w:styleId="35">
    <w:name w:val="标题 1 字符"/>
    <w:basedOn w:val="28"/>
    <w:link w:val="5"/>
    <w:qFormat/>
    <w:uiPriority w:val="0"/>
    <w:rPr>
      <w:rFonts w:ascii="Times New Roman" w:hAnsi="Times New Roman" w:eastAsia="宋体"/>
      <w:b/>
      <w:bCs/>
      <w:kern w:val="44"/>
      <w:sz w:val="28"/>
      <w:szCs w:val="44"/>
    </w:rPr>
  </w:style>
  <w:style w:type="character" w:customStyle="1" w:styleId="36">
    <w:name w:val="标题 2 字符"/>
    <w:basedOn w:val="28"/>
    <w:link w:val="6"/>
    <w:qFormat/>
    <w:uiPriority w:val="9"/>
    <w:rPr>
      <w:rFonts w:ascii="Times New Roman" w:hAnsi="Times New Roman" w:eastAsia="宋体" w:cstheme="majorBidi"/>
      <w:b/>
      <w:bCs/>
      <w:sz w:val="24"/>
      <w:szCs w:val="32"/>
    </w:rPr>
  </w:style>
  <w:style w:type="character" w:customStyle="1" w:styleId="37">
    <w:name w:val="标题 字符"/>
    <w:basedOn w:val="28"/>
    <w:link w:val="23"/>
    <w:qFormat/>
    <w:uiPriority w:val="10"/>
    <w:rPr>
      <w:rFonts w:ascii="Times New Roman" w:hAnsi="Times New Roman" w:eastAsia="宋体" w:cstheme="majorBidi"/>
      <w:b/>
      <w:bCs/>
      <w:sz w:val="24"/>
      <w:szCs w:val="32"/>
    </w:rPr>
  </w:style>
  <w:style w:type="character" w:customStyle="1" w:styleId="38">
    <w:name w:val="副标题 字符"/>
    <w:basedOn w:val="28"/>
    <w:link w:val="19"/>
    <w:qFormat/>
    <w:uiPriority w:val="11"/>
    <w:rPr>
      <w:rFonts w:ascii="Times New Roman" w:hAnsi="Times New Roman" w:eastAsia="宋体"/>
      <w:b/>
      <w:bCs/>
      <w:kern w:val="28"/>
      <w:sz w:val="24"/>
      <w:szCs w:val="32"/>
    </w:rPr>
  </w:style>
  <w:style w:type="paragraph" w:customStyle="1" w:styleId="39">
    <w:name w:val="表题"/>
    <w:basedOn w:val="1"/>
    <w:next w:val="1"/>
    <w:qFormat/>
    <w:uiPriority w:val="0"/>
    <w:pPr>
      <w:spacing w:before="50" w:beforeLines="50" w:line="240" w:lineRule="auto"/>
      <w:ind w:firstLine="0" w:firstLineChars="0"/>
      <w:jc w:val="center"/>
    </w:pPr>
    <w:rPr>
      <w:b/>
      <w:sz w:val="21"/>
    </w:rPr>
  </w:style>
  <w:style w:type="character" w:customStyle="1" w:styleId="40">
    <w:name w:val="标题 3 字符"/>
    <w:basedOn w:val="28"/>
    <w:link w:val="7"/>
    <w:qFormat/>
    <w:uiPriority w:val="9"/>
    <w:rPr>
      <w:rFonts w:ascii="Times New Roman" w:hAnsi="Times New Roman" w:eastAsia="宋体"/>
      <w:b/>
      <w:bCs/>
      <w:sz w:val="24"/>
      <w:szCs w:val="32"/>
    </w:rPr>
  </w:style>
  <w:style w:type="character" w:customStyle="1" w:styleId="41">
    <w:name w:val="标题 4 字符"/>
    <w:basedOn w:val="28"/>
    <w:link w:val="8"/>
    <w:qFormat/>
    <w:uiPriority w:val="9"/>
    <w:rPr>
      <w:rFonts w:ascii="Times New Roman" w:hAnsi="Times New Roman" w:eastAsia="宋体" w:cstheme="majorBidi"/>
      <w:b/>
      <w:bCs/>
      <w:sz w:val="24"/>
      <w:szCs w:val="28"/>
    </w:rPr>
  </w:style>
  <w:style w:type="character" w:customStyle="1" w:styleId="42">
    <w:name w:val="页眉 字符"/>
    <w:basedOn w:val="28"/>
    <w:link w:val="18"/>
    <w:qFormat/>
    <w:uiPriority w:val="0"/>
    <w:rPr>
      <w:rFonts w:ascii="Times New Roman" w:hAnsi="Times New Roman" w:eastAsia="宋体"/>
      <w:sz w:val="18"/>
      <w:szCs w:val="18"/>
    </w:rPr>
  </w:style>
  <w:style w:type="character" w:customStyle="1" w:styleId="43">
    <w:name w:val="页脚 字符"/>
    <w:basedOn w:val="28"/>
    <w:link w:val="17"/>
    <w:qFormat/>
    <w:uiPriority w:val="0"/>
    <w:rPr>
      <w:rFonts w:ascii="Times New Roman" w:hAnsi="Times New Roman" w:eastAsia="宋体"/>
      <w:sz w:val="18"/>
      <w:szCs w:val="18"/>
    </w:rPr>
  </w:style>
  <w:style w:type="character" w:customStyle="1" w:styleId="44">
    <w:name w:val="批注框文本 字符"/>
    <w:basedOn w:val="28"/>
    <w:link w:val="16"/>
    <w:qFormat/>
    <w:uiPriority w:val="0"/>
    <w:rPr>
      <w:rFonts w:ascii="Times New Roman" w:hAnsi="Times New Roman" w:eastAsia="宋体"/>
      <w:sz w:val="18"/>
      <w:szCs w:val="18"/>
    </w:rPr>
  </w:style>
  <w:style w:type="character" w:customStyle="1" w:styleId="45">
    <w:name w:val="表格文字2 Char"/>
    <w:link w:val="46"/>
    <w:qFormat/>
    <w:uiPriority w:val="0"/>
    <w:rPr>
      <w:rFonts w:ascii="宋体" w:hAnsi="宋体" w:eastAsia="宋体" w:cs="宋体"/>
      <w:bCs/>
      <w:spacing w:val="5"/>
      <w:kern w:val="0"/>
      <w:szCs w:val="21"/>
    </w:rPr>
  </w:style>
  <w:style w:type="paragraph" w:customStyle="1" w:styleId="46">
    <w:name w:val="表格文字2"/>
    <w:basedOn w:val="1"/>
    <w:link w:val="45"/>
    <w:qFormat/>
    <w:uiPriority w:val="0"/>
    <w:pPr>
      <w:tabs>
        <w:tab w:val="left" w:pos="277"/>
        <w:tab w:val="left" w:pos="600"/>
        <w:tab w:val="left" w:pos="780"/>
        <w:tab w:val="left" w:pos="2517"/>
      </w:tabs>
      <w:adjustRightInd w:val="0"/>
      <w:spacing w:before="60" w:line="240" w:lineRule="auto"/>
      <w:ind w:firstLine="0" w:firstLineChars="0"/>
      <w:jc w:val="center"/>
      <w:textAlignment w:val="auto"/>
    </w:pPr>
    <w:rPr>
      <w:rFonts w:ascii="宋体" w:hAnsi="宋体" w:cs="宋体"/>
      <w:bCs/>
      <w:spacing w:val="5"/>
      <w:kern w:val="0"/>
      <w:sz w:val="21"/>
      <w:szCs w:val="21"/>
    </w:rPr>
  </w:style>
  <w:style w:type="character" w:customStyle="1" w:styleId="47">
    <w:name w:val="showhidemsg"/>
    <w:basedOn w:val="28"/>
    <w:qFormat/>
    <w:uiPriority w:val="0"/>
  </w:style>
  <w:style w:type="character" w:customStyle="1" w:styleId="48">
    <w:name w:val="批注文字 字符"/>
    <w:basedOn w:val="28"/>
    <w:link w:val="12"/>
    <w:qFormat/>
    <w:uiPriority w:val="0"/>
    <w:rPr>
      <w:rFonts w:ascii="Times New Roman" w:hAnsi="Times New Roman" w:eastAsia="宋体"/>
      <w:sz w:val="24"/>
    </w:rPr>
  </w:style>
  <w:style w:type="character" w:customStyle="1" w:styleId="49">
    <w:name w:val="未处理的提及1"/>
    <w:basedOn w:val="28"/>
    <w:semiHidden/>
    <w:unhideWhenUsed/>
    <w:qFormat/>
    <w:uiPriority w:val="99"/>
    <w:rPr>
      <w:color w:val="605E5C"/>
      <w:shd w:val="clear" w:color="auto" w:fill="E1DFDD"/>
    </w:rPr>
  </w:style>
  <w:style w:type="paragraph" w:customStyle="1" w:styleId="50">
    <w:name w:val="无间隔1"/>
    <w:basedOn w:val="20"/>
    <w:next w:val="1"/>
    <w:qFormat/>
    <w:uiPriority w:val="1"/>
    <w:pPr>
      <w:spacing w:line="240" w:lineRule="auto"/>
      <w:ind w:left="0" w:firstLine="0" w:firstLineChars="0"/>
      <w:jc w:val="center"/>
      <w:textAlignment w:val="auto"/>
    </w:pPr>
    <w:rPr>
      <w:sz w:val="21"/>
    </w:rPr>
  </w:style>
  <w:style w:type="character" w:customStyle="1" w:styleId="51">
    <w:name w:val="无间隔 字符"/>
    <w:basedOn w:val="28"/>
    <w:link w:val="34"/>
    <w:qFormat/>
    <w:uiPriority w:val="1"/>
    <w:rPr>
      <w:rFonts w:ascii="Times New Roman" w:hAnsi="Times New Roman" w:eastAsia="宋体"/>
    </w:rPr>
  </w:style>
  <w:style w:type="character" w:customStyle="1" w:styleId="52">
    <w:name w:val="批注主题 字符"/>
    <w:basedOn w:val="48"/>
    <w:link w:val="24"/>
    <w:qFormat/>
    <w:uiPriority w:val="99"/>
    <w:rPr>
      <w:rFonts w:ascii="Times New Roman" w:hAnsi="Times New Roman" w:eastAsia="宋体"/>
      <w:b/>
      <w:bCs/>
      <w:sz w:val="24"/>
    </w:rPr>
  </w:style>
  <w:style w:type="paragraph" w:customStyle="1" w:styleId="53">
    <w:name w:val="修订1"/>
    <w:hidden/>
    <w:semiHidden/>
    <w:qFormat/>
    <w:uiPriority w:val="99"/>
    <w:rPr>
      <w:rFonts w:ascii="Times New Roman" w:hAnsi="Times New Roman" w:eastAsia="宋体" w:cstheme="minorBidi"/>
      <w:kern w:val="2"/>
      <w:sz w:val="24"/>
      <w:szCs w:val="22"/>
      <w:lang w:val="en-US" w:eastAsia="zh-CN" w:bidi="ar-SA"/>
    </w:rPr>
  </w:style>
  <w:style w:type="paragraph" w:customStyle="1" w:styleId="54">
    <w:name w:val="msonormal"/>
    <w:basedOn w:val="1"/>
    <w:qFormat/>
    <w:uiPriority w:val="99"/>
    <w:pPr>
      <w:widowControl/>
      <w:spacing w:before="100" w:beforeAutospacing="1" w:after="100" w:afterAutospacing="1" w:line="240" w:lineRule="auto"/>
      <w:ind w:firstLine="0" w:firstLineChars="0"/>
      <w:jc w:val="left"/>
      <w:textAlignment w:val="auto"/>
    </w:pPr>
    <w:rPr>
      <w:rFonts w:ascii="宋体" w:hAnsi="宋体" w:cs="宋体"/>
      <w:kern w:val="0"/>
      <w:szCs w:val="24"/>
    </w:rPr>
  </w:style>
  <w:style w:type="character" w:customStyle="1" w:styleId="55">
    <w:name w:val="标题 字符1"/>
    <w:basedOn w:val="28"/>
    <w:qFormat/>
    <w:uiPriority w:val="10"/>
    <w:rPr>
      <w:rFonts w:asciiTheme="majorHAnsi" w:hAnsiTheme="majorHAnsi" w:eastAsiaTheme="majorEastAsia" w:cstheme="majorBidi"/>
      <w:b/>
      <w:bCs/>
      <w:sz w:val="32"/>
      <w:szCs w:val="32"/>
    </w:rPr>
  </w:style>
  <w:style w:type="character" w:customStyle="1" w:styleId="56">
    <w:name w:val="副标题 字符1"/>
    <w:basedOn w:val="28"/>
    <w:qFormat/>
    <w:uiPriority w:val="11"/>
    <w:rPr>
      <w:b/>
      <w:bCs/>
      <w:kern w:val="28"/>
      <w:sz w:val="32"/>
      <w:szCs w:val="32"/>
    </w:rPr>
  </w:style>
  <w:style w:type="character" w:customStyle="1" w:styleId="57">
    <w:name w:val="正文文本缩进 3 字符"/>
    <w:basedOn w:val="28"/>
    <w:link w:val="21"/>
    <w:semiHidden/>
    <w:qFormat/>
    <w:uiPriority w:val="99"/>
    <w:rPr>
      <w:rFonts w:ascii="Times New Roman" w:hAnsi="Times New Roman" w:eastAsia="宋体" w:cs="Times New Roman"/>
      <w:szCs w:val="24"/>
    </w:rPr>
  </w:style>
  <w:style w:type="paragraph" w:styleId="58">
    <w:name w:val="List Paragraph"/>
    <w:basedOn w:val="1"/>
    <w:qFormat/>
    <w:uiPriority w:val="1"/>
    <w:pPr>
      <w:ind w:firstLine="420"/>
      <w:textAlignment w:val="auto"/>
    </w:pPr>
    <w:rPr>
      <w:rFonts w:cs="Times New Roman"/>
    </w:rPr>
  </w:style>
  <w:style w:type="paragraph" w:customStyle="1" w:styleId="59">
    <w:name w:val="表格字体"/>
    <w:basedOn w:val="1"/>
    <w:qFormat/>
    <w:uiPriority w:val="99"/>
    <w:pPr>
      <w:adjustRightInd w:val="0"/>
      <w:spacing w:line="240" w:lineRule="auto"/>
      <w:ind w:firstLine="0" w:firstLineChars="0"/>
      <w:jc w:val="center"/>
      <w:textAlignment w:val="auto"/>
    </w:pPr>
    <w:rPr>
      <w:rFonts w:cs="Times New Roman"/>
      <w:sz w:val="21"/>
      <w:szCs w:val="21"/>
    </w:rPr>
  </w:style>
  <w:style w:type="character" w:customStyle="1" w:styleId="60">
    <w:name w:val="表内 字符"/>
    <w:link w:val="61"/>
    <w:qFormat/>
    <w:uiPriority w:val="0"/>
    <w:rPr>
      <w:bCs/>
      <w:color w:val="000000"/>
      <w:szCs w:val="21"/>
    </w:rPr>
  </w:style>
  <w:style w:type="paragraph" w:customStyle="1" w:styleId="61">
    <w:name w:val="表内"/>
    <w:basedOn w:val="14"/>
    <w:link w:val="60"/>
    <w:qFormat/>
    <w:uiPriority w:val="0"/>
    <w:pPr>
      <w:widowControl/>
      <w:spacing w:line="240" w:lineRule="auto"/>
      <w:ind w:left="0" w:leftChars="0" w:firstLine="0" w:firstLineChars="0"/>
      <w:jc w:val="center"/>
    </w:pPr>
    <w:rPr>
      <w:rFonts w:asciiTheme="minorHAnsi" w:hAnsiTheme="minorHAnsi" w:eastAsiaTheme="minorEastAsia" w:cstheme="minorBidi"/>
      <w:bCs/>
      <w:color w:val="000000"/>
      <w:sz w:val="21"/>
      <w:szCs w:val="21"/>
    </w:rPr>
  </w:style>
  <w:style w:type="paragraph" w:customStyle="1" w:styleId="62">
    <w:name w:val="Char Char Char Char Char Char Char Char Char"/>
    <w:basedOn w:val="1"/>
    <w:qFormat/>
    <w:uiPriority w:val="99"/>
    <w:pPr>
      <w:spacing w:line="240" w:lineRule="auto"/>
      <w:ind w:firstLine="0" w:firstLineChars="0"/>
      <w:textAlignment w:val="auto"/>
    </w:pPr>
    <w:rPr>
      <w:rFonts w:cs="Times New Roman"/>
      <w:sz w:val="21"/>
      <w:szCs w:val="24"/>
    </w:rPr>
  </w:style>
  <w:style w:type="character" w:styleId="63">
    <w:name w:val="Placeholder Text"/>
    <w:basedOn w:val="28"/>
    <w:semiHidden/>
    <w:qFormat/>
    <w:uiPriority w:val="99"/>
    <w:rPr>
      <w:color w:val="808080"/>
    </w:rPr>
  </w:style>
  <w:style w:type="character" w:customStyle="1" w:styleId="64">
    <w:name w:val="未处理的提及11"/>
    <w:basedOn w:val="28"/>
    <w:semiHidden/>
    <w:qFormat/>
    <w:uiPriority w:val="99"/>
    <w:rPr>
      <w:color w:val="605E5C"/>
      <w:shd w:val="clear" w:color="auto" w:fill="E1DFDD"/>
    </w:rPr>
  </w:style>
  <w:style w:type="character" w:customStyle="1" w:styleId="65">
    <w:name w:val="标题 1 Char Char Char"/>
    <w:qFormat/>
    <w:uiPriority w:val="0"/>
    <w:rPr>
      <w:rFonts w:hint="eastAsia" w:ascii="宋体" w:hAnsi="宋体" w:eastAsia="宋体"/>
      <w:bCs/>
      <w:sz w:val="28"/>
    </w:rPr>
  </w:style>
  <w:style w:type="character" w:customStyle="1" w:styleId="66">
    <w:name w:val="表格文字 Char Char"/>
    <w:qFormat/>
    <w:uiPriority w:val="0"/>
    <w:rPr>
      <w:szCs w:val="21"/>
    </w:rPr>
  </w:style>
  <w:style w:type="table" w:customStyle="1" w:styleId="67">
    <w:name w:val="网格型1"/>
    <w:basedOn w:val="26"/>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日期 字符"/>
    <w:basedOn w:val="28"/>
    <w:link w:val="15"/>
    <w:semiHidden/>
    <w:qFormat/>
    <w:uiPriority w:val="99"/>
    <w:rPr>
      <w:rFonts w:ascii="Times New Roman" w:hAnsi="Times New Roman" w:eastAsia="宋体"/>
      <w:sz w:val="24"/>
    </w:rPr>
  </w:style>
  <w:style w:type="table" w:customStyle="1" w:styleId="69">
    <w:name w:val="网格型2"/>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0">
    <w:name w:val="文本"/>
    <w:link w:val="76"/>
    <w:qFormat/>
    <w:uiPriority w:val="0"/>
    <w:pPr>
      <w:adjustRightInd w:val="0"/>
      <w:snapToGrid w:val="0"/>
      <w:spacing w:line="480" w:lineRule="exact"/>
      <w:ind w:firstLine="200" w:firstLineChars="200"/>
      <w:jc w:val="both"/>
    </w:pPr>
    <w:rPr>
      <w:rFonts w:ascii="宋体" w:hAnsi="Calibri" w:eastAsia="宋体" w:cs="Times New Roman"/>
      <w:spacing w:val="5"/>
      <w:sz w:val="25"/>
      <w:szCs w:val="22"/>
      <w:lang w:val="en-US" w:eastAsia="zh-CN" w:bidi="ar-SA"/>
    </w:rPr>
  </w:style>
  <w:style w:type="paragraph" w:customStyle="1" w:styleId="71">
    <w:name w:val="表内居中"/>
    <w:qFormat/>
    <w:uiPriority w:val="0"/>
    <w:pPr>
      <w:tabs>
        <w:tab w:val="right" w:leader="middleDot" w:pos="7938"/>
      </w:tabs>
      <w:adjustRightInd w:val="0"/>
      <w:snapToGrid w:val="0"/>
      <w:jc w:val="center"/>
    </w:pPr>
    <w:rPr>
      <w:rFonts w:ascii="宋体" w:hAnsi="宋体" w:eastAsia="宋体" w:cs="Times New Roman"/>
      <w:sz w:val="21"/>
      <w:lang w:val="en-US" w:eastAsia="zh-CN" w:bidi="ar-SA"/>
    </w:rPr>
  </w:style>
  <w:style w:type="paragraph" w:customStyle="1" w:styleId="72">
    <w:name w:val="表名称"/>
    <w:link w:val="74"/>
    <w:qFormat/>
    <w:uiPriority w:val="0"/>
    <w:pPr>
      <w:adjustRightInd w:val="0"/>
      <w:snapToGrid w:val="0"/>
      <w:ind w:firstLine="480"/>
      <w:jc w:val="center"/>
    </w:pPr>
    <w:rPr>
      <w:rFonts w:ascii="Times New Roman" w:hAnsi="Times New Roman" w:eastAsia="宋体" w:cs="Times New Roman"/>
      <w:b/>
      <w:kern w:val="2"/>
      <w:sz w:val="21"/>
      <w:szCs w:val="21"/>
      <w:lang w:val="en-US" w:eastAsia="zh-CN" w:bidi="ar-SA"/>
    </w:rPr>
  </w:style>
  <w:style w:type="paragraph" w:customStyle="1" w:styleId="73">
    <w:name w:val="表内两端"/>
    <w:link w:val="75"/>
    <w:qFormat/>
    <w:uiPriority w:val="0"/>
    <w:pPr>
      <w:adjustRightInd w:val="0"/>
      <w:snapToGrid w:val="0"/>
      <w:jc w:val="both"/>
    </w:pPr>
    <w:rPr>
      <w:rFonts w:ascii="宋体" w:hAnsi="Times New Roman" w:eastAsia="宋体" w:cs="Times New Roman"/>
      <w:sz w:val="21"/>
      <w:lang w:val="en-US" w:eastAsia="zh-CN" w:bidi="ar-SA"/>
    </w:rPr>
  </w:style>
  <w:style w:type="character" w:customStyle="1" w:styleId="74">
    <w:name w:val="表名称 Char"/>
    <w:link w:val="72"/>
    <w:qFormat/>
    <w:uiPriority w:val="0"/>
    <w:rPr>
      <w:b/>
      <w:kern w:val="2"/>
      <w:sz w:val="21"/>
      <w:szCs w:val="21"/>
    </w:rPr>
  </w:style>
  <w:style w:type="character" w:customStyle="1" w:styleId="75">
    <w:name w:val="表内两端 Char"/>
    <w:link w:val="73"/>
    <w:qFormat/>
    <w:uiPriority w:val="0"/>
    <w:rPr>
      <w:rFonts w:ascii="宋体" w:hAnsi="Times New Roman" w:eastAsia="宋体" w:cs="Times New Roman"/>
      <w:kern w:val="0"/>
      <w:szCs w:val="20"/>
    </w:rPr>
  </w:style>
  <w:style w:type="character" w:customStyle="1" w:styleId="76">
    <w:name w:val="文本 Char"/>
    <w:link w:val="70"/>
    <w:qFormat/>
    <w:uiPriority w:val="0"/>
    <w:rPr>
      <w:rFonts w:ascii="宋体" w:hAnsi="Calibri" w:eastAsia="宋体" w:cs="Times New Roman"/>
      <w:spacing w:val="5"/>
      <w:kern w:val="0"/>
      <w:sz w:val="25"/>
    </w:rPr>
  </w:style>
  <w:style w:type="character" w:customStyle="1" w:styleId="77">
    <w:name w:val="fontstyle21"/>
    <w:qFormat/>
    <w:uiPriority w:val="0"/>
    <w:rPr>
      <w:rFonts w:hint="default" w:ascii="Times New Roman" w:hAnsi="Times New Roman" w:cs="Times New Roman"/>
      <w:b/>
      <w:bCs/>
      <w:color w:val="000000"/>
      <w:sz w:val="24"/>
      <w:szCs w:val="24"/>
    </w:rPr>
  </w:style>
  <w:style w:type="paragraph" w:customStyle="1" w:styleId="78">
    <w:name w:val="_Style 5"/>
    <w:basedOn w:val="1"/>
    <w:qFormat/>
    <w:uiPriority w:val="0"/>
    <w:pPr>
      <w:ind w:firstLine="420"/>
    </w:pPr>
    <w:rPr>
      <w:rFonts w:ascii="Calibri" w:hAnsi="Calibri"/>
    </w:rPr>
  </w:style>
  <w:style w:type="paragraph" w:customStyle="1" w:styleId="79">
    <w:name w:val="lxy表头"/>
    <w:basedOn w:val="1"/>
    <w:qFormat/>
    <w:uiPriority w:val="0"/>
    <w:pPr>
      <w:autoSpaceDE w:val="0"/>
      <w:autoSpaceDN w:val="0"/>
      <w:adjustRightInd w:val="0"/>
      <w:snapToGrid w:val="0"/>
      <w:jc w:val="center"/>
    </w:pPr>
    <w:rPr>
      <w:rFonts w:ascii="宋体" w:hAnsi="宋体" w:cs="宋体"/>
      <w:b/>
      <w:color w:val="0000FF"/>
      <w:kern w:val="0"/>
    </w:rPr>
  </w:style>
  <w:style w:type="paragraph" w:customStyle="1" w:styleId="80">
    <w:name w:val="表内文字"/>
    <w:qFormat/>
    <w:uiPriority w:val="0"/>
    <w:pPr>
      <w:adjustRightInd w:val="0"/>
      <w:snapToGrid w:val="0"/>
      <w:jc w:val="center"/>
    </w:pPr>
    <w:rPr>
      <w:rFonts w:ascii="宋体" w:hAnsi="宋体" w:eastAsia="宋体" w:cs="Times New Roman"/>
      <w:spacing w:val="-10"/>
      <w:kern w:val="2"/>
      <w:sz w:val="23"/>
      <w:szCs w:val="22"/>
      <w:lang w:val="en-US" w:eastAsia="zh-CN" w:bidi="en-US"/>
    </w:rPr>
  </w:style>
  <w:style w:type="paragraph" w:customStyle="1" w:styleId="81">
    <w:name w:val="图表名称"/>
    <w:basedOn w:val="1"/>
    <w:link w:val="83"/>
    <w:qFormat/>
    <w:uiPriority w:val="0"/>
    <w:pPr>
      <w:tabs>
        <w:tab w:val="left" w:pos="3390"/>
      </w:tabs>
      <w:adjustRightInd w:val="0"/>
      <w:snapToGrid w:val="0"/>
      <w:spacing w:line="240" w:lineRule="auto"/>
      <w:ind w:firstLine="0" w:firstLineChars="0"/>
      <w:jc w:val="center"/>
      <w:textAlignment w:val="auto"/>
    </w:pPr>
    <w:rPr>
      <w:rFonts w:ascii="宋体" w:hAnsi="宋体" w:cs="宋体"/>
      <w:b/>
      <w:szCs w:val="25"/>
      <w:lang w:val="zh-CN" w:bidi="zh-CN"/>
    </w:rPr>
  </w:style>
  <w:style w:type="paragraph" w:customStyle="1" w:styleId="82">
    <w:name w:val="表中文字"/>
    <w:basedOn w:val="1"/>
    <w:qFormat/>
    <w:uiPriority w:val="0"/>
    <w:pPr>
      <w:tabs>
        <w:tab w:val="left" w:pos="2700"/>
      </w:tabs>
      <w:adjustRightInd w:val="0"/>
      <w:snapToGrid w:val="0"/>
      <w:spacing w:line="240" w:lineRule="auto"/>
      <w:ind w:firstLine="0" w:firstLineChars="0"/>
      <w:jc w:val="center"/>
    </w:pPr>
    <w:rPr>
      <w:sz w:val="21"/>
      <w:szCs w:val="21"/>
    </w:rPr>
  </w:style>
  <w:style w:type="character" w:customStyle="1" w:styleId="83">
    <w:name w:val="图表名称 Char"/>
    <w:link w:val="81"/>
    <w:qFormat/>
    <w:uiPriority w:val="0"/>
    <w:rPr>
      <w:rFonts w:ascii="宋体" w:hAnsi="宋体" w:eastAsia="宋体" w:cs="宋体"/>
      <w:b/>
      <w:kern w:val="2"/>
      <w:sz w:val="24"/>
      <w:szCs w:val="25"/>
      <w:lang w:val="zh-CN" w:bidi="zh-CN"/>
    </w:rPr>
  </w:style>
  <w:style w:type="paragraph" w:customStyle="1" w:styleId="84">
    <w:name w:val="主表格"/>
    <w:basedOn w:val="1"/>
    <w:qFormat/>
    <w:uiPriority w:val="0"/>
    <w:pPr>
      <w:spacing w:line="240" w:lineRule="auto"/>
      <w:ind w:firstLine="0" w:firstLineChars="0"/>
      <w:jc w:val="center"/>
    </w:pPr>
  </w:style>
  <w:style w:type="paragraph" w:customStyle="1" w:styleId="85">
    <w:name w:val="【表中文字】"/>
    <w:basedOn w:val="1"/>
    <w:qFormat/>
    <w:uiPriority w:val="0"/>
    <w:pPr>
      <w:spacing w:line="240" w:lineRule="auto"/>
      <w:ind w:firstLine="0" w:firstLineChars="0"/>
      <w:jc w:val="center"/>
      <w:textAlignment w:val="auto"/>
    </w:pPr>
    <w:rPr>
      <w:rFonts w:cs="Times New Roman"/>
      <w:kern w:val="0"/>
      <w:sz w:val="20"/>
      <w:szCs w:val="20"/>
    </w:rPr>
  </w:style>
  <w:style w:type="character" w:customStyle="1" w:styleId="86">
    <w:name w:val="正文缩进 字符"/>
    <w:link w:val="11"/>
    <w:qFormat/>
    <w:uiPriority w:val="0"/>
    <w:rPr>
      <w:rFonts w:ascii="宋体" w:hAnsi="宋体"/>
      <w:kern w:val="2"/>
      <w:sz w:val="28"/>
    </w:rPr>
  </w:style>
  <w:style w:type="character" w:customStyle="1" w:styleId="87">
    <w:name w:val="页脚 字符1"/>
    <w:qFormat/>
    <w:uiPriority w:val="0"/>
    <w:rPr>
      <w:rFonts w:ascii="Times New Roman" w:hAnsi="Times New Roman" w:eastAsia="宋体" w:cs="Times New Roman"/>
      <w:sz w:val="18"/>
    </w:rPr>
  </w:style>
  <w:style w:type="paragraph" w:customStyle="1" w:styleId="88">
    <w:name w:val="表头"/>
    <w:basedOn w:val="1"/>
    <w:next w:val="1"/>
    <w:qFormat/>
    <w:uiPriority w:val="0"/>
    <w:pPr>
      <w:autoSpaceDE w:val="0"/>
      <w:autoSpaceDN w:val="0"/>
      <w:adjustRightInd w:val="0"/>
      <w:spacing w:before="50" w:beforeLines="50" w:line="240" w:lineRule="auto"/>
      <w:ind w:firstLine="0" w:firstLineChars="0"/>
      <w:jc w:val="center"/>
      <w:textAlignment w:val="baseline"/>
    </w:pPr>
    <w:rPr>
      <w:rFonts w:cs="Times New Roman"/>
      <w:b/>
      <w:kern w:val="0"/>
      <w:sz w:val="21"/>
      <w:szCs w:val="20"/>
    </w:rPr>
  </w:style>
  <w:style w:type="paragraph" w:customStyle="1" w:styleId="89">
    <w:name w:val="Table Text"/>
    <w:basedOn w:val="1"/>
    <w:semiHidden/>
    <w:qFormat/>
    <w:uiPriority w:val="0"/>
    <w:pPr>
      <w:textAlignment w:val="auto"/>
    </w:pPr>
    <w:rPr>
      <w:rFonts w:ascii="宋体" w:hAnsi="宋体" w:cs="宋体"/>
      <w:sz w:val="20"/>
      <w:szCs w:val="20"/>
      <w:lang w:eastAsia="en-US"/>
    </w:rPr>
  </w:style>
  <w:style w:type="paragraph" w:customStyle="1" w:styleId="90">
    <w:name w:val="表内容       .."/>
    <w:basedOn w:val="1"/>
    <w:qFormat/>
    <w:uiPriority w:val="0"/>
    <w:pPr>
      <w:adjustRightInd w:val="0"/>
      <w:snapToGrid w:val="0"/>
      <w:spacing w:line="280" w:lineRule="exact"/>
      <w:jc w:val="center"/>
      <w:textAlignment w:val="baseline"/>
    </w:pPr>
    <w:rPr>
      <w:szCs w:val="18"/>
    </w:rPr>
  </w:style>
  <w:style w:type="paragraph" w:customStyle="1" w:styleId="91">
    <w:name w:val="修订2"/>
    <w:hidden/>
    <w:unhideWhenUsed/>
    <w:qFormat/>
    <w:uiPriority w:val="99"/>
    <w:rPr>
      <w:rFonts w:ascii="Times New Roman" w:hAnsi="Times New Roman" w:eastAsia="宋体" w:cstheme="minorBidi"/>
      <w:kern w:val="2"/>
      <w:sz w:val="24"/>
      <w:szCs w:val="22"/>
      <w:lang w:val="en-US" w:eastAsia="zh-CN" w:bidi="ar-SA"/>
    </w:rPr>
  </w:style>
  <w:style w:type="paragraph" w:customStyle="1" w:styleId="92">
    <w:name w:val="表格文字"/>
    <w:basedOn w:val="1"/>
    <w:qFormat/>
    <w:uiPriority w:val="0"/>
    <w:pPr>
      <w:spacing w:line="240" w:lineRule="auto"/>
      <w:ind w:firstLine="0" w:firstLineChars="0"/>
      <w:jc w:val="center"/>
      <w:textAlignment w:val="auto"/>
    </w:pPr>
    <w:rPr>
      <w:rFonts w:cs="Times New Roman"/>
      <w:snapToGrid w:val="0"/>
      <w:kern w:val="0"/>
      <w:sz w:val="21"/>
      <w:szCs w:val="24"/>
    </w:rPr>
  </w:style>
  <w:style w:type="paragraph" w:customStyle="1" w:styleId="93">
    <w:name w:val="图表标题"/>
    <w:basedOn w:val="1"/>
    <w:qFormat/>
    <w:uiPriority w:val="0"/>
    <w:pPr>
      <w:spacing w:line="240" w:lineRule="auto"/>
      <w:ind w:firstLine="0" w:firstLineChars="0"/>
      <w:jc w:val="center"/>
      <w:textAlignment w:val="auto"/>
    </w:pPr>
    <w:rPr>
      <w:rFonts w:cstheme="majorBidi"/>
      <w:b/>
      <w:snapToGrid w:val="0"/>
      <w:kern w:val="0"/>
      <w:szCs w:val="24"/>
    </w:rPr>
  </w:style>
  <w:style w:type="paragraph" w:customStyle="1" w:styleId="94">
    <w:name w:val="ds-markdown-paragraph"/>
    <w:basedOn w:val="1"/>
    <w:qFormat/>
    <w:uiPriority w:val="0"/>
    <w:pPr>
      <w:widowControl/>
      <w:spacing w:before="100" w:beforeAutospacing="1" w:after="100" w:afterAutospacing="1" w:line="240" w:lineRule="auto"/>
      <w:ind w:firstLine="0" w:firstLineChars="0"/>
      <w:jc w:val="left"/>
      <w:textAlignment w:val="auto"/>
    </w:pPr>
    <w:rPr>
      <w:rFonts w:ascii="宋体" w:hAnsi="宋体" w:cs="宋体"/>
      <w:kern w:val="0"/>
      <w:szCs w:val="24"/>
    </w:rPr>
  </w:style>
  <w:style w:type="character" w:customStyle="1" w:styleId="95">
    <w:name w:val="_2ed5dee"/>
    <w:basedOn w:val="28"/>
    <w:qFormat/>
    <w:uiPriority w:val="0"/>
  </w:style>
  <w:style w:type="character" w:customStyle="1" w:styleId="96">
    <w:name w:val="表格 Char"/>
    <w:link w:val="97"/>
    <w:qFormat/>
    <w:locked/>
    <w:uiPriority w:val="0"/>
    <w:rPr>
      <w:sz w:val="21"/>
    </w:rPr>
  </w:style>
  <w:style w:type="paragraph" w:customStyle="1" w:styleId="97">
    <w:name w:val="表格"/>
    <w:next w:val="1"/>
    <w:link w:val="96"/>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98">
    <w:name w:val="。正文格式"/>
    <w:qFormat/>
    <w:uiPriority w:val="0"/>
    <w:pPr>
      <w:widowControl w:val="0"/>
      <w:spacing w:line="360" w:lineRule="auto"/>
      <w:ind w:firstLine="200" w:firstLineChars="200"/>
    </w:pPr>
    <w:rPr>
      <w:rFonts w:ascii="Times New Roman" w:hAnsi="Times New Roman" w:eastAsia="宋体" w:cs="Times New Roman"/>
      <w:sz w:val="24"/>
      <w:lang w:val="en-US" w:eastAsia="zh-CN" w:bidi="ar-SA"/>
    </w:rPr>
  </w:style>
  <w:style w:type="character" w:customStyle="1" w:styleId="99">
    <w:name w:val="正文文本首行缩进 2 字符"/>
    <w:basedOn w:val="28"/>
    <w:link w:val="2"/>
    <w:qFormat/>
    <w:uiPriority w:val="99"/>
    <w:rPr>
      <w:rFonts w:cstheme="minorBidi"/>
      <w:kern w:val="2"/>
      <w:sz w:val="24"/>
      <w:szCs w:val="22"/>
    </w:rPr>
  </w:style>
  <w:style w:type="character" w:customStyle="1" w:styleId="100">
    <w:name w:val="标题 5 字符"/>
    <w:basedOn w:val="28"/>
    <w:link w:val="9"/>
    <w:qFormat/>
    <w:uiPriority w:val="9"/>
    <w:rPr>
      <w:rFonts w:ascii="宋体" w:hAnsi="宋体" w:cs="宋体"/>
      <w:b/>
      <w:bCs/>
      <w:sz w:val="28"/>
      <w:szCs w:val="28"/>
      <w:lang w:eastAsia="en-US"/>
    </w:rPr>
  </w:style>
  <w:style w:type="character" w:customStyle="1" w:styleId="101">
    <w:name w:val="标题 6 字符"/>
    <w:basedOn w:val="28"/>
    <w:link w:val="10"/>
    <w:qFormat/>
    <w:uiPriority w:val="9"/>
    <w:rPr>
      <w:rFonts w:asciiTheme="majorHAnsi" w:hAnsiTheme="majorHAnsi" w:eastAsiaTheme="majorEastAsia" w:cstheme="majorBidi"/>
      <w:b/>
      <w:bCs/>
      <w:sz w:val="24"/>
      <w:szCs w:val="24"/>
      <w:lang w:eastAsia="en-US"/>
    </w:rPr>
  </w:style>
  <w:style w:type="character" w:customStyle="1" w:styleId="102">
    <w:name w:val="正文文本 字符"/>
    <w:basedOn w:val="28"/>
    <w:link w:val="13"/>
    <w:qFormat/>
    <w:uiPriority w:val="1"/>
    <w:rPr>
      <w:rFonts w:cstheme="minorBidi"/>
      <w:kern w:val="2"/>
      <w:sz w:val="24"/>
      <w:szCs w:val="24"/>
    </w:rPr>
  </w:style>
  <w:style w:type="character" w:customStyle="1" w:styleId="103">
    <w:name w:val="正文文本缩进 字符"/>
    <w:basedOn w:val="28"/>
    <w:link w:val="3"/>
    <w:semiHidden/>
    <w:qFormat/>
    <w:uiPriority w:val="99"/>
    <w:rPr>
      <w:rFonts w:cstheme="minorBidi"/>
      <w:kern w:val="2"/>
      <w:sz w:val="24"/>
      <w:szCs w:val="22"/>
    </w:rPr>
  </w:style>
  <w:style w:type="character" w:customStyle="1" w:styleId="104">
    <w:name w:val="正文文本首行缩进 字符"/>
    <w:basedOn w:val="102"/>
    <w:link w:val="25"/>
    <w:qFormat/>
    <w:uiPriority w:val="0"/>
    <w:rPr>
      <w:rFonts w:cstheme="minorBidi"/>
      <w:kern w:val="2"/>
      <w:sz w:val="24"/>
      <w:szCs w:val="24"/>
    </w:rPr>
  </w:style>
  <w:style w:type="paragraph" w:customStyle="1" w:styleId="105">
    <w:name w:val="Table Paragraph"/>
    <w:basedOn w:val="1"/>
    <w:qFormat/>
    <w:uiPriority w:val="1"/>
    <w:pPr>
      <w:autoSpaceDE w:val="0"/>
      <w:autoSpaceDN w:val="0"/>
      <w:spacing w:line="240" w:lineRule="auto"/>
      <w:ind w:firstLine="0" w:firstLineChars="0"/>
      <w:jc w:val="left"/>
      <w:textAlignment w:val="auto"/>
    </w:pPr>
    <w:rPr>
      <w:rFonts w:eastAsia="Times New Roman" w:cs="Times New Roman"/>
      <w:kern w:val="0"/>
      <w:sz w:val="22"/>
      <w:lang w:eastAsia="en-US"/>
    </w:rPr>
  </w:style>
  <w:style w:type="table" w:customStyle="1" w:styleId="106">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107">
    <w:name w:val="Heading #2|1"/>
    <w:basedOn w:val="1"/>
    <w:qFormat/>
    <w:uiPriority w:val="0"/>
    <w:pPr>
      <w:autoSpaceDE w:val="0"/>
      <w:autoSpaceDN w:val="0"/>
      <w:spacing w:after="200" w:line="240" w:lineRule="auto"/>
      <w:ind w:firstLine="0" w:firstLineChars="0"/>
      <w:jc w:val="left"/>
      <w:textAlignment w:val="auto"/>
      <w:outlineLvl w:val="1"/>
    </w:pPr>
    <w:rPr>
      <w:rFonts w:ascii="宋体" w:hAnsi="宋体" w:cs="宋体"/>
      <w:kern w:val="0"/>
      <w:sz w:val="28"/>
      <w:szCs w:val="28"/>
      <w:lang w:val="zh-TW" w:eastAsia="zh-TW" w:bidi="zh-TW"/>
    </w:rPr>
  </w:style>
  <w:style w:type="paragraph" w:customStyle="1" w:styleId="108">
    <w:name w:val="Body text|1"/>
    <w:basedOn w:val="1"/>
    <w:qFormat/>
    <w:uiPriority w:val="0"/>
    <w:pPr>
      <w:autoSpaceDE w:val="0"/>
      <w:autoSpaceDN w:val="0"/>
      <w:spacing w:after="330" w:line="480" w:lineRule="auto"/>
      <w:ind w:firstLine="400" w:firstLineChars="0"/>
      <w:jc w:val="left"/>
      <w:textAlignment w:val="auto"/>
    </w:pPr>
    <w:rPr>
      <w:rFonts w:ascii="宋体" w:hAnsi="宋体" w:cs="宋体"/>
      <w:kern w:val="0"/>
      <w:sz w:val="20"/>
      <w:szCs w:val="20"/>
      <w:lang w:val="zh-TW" w:eastAsia="zh-TW" w:bidi="zh-TW"/>
    </w:rPr>
  </w:style>
  <w:style w:type="paragraph" w:customStyle="1" w:styleId="109">
    <w:name w:val="Table caption|1"/>
    <w:basedOn w:val="1"/>
    <w:qFormat/>
    <w:uiPriority w:val="0"/>
    <w:pPr>
      <w:autoSpaceDE w:val="0"/>
      <w:autoSpaceDN w:val="0"/>
      <w:spacing w:line="240" w:lineRule="auto"/>
      <w:ind w:firstLine="0" w:firstLineChars="0"/>
      <w:jc w:val="left"/>
      <w:textAlignment w:val="auto"/>
    </w:pPr>
    <w:rPr>
      <w:rFonts w:ascii="宋体" w:hAnsi="宋体" w:cs="宋体"/>
      <w:b/>
      <w:bCs/>
      <w:kern w:val="0"/>
      <w:sz w:val="20"/>
      <w:szCs w:val="20"/>
      <w:lang w:val="zh-TW" w:eastAsia="zh-TW" w:bidi="zh-TW"/>
    </w:rPr>
  </w:style>
  <w:style w:type="paragraph" w:customStyle="1" w:styleId="110">
    <w:name w:val="Other|1"/>
    <w:basedOn w:val="1"/>
    <w:qFormat/>
    <w:uiPriority w:val="0"/>
    <w:pPr>
      <w:autoSpaceDE w:val="0"/>
      <w:autoSpaceDN w:val="0"/>
      <w:spacing w:line="240" w:lineRule="auto"/>
      <w:ind w:firstLine="0" w:firstLineChars="0"/>
      <w:jc w:val="left"/>
      <w:textAlignment w:val="auto"/>
    </w:pPr>
    <w:rPr>
      <w:rFonts w:ascii="宋体" w:hAnsi="宋体" w:cs="宋体"/>
      <w:kern w:val="0"/>
      <w:sz w:val="20"/>
      <w:szCs w:val="20"/>
      <w:lang w:val="zh-TW" w:eastAsia="zh-TW" w:bidi="zh-TW"/>
    </w:rPr>
  </w:style>
  <w:style w:type="paragraph" w:customStyle="1" w:styleId="111">
    <w:name w:val="Picture caption|1"/>
    <w:basedOn w:val="1"/>
    <w:qFormat/>
    <w:uiPriority w:val="0"/>
    <w:pPr>
      <w:autoSpaceDE w:val="0"/>
      <w:autoSpaceDN w:val="0"/>
      <w:spacing w:line="240" w:lineRule="auto"/>
      <w:ind w:firstLine="0" w:firstLineChars="0"/>
      <w:jc w:val="left"/>
      <w:textAlignment w:val="auto"/>
    </w:pPr>
    <w:rPr>
      <w:rFonts w:ascii="宋体" w:hAnsi="宋体" w:cs="宋体"/>
      <w:b/>
      <w:bCs/>
      <w:kern w:val="0"/>
      <w:sz w:val="20"/>
      <w:szCs w:val="20"/>
      <w:lang w:val="zh-TW" w:eastAsia="zh-TW" w:bidi="zh-TW"/>
    </w:rPr>
  </w:style>
  <w:style w:type="paragraph" w:customStyle="1" w:styleId="112">
    <w:name w:val="Heading #1|1"/>
    <w:basedOn w:val="1"/>
    <w:qFormat/>
    <w:uiPriority w:val="0"/>
    <w:pPr>
      <w:autoSpaceDE w:val="0"/>
      <w:autoSpaceDN w:val="0"/>
      <w:spacing w:after="300" w:line="240" w:lineRule="auto"/>
      <w:ind w:firstLine="0" w:firstLineChars="0"/>
      <w:jc w:val="left"/>
      <w:textAlignment w:val="auto"/>
      <w:outlineLvl w:val="0"/>
    </w:pPr>
    <w:rPr>
      <w:rFonts w:ascii="宋体" w:hAnsi="宋体" w:cs="宋体"/>
      <w:kern w:val="0"/>
      <w:sz w:val="28"/>
      <w:szCs w:val="28"/>
      <w:lang w:val="zh-TW" w:eastAsia="zh-TW" w:bidi="zh-TW"/>
    </w:rPr>
  </w:style>
  <w:style w:type="paragraph" w:customStyle="1" w:styleId="113">
    <w:name w:val="Heading #3|1"/>
    <w:basedOn w:val="1"/>
    <w:qFormat/>
    <w:uiPriority w:val="0"/>
    <w:pPr>
      <w:autoSpaceDE w:val="0"/>
      <w:autoSpaceDN w:val="0"/>
      <w:spacing w:after="200" w:line="240" w:lineRule="auto"/>
      <w:ind w:firstLine="0" w:firstLineChars="0"/>
      <w:jc w:val="left"/>
      <w:textAlignment w:val="auto"/>
      <w:outlineLvl w:val="2"/>
    </w:pPr>
    <w:rPr>
      <w:rFonts w:ascii="宋体" w:hAnsi="宋体" w:cs="宋体"/>
      <w:kern w:val="0"/>
      <w:sz w:val="28"/>
      <w:szCs w:val="28"/>
      <w:lang w:val="zh-TW" w:eastAsia="zh-TW" w:bidi="zh-TW"/>
    </w:rPr>
  </w:style>
  <w:style w:type="paragraph" w:customStyle="1" w:styleId="114">
    <w:name w:val="Header or footer|1"/>
    <w:basedOn w:val="1"/>
    <w:qFormat/>
    <w:uiPriority w:val="0"/>
    <w:pPr>
      <w:autoSpaceDE w:val="0"/>
      <w:autoSpaceDN w:val="0"/>
      <w:spacing w:line="240" w:lineRule="auto"/>
      <w:ind w:firstLine="0" w:firstLineChars="0"/>
      <w:jc w:val="left"/>
      <w:textAlignment w:val="auto"/>
    </w:pPr>
    <w:rPr>
      <w:rFonts w:ascii="宋体" w:hAnsi="宋体" w:cs="宋体"/>
      <w:kern w:val="0"/>
      <w:sz w:val="20"/>
      <w:szCs w:val="20"/>
      <w:lang w:val="zh-TW" w:eastAsia="zh-TW" w:bidi="zh-TW"/>
    </w:rPr>
  </w:style>
  <w:style w:type="character" w:customStyle="1" w:styleId="115">
    <w:name w:val="title-text"/>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3.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5cd92924-796e-4795-bf14-7d3ea2ea361d</errorID>
      <errorWord>，</errorWord>
      <group>L1_Format</group>
      <groupName>格式问题</groupName>
      <ability>L2_HalfPunc</ability>
      <abilityName>全半角检查</abilityName>
      <candidateList>
        <item>, </item>
      </candidateList>
      <explain>文本全半角错误。</explain>
      <paraID>19C8B765</paraID>
      <start>13</start>
      <end>15</end>
      <status>modified</status>
      <modifiedWord>, </modifiedWord>
      <trackRevisions>false</trackRevisions>
    </reviewItem>
    <reviewItem>
      <errorID>717cf289-6618-4788-a5f3-13dc3d6d6f38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36B30D81</paraID>
      <start>0</start>
      <end>2</end>
      <status>modified</status>
      <modifiedWord>1.</modifiedWord>
      <trackRevisions>false</trackRevisions>
    </reviewItem>
    <reviewItem>
      <errorID>4e0cf7a8-8307-4b79-890a-0044debc1a4e</errorID>
      <errorWord>…等</errorWord>
      <group>L1_Punc</group>
      <groupName>标点问题</groupName>
      <ability>L2_Punc</ability>
      <abilityName>标点符号检查</abilityName>
      <candidateList>
        <item>等</item>
      </candidateList>
      <explain>〈助〉❶〈书〉用在人称代词或指人的名词后面，表示复数：我～｜彼～。❷表示列举未尽（可以叠用）：北京、天津～地｜纸张文具～～。❸列举后煞尾：长江、黄河、黑龙江、珠江～四大河流。</explain>
      <paraID> E19D978</paraID>
      <start>100</start>
      <end>101</end>
      <status>modified</status>
      <modifiedWord>等</modifiedWord>
      <trackRevisions>false</trackRevisions>
    </reviewItem>
    <reviewItem>
      <errorID>19b14958-8064-4ac5-b3da-fb4cc3f079e7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10B88EA3</paraID>
      <start>0</start>
      <end>2</end>
      <status>modified</status>
      <modifiedWord>2.</modifiedWord>
      <trackRevisions>false</trackRevisions>
    </reviewItem>
    <reviewItem>
      <errorID>ddbc94e8-1cd3-4931-b737-816be5b807b8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78EE63C7</paraID>
      <start>0</start>
      <end>2</end>
      <status>modified</status>
      <modifiedWord>3.</modifiedWord>
      <trackRevisions>false</trackRevisions>
    </reviewItem>
    <reviewItem>
      <errorID>52e89241-9764-498f-8934-c09d8ca8d1b8</errorID>
      <errorWord>法律、法规</errorWord>
      <group>L1_Word</group>
      <groupName>字词问题</groupName>
      <ability>L2_Typo</ability>
      <abilityName>字词错误</abilityName>
      <candidateList>
        <item>法律法规</item>
      </candidateList>
      <explain/>
      <paraID>53A991BC</paraID>
      <start>141</start>
      <end>146</end>
      <status>ignored</status>
      <modifiedWord/>
      <trackRevisions>false</trackRevisions>
    </reviewItem>
    <reviewItem>
      <errorID>2c476e2b-44f6-4659-952f-5a2013d0c4f7</errorID>
      <errorWord>其它</errorWord>
      <group>L1_Word</group>
      <groupName>字词问题</groupName>
      <ability>L2_Alias</ability>
      <abilityName>也作/曾用词</abilityName>
      <candidateList>
        <item>其他</item>
      </candidateList>
      <explain>词汇[其它]为不规范表述或旧称，其规范书面表述为[其他]。</explain>
      <paraID>22996E86</paraID>
      <start>31</start>
      <end>33</end>
      <status>ignored</status>
      <modifiedWord/>
      <trackRevisions>false</trackRevisions>
    </reviewItem>
    <reviewItem>
      <errorID>a1c7cf8d-d31b-4ea0-a590-708daa358ad5</errorID>
      <errorWord>，</errorWord>
      <group>L1_Word</group>
      <groupName>字词问题</groupName>
      <ability>L2_Typo</ability>
      <abilityName>字词错误</abilityName>
      <candidateList>
        <item>，在</item>
      </candidateList>
      <explain/>
      <paraID>7331BFCD</paraID>
      <start>50</start>
      <end>51</end>
      <status>ignored</status>
      <modifiedWord/>
      <trackRevisions>false</trackRevisions>
    </reviewItem>
    <reviewItem>
      <errorID>65a0e407-02a0-46f3-bdb6-ce2f0ca7666f</errorID>
      <errorWord>法律、法规</errorWord>
      <group>L1_Word</group>
      <groupName>字词问题</groupName>
      <ability>L2_Typo</ability>
      <abilityName>字词错误</abilityName>
      <candidateList>
        <item>法律法规</item>
      </candidateList>
      <explain/>
      <paraID>7331BFCD</paraID>
      <start>64</start>
      <end>69</end>
      <status>ignored</status>
      <modifiedWord/>
      <trackRevisions>false</trackRevisions>
    </reviewItem>
    <reviewItem>
      <errorID>6f557748-4395-4848-80e0-d1ea14f356f1</errorID>
      <errorWord>联防联动机制</errorWord>
      <group>L1_Word</group>
      <groupName>字词问题</groupName>
      <ability>L2_Typo</ability>
      <abilityName>字词错误</abilityName>
      <candidateList>
        <item>联防联控机制</item>
      </candidateList>
      <explain/>
      <paraID>3C737391</paraID>
      <start>65</start>
      <end>71</end>
      <status>ignored</status>
      <modifiedWord/>
      <trackRevisions>false</trackRevisions>
    </reviewItem>
    <reviewItem>
      <errorID>28dff4a2-5475-45ed-a446-e0b5c854e953</errorID>
      <errorWord>小</errorWord>
      <group>L1_Word</group>
      <groupName>字词问题</groupName>
      <ability>L2_Typo</ability>
      <abilityName>字词错误</abilityName>
      <candidateList>
        <item>少</item>
      </candidateList>
      <explain>存在字形相近字词的误用。</explain>
      <paraID>2AC6CABC</paraID>
      <start>21</start>
      <end>22</end>
      <status>modified</status>
      <modifiedWord>少</modifiedWord>
      <trackRevisions>false</trackRevisions>
    </reviewItem>
    <reviewItem>
      <errorID>db5ded93-9524-4283-9b23-6287e2dd81b8</errorID>
      <errorWord>上线</errorWord>
      <group>L1_Word</group>
      <groupName>字词问题</groupName>
      <ability>L2_Typo</ability>
      <abilityName>字词错误</abilityName>
      <candidateList>
        <item>上限</item>
      </candidateList>
      <explain/>
      <paraID>751C5B29</paraID>
      <start>12</start>
      <end>14</end>
      <status>ignored</status>
      <modifiedWord/>
      <trackRevisions>false</trackRevisions>
    </reviewItem>
    <reviewItem>
      <errorID>252dacc3-5dd7-45a2-bd8c-7fe818d97c3f</errorID>
      <errorWord>有价</errorWord>
      <group>L1_Word</group>
      <groupName>字词问题</groupName>
      <ability>L2_Typo</ability>
      <abilityName>字词错误</abilityName>
      <candidateList>
        <item>有机</item>
      </candidateList>
      <explain/>
      <paraID>1451A394</paraID>
      <start>127</start>
      <end>129</end>
      <status>ignored</status>
      <modifiedWord/>
      <trackRevisions>false</trackRevisions>
    </reviewItem>
    <reviewItem>
      <errorID>0e045ca9-4622-4419-b9e1-2f46f77a6e15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397D53A9</paraID>
      <start>0</start>
      <end>2</end>
      <status>modified</status>
      <modifiedWord>4.</modifiedWord>
      <trackRevisions>false</trackRevisions>
    </reviewItem>
    <reviewItem>
      <errorID>08fcf4a3-42fa-4924-83b5-8fb010357b06</errorID>
      <errorWord>&lt;</errorWord>
      <group>L1_Format</group>
      <groupName>格式问题</groupName>
      <ability>L2_HalfPunc</ability>
      <abilityName>全半角检查</abilityName>
      <candidateList>
        <item>〈</item>
      </candidateList>
      <explain>文本全半角错误。</explain>
      <paraID>397D53A9</paraID>
      <start>11</start>
      <end>12</end>
      <status>modified</status>
      <modifiedWord>〈</modifiedWord>
      <trackRevisions>false</trackRevisions>
    </reviewItem>
    <reviewItem>
      <errorID>571e7edf-4801-4763-a98f-28be372f7c4a</errorID>
      <errorWord>&gt;</errorWord>
      <group>L1_Format</group>
      <groupName>格式问题</groupName>
      <ability>L2_HalfPunc</ability>
      <abilityName>全半角检查</abilityName>
      <candidateList>
        <item>〉</item>
      </candidateList>
      <explain>文本全半角错误。</explain>
      <paraID>397D53A9</paraID>
      <start>34</start>
      <end>35</end>
      <status>modified</status>
      <modifiedWord>〉</modifiedWord>
      <trackRevisions>false</trackRevisions>
    </reviewItem>
    <reviewItem>
      <errorID>25dec7da-8348-4f57-9517-a333af496ac4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101BB632</paraID>
      <start>0</start>
      <end>2</end>
      <status>modified</status>
      <modifiedWord>5.</modifiedWord>
      <trackRevisions>false</trackRevisions>
    </reviewItem>
    <reviewItem>
      <errorID>bf6e851f-6c48-4fdc-8f93-7bbf995ed13b</errorID>
      <errorWord>II类</errorWord>
      <group>L1_Knowledge</group>
      <groupName>知识性问题</groupName>
      <ability>L2_Knowledge</ability>
      <abilityName>其他知识</abilityName>
      <candidateList>
        <item>Ⅱ类</item>
      </candidateList>
      <explain/>
      <paraID>29C08064</paraID>
      <start>86</start>
      <end>88</end>
      <status>modified</status>
      <modifiedWord>Ⅱ类</modifiedWord>
      <trackRevisions>false</trackRevisions>
    </reviewItem>
    <reviewItem>
      <errorID>44640623-0a5f-4193-8eec-e1d00e4b5a79</errorID>
      <errorWord>碳达峰和碳中和</errorWord>
      <group>L1_Political</group>
      <groupName>政治性问题</groupName>
      <ability>L2_Keyword</ability>
      <abilityName>固定表述</abilityName>
      <candidateList>
        <item>碳达峰碳中和</item>
      </candidateList>
      <explain>词汇“碳达峰碳中和”在特定场景下为固定表述形式，请确认此处的“碳达峰和碳中和”是否存在不当。</explain>
      <paraID> AD44196</paraID>
      <start>73</start>
      <end>80</end>
      <status>ignored</status>
      <modifiedWord/>
      <trackRevisions>false</trackRevisions>
    </reviewItem>
    <reviewItem>
      <errorID>8cc21175-8b28-4653-b311-3fb5d76ba982</errorID>
      <errorWord>法律、法规</errorWord>
      <group>L1_Word</group>
      <groupName>字词问题</groupName>
      <ability>L2_Typo</ability>
      <abilityName>字词错误</abilityName>
      <candidateList>
        <item>法律法规</item>
      </candidateList>
      <explain/>
      <paraID>67568DE0</paraID>
      <start>141</start>
      <end>146</end>
      <status>ignored</status>
      <modifiedWord/>
      <trackRevisions>false</trackRevisions>
    </reviewItem>
    <reviewItem>
      <errorID>c9b4d7a6-bea5-4cb3-b79f-70e305c5af7c</errorID>
      <errorWord>其它</errorWord>
      <group>L1_Word</group>
      <groupName>字词问题</groupName>
      <ability>L2_Alias</ability>
      <abilityName>也作/曾用词</abilityName>
      <candidateList>
        <item>其他</item>
      </candidateList>
      <explain>词汇[其它]为不规范表述或旧称，其规范书面表述为[其他]。</explain>
      <paraID>20622449</paraID>
      <start>30</start>
      <end>32</end>
      <status>ignored</status>
      <modifiedWord/>
      <trackRevisions>false</trackRevisions>
    </reviewItem>
    <reviewItem>
      <errorID>6bfccdc3-5850-4bd1-93dc-475063d918e0</errorID>
      <errorWord>，</errorWord>
      <group>L1_Word</group>
      <groupName>字词问题</groupName>
      <ability>L2_Typo</ability>
      <abilityName>字词错误</abilityName>
      <candidateList>
        <item>，在</item>
      </candidateList>
      <explain/>
      <paraID>7016C57B</paraID>
      <start>50</start>
      <end>51</end>
      <status>ignored</status>
      <modifiedWord/>
      <trackRevisions>false</trackRevisions>
    </reviewItem>
    <reviewItem>
      <errorID>d528f94e-6ed0-4598-897e-6f820129e2fd</errorID>
      <errorWord>法律、法规</errorWord>
      <group>L1_Word</group>
      <groupName>字词问题</groupName>
      <ability>L2_Typo</ability>
      <abilityName>字词错误</abilityName>
      <candidateList>
        <item>法律法规</item>
      </candidateList>
      <explain/>
      <paraID>7016C57B</paraID>
      <start>64</start>
      <end>69</end>
      <status>ignored</status>
      <modifiedWord/>
      <trackRevisions>false</trackRevisions>
    </reviewItem>
    <reviewItem>
      <errorID>54249427-c22b-491a-b835-bd3aa38c7e7a</errorID>
      <errorWord>-</errorWord>
      <group>L1_Format</group>
      <groupName>格式问题</groupName>
      <ability>L2_HalfPunc</ability>
      <abilityName>全半角检查</abilityName>
      <candidateList>
        <item>－</item>
      </candidateList>
      <explain>文本全半角错误。</explain>
      <paraID>5141F883</paraID>
      <start>5</start>
      <end>6</end>
      <status>ignored</status>
      <modifiedWord/>
      <trackRevisions>false</trackRevisions>
    </reviewItem>
    <reviewItem>
      <errorID>d315026c-a681-4094-a246-0eeddabaae85</errorID>
      <errorWord>-</errorWord>
      <group>L1_Format</group>
      <groupName>格式问题</groupName>
      <ability>L2_HalfPunc</ability>
      <abilityName>全半角检查</abilityName>
      <candidateList>
        <item>－</item>
      </candidateList>
      <explain>文本全半角错误。</explain>
      <paraID>799FD723</paraID>
      <start>5</start>
      <end>6</end>
      <status>ignored</status>
      <modifiedWord/>
      <trackRevisions>false</trackRevisions>
    </reviewItem>
    <reviewItem>
      <errorID>90b10d33-c137-4993-9c76-099990f8a044</errorID>
      <errorWord>原住居民</errorWord>
      <group>L1_Sensitive</group>
      <groupName>敏感问题</groupName>
      <ability>L2_Violent</ability>
      <abilityName>暴恐词条</abilityName>
      <candidateList/>
      <explain>【暴恐词条】句中包含暴恐类敏感词条，请注意甄别。</explain>
      <paraID>520EDA32</paraID>
      <start>3</start>
      <end>7</end>
      <status>ignored</status>
      <modifiedWord/>
      <trackRevisions>false</trackRevisions>
    </reviewItem>
    <reviewItem>
      <errorID>1f4b3401-6f25-4624-a6d5-ef89cc6c1aa4</errorID>
      <errorWord>通视</errorWord>
      <group>L1_Word</group>
      <groupName>字词问题</groupName>
      <ability>L2_Typo</ability>
      <abilityName>字词错误</abilityName>
      <candidateList>
        <item>通</item>
      </candidateList>
      <explain/>
      <paraID>520EDA32</paraID>
      <start>800</start>
      <end>802</end>
      <status>ignored</status>
      <modifiedWord/>
      <trackRevisions>false</trackRevisions>
    </reviewItem>
    <reviewItem>
      <errorID>39143d83-5b59-441e-9c6c-175419e52800</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74837DD4</paraID>
      <start>109</start>
      <end>116</end>
      <status>ignored</status>
      <modifiedWord/>
      <trackRevisions>false</trackRevisions>
    </reviewItem>
    <reviewItem>
      <errorID>c9c9c48e-1e36-4db4-a4b6-7323782e00a3</errorID>
      <errorWord>，</errorWord>
      <group>L1_Word</group>
      <groupName>字词问题</groupName>
      <ability>L2_Typo</ability>
      <abilityName>字词错误</abilityName>
      <candidateList>
        <item>，对</item>
      </candidateList>
      <explain/>
      <paraID>6CB80E6B</paraID>
      <start>31</start>
      <end>32</end>
      <status>ignored</status>
      <modifiedWord/>
      <trackRevisions>false</trackRevisions>
    </reviewItem>
    <reviewItem>
      <errorID>da0a1352-3981-4908-b0fe-cdaed7ab162d</errorID>
      <errorWord>原住居民</errorWord>
      <group>L1_Sensitive</group>
      <groupName>敏感问题</groupName>
      <ability>L2_Violent</ability>
      <abilityName>暴恐词条</abilityName>
      <candidateList/>
      <explain>【暴恐词条】句中包含暴恐类敏感词条，请注意甄别。</explain>
      <paraID>522C9B01</paraID>
      <start>9</start>
      <end>13</end>
      <status>ignored</status>
      <modifiedWord/>
      <trackRevisions>false</trackRevisions>
    </reviewItem>
    <reviewItem>
      <errorID>ba8bee63-c173-455c-bc54-0d8001e24df7</errorID>
      <errorWord>原住居民</errorWord>
      <group>L1_Sensitive</group>
      <groupName>敏感问题</groupName>
      <ability>L2_Violent</ability>
      <abilityName>暴恐词条</abilityName>
      <candidateList/>
      <explain>【暴恐词条】句中包含暴恐类敏感词条，请注意甄别。</explain>
      <paraID> A3A51C1</paraID>
      <start>5</start>
      <end>9</end>
      <status>ignored</status>
      <modifiedWord/>
      <trackRevisions>false</trackRevisions>
    </reviewItem>
    <reviewItem>
      <errorID>b694cfd1-d670-4606-93de-8575e1c98e45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6D81E154</paraID>
      <start>4</start>
      <end>5</end>
      <status>ignored</status>
      <modifiedWord/>
      <trackRevisions>false</trackRevisions>
    </reviewItem>
    <reviewItem>
      <errorID>466ef258-3c9b-45b0-a400-c89f4df035cf</errorID>
      <errorWord>胜</errorWord>
      <group>L1_Word</group>
      <groupName>字词问题</groupName>
      <ability>L2_Typo</ability>
      <abilityName>字词错误</abilityName>
      <candidateList>
        <item>胜区</item>
      </candidateList>
      <explain/>
      <paraID>3CCC7A18</paraID>
      <start>60</start>
      <end>61</end>
      <status>ignored</status>
      <modifiedWord/>
      <trackRevisions>false</trackRevisions>
    </reviewItem>
    <reviewItem>
      <errorID>b1e8cbb8-7b0f-4b1d-a53a-091ba2687372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46438BB4</paraID>
      <start>0</start>
      <end>2</end>
      <status>ignored</status>
      <modifiedWord/>
      <trackRevisions>false</trackRevisions>
    </reviewItem>
    <reviewItem>
      <errorID>4af01e20-9d77-4545-b5a9-2878cc2be8d3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28535142</paraID>
      <start>0</start>
      <end>2</end>
      <status>ignored</status>
      <modifiedWord/>
      <trackRevisions>false</trackRevisions>
    </reviewItem>
    <reviewItem>
      <errorID>b044e017-02f9-42d7-aa80-96df3850b9e9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1F6114CA</paraID>
      <start>0</start>
      <end>2</end>
      <status>ignored</status>
      <modifiedWord/>
      <trackRevisions>false</trackRevisions>
    </reviewItem>
    <reviewItem>
      <errorID>81224796-8b04-47a2-9177-ae6d31e7921a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6A674B9E</paraID>
      <start>0</start>
      <end>2</end>
      <status>ignored</status>
      <modifiedWord/>
      <trackRevisions>false</trackRevisions>
    </reviewItem>
    <reviewItem>
      <errorID>786790da-b2c3-4b26-95bd-37269f4f6b45</errorID>
      <errorWord>法律、法规</errorWord>
      <group>L1_Word</group>
      <groupName>字词问题</groupName>
      <ability>L2_Typo</ability>
      <abilityName>字词错误</abilityName>
      <candidateList>
        <item>法律法规</item>
      </candidateList>
      <explain/>
      <paraID>4DD09D54</paraID>
      <start>171</start>
      <end>176</end>
      <status>ignored</status>
      <modifiedWord/>
      <trackRevisions>false</trackRevisions>
    </reviewItem>
    <reviewItem>
      <errorID>192acafc-c1e6-4516-a7d2-67eeda5c6121</errorID>
      <errorWord>景物</errorWord>
      <group>L1_Word</group>
      <groupName>字词问题</groupName>
      <ability>L2_Typo</ability>
      <abilityName>字词错误</abilityName>
      <candidateList>
        <item>景区</item>
      </candidateList>
      <explain/>
      <paraID>4573452E</paraID>
      <start>166</start>
      <end>168</end>
      <status>ignored</status>
      <modifiedWord/>
      <trackRevisions>false</trackRevisions>
    </reviewItem>
    <reviewItem>
      <errorID>f5ce56f6-4e34-417f-9ebb-c9bd63b618e1</errorID>
      <errorWord>法律、法规</errorWord>
      <group>L1_Word</group>
      <groupName>字词问题</groupName>
      <ability>L2_Typo</ability>
      <abilityName>字词错误</abilityName>
      <candidateList>
        <item>法律法规</item>
      </candidateList>
      <explain/>
      <paraID>4573452E</paraID>
      <start>211</start>
      <end>216</end>
      <status>ignored</status>
      <modifiedWord/>
      <trackRevisions>false</trackRevisions>
    </reviewItem>
    <reviewItem>
      <errorID>46b96669-d922-4969-9901-1fdd4af63dde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638055BB</paraID>
      <start>0</start>
      <end>2</end>
      <status>ignored</status>
      <modifiedWord/>
      <trackRevisions>false</trackRevisions>
    </reviewItem>
    <reviewItem>
      <errorID>37cf8c51-c9bd-40dc-ad2e-b000837de143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4D65CBB6</paraID>
      <start>0</start>
      <end>2</end>
      <status>ignored</status>
      <modifiedWord/>
      <trackRevisions>false</trackRevisions>
    </reviewItem>
    <reviewItem>
      <errorID>9f57dd95-1dd0-4b7f-9977-1f7e545f9249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5544EAB8</paraID>
      <start>0</start>
      <end>2</end>
      <status>ignored</status>
      <modifiedWord/>
      <trackRevisions>false</trackRevisions>
    </reviewItem>
    <reviewItem>
      <errorID>d29a33dc-b96e-47fa-b138-1330a5db94d5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4FED7A5F</paraID>
      <start>0</start>
      <end>2</end>
      <status>ignored</status>
      <modifiedWord/>
      <trackRevisions>false</trackRevisions>
    </reviewItem>
    <reviewItem>
      <errorID>4e9409ce-e871-4bdb-92ad-0a497a2d9cc0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647C6D12</paraID>
      <start>0</start>
      <end>2</end>
      <status>ignored</status>
      <modifiedWord/>
      <trackRevisions>false</trackRevisions>
    </reviewItem>
    <reviewItem>
      <errorID>27228b10-3002-453b-bc10-339e4b9eabef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14712E39</paraID>
      <start>0</start>
      <end>2</end>
      <status>ignored</status>
      <modifiedWord/>
      <trackRevisions>false</trackRevisions>
    </reviewItem>
    <reviewItem>
      <errorID>9dbe5bcb-4bdc-41e8-ad8c-0c5692553b69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5506FCA6</paraID>
      <start>0</start>
      <end>2</end>
      <status>ignored</status>
      <modifiedWord/>
      <trackRevisions>false</trackRevisions>
    </reviewItem>
    <reviewItem>
      <errorID>b73d2af0-d437-4104-b899-c5cace26c690</errorID>
      <errorWord>保育区</errorWord>
      <group>L1_Word</group>
      <groupName>字词问题</groupName>
      <ability>L2_Typo</ability>
      <abilityName>字词错误</abilityName>
      <candidateList>
        <item>保护区</item>
      </candidateList>
      <explain/>
      <paraID> 5F7E810</paraID>
      <start>177</start>
      <end>180</end>
      <status>unmodified</status>
      <modifiedWord/>
      <trackRevisions>false</trackRevisions>
    </reviewItem>
    <reviewItem>
      <errorID>8c9f125b-96ed-4da6-afd9-a2c502646ed9</errorID>
      <errorWord>区以</errorWord>
      <group>L1_Word</group>
      <groupName>字词问题</groupName>
      <ability>L2_Typo</ability>
      <abilityName>字词错误</abilityName>
      <candidateList>
        <item>区域</item>
      </candidateList>
      <explain>存在发音相近字词的误用。</explain>
      <paraID> 5F7E810</paraID>
      <start>203</start>
      <end>205</end>
      <status>ignored</status>
      <modifiedWord/>
      <trackRevisions>false</trackRevisions>
    </reviewItem>
    <reviewItem>
      <errorID>2558e93d-a6fa-4249-af43-4ab04e9080c7</errorID>
      <errorWord>他的</errorWord>
      <group>L1_Word</group>
      <groupName>字词问题</groupName>
      <ability>L2_Typo</ability>
      <abilityName>字词错误</abilityName>
      <candidateList>
        <item>他</item>
      </candidateList>
      <explain/>
      <paraID> 5F7E810</paraID>
      <start>556</start>
      <end>558</end>
      <status>ignored</status>
      <modifiedWord/>
      <trackRevisions>false</trackRevisions>
    </reviewItem>
    <reviewItem>
      <errorID>f6c24612-476b-426f-99ae-2b16fc54a4ab</errorID>
      <errorWord>他的</errorWord>
      <group>L1_Word</group>
      <groupName>字词问题</groupName>
      <ability>L2_Typo</ability>
      <abilityName>字词错误</abilityName>
      <candidateList>
        <item>他</item>
      </candidateList>
      <explain/>
      <paraID>128E4F4F</paraID>
      <start>195</start>
      <end>197</end>
      <status>ignored</status>
      <modifiedWord/>
      <trackRevisions>false</trackRevisions>
    </reviewItem>
    <reviewItem>
      <errorID>74439429-a2dc-4e92-bdcf-3cd3ff3a7e8d</errorID>
      <errorWord>（</errorWord>
      <group>L1_Word</group>
      <groupName>字词问题</groupName>
      <ability>L2_Typo</ability>
      <abilityName>字词错误</abilityName>
      <candidateList>
        <item>（以</item>
      </candidateList>
      <explain/>
      <paraID>41077723</paraID>
      <start>14</start>
      <end>15</end>
      <status>ignored</status>
      <modifiedWord/>
      <trackRevisions>false</trackRevisions>
    </reviewItem>
    <reviewItem>
      <errorID>b15bf153-6c30-40a1-ba84-7ad3d9fbba1c</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41077723</paraID>
      <start>46</start>
      <end>49</end>
      <status>ignored</status>
      <modifiedWord/>
      <trackRevisions>false</trackRevisions>
    </reviewItem>
    <reviewItem>
      <errorID>f4631727-70fb-44df-9ab6-5c5ce3c82009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7AA1F2FE</paraID>
      <start>160</start>
      <end>163</end>
      <status>ignored</status>
      <modifiedWord/>
      <trackRevisions>false</trackRevisions>
    </reviewItem>
    <reviewItem>
      <errorID>1bfc193d-6802-4ef7-b49b-8b9da810a7a6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5B9B4DAB</paraID>
      <start>0</start>
      <end>2</end>
      <status>ignored</status>
      <modifiedWord/>
      <trackRevisions>false</trackRevisions>
    </reviewItem>
    <reviewItem>
      <errorID>7a5321c5-f807-4d3a-b804-d0845086f7dd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6FFF6FE3</paraID>
      <start>0</start>
      <end>2</end>
      <status>ignored</status>
      <modifiedWord/>
      <trackRevisions>false</trackRevisions>
    </reviewItem>
    <reviewItem>
      <errorID>feb8ad30-879a-42bc-83b0-15a03591cf70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35743E58</paraID>
      <start>0</start>
      <end>2</end>
      <status>ignored</status>
      <modifiedWord/>
      <trackRevisions>false</trackRevisions>
    </reviewItem>
    <reviewItem>
      <errorID>2474b412-718a-4fa8-a69a-a26afe89d65c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47887894</paraID>
      <start>0</start>
      <end>2</end>
      <status>ignored</status>
      <modifiedWord/>
      <trackRevisions>false</trackRevisions>
    </reviewItem>
    <reviewItem>
      <errorID>fbe9c45f-a730-4338-87df-bfd9a771dab0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48DD2D1D</paraID>
      <start>0</start>
      <end>2</end>
      <status>ignored</status>
      <modifiedWord/>
      <trackRevisions>false</trackRevisions>
    </reviewItem>
    <reviewItem>
      <errorID>e42c73e4-4780-4d02-a9fc-2b31a050bd20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681897A9</paraID>
      <start>0</start>
      <end>2</end>
      <status>ignored</status>
      <modifiedWord/>
      <trackRevisions>false</trackRevisions>
    </reviewItem>
    <reviewItem>
      <errorID>2895f527-b12b-4108-a9f3-2c32b0571b3e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31BBB152</paraID>
      <start>0</start>
      <end>2</end>
      <status>ignored</status>
      <modifiedWord/>
      <trackRevisions>false</trackRevisions>
    </reviewItem>
    <reviewItem>
      <errorID>416be291-61d3-469d-afb9-e8879a3f96d9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88E55BC</paraID>
      <start>0</start>
      <end>2</end>
      <status>ignored</status>
      <modifiedWord/>
      <trackRevisions>false</trackRevisions>
    </reviewItem>
    <reviewItem>
      <errorID>1a4a8f30-0e61-451a-bc1a-928d6075823c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3F325989</paraID>
      <start>0</start>
      <end>2</end>
      <status>ignored</status>
      <modifiedWord/>
      <trackRevisions>false</trackRevisions>
    </reviewItem>
    <reviewItem>
      <errorID>3c0a423b-288c-4889-af23-20ad8ae47273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9A1BDF5</paraID>
      <start>0</start>
      <end>2</end>
      <status>ignored</status>
      <modifiedWord/>
      <trackRevisions>false</trackRevisions>
    </reviewItem>
    <reviewItem>
      <errorID>77d1e4c6-4bf7-4cb3-8294-031d03508351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1D0103AC</paraID>
      <start>0</start>
      <end>2</end>
      <status>ignored</status>
      <modifiedWord/>
      <trackRevisions>false</trackRevisions>
    </reviewItem>
    <reviewItem>
      <errorID>b4b1c0e0-d1c4-4824-9115-d0a766dddded</errorID>
      <errorWord>，</errorWord>
      <group>L1_Word</group>
      <groupName>字词问题</groupName>
      <ability>L2_Typo</ability>
      <abilityName>字词错误</abilityName>
      <candidateList>
        <item>，对</item>
      </candidateList>
      <explain/>
      <paraID>54C303A9</paraID>
      <start>34</start>
      <end>35</end>
      <status>unmodified</status>
      <modifiedWord/>
      <trackRevisions>false</trackRevisions>
    </reviewItem>
    <reviewItem>
      <errorID>bc80bb7d-f6f2-4f54-ba9c-e7ab01575eb4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2D118FC9</paraID>
      <start>0</start>
      <end>2</end>
      <status>ignored</status>
      <modifiedWord/>
      <trackRevisions>false</trackRevisions>
    </reviewItem>
    <reviewItem>
      <errorID>e5646241-1fc6-45ed-83c7-a5476d76e7e4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15C5CC8B</paraID>
      <start>0</start>
      <end>2</end>
      <status>unmodified</status>
      <modifiedWord/>
      <trackRevisions>false</trackRevisions>
    </reviewItem>
    <reviewItem>
      <errorID>100b6deb-df42-4053-96c5-200df15085d5</errorID>
      <errorWord>法律、法规</errorWord>
      <group>L1_Word</group>
      <groupName>字词问题</groupName>
      <ability>L2_Typo</ability>
      <abilityName>字词错误</abilityName>
      <candidateList>
        <item>法律法规</item>
      </candidateList>
      <explain/>
      <paraID>15C5CC8B</paraID>
      <start>31</start>
      <end>36</end>
      <status>unmodified</status>
      <modifiedWord/>
      <trackRevisions>false</trackRevisions>
    </reviewItem>
    <reviewItem>
      <errorID>8e598e57-8956-4c1c-a5f9-ca15644b8829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60449EA6</paraID>
      <start>0</start>
      <end>2</end>
      <status>unmodified</status>
      <modifiedWord/>
      <trackRevisions>false</trackRevisions>
    </reviewItem>
    <reviewItem>
      <errorID>2c62eb64-04ba-4862-bf23-872af7464917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43874250</paraID>
      <start>0</start>
      <end>2</end>
      <status>unmodified</status>
      <modifiedWord/>
      <trackRevisions>false</trackRevisions>
    </reviewItem>
    <reviewItem>
      <errorID>3707f56a-2f71-42ca-891e-f0d534f45169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3707C224</paraID>
      <start>0</start>
      <end>2</end>
      <status>unmodified</status>
      <modifiedWord/>
      <trackRevisions>false</trackRevisions>
    </reviewItem>
    <reviewItem>
      <errorID>65c70ccd-4cad-4134-9bd4-1c93747df449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3FAFB911</paraID>
      <start>0</start>
      <end>2</end>
      <status>unmodified</status>
      <modifiedWord/>
      <trackRevisions>false</trackRevisions>
    </reviewItem>
    <reviewItem>
      <errorID>dbc69405-4bf0-4f2c-aa2d-068837b8f7c9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53085B6F</paraID>
      <start>0</start>
      <end>2</end>
      <status>unmodified</status>
      <modifiedWord/>
      <trackRevisions>false</trackRevisions>
    </reviewItem>
    <reviewItem>
      <errorID>e4b3ee57-3a25-49e5-bcdf-a760b90ce74c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2A897AE</paraID>
      <start>0</start>
      <end>2</end>
      <status>unmodified</status>
      <modifiedWord/>
      <trackRevisions>false</trackRevisions>
    </reviewItem>
    <reviewItem>
      <errorID>5ed97153-1390-4bde-b32b-e899c7a3e4d6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546A42B2</paraID>
      <start>0</start>
      <end>2</end>
      <status>unmodified</status>
      <modifiedWord/>
      <trackRevisions>false</trackRevisions>
    </reviewItem>
    <reviewItem>
      <errorID>2ab204bc-9620-4be9-840c-88058ee473b8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506A90CF</paraID>
      <start>0</start>
      <end>2</end>
      <status>unmodified</status>
      <modifiedWord/>
      <trackRevisions>false</trackRevisions>
    </reviewItem>
    <reviewItem>
      <errorID>bf09fc18-b75f-4249-890f-d049d30e7db8</errorID>
      <errorWord>法律、法规</errorWord>
      <group>L1_Word</group>
      <groupName>字词问题</groupName>
      <ability>L2_Typo</ability>
      <abilityName>字词错误</abilityName>
      <candidateList>
        <item>法律法规</item>
      </candidateList>
      <explain/>
      <paraID>506A90CF</paraID>
      <start>92</start>
      <end>97</end>
      <status>unmodified</status>
      <modifiedWord/>
      <trackRevisions>false</trackRevisions>
    </reviewItem>
    <reviewItem>
      <errorID>547b2bfe-4d3d-465a-809f-70ebd0fe5a2e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5F453B96</paraID>
      <start>0</start>
      <end>2</end>
      <status>unmodified</status>
      <modifiedWord/>
      <trackRevisions>false</trackRevisions>
    </reviewItem>
    <reviewItem>
      <errorID>742848d0-dcfc-42f0-a661-1cdf39f2c34c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4894660</paraID>
      <start>0</start>
      <end>2</end>
      <status>unmodified</status>
      <modifiedWord/>
      <trackRevisions>false</trackRevisions>
    </reviewItem>
    <reviewItem>
      <errorID>b79a5bf4-d3fb-4a4e-a3dc-1f58d52d3346</errorID>
      <errorWord>法律、法规</errorWord>
      <group>L1_Word</group>
      <groupName>字词问题</groupName>
      <ability>L2_Typo</ability>
      <abilityName>字词错误</abilityName>
      <candidateList>
        <item>法律法规</item>
      </candidateList>
      <explain/>
      <paraID> 4894660</paraID>
      <start>88</start>
      <end>93</end>
      <status>unmodified</status>
      <modifiedWord/>
      <trackRevisions>false</trackRevisions>
    </reviewItem>
    <reviewItem>
      <errorID>a616d46c-97cc-4b6c-8ff5-bf2ce1913acd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10A0D7AA</paraID>
      <start>0</start>
      <end>2</end>
      <status>unmodified</status>
      <modifiedWord/>
      <trackRevisions>false</trackRevisions>
    </reviewItem>
    <reviewItem>
      <errorID>d904e7b5-45c7-4808-9f27-e41984138113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57E4A7C</paraID>
      <start>0</start>
      <end>2</end>
      <status>unmodified</status>
      <modifiedWord/>
      <trackRevisions>false</trackRevisions>
    </reviewItem>
    <reviewItem>
      <errorID>8fc9d189-ed44-4cd8-95de-0f68ad600db8</errorID>
      <errorWord>法律、法规</errorWord>
      <group>L1_Word</group>
      <groupName>字词问题</groupName>
      <ability>L2_Typo</ability>
      <abilityName>字词错误</abilityName>
      <candidateList>
        <item>法律法规</item>
      </candidateList>
      <explain/>
      <paraID> 57E4A7C</paraID>
      <start>88</start>
      <end>93</end>
      <status>unmodified</status>
      <modifiedWord/>
      <trackRevisions>false</trackRevisions>
    </reviewItem>
    <reviewItem>
      <errorID>257fb150-9994-4526-8940-310c3af2ca25</errorID>
      <errorWord>求</errorWord>
      <group>L1_Word</group>
      <groupName>字词问题</groupName>
      <ability>L2_Typo</ability>
      <abilityName>字词错误</abilityName>
      <candidateList>
        <item>求和</item>
      </candidateList>
      <explain/>
      <paraID>13735ABE</paraID>
      <start>53</start>
      <end>54</end>
      <status>unmodified</status>
      <modifiedWord/>
      <trackRevisions>false</trackRevisions>
    </reviewItem>
    <reviewItem>
      <errorID>c635df5c-901a-4343-b1e5-b4ab0952748e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1C335392</paraID>
      <start>0</start>
      <end>2</end>
      <status>unmodified</status>
      <modifiedWord/>
      <trackRevisions>false</trackRevisions>
    </reviewItem>
    <reviewItem>
      <errorID>c02b4bea-5cd9-4b42-8c95-22ac6b16f767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7819DA3B</paraID>
      <start>0</start>
      <end>2</end>
      <status>unmodified</status>
      <modifiedWord/>
      <trackRevisions>false</trackRevisions>
    </reviewItem>
    <reviewItem>
      <errorID>ed7c5fa9-f888-4ba8-91e7-5090e8eaff8c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12D6139B</paraID>
      <start>0</start>
      <end>2</end>
      <status>unmodified</status>
      <modifiedWord/>
      <trackRevisions>false</trackRevisions>
    </reviewItem>
    <reviewItem>
      <errorID>c3035e75-ff8c-473b-8b3f-e0d8ca3c8761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39BAD2B0</paraID>
      <start>0</start>
      <end>2</end>
      <status>unmodified</status>
      <modifiedWord/>
      <trackRevisions>false</trackRevisions>
    </reviewItem>
    <reviewItem>
      <errorID>9a8259d8-6a1d-4ed4-a1af-ae0d873550bc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1DB6BF0D</paraID>
      <start>0</start>
      <end>2</end>
      <status>unmodified</status>
      <modifiedWord/>
      <trackRevisions>false</trackRevisions>
    </reviewItem>
    <reviewItem>
      <errorID>4259b338-0f07-4ec1-b51d-6886e510158d</errorID>
      <errorWord>排水</errorWord>
      <group>L1_Word</group>
      <groupName>字词问题</groupName>
      <ability>L2_Typo</ability>
      <abilityName>字词错误</abilityName>
      <candidateList>
        <item>污水</item>
      </candidateList>
      <explain/>
      <paraID>1DB6BF0D</paraID>
      <start>179</start>
      <end>181</end>
      <status>unmodified</status>
      <modifiedWord/>
      <trackRevisions>false</trackRevisions>
    </reviewItem>
    <reviewItem>
      <errorID>47fd6fa0-b946-462d-b03d-624f506e3431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6CC0C80</paraID>
      <start>0</start>
      <end>2</end>
      <status>unmodified</status>
      <modifiedWord/>
      <trackRevisions>false</trackRevisions>
    </reviewItem>
    <reviewItem>
      <errorID>292ce9f6-a8cb-4e02-ad2d-e829dc4f07b4</errorID>
      <errorWord>期</errorWord>
      <group>L1_Word</group>
      <groupName>字词问题</groupName>
      <ability>L2_Typo</ability>
      <abilityName>字词错误</abilityName>
      <candidateList>
        <item>期间</item>
      </candidateList>
      <explain>〈名〉某个时期里面：农忙～｜春节～｜抗战～。</explain>
      <paraID>511E3B33</paraID>
      <start>2</start>
      <end>4</end>
      <status>modified</status>
      <modifiedWord>期间</modifiedWord>
      <trackRevisions>false</trackRevisions>
    </reviewItem>
    <reviewItem>
      <errorID>7502f63a-a51c-42d1-ae5b-469f449ec741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3885F532</paraID>
      <start>77</start>
      <end>80</end>
      <status>ignored</status>
      <modifiedWord/>
      <trackRevisions>false</trackRevisions>
    </reviewItem>
    <reviewItem>
      <errorID>2dc67066-517d-482b-915c-2d1ffbd5b5fc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3885F532</paraID>
      <start>87</start>
      <end>90</end>
      <status>ignored</status>
      <modifiedWord/>
      <trackRevisions>false</trackRevisions>
    </reviewItem>
    <reviewItem>
      <errorID>c3406e2e-90fa-4fac-b9e1-bb5723c6ef38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1EFD81D7</paraID>
      <start>0</start>
      <end>2</end>
      <status>unmodified</status>
      <modifiedWord/>
      <trackRevisions>false</trackRevisions>
    </reviewItem>
    <reviewItem>
      <errorID>23a547f0-573d-4f8a-bbcb-fec5e3131373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796DD898</paraID>
      <start>0</start>
      <end>2</end>
      <status>unmodified</status>
      <modifiedWord/>
      <trackRevisions>false</trackRevisions>
    </reviewItem>
    <reviewItem>
      <errorID>f7d92aa5-1804-4941-a1ab-5e267248b7c5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61B2ABF</paraID>
      <start>0</start>
      <end>2</end>
      <status>unmodified</status>
      <modifiedWord/>
      <trackRevisions>false</trackRevisions>
    </reviewItem>
    <reviewItem>
      <errorID>ed46ade3-3bbf-41a1-8540-4deed28bb517</errorID>
      <errorWord>法律、法规</errorWord>
      <group>L1_Word</group>
      <groupName>字词问题</groupName>
      <ability>L2_Typo</ability>
      <abilityName>字词错误</abilityName>
      <candidateList>
        <item>法律法规</item>
      </candidateList>
      <explain/>
      <paraID>1999E8FB</paraID>
      <start>3</start>
      <end>8</end>
      <status>unmodified</status>
      <modifiedWord/>
      <trackRevisions>false</trackRevisions>
    </reviewItem>
    <reviewItem>
      <errorID>1310e145-0cba-4661-af6f-58566c26633f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53EC4721</paraID>
      <start>0</start>
      <end>2</end>
      <status>unmodified</status>
      <modifiedWord/>
      <trackRevisions>false</trackRevisions>
    </reviewItem>
    <reviewItem>
      <errorID>366a4bd1-205b-4fc5-871e-6ac505bd2575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2A71A823</paraID>
      <start>0</start>
      <end>2</end>
      <status>unmodified</status>
      <modifiedWord/>
      <trackRevisions>false</trackRevisions>
    </reviewItem>
    <reviewItem>
      <errorID>3937c41d-ba32-4af9-b5c0-25d21325db69</errorID>
      <errorWord>,</errorWord>
      <group>L1_Format</group>
      <groupName>格式问题</groupName>
      <ability>L2_HalfPunc</ability>
      <abilityName>全半角检查</abilityName>
      <candidateList>
        <item>，</item>
      </candidateList>
      <explain>文本全半角错误。</explain>
      <paraID>2EF688CD</paraID>
      <start>84</start>
      <end>85</end>
      <status>unmodified</status>
      <modifiedWord/>
      <trackRevisions>false</trackRevisions>
    </reviewItem>
    <reviewItem>
      <errorID>05cb48c5-91be-43aa-8cee-b2da02b7dabb</errorID>
      <errorWord>噪音</errorWord>
      <group>L1_Word</group>
      <groupName>字词问题</groupName>
      <ability>L2_Alias</ability>
      <abilityName>也作/曾用词</abilityName>
      <candidateList>
        <item>噪声</item>
      </candidateList>
      <explain>词汇[噪音]为不规范表述或旧称，其规范书面表述为[噪声]。</explain>
      <paraID>41762D8B</paraID>
      <start>7</start>
      <end>9</end>
      <status>unmodified</status>
      <modifiedWord/>
      <trackRevisions>false</trackRevisions>
    </reviewItem>
    <reviewItem>
      <errorID>2238ab58-6595-4a4e-92ac-a6475fa70b79</errorID>
      <errorWord>程</errorWord>
      <group>L1_Word</group>
      <groupName>字词问题</groupName>
      <ability>L2_Typo</ability>
      <abilityName>字词错误</abilityName>
      <candidateList>
        <item>程中</item>
      </candidateList>
      <explain/>
      <paraID>3C34F1AF</paraID>
      <start>29</start>
      <end>30</end>
      <status>unmodified</status>
      <modifiedWord/>
      <trackRevisions>false</trackRevisions>
    </reviewItem>
    <reviewItem>
      <errorID>398932a9-bc2c-44c8-8133-c9dfe3d9fe16</errorID>
      <errorWord>程</errorWord>
      <group>L1_Word</group>
      <groupName>字词问题</groupName>
      <ability>L2_Typo</ability>
      <abilityName>字词错误</abilityName>
      <candidateList>
        <item>程中</item>
      </candidateList>
      <explain/>
      <paraID>3C34F1AF</paraID>
      <start>75</start>
      <end>76</end>
      <status>unmodified</status>
      <modifiedWord/>
      <trackRevisions>false</trackRevisions>
    </reviewItem>
    <reviewItem>
      <errorID>d1f7cb17-cfd2-48c7-aeeb-0ed9a6f34005</errorID>
      <errorWord>，</errorWord>
      <group>L1_Word</group>
      <groupName>字词问题</groupName>
      <ability>L2_Typo</ability>
      <abilityName>字词错误</abilityName>
      <candidateList>
        <item>，由</item>
      </candidateList>
      <explain/>
      <paraID>54B3D3D0</paraID>
      <start>21</start>
      <end>22</end>
      <status>unmodified</status>
      <modifiedWord/>
      <trackRevisions>false</trackRevisions>
    </reviewItem>
    <reviewItem>
      <errorID>2260cb14-4957-4f4f-9dc0-30dfe60e82db</errorID>
      <errorWord>-</errorWord>
      <group>L1_Format</group>
      <groupName>格式问题</groupName>
      <ability>L2_HalfPunc</ability>
      <abilityName>全半角检查</abilityName>
      <candidateList>
        <item>－</item>
      </candidateList>
      <explain>文本全半角错误。</explain>
      <paraID>28853671</paraID>
      <start>92</start>
      <end>93</end>
      <status>unmodified</status>
      <modifiedWord/>
      <trackRevisions>false</trackRevisions>
    </reviewItem>
    <reviewItem>
      <errorID>3f452e06-8aef-470a-8cb9-f65a1db9f808</errorID>
      <errorWord>-</errorWord>
      <group>L1_Format</group>
      <groupName>格式问题</groupName>
      <ability>L2_HalfPunc</ability>
      <abilityName>全半角检查</abilityName>
      <candidateList>
        <item>－</item>
      </candidateList>
      <explain>文本全半角错误。</explain>
      <paraID>28853671</paraID>
      <start>95</start>
      <end>96</end>
      <status>unmodified</status>
      <modifiedWord/>
      <trackRevisions>false</trackRevisions>
    </reviewItem>
    <reviewItem>
      <errorID>5fc5d5b5-828a-43d0-9e12-e01e8954738f</errorID>
      <errorWord>-</errorWord>
      <group>L1_Format</group>
      <groupName>格式问题</groupName>
      <ability>L2_HalfPunc</ability>
      <abilityName>全半角检查</abilityName>
      <candidateList>
        <item>－</item>
      </candidateList>
      <explain>文本全半角错误。</explain>
      <paraID>28853671</paraID>
      <start>98</start>
      <end>99</end>
      <status>unmodified</status>
      <modifiedWord/>
      <trackRevisions>false</trackRevisions>
    </reviewItem>
    <reviewItem>
      <errorID>63aaf447-f608-4fea-9b8b-c06250779264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7D4601A0</paraID>
      <start>0</start>
      <end>2</end>
      <status>unmodified</status>
      <modifiedWord/>
      <trackRevisions>false</trackRevisions>
    </reviewItem>
    <reviewItem>
      <errorID>27a02325-24e4-41f1-b9b6-68d5ab001c72</errorID>
      <errorWord>，</errorWord>
      <group>L1_Word</group>
      <groupName>字词问题</groupName>
      <ability>L2_Typo</ability>
      <abilityName>字词错误</abilityName>
      <candidateList>
        <item>，因</item>
      </candidateList>
      <explain/>
      <paraID>4DEAC9E6</paraID>
      <start>93</start>
      <end>94</end>
      <status>unmodified</status>
      <modifiedWord/>
      <trackRevisions>false</trackRevisions>
    </reviewItem>
    <reviewItem>
      <errorID>f0d199c7-5d63-4273-91fb-93674d59bce3</errorID>
      <errorWord>新疆维吾尔自治区环境保护条例</errorWord>
      <group>L1_Knowledge</group>
      <groupName>知识性问题</groupName>
      <ability>L2_Knowledge</ability>
      <abilityName>其他知识</abilityName>
      <candidateList>
        <item>《新疆维吾尔自治区环境保护条例》</item>
      </candidateList>
      <explain>完整法律法规名称需要加书名号，请注意检查。</explain>
      <paraID>47B3FBDB</paraID>
      <start>0</start>
      <end>14</end>
      <status>unmodified</status>
      <modifiedWord/>
      <trackRevisions>false</trackRevisions>
    </reviewItem>
    <reviewItem>
      <errorID>e6ca8274-f61a-44ec-858f-e7e0321279bc</errorID>
      <errorWord>项目标准</errorWord>
      <group>L1_Knowledge</group>
      <groupName>知识性问题</groupName>
      <ability>L2_Term</ability>
      <abilityName>专业术语</abilityName>
      <candidateList>
        <item>项目核准</item>
      </candidateList>
      <explain/>
      <paraID>1617417B</paraID>
      <start>105</start>
      <end>109</end>
      <status>unmodified</status>
      <modifiedWord/>
      <trackRevisions>false</trackRevisions>
    </reviewItem>
    <reviewItem>
      <errorID>d2fbedff-4406-4b56-bace-175e9fc23296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4131F0CF</paraID>
      <start>0</start>
      <end>2</end>
      <status>modified</status>
      <modifiedWord>1.</modifiedWord>
      <trackRevisions>false</trackRevisions>
    </reviewItem>
    <reviewItem>
      <errorID>fb67182a-efb5-47ba-ba8c-01755aa460c1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33F00EAA</paraID>
      <start>0</start>
      <end>2</end>
      <status>modified</status>
      <modifiedWord>2.</modifiedWord>
      <trackRevisions>false</trackRevisions>
    </reviewItem>
    <reviewItem>
      <errorID>88e5bd96-5271-4a0a-a590-64eb0603bfff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1B5E2CBA</paraID>
      <start>18</start>
      <end>19</end>
      <status>modified</status>
      <modifiedWord>—</modifiedWord>
      <trackRevisions>false</trackRevisions>
    </reviewItem>
    <reviewItem>
      <errorID>5b58633f-ae62-4b2c-b348-328d4e06ac8a</errorID>
      <errorWord>-</errorWord>
      <group>L1_Format</group>
      <groupName>格式问题</groupName>
      <ability>L2_HalfPunc</ability>
      <abilityName>全半角检查</abilityName>
      <candidateList>
        <item>－</item>
      </candidateList>
      <explain>文本全半角错误。</explain>
      <paraID> 6E69E2F</paraID>
      <start>110</start>
      <end>111</end>
      <status>modified</status>
      <modifiedWord>－</modifiedWord>
      <trackRevisions>false</trackRevisions>
    </reviewItem>
    <reviewItem>
      <errorID>b6e415a7-acec-48d1-a6f1-f37664617fa0</errorID>
      <errorWord>绿色发展的理念</errorWord>
      <group>L1_Political</group>
      <groupName>政治性问题</groupName>
      <ability>L2_Keyword</ability>
      <abilityName>固定表述</abilityName>
      <candidateList>
        <item>绿色发展理念</item>
      </candidateList>
      <explain>词汇“绿色发展理念”在特定场景下为固定表述形式，请确认此处的“绿色发展的理念”是否存在不当。</explain>
      <paraID>584F36E8</paraID>
      <start>63</start>
      <end>69</end>
      <status>modified</status>
      <modifiedWord>绿色发展理念</modifiedWord>
      <trackRevisions>false</trackRevisions>
    </reviewItem>
    <reviewItem>
      <errorID>dcf7097e-cc37-4da9-b7b1-2593b043d560</errorID>
      <errorWord>;</errorWord>
      <group>L1_Format</group>
      <groupName>格式问题</groupName>
      <ability>L2_HalfPunc</ability>
      <abilityName>全半角检查</abilityName>
      <candidateList>
        <item>；</item>
      </candidateList>
      <explain>文本全半角错误。</explain>
      <paraID>78B9BDF4</paraID>
      <start>78</start>
      <end>79</end>
      <status>modified</status>
      <modifiedWord>；</modifiedWord>
      <trackRevisions>false</trackRevisions>
    </reviewItem>
    <reviewItem>
      <errorID>ecf24ff8-0ed8-4911-aeb2-5cabdc54ef00</errorID>
      <errorWord>;</errorWord>
      <group>L1_Format</group>
      <groupName>格式问题</groupName>
      <ability>L2_HalfPunc</ability>
      <abilityName>全半角检查</abilityName>
      <candidateList>
        <item>；</item>
      </candidateList>
      <explain>文本全半角错误。</explain>
      <paraID>78B9BDF4</paraID>
      <start>110</start>
      <end>111</end>
      <status>modified</status>
      <modifiedWord>；</modifiedWord>
      <trackRevisions>false</trackRevisions>
    </reviewItem>
    <reviewItem>
      <errorID>cd580f15-2562-44ce-a8fe-601146dcab30</errorID>
      <errorWord>;</errorWord>
      <group>L1_Format</group>
      <groupName>格式问题</groupName>
      <ability>L2_HalfPunc</ability>
      <abilityName>全半角检查</abilityName>
      <candidateList>
        <item>；</item>
      </candidateList>
      <explain>文本全半角错误。</explain>
      <paraID>78B9BDF4</paraID>
      <start>158</start>
      <end>159</end>
      <status>modified</status>
      <modifiedWord>；</modifiedWord>
      <trackRevisions>false</trackRevisions>
    </reviewItem>
    <reviewItem>
      <errorID>235c9ad8-c428-413e-8abf-a82c9d1472a4</errorID>
      <errorWord>;</errorWord>
      <group>L1_Format</group>
      <groupName>格式问题</groupName>
      <ability>L2_HalfPunc</ability>
      <abilityName>全半角检查</abilityName>
      <candidateList>
        <item>；</item>
      </candidateList>
      <explain>文本全半角错误。</explain>
      <paraID>78B9BDF4</paraID>
      <start>228</start>
      <end>229</end>
      <status>modified</status>
      <modifiedWord>；</modifiedWord>
      <trackRevisions>false</trackRevisions>
    </reviewItem>
    <reviewItem>
      <errorID>e951e0af-f2e8-4ccb-9aee-2038498f0cb0</errorID>
      <errorWord>绿色发展的理念</errorWord>
      <group>L1_Political</group>
      <groupName>政治性问题</groupName>
      <ability>L2_Keyword</ability>
      <abilityName>固定表述</abilityName>
      <candidateList>
        <item>绿色发展理念</item>
      </candidateList>
      <explain>词汇“绿色发展理念”在特定场景下为固定表述形式，请确认此处的“绿色发展的理念”是否存在不当。</explain>
      <paraID> 18F4979</paraID>
      <start>166</start>
      <end>172</end>
      <status>modified</status>
      <modifiedWord>绿色发展理念</modifiedWord>
      <trackRevisions>false</trackRevisions>
    </reviewItem>
    <reviewItem>
      <errorID>e1d19e8d-f670-489a-a1bd-764369ec70be</errorID>
      <errorWord>》</errorWord>
      <group>L1_Word</group>
      <groupName>字词问题</groupName>
      <ability>L2_Typo</ability>
      <abilityName>字词错误</abilityName>
      <candidateList>
        <item>》和</item>
      </candidateList>
      <explain/>
      <paraID>76BAC119</paraID>
      <start>17</start>
      <end>19</end>
      <status>modified</status>
      <modifiedWord>》和</modifiedWord>
      <trackRevisions>false</trackRevisions>
    </reviewItem>
    <reviewItem>
      <errorID>db214609-3f98-46d6-a2e1-fcdf80eda27e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4CAABB78</paraID>
      <start>0</start>
      <end>2</end>
      <status>modified</status>
      <modifiedWord>1.</modifiedWord>
      <trackRevisions>false</trackRevisions>
    </reviewItem>
    <reviewItem>
      <errorID>fa7eae1f-8493-4a19-9704-045e0d1ec2b2</errorID>
      <errorWord>全面遮盖</errorWord>
      <group>L1_Political</group>
      <groupName>政治性问题</groupName>
      <ability>L2_Keyword</ability>
      <abilityName>固定表述</abilityName>
      <candidateList>
        <item>全面覆盖</item>
      </candidateList>
      <explain>词汇“全面覆盖”在特定场景下为固定表述形式，请确认此处的“全面遮盖”是否存在不当。</explain>
      <paraID> A45ECE6</paraID>
      <start>27</start>
      <end>31</end>
      <status>ignored</status>
      <modifiedWord/>
      <trackRevisions>false</trackRevisions>
    </reviewItem>
    <reviewItem>
      <errorID>11a02935-70b5-4b15-91bf-6294c0597fce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56A83A6E</paraID>
      <start>0</start>
      <end>2</end>
      <status>modified</status>
      <modifiedWord>2.</modifiedWord>
      <trackRevisions>false</trackRevisions>
    </reviewItem>
    <reviewItem>
      <errorID>1150bfe9-c427-4403-8f8a-2cad6975fda0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5A75123B</paraID>
      <start>4</start>
      <end>5</end>
      <status>modified</status>
      <modifiedWord>—</modifiedWord>
      <trackRevisions>false</trackRevisions>
    </reviewItem>
    <reviewItem>
      <errorID>cadcf57e-9913-434b-9505-d6528d65004e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23CE7EF5</paraID>
      <start>0</start>
      <end>2</end>
      <status>modified</status>
      <modifiedWord>3.</modifiedWord>
      <trackRevisions>false</trackRevisions>
    </reviewItem>
    <reviewItem>
      <errorID>e0905875-f0e7-4208-87ee-cd4a109f9b8e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1E8CD657</paraID>
      <start>0</start>
      <end>2</end>
      <status>modified</status>
      <modifiedWord>4.</modifiedWord>
      <trackRevisions>false</trackRevisions>
    </reviewItem>
    <reviewItem>
      <errorID>ce7bd724-a4cd-4932-b04e-2391e49eff9a</errorID>
      <errorWord>-</errorWord>
      <group>L1_Format</group>
      <groupName>格式问题</groupName>
      <ability>L2_HalfPunc</ability>
      <abilityName>全半角检查</abilityName>
      <candidateList>
        <item>－</item>
      </candidateList>
      <explain>文本全半角错误。</explain>
      <paraID>7B74FCF6</paraID>
      <start>35</start>
      <end>36</end>
      <status>modified</status>
      <modifiedWord>－</modifiedWord>
      <trackRevisions>false</trackRevisions>
    </reviewItem>
    <reviewItem>
      <errorID>2e06ff61-c374-4e1c-abbf-6ab9d0c3d1ef</errorID>
      <errorWord>具</errorWord>
      <group>L1_Word</group>
      <groupName>字词问题</groupName>
      <ability>L2_Typo</ability>
      <abilityName>字词错误</abilityName>
      <candidateList>
        <item>具有</item>
      </candidateList>
      <explain>〈动〉有（多用于抽象事物）：～信心｜～伟大的意义。</explain>
      <paraID>7B74FCF6</paraID>
      <start>161</start>
      <end>163</end>
      <status>modified</status>
      <modifiedWord>具有</modifiedWord>
      <trackRevisions>false</trackRevisions>
    </reviewItem>
    <reviewItem>
      <errorID>21b03374-07c8-4a5c-a320-c5fd96d9f7d5</errorID>
      <errorWord>1.0-2.5%</errorWord>
      <group>L1_Knowledge</group>
      <groupName>知识性问题</groupName>
      <ability>L2_Knowledge</ability>
      <abilityName>其他知识</abilityName>
      <candidateList>
        <item>1.0%—2.5%</item>
      </candidateList>
      <explain>1. “1.0-2.5%”中的单位“%”仅出现在后一个数字上，容易引起歧义；根据《现代汉语标点符号数字用法规范手册》，数字表示范围两边需要使用统一的格式。2.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73B26FCA</paraID>
      <start>26</start>
      <end>35</end>
      <status>modified</status>
      <modifiedWord>1.0%—2.5%</modifiedWord>
      <trackRevisions>false</trackRevisions>
    </reviewItem>
    <reviewItem>
      <errorID>6ba85a45-8465-4ad5-b442-91e5ec0c81b3</errorID>
      <errorWord>结品性</errorWord>
      <group>L1_Word</group>
      <groupName>字词问题</groupName>
      <ability>L2_Typo</ability>
      <abilityName>字词错误</abilityName>
      <candidateList>
        <item>结晶性</item>
      </candidateList>
      <explain/>
      <paraID>73B26FCA</paraID>
      <start>64</start>
      <end>67</end>
      <status>modified</status>
      <modifiedWord>结晶性</modifiedWord>
      <trackRevisions>false</trackRevisions>
    </reviewItem>
    <reviewItem>
      <errorID>8cb50206-1bac-42a5-bbc7-5cb3774ad7bd</errorID>
      <errorWord>1~4%</errorWord>
      <group>L1_Knowledge</group>
      <groupName>知识性问题</groupName>
      <ability>L2_Knowledge</ability>
      <abilityName>其他知识</abilityName>
      <candidateList>
        <item>1%～4%</item>
      </candidateList>
      <explain>1. “1~4%”中的单位“%”仅出现在后一个数字上，容易引起歧义；根据《现代汉语标点符号数字用法规范手册》，数字表示范围两边需要使用统一的格式。2. 根据标点国标 4.13 中的规则，数字、时间或地域连接符应使用（视觉上更长的）“—”或“～”。</explain>
      <paraID>73B26FCA</paraID>
      <start>123</start>
      <end>128</end>
      <status>modified</status>
      <modifiedWord>1%～4%</modifiedWord>
      <trackRevisions>false</trackRevisions>
    </reviewItem>
    <reviewItem>
      <errorID>85a68317-863e-4993-95d3-31ed57b8c226</errorID>
      <errorWord>结品</errorWord>
      <group>L1_Word</group>
      <groupName>字词问题</groupName>
      <ability>L2_Typo</ability>
      <abilityName>字词错误</abilityName>
      <candidateList>
        <item>结晶</item>
      </candidateList>
      <explain/>
      <paraID>73B26FCA</paraID>
      <start>377</start>
      <end>379</end>
      <status>modified</status>
      <modifiedWord>结晶</modifiedWord>
      <trackRevisions>false</trackRevisions>
    </reviewItem>
    <reviewItem>
      <errorID>b9f978ff-76d8-4283-9ad1-1221dbe9b3ae</errorID>
      <errorWord>1.8~2.5%</errorWord>
      <group>L1_Knowledge</group>
      <groupName>知识性问题</groupName>
      <ability>L2_Knowledge</ability>
      <abilityName>其他知识</abilityName>
      <candidateList>
        <item>1.8%～2.5%</item>
      </candidateList>
      <explain>1. “1.8~2.5%”中的单位“%”仅出现在后一个数字上，容易引起歧义；根据《现代汉语标点符号数字用法规范手册》，数字表示范围两边需要使用统一的格式。2.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73B26FCA</paraID>
      <start>393</start>
      <end>402</end>
      <status>modified</status>
      <modifiedWord>1.8%～2.5%</modifiedWord>
      <trackRevisions>false</trackRevisions>
    </reviewItem>
    <reviewItem>
      <errorID>b87d9453-9e04-42cc-ac53-5ec7dba359e5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4E3F5D09</paraID>
      <start>0</start>
      <end>2</end>
      <status>modified</status>
      <modifiedWord>3.</modifiedWord>
      <trackRevisions>false</trackRevisions>
    </reviewItem>
    <reviewItem>
      <errorID>d30fe551-2b7c-4249-be6d-1bd666272c3a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6E87F007</paraID>
      <start>79</start>
      <end>80</end>
      <status>modified</status>
      <modifiedWord>—</modifiedWord>
      <trackRevisions>false</trackRevisions>
    </reviewItem>
    <reviewItem>
      <errorID>411c630d-0635-4bf5-b313-9ca0ad0b1665</errorID>
      <errorWord>主要以废旧物资回收企业为主</errorWord>
      <group>L1_Word</group>
      <groupName>字词问题</groupName>
      <ability>L2_Typo</ability>
      <abilityName>字词错误</abilityName>
      <candidateList>
        <item>以废旧物资回收企业为主</item>
      </candidateList>
      <explain/>
      <paraID>3A86E807</paraID>
      <start>56</start>
      <end>67</end>
      <status>modified</status>
      <modifiedWord>以废旧物资回收企业为主</modifiedWord>
      <trackRevisions>false</trackRevisions>
    </reviewItem>
    <reviewItem>
      <errorID>de227942-023b-4fb6-b1a8-293184b3b555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7F883B27</paraID>
      <start>0</start>
      <end>2</end>
      <status>modified</status>
      <modifiedWord>1.</modifiedWord>
      <trackRevisions>false</trackRevisions>
    </reviewItem>
    <reviewItem>
      <errorID>95563e8c-9c75-4840-9bf7-4f01f513b2d2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7566B1D4</paraID>
      <start>0</start>
      <end>2</end>
      <status>modified</status>
      <modifiedWord>2.</modifiedWord>
      <trackRevisions>false</trackRevisions>
    </reviewItem>
    <reviewItem>
      <errorID>505c119a-74fe-4ec3-91d4-ccb78368b954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2A7ABBD3</paraID>
      <start>0</start>
      <end>2</end>
      <status>modified</status>
      <modifiedWord>3.</modifiedWord>
      <trackRevisions>false</trackRevisions>
    </reviewItem>
    <reviewItem>
      <errorID>160ef510-288f-461e-8259-704847aec5ae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A41DAF9</paraID>
      <start>0</start>
      <end>2</end>
      <status>modified</status>
      <modifiedWord>4.</modifiedWord>
      <trackRevisions>false</trackRevisions>
    </reviewItem>
    <reviewItem>
      <errorID>cdb4cbd5-770c-4184-97ea-8c2cdf52e00e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5A4FDEB5</paraID>
      <start>0</start>
      <end>2</end>
      <status>modified</status>
      <modifiedWord>1.</modifiedWord>
      <trackRevisions>false</trackRevisions>
    </reviewItem>
    <reviewItem>
      <errorID>0cc08e3a-3a44-46a5-a386-ca36ac04455c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76224333</paraID>
      <start>0</start>
      <end>2</end>
      <status>modified</status>
      <modifiedWord>2.</modifiedWord>
      <trackRevisions>false</trackRevisions>
    </reviewItem>
    <reviewItem>
      <errorID>6425e6cd-cba6-4cb8-98ee-d25a6392446f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1941C04F</paraID>
      <start>0</start>
      <end>2</end>
      <status>modified</status>
      <modifiedWord>3.</modifiedWord>
      <trackRevisions>false</trackRevisions>
    </reviewItem>
    <reviewItem>
      <errorID>946e6583-5463-4b90-aca5-f323b00daecb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3E7F53C5</paraID>
      <start>0</start>
      <end>2</end>
      <status>modified</status>
      <modifiedWord>4.</modifiedWord>
      <trackRevisions>false</trackRevisions>
    </reviewItem>
    <reviewItem>
      <errorID>58283438-bf90-429a-a903-3d627a890929</errorID>
      <errorWord>外逸</errorWord>
      <group>L1_Word</group>
      <groupName>字词问题</groupName>
      <ability>L2_Typo</ability>
      <abilityName>字词错误</abilityName>
      <candidateList>
        <item>外溢</item>
      </candidateList>
      <explain/>
      <paraID>6FF78884</paraID>
      <start>122</start>
      <end>124</end>
      <status>modified</status>
      <modifiedWord>外溢</modifiedWord>
      <trackRevisions>false</trackRevisions>
    </reviewItem>
    <reviewItem>
      <errorID>1f2dac9e-6cba-46aa-996c-44f2f631dbf7</errorID>
      <errorWord>生活废水</errorWord>
      <group>L1_Knowledge</group>
      <groupName>知识性问题</groupName>
      <ability>L2_Term</ability>
      <abilityName>专业术语</abilityName>
      <candidateList>
        <item>生活污水</item>
      </candidateList>
      <explain/>
      <paraID>4B6041C2</paraID>
      <start>3</start>
      <end>7</end>
      <status>modified</status>
      <modifiedWord>生活污水</modifiedWord>
      <trackRevisions>false</trackRevisions>
    </reviewItem>
    <reviewItem>
      <errorID>435a0cf1-f093-4aa5-ad7a-b1b8d2138a80</errorID>
      <errorWord>噪音</errorWord>
      <group>L1_Word</group>
      <groupName>字词问题</groupName>
      <ability>L2_Alias</ability>
      <abilityName>也作/曾用词</abilityName>
      <candidateList>
        <item>噪声</item>
      </candidateList>
      <explain>词汇[噪音]为不规范表述或旧称，其规范书面表述为[噪声]。</explain>
      <paraID>2312F9E1</paraID>
      <start>25</start>
      <end>27</end>
      <status>modified</status>
      <modifiedWord>噪声</modifiedWord>
      <trackRevisions>false</trackRevisions>
    </reviewItem>
    <reviewItem>
      <errorID>c0b1e11c-6b69-46a4-9766-cbbdc7ed0714</errorID>
      <errorWord>-</errorWord>
      <group>L1_Format</group>
      <groupName>格式问题</groupName>
      <ability>L2_HalfPunc</ability>
      <abilityName>全半角检查</abilityName>
      <candidateList>
        <item>－</item>
      </candidateList>
      <explain>文本全半角错误。</explain>
      <paraID>5D056452</paraID>
      <start>97</start>
      <end>98</end>
      <status>modified</status>
      <modifiedWord>－</modifiedWord>
      <trackRevisions>false</trackRevisions>
    </reviewItem>
    <reviewItem>
      <errorID>33b6d142-bf89-4d4e-86e8-43d930500f0d</errorID>
      <errorWord>的颗粒物</errorWord>
      <group>L1_Knowledge</group>
      <groupName>知识性问题</groupName>
      <ability>L2_Term</ability>
      <abilityName>专业术语</abilityName>
      <candidateList>
        <item>细颗粒物</item>
      </candidateList>
      <explain/>
      <paraID>5217642A</paraID>
      <start>6</start>
      <end>10</end>
      <status>ignored</status>
      <modifiedWord/>
      <trackRevisions>false</trackRevisions>
    </reviewItem>
    <reviewItem>
      <errorID>9ce3b8c1-f189-4f9e-bc59-5b454d9d2193</errorID>
      <errorWord>部分</errorWord>
      <group>L1_Word</group>
      <groupName>字词问题</groupName>
      <ability>L2_Typo</ability>
      <abilityName>字词错误</abilityName>
      <candidateList>
        <item>部门</item>
      </candidateList>
      <explain>〈名〉组成某一整体的部分或单位：工业～｜文教～｜～经济学（如工业经济学、农业经济学）｜一本书要经过编辑、出版、印刷、发行等～，然后才能跟读者见面。</explain>
      <paraID>2DB74B78</paraID>
      <start>23</start>
      <end>25</end>
      <status>modified</status>
      <modifiedWord>部门</modifiedWord>
      <trackRevisions>false</trackRevisions>
    </reviewItem>
    <reviewItem>
      <errorID>4d6c99a2-3aec-45c5-9542-e1b6c632388a</errorID>
      <errorWord>)</errorWord>
      <group>L1_Format</group>
      <groupName>格式问题</groupName>
      <ability>L2_HalfPunc</ability>
      <abilityName>全半角检查</abilityName>
      <candidateList>
        <item>）</item>
      </candidateList>
      <explain>文本全半角错误。</explain>
      <paraID>3A92593D</paraID>
      <start>122</start>
      <end>123</end>
      <status>modified</status>
      <modifiedWord>）</modifiedWord>
      <trackRevisions>false</trackRevisions>
    </reviewItem>
    <reviewItem>
      <errorID>8df7f226-69d4-4d8f-b099-dda91dbf6c15</errorID>
      <errorWord>源源</errorWord>
      <group>L1_Word</group>
      <groupName>字词问题</groupName>
      <ability>L2_Typo</ability>
      <abilityName>字词错误</abilityName>
      <candidateList>
        <item>源</item>
      </candidateList>
      <explain/>
      <paraID>2269E1D9</paraID>
      <start>1</start>
      <end>3</end>
      <status>ignored</status>
      <modifiedWord/>
      <trackRevisions>false</trackRevisions>
    </reviewItem>
    <reviewItem>
      <errorID>94288226-786b-45bc-8ee5-4a4fd4f2db75</errorID>
      <errorWord>（</errorWord>
      <group>L1_Punc</group>
      <groupName>标点问题</groupName>
      <ability>L2_Punc</ability>
      <abilityName>标点符号检查</abilityName>
      <candidateList>
        <item/>
      </candidateList>
      <explain>同一形式括号套用。</explain>
      <paraID>2114D360</paraID>
      <start>4</start>
      <end>5</end>
      <status>unmodified</status>
      <modifiedWord/>
      <trackRevisions>false</trackRevisions>
    </reviewItem>
    <reviewItem>
      <errorID>9b61919f-27f5-463e-8d8c-af1d09d37759</errorID>
      <errorWord>)</errorWord>
      <group>L1_Punc</group>
      <groupName>标点问题</groupName>
      <ability>L2_Punc</ability>
      <abilityName>标点符号检查</abilityName>
      <candidateList/>
      <explain>同一形式括号套用。</explain>
      <paraID>2114D360</paraID>
      <start>9</start>
      <end>10</end>
      <status>unmodified</status>
      <modifiedWord/>
      <trackRevisions>false</trackRevisions>
    </reviewItem>
    <reviewItem>
      <errorID>37e61a5e-8fcc-451f-ba98-66d43de08bd3</errorID>
      <errorWord>）</errorWord>
      <group>L1_Punc</group>
      <groupName>标点问题</groupName>
      <ability>L2_Punc</ability>
      <abilityName>标点符号检查</abilityName>
      <candidateList/>
      <explain>同一形式括号套用。</explain>
      <paraID>2114D360</paraID>
      <start>10</start>
      <end>11</end>
      <status>unmodified</status>
      <modifiedWord/>
      <trackRevisions>false</trackRevisions>
    </reviewItem>
    <reviewItem>
      <errorID>715d87d2-32d2-4931-bf0a-d3a0f52deebf</errorID>
      <errorWord>，</errorWord>
      <group>L1_Format</group>
      <groupName>格式问题</groupName>
      <ability>L2_HalfPunc</ability>
      <abilityName>全半角检查</abilityName>
      <candidateList>
        <item>, </item>
      </candidateList>
      <explain>文本全半角错误。</explain>
      <paraID>46D0542B</paraID>
      <start>1</start>
      <end>3</end>
      <status>modified</status>
      <modifiedWord>, </modifiedWord>
      <trackRevisions>false</trackRevisions>
    </reviewItem>
    <reviewItem>
      <errorID>89701ead-f089-40d4-9b00-398953cc469f</errorID>
      <errorWord>，</errorWord>
      <group>L1_Format</group>
      <groupName>格式问题</groupName>
      <ability>L2_HalfPunc</ability>
      <abilityName>全半角检查</abilityName>
      <candidateList>
        <item>, </item>
      </candidateList>
      <explain>文本全半角错误。</explain>
      <paraID>2D328424</paraID>
      <start>1</start>
      <end>3</end>
      <status>modified</status>
      <modifiedWord>, </modifiedWord>
      <trackRevisions>false</trackRevisions>
    </reviewItem>
    <reviewItem>
      <errorID>299764d8-beb9-4a88-84b6-3b7c4999c504</errorID>
      <errorWord>法律、法规</errorWord>
      <group>L1_Word</group>
      <groupName>字词问题</groupName>
      <ability>L2_Typo</ability>
      <abilityName>字词错误</abilityName>
      <candidateList>
        <item>法律法规</item>
      </candidateList>
      <explain/>
      <paraID>528BDD03</paraID>
      <start>39</start>
      <end>43</end>
      <status>modified</status>
      <modifiedWord>法律法规</modifiedWord>
      <trackRevisions>false</trackRevisions>
    </reviewItem>
    <reviewItem>
      <errorID>4a519faf-2116-44ec-95c2-6fd8fbd4b72a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A4D458A</paraID>
      <start>99</start>
      <end>101</end>
      <status>modified</status>
      <modifiedWord>》《</modifiedWord>
      <trackRevisions>false</trackRevisions>
    </reviewItem>
    <reviewItem>
      <errorID>f168c69e-b722-4c99-8e13-a3702bd3eee5</errorID>
      <errorWord>要求来</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 B3D7A35</paraID>
      <start>29</start>
      <end>31</end>
      <status>modified</status>
      <modifiedWord>要求</modifiedWord>
      <trackRevisions>false</trackRevisions>
    </reviewItem>
    <reviewItem>
      <errorID>43207bca-6894-40fd-829a-098616302806</errorID>
      <errorWord>建</errorWord>
      <group>L1_Word</group>
      <groupName>字词问题</groupName>
      <ability>L2_Typo</ability>
      <abilityName>字词错误</abilityName>
      <candidateList>
        <item>建设</item>
      </candidateList>
      <explain>〈动〉创立新事业；增加新设施：经济～｜～家园｜～现代化强国◇组织～｜思想～。</explain>
      <paraID>5085E87E</paraID>
      <start>2</start>
      <end>4</end>
      <status>modified</status>
      <modifiedWord>建设</modifiedWord>
      <trackRevisions>false</trackRevisions>
    </reviewItem>
    <reviewItem>
      <errorID>b041be3f-cd19-4b73-8462-48098b0f2a17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584FD319</paraID>
      <start>0</start>
      <end>2</end>
      <status>modified</status>
      <modifiedWord>1.</modifiedWord>
      <trackRevisions>false</trackRevisions>
    </reviewItem>
    <reviewItem>
      <errorID>48589b11-cff0-4c86-a8c8-17c3d469747c</errorID>
      <errorWord>;</errorWord>
      <group>L1_Format</group>
      <groupName>格式问题</groupName>
      <ability>L2_HalfPunc</ability>
      <abilityName>全半角检查</abilityName>
      <candidateList>
        <item>；</item>
      </candidateList>
      <explain>文本全半角错误。</explain>
      <paraID>584FD319</paraID>
      <start>12</start>
      <end>13</end>
      <status>modified</status>
      <modifiedWord>；</modifiedWord>
      <trackRevisions>false</trackRevisions>
    </reviewItem>
    <reviewItem>
      <errorID>c16965b9-90c4-4181-aa89-e1ac5a474f8f</errorID>
      <errorWord>:</errorWord>
      <group>L1_Format</group>
      <groupName>格式问题</groupName>
      <ability>L2_HalfPunc</ability>
      <abilityName>全半角检查</abilityName>
      <candidateList>
        <item>：</item>
      </candidateList>
      <explain>文本全半角错误。</explain>
      <paraID>584FD319</paraID>
      <start>15</start>
      <end>16</end>
      <status>modified</status>
      <modifiedWord>：</modifiedWord>
      <trackRevisions>false</trackRevisions>
    </reviewItem>
    <reviewItem>
      <errorID>5e208b9c-6afb-4211-8b45-0d6b92d1d103</errorID>
      <errorWord>:</errorWord>
      <group>L1_Format</group>
      <groupName>格式问题</groupName>
      <ability>L2_HalfPunc</ability>
      <abilityName>全半角检查</abilityName>
      <candidateList>
        <item>：</item>
      </candidateList>
      <explain>文本全半角错误。</explain>
      <paraID> 96239C8</paraID>
      <start>2</start>
      <end>3</end>
      <status>modified</status>
      <modifiedWord>：</modifiedWord>
      <trackRevisions>false</trackRevisions>
    </reviewItem>
    <reviewItem>
      <errorID>156889ca-8963-4b1d-9f27-3bc9bc6d45f0</errorID>
      <errorWord>:</errorWord>
      <group>L1_Format</group>
      <groupName>格式问题</groupName>
      <ability>L2_HalfPunc</ability>
      <abilityName>全半角检查</abilityName>
      <candidateList>
        <item>：</item>
      </candidateList>
      <explain>文本全半角错误。</explain>
      <paraID> 96239C8</paraID>
      <start>11</start>
      <end>12</end>
      <status>modified</status>
      <modifiedWord>：</modifiedWord>
      <trackRevisions>false</trackRevisions>
    </reviewItem>
    <reviewItem>
      <errorID>fe9cb79b-df09-4c84-bf71-4964aa8760a2</errorID>
      <errorWord>:</errorWord>
      <group>L1_Format</group>
      <groupName>格式问题</groupName>
      <ability>L2_HalfPunc</ability>
      <abilityName>全半角检查</abilityName>
      <candidateList>
        <item>：</item>
      </candidateList>
      <explain>文本全半角错误。</explain>
      <paraID> 96239C8</paraID>
      <start>19</start>
      <end>20</end>
      <status>modified</status>
      <modifiedWord>：</modifiedWord>
      <trackRevisions>false</trackRevisions>
    </reviewItem>
    <reviewItem>
      <errorID>921bbc7b-743f-4144-9be5-bbd709df42b3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184F5D04</paraID>
      <start>0</start>
      <end>2</end>
      <status>modified</status>
      <modifiedWord>2.</modifiedWord>
      <trackRevisions>false</trackRevisions>
    </reviewItem>
    <reviewItem>
      <errorID>a4f9d659-6736-46c8-a7ec-1e72a1ba3847</errorID>
      <errorWord>:</errorWord>
      <group>L1_Format</group>
      <groupName>格式问题</groupName>
      <ability>L2_HalfPunc</ability>
      <abilityName>全半角检查</abilityName>
      <candidateList>
        <item>：</item>
      </candidateList>
      <explain>文本全半角错误。</explain>
      <paraID>184F5D04</paraID>
      <start>6</start>
      <end>7</end>
      <status>modified</status>
      <modifiedWord>：</modifiedWord>
      <trackRevisions>false</trackRevisions>
    </reviewItem>
    <reviewItem>
      <errorID>792b7f2f-9a43-4289-bc9d-fa9a457236ea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61E9043C</paraID>
      <start>0</start>
      <end>2</end>
      <status>modified</status>
      <modifiedWord>1.</modifiedWord>
      <trackRevisions>false</trackRevisions>
    </reviewItem>
    <reviewItem>
      <errorID>4e612478-307e-4450-8d77-d61acc3c54d7</errorID>
      <errorWord>(</errorWord>
      <group>L1_Format</group>
      <groupName>格式问题</groupName>
      <ability>L2_HalfPunc</ability>
      <abilityName>全半角检查</abilityName>
      <candidateList>
        <item>（</item>
      </candidateList>
      <explain>文本全半角错误。</explain>
      <paraID>61E9043C</paraID>
      <start>26</start>
      <end>27</end>
      <status>modified</status>
      <modifiedWord>（</modifiedWord>
      <trackRevisions>false</trackRevisions>
    </reviewItem>
    <reviewItem>
      <errorID>20a9afdb-1f60-4494-a4cb-6734131323a5</errorID>
      <errorWord>)</errorWord>
      <group>L1_Format</group>
      <groupName>格式问题</groupName>
      <ability>L2_HalfPunc</ability>
      <abilityName>全半角检查</abilityName>
      <candidateList>
        <item>）</item>
      </candidateList>
      <explain>文本全半角错误。</explain>
      <paraID>61E9043C</paraID>
      <start>35</start>
      <end>36</end>
      <status>modified</status>
      <modifiedWord>）</modifiedWord>
      <trackRevisions>false</trackRevisions>
    </reviewItem>
    <reviewItem>
      <errorID>2d089e5d-58c4-416a-8224-920377d25922</errorID>
      <errorWord>(</errorWord>
      <group>L1_Format</group>
      <groupName>格式问题</groupName>
      <ability>L2_HalfPunc</ability>
      <abilityName>全半角检查</abilityName>
      <candidateList>
        <item>（</item>
      </candidateList>
      <explain>文本全半角错误。</explain>
      <paraID>61E9043C</paraID>
      <start>60</start>
      <end>61</end>
      <status>modified</status>
      <modifiedWord>（</modifiedWord>
      <trackRevisions>false</trackRevisions>
    </reviewItem>
    <reviewItem>
      <errorID>b64637b3-a1dd-4067-a815-2e4db00e3ff0</errorID>
      <errorWord>)</errorWord>
      <group>L1_Format</group>
      <groupName>格式问题</groupName>
      <ability>L2_HalfPunc</ability>
      <abilityName>全半角检查</abilityName>
      <candidateList>
        <item>）</item>
      </candidateList>
      <explain>文本全半角错误。</explain>
      <paraID>61E9043C</paraID>
      <start>70</start>
      <end>71</end>
      <status>modified</status>
      <modifiedWord>）</modifiedWord>
      <trackRevisions>false</trackRevisions>
    </reviewItem>
    <reviewItem>
      <errorID>a6968c19-bc77-4614-b126-930ed58867d6</errorID>
      <errorWord>(</errorWord>
      <group>L1_Format</group>
      <groupName>格式问题</groupName>
      <ability>L2_HalfPunc</ability>
      <abilityName>全半角检查</abilityName>
      <candidateList>
        <item>（</item>
      </candidateList>
      <explain>文本全半角错误。</explain>
      <paraID>61E9043C</paraID>
      <start>87</start>
      <end>88</end>
      <status>modified</status>
      <modifiedWord>（</modifiedWord>
      <trackRevisions>false</trackRevisions>
    </reviewItem>
    <reviewItem>
      <errorID>87eef429-1ce4-42a0-8011-91260c1b8939</errorID>
      <errorWord>)</errorWord>
      <group>L1_Format</group>
      <groupName>格式问题</groupName>
      <ability>L2_HalfPunc</ability>
      <abilityName>全半角检查</abilityName>
      <candidateList>
        <item>）</item>
      </candidateList>
      <explain>文本全半角错误。</explain>
      <paraID>61E9043C</paraID>
      <start>93</start>
      <end>94</end>
      <status>modified</status>
      <modifiedWord>）</modifiedWord>
      <trackRevisions>false</trackRevisions>
    </reviewItem>
    <reviewItem>
      <errorID>0e3a400b-ca78-4f9f-bb64-afe91fe3f245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4354597F</paraID>
      <start>0</start>
      <end>2</end>
      <status>modified</status>
      <modifiedWord>2.</modifiedWord>
      <trackRevisions>false</trackRevisions>
    </reviewItem>
    <reviewItem>
      <errorID>b52527fb-d901-4873-92d7-2e4630d3d04a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15FA45F7</paraID>
      <start>0</start>
      <end>2</end>
      <status>modified</status>
      <modifiedWord>3.</modifiedWord>
      <trackRevisions>false</trackRevisions>
    </reviewItem>
    <reviewItem>
      <errorID>90834cca-c134-49ec-ab35-493eb2b9bd0e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3D5ACCA1</paraID>
      <start>0</start>
      <end>2</end>
      <status>modified</status>
      <modifiedWord>4.</modifiedWord>
      <trackRevisions>false</trackRevisions>
    </reviewItem>
    <reviewItem>
      <errorID>2e00159a-34e2-425e-966e-f5ba34f2c5ba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4A47CF37</paraID>
      <start>0</start>
      <end>2</end>
      <status>modified</status>
      <modifiedWord>1.</modifiedWord>
      <trackRevisions>false</trackRevisions>
    </reviewItem>
    <reviewItem>
      <errorID>4128b791-5060-4c37-93aa-4539feaeb18e</errorID>
      <errorWord>(</errorWord>
      <group>L1_Format</group>
      <groupName>格式问题</groupName>
      <ability>L2_HalfPunc</ability>
      <abilityName>全半角检查</abilityName>
      <candidateList>
        <item>（</item>
      </candidateList>
      <explain>文本全半角错误。</explain>
      <paraID>3FE55BD4</paraID>
      <start>24</start>
      <end>25</end>
      <status>modified</status>
      <modifiedWord>（</modifiedWord>
      <trackRevisions>false</trackRevisions>
    </reviewItem>
    <reviewItem>
      <errorID>932ce88f-ed15-4ca6-87c8-35d710aae920</errorID>
      <errorWord>)</errorWord>
      <group>L1_Format</group>
      <groupName>格式问题</groupName>
      <ability>L2_HalfPunc</ability>
      <abilityName>全半角检查</abilityName>
      <candidateList>
        <item>）</item>
      </candidateList>
      <explain>文本全半角错误。</explain>
      <paraID>3FE55BD4</paraID>
      <start>34</start>
      <end>35</end>
      <status>modified</status>
      <modifiedWord>）</modifiedWord>
      <trackRevisions>false</trackRevisions>
    </reviewItem>
    <reviewItem>
      <errorID>32bd7555-64d0-4906-8f90-9cf3fafb687f</errorID>
      <errorWord>(</errorWord>
      <group>L1_Format</group>
      <groupName>格式问题</groupName>
      <ability>L2_HalfPunc</ability>
      <abilityName>全半角检查</abilityName>
      <candidateList>
        <item>（</item>
      </candidateList>
      <explain>文本全半角错误。</explain>
      <paraID>3FE55BD4</paraID>
      <start>54</start>
      <end>55</end>
      <status>modified</status>
      <modifiedWord>（</modifiedWord>
      <trackRevisions>false</trackRevisions>
    </reviewItem>
    <reviewItem>
      <errorID>37ee4e76-9a24-4dca-b94a-5e41a7bfd22d</errorID>
      <errorWord>)</errorWord>
      <group>L1_Format</group>
      <groupName>格式问题</groupName>
      <ability>L2_HalfPunc</ability>
      <abilityName>全半角检查</abilityName>
      <candidateList>
        <item>）</item>
      </candidateList>
      <explain>文本全半角错误。</explain>
      <paraID>3FE55BD4</paraID>
      <start>60</start>
      <end>61</end>
      <status>modified</status>
      <modifiedWord>）</modifiedWord>
      <trackRevisions>false</trackRevisions>
    </reviewItem>
    <reviewItem>
      <errorID>ef46723b-5161-4116-9439-8ed1d196d660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5D00AE9A</paraID>
      <start>0</start>
      <end>2</end>
      <status>modified</status>
      <modifiedWord>2.</modifiedWord>
      <trackRevisions>false</trackRevisions>
    </reviewItem>
    <reviewItem>
      <errorID>c08d3ae0-09e4-42d1-8401-af814ef611ca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27DCDFBB</paraID>
      <start>0</start>
      <end>2</end>
      <status>modified</status>
      <modifiedWord>3.</modifiedWord>
      <trackRevisions>false</trackRevisions>
    </reviewItem>
    <reviewItem>
      <errorID>64fb9d15-90db-4dec-824f-998d9f31c34d</errorID>
      <errorWord>(</errorWord>
      <group>L1_Format</group>
      <groupName>格式问题</groupName>
      <ability>L2_HalfPunc</ability>
      <abilityName>全半角检查</abilityName>
      <candidateList>
        <item>（</item>
      </candidateList>
      <explain>文本全半角错误。</explain>
      <paraID>5F7FDAFA</paraID>
      <start>10</start>
      <end>11</end>
      <status>modified</status>
      <modifiedWord>（</modifiedWord>
      <trackRevisions>false</trackRevisions>
    </reviewItem>
    <reviewItem>
      <errorID>069a7b8e-a788-407f-a358-97d5bc1e18c1</errorID>
      <errorWord>)</errorWord>
      <group>L1_Format</group>
      <groupName>格式问题</groupName>
      <ability>L2_HalfPunc</ability>
      <abilityName>全半角检查</abilityName>
      <candidateList>
        <item>）</item>
      </candidateList>
      <explain>文本全半角错误。</explain>
      <paraID>5F7FDAFA</paraID>
      <start>25</start>
      <end>26</end>
      <status>modified</status>
      <modifiedWord>）</modifiedWord>
      <trackRevisions>false</trackRevisions>
    </reviewItem>
    <reviewItem>
      <errorID>f5e53bc6-94ee-4303-b35d-8cca4c602098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4700A50D</paraID>
      <start>0</start>
      <end>2</end>
      <status>modified</status>
      <modifiedWord>4.</modifiedWord>
      <trackRevisions>false</trackRevisions>
    </reviewItem>
    <reviewItem>
      <errorID>719bc158-e6c1-4b5d-9199-fe4c589b0871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3DD65</paraID>
      <start>0</start>
      <end>2</end>
      <status>modified</status>
      <modifiedWord>1.</modifiedWord>
      <trackRevisions>false</trackRevisions>
    </reviewItem>
    <reviewItem>
      <errorID>9409bee9-64a7-4303-974f-f02a85e778c5</errorID>
      <errorWord>(</errorWord>
      <group>L1_Format</group>
      <groupName>格式问题</groupName>
      <ability>L2_HalfPunc</ability>
      <abilityName>全半角检查</abilityName>
      <candidateList>
        <item>（</item>
      </candidateList>
      <explain>文本全半角错误。</explain>
      <paraID>   3DD65</paraID>
      <start>28</start>
      <end>29</end>
      <status>modified</status>
      <modifiedWord>（</modifiedWord>
      <trackRevisions>false</trackRevisions>
    </reviewItem>
    <reviewItem>
      <errorID>8d93afc4-0de9-4f55-adca-bdacc47fe11f</errorID>
      <errorWord>)</errorWord>
      <group>L1_Format</group>
      <groupName>格式问题</groupName>
      <ability>L2_HalfPunc</ability>
      <abilityName>全半角检查</abilityName>
      <candidateList>
        <item>）</item>
      </candidateList>
      <explain>文本全半角错误。</explain>
      <paraID>   3DD65</paraID>
      <start>38</start>
      <end>39</end>
      <status>modified</status>
      <modifiedWord>）</modifiedWord>
      <trackRevisions>false</trackRevisions>
    </reviewItem>
    <reviewItem>
      <errorID>9a27a9ac-f211-4a09-85f8-bd467d3c2671</errorID>
      <errorWord>(</errorWord>
      <group>L1_Format</group>
      <groupName>格式问题</groupName>
      <ability>L2_HalfPunc</ability>
      <abilityName>全半角检查</abilityName>
      <candidateList>
        <item>（</item>
      </candidateList>
      <explain>文本全半角错误。</explain>
      <paraID>   3DD65</paraID>
      <start>60</start>
      <end>61</end>
      <status>modified</status>
      <modifiedWord>（</modifiedWord>
      <trackRevisions>false</trackRevisions>
    </reviewItem>
    <reviewItem>
      <errorID>0cf31a5a-802d-46af-8fec-07c65b6f0171</errorID>
      <errorWord>)</errorWord>
      <group>L1_Format</group>
      <groupName>格式问题</groupName>
      <ability>L2_HalfPunc</ability>
      <abilityName>全半角检查</abilityName>
      <candidateList>
        <item>）</item>
      </candidateList>
      <explain>文本全半角错误。</explain>
      <paraID>   3DD65</paraID>
      <start>66</start>
      <end>67</end>
      <status>modified</status>
      <modifiedWord>）</modifiedWord>
      <trackRevisions>false</trackRevisions>
    </reviewItem>
    <reviewItem>
      <errorID>fbc9aae8-c679-4af6-8617-70c5732cc860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2F510B8A</paraID>
      <start>0</start>
      <end>2</end>
      <status>modified</status>
      <modifiedWord>2.</modifiedWord>
      <trackRevisions>false</trackRevisions>
    </reviewItem>
    <reviewItem>
      <errorID>ba3ad3c3-c8f1-4a21-b160-29408d1810b2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5334682D</paraID>
      <start>0</start>
      <end>2</end>
      <status>modified</status>
      <modifiedWord>3.</modifiedWord>
      <trackRevisions>false</trackRevisions>
    </reviewItem>
    <reviewItem>
      <errorID>09d23045-ef66-4d81-a878-94570e7570ab</errorID>
      <errorWord>:</errorWord>
      <group>L1_Format</group>
      <groupName>格式问题</groupName>
      <ability>L2_HalfPunc</ability>
      <abilityName>全半角检查</abilityName>
      <candidateList>
        <item>：</item>
      </candidateList>
      <explain>文本全半角错误。</explain>
      <paraID>5334682D</paraID>
      <start>4</start>
      <end>5</end>
      <status>modified</status>
      <modifiedWord>：</modifiedWord>
      <trackRevisions>false</trackRevisions>
    </reviewItem>
    <reviewItem>
      <errorID>355b8409-9542-4bcc-8968-8b3bcda85555</errorID>
      <errorWord>)</errorWord>
      <group>L1_Format</group>
      <groupName>格式问题</groupName>
      <ability>L2_HalfPunc</ability>
      <abilityName>全半角检查</abilityName>
      <candidateList>
        <item>）</item>
      </candidateList>
      <explain>文本全半角错误。</explain>
      <paraID>1C8D731C</paraID>
      <start>10</start>
      <end>11</end>
      <status>modified</status>
      <modifiedWord>）</modifiedWord>
      <trackRevisions>false</trackRevisions>
    </reviewItem>
    <reviewItem>
      <errorID>7e3e6921-35e4-4e65-ad29-326e4f2107fb</errorID>
      <errorWord>～</errorWord>
      <group>L1_Format</group>
      <groupName>格式问题</groupName>
      <ability>L2_HalfPunc</ability>
      <abilityName>全半角检查</abilityName>
      <candidateList>
        <item>~</item>
      </candidateList>
      <explain>文本全半角错误。</explain>
      <paraID>574BEE03</paraID>
      <start>3</start>
      <end>4</end>
      <status>modified</status>
      <modifiedWord>~</modifiedWord>
      <trackRevisions>false</trackRevisions>
    </reviewItem>
    <reviewItem>
      <errorID>12b4d597-c442-484e-91e3-84fa0b31be9f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5BB3913C</paraID>
      <start>0</start>
      <end>2</end>
      <status>modified</status>
      <modifiedWord>3.</modifiedWord>
      <trackRevisions>false</trackRevisions>
    </reviewItem>
    <reviewItem>
      <errorID>6fb31ada-f53b-489f-a874-ef20a90ab6a3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73277A71</paraID>
      <start>0</start>
      <end>2</end>
      <status>modified</status>
      <modifiedWord>4.</modifiedWord>
      <trackRevisions>false</trackRevisions>
    </reviewItem>
    <reviewItem>
      <errorID>361739b0-cfdf-4f56-8dd0-3d3f7cd5d2c3</errorID>
      <errorWord>须</errorWord>
      <group>L1_Word</group>
      <groupName>字词问题</groupName>
      <ability>L2_Typo</ability>
      <abilityName>字词错误</abilityName>
      <candidateList>
        <item>须以</item>
      </candidateList>
      <explain/>
      <paraID> D2A44B0</paraID>
      <start>6</start>
      <end>8</end>
      <status>modified</status>
      <modifiedWord>须以</modifiedWord>
      <trackRevisions>false</trackRevisions>
    </reviewItem>
    <reviewItem>
      <errorID>3a8cb5f1-0bfa-4db1-be3f-ff163e1fdc5c</errorID>
      <errorWord>管理要</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2E3E2B84</paraID>
      <start>5</start>
      <end>7</end>
      <status>modified</status>
      <modifiedWord>管理</modifiedWord>
      <trackRevisions>false</trackRevisions>
    </reviewItem>
    <reviewItem>
      <errorID>57434610-e395-4901-a065-9ec73570409a</errorID>
      <errorWord>部</errorWord>
      <group>L1_Word</group>
      <groupName>字词问题</groupName>
      <ability>L2_Typo</ability>
      <abilityName>字词错误</abilityName>
      <candidateList>
        <item/>
      </candidateList>
      <explain/>
      <paraID>5413926C</paraID>
      <start>51</start>
      <end>52</end>
      <status>ignored</status>
      <modifiedWord/>
      <trackRevisions>false</trackRevisions>
    </reviewItem>
    <reviewItem>
      <errorID>74bda38a-9f61-4e50-8110-f10ef10131a3</errorID>
      <errorWord>接受</errorWord>
      <group>L1_Word</group>
      <groupName>字词问题</groupName>
      <ability>L2_Typo</ability>
      <abilityName>字词错误</abilityName>
      <candidateList>
        <item>接收</item>
      </candidateList>
      <explain>存在发音相同字词的误用。</explain>
      <paraID>365611C9</paraID>
      <start>1</start>
      <end>3</end>
      <status>ignored</status>
      <modifiedWord/>
      <trackRevisions>false</trackRevisions>
    </reviewItem>
    <reviewItem>
      <errorID>d8930c4b-0c0a-4b5e-8087-174ed731c36b</errorID>
      <errorWord>接受</errorWord>
      <group>L1_Word</group>
      <groupName>字词问题</groupName>
      <ability>L2_Typo</ability>
      <abilityName>字词错误</abilityName>
      <candidateList>
        <item>接收</item>
      </candidateList>
      <explain>存在发音相同字词的误用。</explain>
      <paraID>365611C9</paraID>
      <start>23</start>
      <end>25</end>
      <status>unmodified</status>
      <modifiedWord/>
      <trackRevisions>false</trackRevisions>
    </reviewItem>
    <reviewItem>
      <errorID>5e4b4081-bfe7-49e4-ba7f-7c4957a64a4a</errorID>
      <errorWord>接受</errorWord>
      <group>L1_Word</group>
      <groupName>字词问题</groupName>
      <ability>L2_Typo</ability>
      <abilityName>字词错误</abilityName>
      <candidateList>
        <item>接收</item>
      </candidateList>
      <explain>存在发音相同字词的误用。</explain>
      <paraID>365611C9</paraID>
      <start>42</start>
      <end>44</end>
      <status>unmodified</status>
      <modifiedWord/>
      <trackRevisions>false</trackRevisions>
    </reviewItem>
    <reviewItem>
      <errorID>5aff2c59-c2d6-4f04-8437-a4ea0fd2f850</errorID>
      <errorWord>接受</errorWord>
      <group>L1_Word</group>
      <groupName>字词问题</groupName>
      <ability>L2_Typo</ability>
      <abilityName>字词错误</abilityName>
      <candidateList>
        <item>接收</item>
      </candidateList>
      <explain>存在发音相同字词的误用。</explain>
      <paraID>1EF52DBA</paraID>
      <start>47</start>
      <end>49</end>
      <status>unmodified</status>
      <modifiedWord/>
      <trackRevisions>false</trackRevisions>
    </reviewItem>
    <reviewItem>
      <errorID>07abda4f-4711-461c-a351-1929942f33ed</errorID>
      <errorWord>撒漏</errorWord>
      <group>L1_Word</group>
      <groupName>字词问题</groupName>
      <ability>L2_Typo</ability>
      <abilityName>字词错误</abilityName>
      <candidateList>
        <item>泄漏</item>
      </candidateList>
      <explain/>
      <paraID>6A337A75</paraID>
      <start>32</start>
      <end>34</end>
      <status>modified</status>
      <modifiedWord>泄漏</modifiedWord>
      <trackRevisions>false</trackRevisions>
    </reviewItem>
    <reviewItem>
      <errorID>bb10ac97-b85f-409d-a210-844a75d0ba09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68AFC69E</paraID>
      <start>73</start>
      <end>74</end>
      <status>modified</status>
      <modifiedWord>—</modifiedWord>
      <trackRevisions>false</trackRevisions>
    </reviewItem>
    <reviewItem>
      <errorID>e11e16ea-1b3b-4282-be85-43e8af943057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965FFFA</paraID>
      <start>0</start>
      <end>2</end>
      <status>modified</status>
      <modifiedWord>1.</modifiedWord>
      <trackRevisions>false</trackRevisions>
    </reviewItem>
    <reviewItem>
      <errorID>26050984-cbfc-49b0-a748-cd06ea4faebf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5C0B639E</paraID>
      <start>0</start>
      <end>2</end>
      <status>modified</status>
      <modifiedWord>2.</modifiedWord>
      <trackRevisions>false</trackRevisions>
    </reviewItem>
    <reviewItem>
      <errorID>6622c1bd-526f-439b-aba7-72ebd301229f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7185ECA0</paraID>
      <start>0</start>
      <end>2</end>
      <status>modified</status>
      <modifiedWord>3.</modifiedWord>
      <trackRevisions>false</trackRevisions>
    </reviewItem>
    <reviewItem>
      <errorID>d75a4842-a29f-4b13-949d-dce3baad1b27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8C1B4F4</paraID>
      <start>0</start>
      <end>2</end>
      <status>modified</status>
      <modifiedWord>4.</modifiedWord>
      <trackRevisions>false</trackRevisions>
    </reviewItem>
    <reviewItem>
      <errorID>e4436881-2ba3-4e4d-b93d-3c305e355515</errorID>
      <errorWord>，</errorWord>
      <group>L1_Word</group>
      <groupName>字词问题</groupName>
      <ability>L2_Typo</ability>
      <abilityName>字词错误</abilityName>
      <candidateList>
        <item>，对</item>
      </candidateList>
      <explain/>
      <paraID>  E207B5</paraID>
      <start>115</start>
      <end>117</end>
      <status>modified</status>
      <modifiedWord>，对</modifiedWord>
      <trackRevisions>false</trackRevisions>
    </reviewItem>
    <reviewItem>
      <errorID>0dbd4c2a-1033-46d6-8485-c8dc5ad1edac</errorID>
      <errorWord>泄露</errorWord>
      <group>L1_Word</group>
      <groupName>字词问题</groupName>
      <ability>L2_Typo</ability>
      <abilityName>字词错误</abilityName>
      <candidateList>
        <item>泄漏</item>
      </candidateList>
      <explain>存在发音相同字词的误用。</explain>
      <paraID>2F8222EF</paraID>
      <start>66</start>
      <end>68</end>
      <status>modified</status>
      <modifiedWord>泄漏</modifiedWord>
      <trackRevisions>false</trackRevisions>
    </reviewItem>
    <reviewItem>
      <errorID>795a061e-f892-4db4-9e9f-56f338c6edf8</errorID>
      <errorWord>应付</errorWord>
      <group>L1_Word</group>
      <groupName>字词问题</groupName>
      <ability>L2_Typo</ability>
      <abilityName>字词错误</abilityName>
      <candidateList>
        <item>应对</item>
      </candidateList>
      <explain/>
      <paraID>70BEBD4D</paraID>
      <start>168</start>
      <end>170</end>
      <status>modified</status>
      <modifiedWord>应对</modifiedWord>
      <trackRevisions>false</trackRevisions>
    </reviewItem>
    <reviewItem>
      <errorID>b957de28-e32f-47c3-81cb-78e0a9fdbacc</errorID>
      <errorWord>(</errorWord>
      <group>L1_Format</group>
      <groupName>格式问题</groupName>
      <ability>L2_HalfPunc</ability>
      <abilityName>全半角检查</abilityName>
      <candidateList>
        <item>（</item>
      </candidateList>
      <explain>文本全半角错误。</explain>
      <paraID>3FBB957E</paraID>
      <start>3</start>
      <end>4</end>
      <status>modified</status>
      <modifiedWord>（</modifiedWord>
      <trackRevisions>false</trackRevisions>
    </reviewItem>
    <reviewItem>
      <errorID>1d2c0103-e43a-4ee7-a174-76d1ca6513d7</errorID>
      <errorWord>)</errorWord>
      <group>L1_Format</group>
      <groupName>格式问题</groupName>
      <ability>L2_HalfPunc</ability>
      <abilityName>全半角检查</abilityName>
      <candidateList>
        <item>）</item>
      </candidateList>
      <explain>文本全半角错误。</explain>
      <paraID>3FBB957E</paraID>
      <start>9</start>
      <end>10</end>
      <status>modified</status>
      <modifiedWord>）</modifiedWord>
      <trackRevisions>false</trackRevisions>
    </reviewItem>
    <reviewItem>
      <errorID>5273064d-9889-4096-980e-9a5c170f7979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630B2D9C</paraID>
      <start>83</start>
      <end>85</end>
      <status>modified</status>
      <modifiedWord>可以</modifiedWord>
      <trackRevisions>false</trackRevisions>
    </reviewItem>
    <reviewItem>
      <errorID>cb5a6780-4e4b-40bb-8125-b157bfc5bb89</errorID>
      <errorWord>法律、法规</errorWord>
      <group>L1_Word</group>
      <groupName>字词问题</groupName>
      <ability>L2_Typo</ability>
      <abilityName>字词错误</abilityName>
      <candidateList>
        <item>法律法规</item>
      </candidateList>
      <explain/>
      <paraID>14EC5D2F</paraID>
      <start>24</start>
      <end>28</end>
      <status>modified</status>
      <modifiedWord>法律法规</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B1870-EC49-489B-9513-BF2807B3B293}">
  <ds:schemaRefs/>
</ds:datastoreItem>
</file>

<file path=customXml/itemProps3.xml><?xml version="1.0" encoding="utf-8"?>
<ds:datastoreItem xmlns:ds="http://schemas.openxmlformats.org/officeDocument/2006/customXml" ds:itemID="{97371F5D-9C92-44C6-BC70-2AD070C02023}">
  <ds:schemaRefs/>
</ds:datastoreItem>
</file>

<file path=docProps/app.xml><?xml version="1.0" encoding="utf-8"?>
<Properties xmlns="http://schemas.openxmlformats.org/officeDocument/2006/extended-properties" xmlns:vt="http://schemas.openxmlformats.org/officeDocument/2006/docPropsVTypes">
  <Template>Normal</Template>
  <Pages>1</Pages>
  <Words>10616</Words>
  <Characters>60516</Characters>
  <Lines>504</Lines>
  <Paragraphs>141</Paragraphs>
  <TotalTime>995</TotalTime>
  <ScaleCrop>false</ScaleCrop>
  <LinksUpToDate>false</LinksUpToDate>
  <CharactersWithSpaces>70991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2026-01-15T11:11:00Z</dcterms:created>
  <dc:creator>鲍 宏岩</dc:creator>
  <cp:lastModifiedBy>Administrator</cp:lastModifiedBy>
  <cp:lastPrinted>2026-06-22T01:50:00Z</cp:lastPrinted>
  <dcterms:modified xsi:type="dcterms:W3CDTF">2026-07-10T11:04:06Z</dcterms:modified>
  <cp:revision>250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EB925094AD6E438DBFF4C9017B149CDA_13</vt:lpwstr>
  </property>
  <property fmtid="{D5CDD505-2E9C-101B-9397-08002B2CF9AE}" pid="4" name="KSOTemplateDocerSaveRecord">
    <vt:lpwstr>eyJoZGlkIjoiMTZmZGQ1YjY3YWE4ZjQxNzM3Mjc0MGM1ZTljYWMwNWUiLCJ1c2VySWQiOiIxNzUxODI1MzcwIn0=</vt:lpwstr>
  </property>
</Properties>
</file>