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1AC97" w14:textId="5B60A3C4" w:rsidR="003C4F46" w:rsidRDefault="003C4F46" w:rsidP="0024574B">
      <w:pPr>
        <w:adjustRightInd w:val="0"/>
        <w:snapToGrid w:val="0"/>
        <w:spacing w:line="240" w:lineRule="auto"/>
        <w:ind w:firstLineChars="0" w:firstLine="0"/>
        <w:textAlignment w:val="auto"/>
        <w:rPr>
          <w:rFonts w:ascii="方正小标宋_GBK" w:eastAsia="方正小标宋_GBK" w:cs="Times New Roman"/>
          <w:bCs/>
          <w:color w:val="000000" w:themeColor="text1"/>
          <w:sz w:val="72"/>
          <w:szCs w:val="72"/>
        </w:rPr>
      </w:pPr>
      <w:bookmarkStart w:id="0" w:name="_Hlk215836209"/>
    </w:p>
    <w:p w14:paraId="3BC6FCFD" w14:textId="701024B6" w:rsidR="003C4F46" w:rsidRPr="0024574B" w:rsidRDefault="0024574B">
      <w:pPr>
        <w:adjustRightInd w:val="0"/>
        <w:snapToGrid w:val="0"/>
        <w:spacing w:line="240" w:lineRule="auto"/>
        <w:ind w:firstLineChars="0" w:firstLine="0"/>
        <w:jc w:val="center"/>
        <w:textAlignment w:val="auto"/>
        <w:outlineLvl w:val="0"/>
        <w:rPr>
          <w:rFonts w:ascii="宋体" w:hAnsi="宋体" w:cs="Times New Roman"/>
          <w:bCs/>
          <w:color w:val="000000" w:themeColor="text1"/>
          <w:sz w:val="56"/>
          <w:szCs w:val="56"/>
        </w:rPr>
      </w:pPr>
      <w:r w:rsidRPr="0024574B">
        <w:rPr>
          <w:rFonts w:ascii="宋体" w:hAnsi="宋体" w:cs="Times New Roman" w:hint="eastAsia"/>
          <w:bCs/>
          <w:color w:val="000000" w:themeColor="text1"/>
          <w:sz w:val="56"/>
          <w:szCs w:val="56"/>
        </w:rPr>
        <w:t>建设项目生态环境影响报告</w:t>
      </w:r>
      <w:r w:rsidR="004B6A81" w:rsidRPr="0024574B">
        <w:rPr>
          <w:rFonts w:ascii="宋体" w:hAnsi="宋体" w:cs="Times New Roman" w:hint="eastAsia"/>
          <w:bCs/>
          <w:color w:val="000000" w:themeColor="text1"/>
          <w:sz w:val="56"/>
          <w:szCs w:val="56"/>
        </w:rPr>
        <w:t>表</w:t>
      </w:r>
    </w:p>
    <w:p w14:paraId="5BE45179" w14:textId="77777777" w:rsidR="003C4F46" w:rsidRDefault="004B6A81">
      <w:pPr>
        <w:adjustRightInd w:val="0"/>
        <w:snapToGrid w:val="0"/>
        <w:spacing w:beforeLines="80" w:before="260" w:line="240" w:lineRule="auto"/>
        <w:ind w:firstLineChars="0" w:firstLine="0"/>
        <w:jc w:val="center"/>
        <w:textAlignment w:val="auto"/>
        <w:rPr>
          <w:rFonts w:ascii="宋体" w:hAnsi="宋体" w:cs="Times New Roman"/>
          <w:bCs/>
          <w:color w:val="000000" w:themeColor="text1"/>
          <w:sz w:val="48"/>
          <w:szCs w:val="48"/>
        </w:rPr>
      </w:pPr>
      <w:r>
        <w:rPr>
          <w:rFonts w:ascii="宋体" w:hAnsi="宋体" w:cs="Times New Roman" w:hint="eastAsia"/>
          <w:bCs/>
          <w:color w:val="000000" w:themeColor="text1"/>
          <w:sz w:val="48"/>
          <w:szCs w:val="48"/>
        </w:rPr>
        <w:t>（污染影响类）</w:t>
      </w:r>
    </w:p>
    <w:p w14:paraId="61166772" w14:textId="77777777" w:rsidR="003C4F46" w:rsidRDefault="003C4F46">
      <w:pPr>
        <w:adjustRightInd w:val="0"/>
        <w:snapToGrid w:val="0"/>
        <w:spacing w:line="288" w:lineRule="auto"/>
        <w:ind w:firstLineChars="0" w:firstLine="1040"/>
        <w:textAlignment w:val="auto"/>
        <w:rPr>
          <w:rFonts w:ascii="宋体" w:hAnsi="宋体" w:cs="Times New Roman"/>
          <w:color w:val="000000" w:themeColor="text1"/>
          <w:sz w:val="36"/>
          <w:szCs w:val="36"/>
        </w:rPr>
      </w:pPr>
    </w:p>
    <w:p w14:paraId="338B6E1C" w14:textId="77777777" w:rsidR="003C4F46" w:rsidRDefault="003C4F46">
      <w:pPr>
        <w:adjustRightInd w:val="0"/>
        <w:snapToGrid w:val="0"/>
        <w:spacing w:line="288" w:lineRule="auto"/>
        <w:ind w:firstLineChars="0" w:firstLine="1040"/>
        <w:textAlignment w:val="auto"/>
        <w:rPr>
          <w:rFonts w:ascii="宋体" w:hAnsi="宋体" w:cs="Times New Roman"/>
          <w:color w:val="000000" w:themeColor="text1"/>
          <w:sz w:val="36"/>
          <w:szCs w:val="36"/>
        </w:rPr>
      </w:pPr>
    </w:p>
    <w:p w14:paraId="070BFF04" w14:textId="77777777" w:rsidR="003C4F46" w:rsidRDefault="003C4F46">
      <w:pPr>
        <w:adjustRightInd w:val="0"/>
        <w:snapToGrid w:val="0"/>
        <w:spacing w:line="288" w:lineRule="auto"/>
        <w:ind w:firstLineChars="0" w:firstLine="1040"/>
        <w:textAlignment w:val="auto"/>
        <w:rPr>
          <w:rFonts w:ascii="宋体" w:hAnsi="宋体" w:cs="Times New Roman"/>
          <w:color w:val="000000" w:themeColor="text1"/>
          <w:sz w:val="36"/>
          <w:szCs w:val="36"/>
        </w:rPr>
      </w:pPr>
    </w:p>
    <w:p w14:paraId="724303EF" w14:textId="77777777" w:rsidR="003C4F46" w:rsidRDefault="003C4F46">
      <w:pPr>
        <w:adjustRightInd w:val="0"/>
        <w:snapToGrid w:val="0"/>
        <w:spacing w:line="288" w:lineRule="auto"/>
        <w:ind w:firstLineChars="0" w:firstLine="1040"/>
        <w:textAlignment w:val="auto"/>
        <w:rPr>
          <w:rFonts w:ascii="宋体" w:hAnsi="宋体" w:cs="Times New Roman"/>
          <w:color w:val="000000" w:themeColor="text1"/>
          <w:sz w:val="36"/>
          <w:szCs w:val="36"/>
        </w:rPr>
      </w:pPr>
    </w:p>
    <w:p w14:paraId="0FFACC9B" w14:textId="77777777" w:rsidR="003C4F46" w:rsidRDefault="004B6A81">
      <w:pPr>
        <w:adjustRightInd w:val="0"/>
        <w:spacing w:after="240"/>
        <w:ind w:left="1800" w:hangingChars="500" w:hanging="1800"/>
        <w:jc w:val="left"/>
        <w:textAlignment w:val="auto"/>
        <w:rPr>
          <w:rFonts w:cs="Times New Roman"/>
          <w:color w:val="000000" w:themeColor="text1"/>
          <w:sz w:val="36"/>
          <w:szCs w:val="36"/>
          <w:u w:val="single"/>
        </w:rPr>
      </w:pPr>
      <w:bookmarkStart w:id="1" w:name="_Hlk215836157"/>
      <w:r>
        <w:rPr>
          <w:rFonts w:cs="Times New Roman"/>
          <w:color w:val="000000" w:themeColor="text1"/>
          <w:sz w:val="36"/>
          <w:szCs w:val="36"/>
        </w:rPr>
        <w:t>项目名称：</w:t>
      </w:r>
      <w:bookmarkStart w:id="2" w:name="_Hlk241051615"/>
      <w:r>
        <w:rPr>
          <w:rFonts w:cs="Times New Roman" w:hint="eastAsia"/>
          <w:color w:val="000000" w:themeColor="text1"/>
          <w:sz w:val="36"/>
          <w:szCs w:val="36"/>
          <w:u w:val="single"/>
        </w:rPr>
        <w:t>小微企业危险废物集中收集贮存项目（重新报批）</w:t>
      </w:r>
      <w:bookmarkEnd w:id="2"/>
      <w:r>
        <w:rPr>
          <w:rFonts w:cs="Times New Roman" w:hint="eastAsia"/>
          <w:color w:val="000000" w:themeColor="text1"/>
          <w:sz w:val="36"/>
          <w:szCs w:val="36"/>
          <w:u w:val="single"/>
        </w:rPr>
        <w:t xml:space="preserve"> </w:t>
      </w:r>
      <w:r>
        <w:rPr>
          <w:rFonts w:cs="Times New Roman"/>
          <w:color w:val="000000" w:themeColor="text1"/>
          <w:sz w:val="36"/>
          <w:szCs w:val="36"/>
          <w:u w:val="single"/>
        </w:rPr>
        <w:t xml:space="preserve">              </w:t>
      </w:r>
      <w:r>
        <w:rPr>
          <w:rFonts w:cs="Times New Roman" w:hint="eastAsia"/>
          <w:color w:val="000000" w:themeColor="text1"/>
          <w:sz w:val="36"/>
          <w:szCs w:val="36"/>
          <w:u w:val="single"/>
        </w:rPr>
        <w:t xml:space="preserve">         </w:t>
      </w:r>
      <w:r>
        <w:rPr>
          <w:rFonts w:cs="Times New Roman"/>
          <w:color w:val="000000" w:themeColor="text1"/>
          <w:sz w:val="36"/>
          <w:szCs w:val="36"/>
          <w:u w:val="single"/>
        </w:rPr>
        <w:t xml:space="preserve">            </w:t>
      </w:r>
    </w:p>
    <w:p w14:paraId="238815A0" w14:textId="77777777" w:rsidR="003C4F46" w:rsidRDefault="004B6A81">
      <w:pPr>
        <w:adjustRightInd w:val="0"/>
        <w:snapToGrid w:val="0"/>
        <w:ind w:firstLineChars="0" w:firstLine="0"/>
        <w:textAlignment w:val="auto"/>
        <w:rPr>
          <w:rFonts w:cs="Times New Roman"/>
          <w:color w:val="000000" w:themeColor="text1"/>
          <w:sz w:val="36"/>
          <w:szCs w:val="36"/>
          <w:u w:val="single"/>
        </w:rPr>
      </w:pPr>
      <w:r>
        <w:rPr>
          <w:rFonts w:cs="Times New Roman"/>
          <w:color w:val="000000" w:themeColor="text1"/>
          <w:sz w:val="36"/>
          <w:szCs w:val="36"/>
        </w:rPr>
        <w:t>建设单位（盖章）：</w:t>
      </w:r>
      <w:bookmarkStart w:id="3" w:name="_Hlk238038762"/>
      <w:r>
        <w:rPr>
          <w:rFonts w:cs="Times New Roman" w:hint="eastAsia"/>
          <w:color w:val="000000" w:themeColor="text1"/>
          <w:sz w:val="36"/>
          <w:szCs w:val="36"/>
          <w:u w:val="single"/>
        </w:rPr>
        <w:t>轮台塔中石油化工有限公司</w:t>
      </w:r>
      <w:bookmarkEnd w:id="3"/>
      <w:r>
        <w:rPr>
          <w:rFonts w:cs="Times New Roman"/>
          <w:color w:val="000000" w:themeColor="text1"/>
          <w:sz w:val="36"/>
          <w:szCs w:val="36"/>
          <w:u w:val="single"/>
        </w:rPr>
        <w:t xml:space="preserve">         </w:t>
      </w:r>
    </w:p>
    <w:p w14:paraId="36B26142" w14:textId="2C1427C8" w:rsidR="003C4F46" w:rsidRDefault="004B6A81">
      <w:pPr>
        <w:adjustRightInd w:val="0"/>
        <w:snapToGrid w:val="0"/>
        <w:ind w:firstLineChars="0" w:firstLine="0"/>
        <w:textAlignment w:val="auto"/>
        <w:rPr>
          <w:rFonts w:ascii="宋体" w:hAnsi="宋体" w:cs="Times New Roman"/>
          <w:color w:val="000000" w:themeColor="text1"/>
          <w:sz w:val="36"/>
          <w:szCs w:val="36"/>
          <w:u w:val="single"/>
        </w:rPr>
      </w:pPr>
      <w:r>
        <w:rPr>
          <w:rFonts w:cs="Times New Roman"/>
          <w:color w:val="000000" w:themeColor="text1"/>
          <w:sz w:val="36"/>
          <w:szCs w:val="36"/>
        </w:rPr>
        <w:t>编制日期：</w:t>
      </w:r>
      <w:r>
        <w:rPr>
          <w:rFonts w:cs="Times New Roman" w:hint="eastAsia"/>
          <w:color w:val="000000" w:themeColor="text1"/>
          <w:sz w:val="36"/>
          <w:szCs w:val="36"/>
          <w:u w:val="single"/>
        </w:rPr>
        <w:t xml:space="preserve">      </w:t>
      </w:r>
      <w:r>
        <w:rPr>
          <w:rFonts w:cs="Times New Roman"/>
          <w:color w:val="000000" w:themeColor="text1"/>
          <w:sz w:val="36"/>
          <w:szCs w:val="36"/>
          <w:u w:val="single"/>
        </w:rPr>
        <w:t xml:space="preserve">         </w:t>
      </w:r>
      <w:r>
        <w:rPr>
          <w:rFonts w:cs="Times New Roman" w:hint="eastAsia"/>
          <w:color w:val="000000" w:themeColor="text1"/>
          <w:sz w:val="36"/>
          <w:szCs w:val="36"/>
          <w:u w:val="single"/>
        </w:rPr>
        <w:t>2</w:t>
      </w:r>
      <w:r>
        <w:rPr>
          <w:rFonts w:cs="Times New Roman"/>
          <w:color w:val="000000" w:themeColor="text1"/>
          <w:sz w:val="36"/>
          <w:szCs w:val="36"/>
          <w:u w:val="single"/>
        </w:rPr>
        <w:t>026</w:t>
      </w:r>
      <w:r>
        <w:rPr>
          <w:rFonts w:cs="Times New Roman"/>
          <w:color w:val="000000" w:themeColor="text1"/>
          <w:sz w:val="36"/>
          <w:szCs w:val="36"/>
          <w:u w:val="single"/>
        </w:rPr>
        <w:t>年</w:t>
      </w:r>
      <w:r>
        <w:rPr>
          <w:rFonts w:cs="Times New Roman"/>
          <w:color w:val="000000" w:themeColor="text1"/>
          <w:sz w:val="36"/>
          <w:szCs w:val="36"/>
          <w:u w:val="single"/>
        </w:rPr>
        <w:t>8</w:t>
      </w:r>
      <w:r>
        <w:rPr>
          <w:rFonts w:cs="Times New Roman"/>
          <w:color w:val="000000" w:themeColor="text1"/>
          <w:sz w:val="36"/>
          <w:szCs w:val="36"/>
          <w:u w:val="single"/>
        </w:rPr>
        <w:t>月</w:t>
      </w:r>
      <w:r>
        <w:rPr>
          <w:rFonts w:cs="Times New Roman"/>
          <w:color w:val="000000" w:themeColor="text1"/>
          <w:sz w:val="36"/>
          <w:szCs w:val="36"/>
          <w:u w:val="single"/>
        </w:rPr>
        <w:t xml:space="preserve">  </w:t>
      </w:r>
      <w:r>
        <w:rPr>
          <w:rFonts w:ascii="宋体" w:hAnsi="宋体" w:cs="Times New Roman"/>
          <w:color w:val="000000" w:themeColor="text1"/>
          <w:sz w:val="36"/>
          <w:szCs w:val="36"/>
          <w:u w:val="single"/>
        </w:rPr>
        <w:t xml:space="preserve">               </w:t>
      </w:r>
    </w:p>
    <w:p w14:paraId="7449FB6A" w14:textId="77777777" w:rsidR="003C4F46" w:rsidRDefault="003C4F46">
      <w:pPr>
        <w:adjustRightInd w:val="0"/>
        <w:snapToGrid w:val="0"/>
        <w:spacing w:line="288" w:lineRule="auto"/>
        <w:ind w:firstLineChars="0" w:firstLine="1040"/>
        <w:textAlignment w:val="auto"/>
        <w:rPr>
          <w:rFonts w:ascii="仿宋_GB2312" w:eastAsia="仿宋_GB2312" w:cs="Times New Roman"/>
          <w:color w:val="000000" w:themeColor="text1"/>
          <w:sz w:val="36"/>
          <w:szCs w:val="36"/>
          <w:u w:val="single"/>
        </w:rPr>
      </w:pPr>
      <w:bookmarkStart w:id="4" w:name="_Hlk57884087"/>
      <w:bookmarkEnd w:id="1"/>
    </w:p>
    <w:p w14:paraId="553EF490" w14:textId="77777777" w:rsidR="003C4F46" w:rsidRDefault="003C4F46">
      <w:pPr>
        <w:adjustRightInd w:val="0"/>
        <w:snapToGrid w:val="0"/>
        <w:spacing w:line="288" w:lineRule="auto"/>
        <w:ind w:firstLineChars="0" w:firstLine="1040"/>
        <w:textAlignment w:val="auto"/>
        <w:rPr>
          <w:rFonts w:ascii="仿宋_GB2312" w:eastAsia="仿宋_GB2312" w:cs="Times New Roman"/>
          <w:color w:val="000000" w:themeColor="text1"/>
          <w:sz w:val="36"/>
          <w:szCs w:val="36"/>
        </w:rPr>
      </w:pPr>
    </w:p>
    <w:p w14:paraId="6B39173F" w14:textId="77777777" w:rsidR="003C4F46" w:rsidRDefault="003C4F46">
      <w:pPr>
        <w:adjustRightInd w:val="0"/>
        <w:snapToGrid w:val="0"/>
        <w:spacing w:line="288" w:lineRule="auto"/>
        <w:ind w:firstLineChars="0" w:firstLine="1040"/>
        <w:textAlignment w:val="auto"/>
        <w:rPr>
          <w:rFonts w:ascii="仿宋_GB2312" w:eastAsia="仿宋_GB2312" w:cs="Times New Roman"/>
          <w:color w:val="000000" w:themeColor="text1"/>
          <w:sz w:val="36"/>
          <w:szCs w:val="36"/>
        </w:rPr>
      </w:pPr>
    </w:p>
    <w:p w14:paraId="083DAB0D" w14:textId="77777777" w:rsidR="003C4F46" w:rsidRDefault="003C4F46">
      <w:pPr>
        <w:adjustRightInd w:val="0"/>
        <w:snapToGrid w:val="0"/>
        <w:spacing w:line="288" w:lineRule="auto"/>
        <w:ind w:firstLineChars="0" w:firstLine="1040"/>
        <w:textAlignment w:val="auto"/>
        <w:rPr>
          <w:rFonts w:ascii="仿宋_GB2312" w:eastAsia="仿宋_GB2312" w:cs="Times New Roman"/>
          <w:color w:val="000000" w:themeColor="text1"/>
          <w:sz w:val="36"/>
          <w:szCs w:val="36"/>
        </w:rPr>
      </w:pPr>
    </w:p>
    <w:p w14:paraId="40D7B936" w14:textId="77777777" w:rsidR="003C4F46" w:rsidRDefault="003C4F46">
      <w:pPr>
        <w:adjustRightInd w:val="0"/>
        <w:snapToGrid w:val="0"/>
        <w:spacing w:line="288" w:lineRule="auto"/>
        <w:ind w:firstLineChars="0" w:firstLine="1040"/>
        <w:textAlignment w:val="auto"/>
        <w:rPr>
          <w:rFonts w:ascii="仿宋_GB2312" w:eastAsia="仿宋_GB2312" w:cs="Times New Roman"/>
          <w:color w:val="000000" w:themeColor="text1"/>
          <w:sz w:val="36"/>
          <w:szCs w:val="36"/>
        </w:rPr>
      </w:pPr>
    </w:p>
    <w:bookmarkEnd w:id="4"/>
    <w:p w14:paraId="2EE91BE5" w14:textId="77777777" w:rsidR="003C4F46" w:rsidRDefault="004B6A81">
      <w:pPr>
        <w:adjustRightInd w:val="0"/>
        <w:snapToGrid w:val="0"/>
        <w:spacing w:line="288" w:lineRule="auto"/>
        <w:ind w:firstLineChars="0" w:firstLine="0"/>
        <w:jc w:val="center"/>
        <w:textAlignment w:val="auto"/>
        <w:rPr>
          <w:rFonts w:ascii="楷体_GB2312" w:eastAsia="楷体_GB2312" w:cs="Times New Roman"/>
          <w:color w:val="000000" w:themeColor="text1"/>
          <w:sz w:val="36"/>
          <w:szCs w:val="36"/>
        </w:rPr>
      </w:pPr>
      <w:r>
        <w:rPr>
          <w:rFonts w:ascii="楷体_GB2312" w:eastAsia="楷体_GB2312" w:cs="Times New Roman" w:hint="eastAsia"/>
          <w:color w:val="000000" w:themeColor="text1"/>
          <w:sz w:val="36"/>
          <w:szCs w:val="36"/>
        </w:rPr>
        <w:t>中华人民共和国生态环境部制</w:t>
      </w:r>
    </w:p>
    <w:p w14:paraId="3FDFDA69" w14:textId="77777777" w:rsidR="003C4F46" w:rsidRDefault="003C4F46">
      <w:pPr>
        <w:ind w:firstLine="480"/>
      </w:pPr>
    </w:p>
    <w:bookmarkEnd w:id="0"/>
    <w:p w14:paraId="09CACD28" w14:textId="77777777" w:rsidR="003C4F46" w:rsidRDefault="003C4F46">
      <w:pPr>
        <w:ind w:firstLine="480"/>
      </w:pPr>
    </w:p>
    <w:p w14:paraId="442D374C" w14:textId="77777777" w:rsidR="003C4F46" w:rsidRDefault="003C4F46">
      <w:pPr>
        <w:ind w:firstLine="480"/>
        <w:sectPr w:rsidR="003C4F46">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851" w:footer="992" w:gutter="0"/>
          <w:pgNumType w:start="1"/>
          <w:cols w:space="425"/>
          <w:docGrid w:type="lines" w:linePitch="326"/>
        </w:sectPr>
      </w:pPr>
    </w:p>
    <w:p w14:paraId="15AF2831" w14:textId="77777777" w:rsidR="003C4F46" w:rsidRDefault="004B6A81">
      <w:pPr>
        <w:pStyle w:val="1"/>
        <w:rPr>
          <w:color w:val="000000" w:themeColor="text1"/>
        </w:rPr>
      </w:pPr>
      <w:r>
        <w:rPr>
          <w:rFonts w:hint="eastAsia"/>
          <w:color w:val="000000" w:themeColor="text1"/>
        </w:rPr>
        <w:lastRenderedPageBreak/>
        <w:t>一、建设项目基本情况</w:t>
      </w:r>
    </w:p>
    <w:tbl>
      <w:tblPr>
        <w:tblW w:w="4984"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751"/>
        <w:gridCol w:w="2443"/>
        <w:gridCol w:w="1842"/>
        <w:gridCol w:w="2975"/>
      </w:tblGrid>
      <w:tr w:rsidR="003C4F46" w14:paraId="45CC31D9" w14:textId="77777777">
        <w:trPr>
          <w:trHeight w:val="270"/>
        </w:trPr>
        <w:tc>
          <w:tcPr>
            <w:tcW w:w="971" w:type="pct"/>
            <w:tcMar>
              <w:top w:w="16" w:type="dxa"/>
              <w:left w:w="16" w:type="dxa"/>
              <w:right w:w="16" w:type="dxa"/>
            </w:tcMar>
            <w:vAlign w:val="center"/>
          </w:tcPr>
          <w:p w14:paraId="7BA5A182"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建设项目名称</w:t>
            </w:r>
          </w:p>
        </w:tc>
        <w:tc>
          <w:tcPr>
            <w:tcW w:w="4028" w:type="pct"/>
            <w:gridSpan w:val="3"/>
            <w:vAlign w:val="center"/>
          </w:tcPr>
          <w:p w14:paraId="1C3203E5"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bookmarkStart w:id="5" w:name="_Hlk238038812"/>
            <w:r>
              <w:rPr>
                <w:rFonts w:cs="Times New Roman" w:hint="eastAsia"/>
                <w:color w:val="000000" w:themeColor="text1"/>
                <w:szCs w:val="24"/>
              </w:rPr>
              <w:t>小微企业危险废物集中收集贮存项目（重新报批）</w:t>
            </w:r>
            <w:bookmarkEnd w:id="5"/>
          </w:p>
        </w:tc>
      </w:tr>
      <w:tr w:rsidR="003C4F46" w14:paraId="4AF519F5" w14:textId="77777777">
        <w:trPr>
          <w:trHeight w:val="208"/>
        </w:trPr>
        <w:tc>
          <w:tcPr>
            <w:tcW w:w="971" w:type="pct"/>
            <w:tcMar>
              <w:top w:w="16" w:type="dxa"/>
              <w:left w:w="16" w:type="dxa"/>
              <w:right w:w="16" w:type="dxa"/>
            </w:tcMar>
            <w:vAlign w:val="center"/>
          </w:tcPr>
          <w:p w14:paraId="45A11A83"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项目代码</w:t>
            </w:r>
          </w:p>
        </w:tc>
        <w:tc>
          <w:tcPr>
            <w:tcW w:w="4028" w:type="pct"/>
            <w:gridSpan w:val="3"/>
            <w:vAlign w:val="center"/>
          </w:tcPr>
          <w:p w14:paraId="5082F4C5"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hint="eastAsia"/>
                <w:color w:val="000000" w:themeColor="text1"/>
                <w:szCs w:val="24"/>
              </w:rPr>
              <w:t>无</w:t>
            </w:r>
          </w:p>
        </w:tc>
      </w:tr>
      <w:tr w:rsidR="003C4F46" w14:paraId="099D2721" w14:textId="77777777">
        <w:trPr>
          <w:trHeight w:val="426"/>
        </w:trPr>
        <w:tc>
          <w:tcPr>
            <w:tcW w:w="971" w:type="pct"/>
            <w:tcMar>
              <w:top w:w="16" w:type="dxa"/>
              <w:left w:w="16" w:type="dxa"/>
              <w:right w:w="16" w:type="dxa"/>
            </w:tcMar>
            <w:vAlign w:val="center"/>
          </w:tcPr>
          <w:p w14:paraId="37F1B787"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建设单位联系人</w:t>
            </w:r>
          </w:p>
        </w:tc>
        <w:tc>
          <w:tcPr>
            <w:tcW w:w="1355" w:type="pct"/>
            <w:vAlign w:val="center"/>
          </w:tcPr>
          <w:p w14:paraId="4F1A829E" w14:textId="1382F8E5" w:rsidR="003C4F46" w:rsidRDefault="003C4F46">
            <w:pPr>
              <w:adjustRightInd w:val="0"/>
              <w:snapToGrid w:val="0"/>
              <w:spacing w:line="240" w:lineRule="auto"/>
              <w:ind w:firstLineChars="0" w:firstLine="0"/>
              <w:jc w:val="center"/>
              <w:textAlignment w:val="auto"/>
              <w:rPr>
                <w:rFonts w:cs="Times New Roman"/>
                <w:color w:val="000000" w:themeColor="text1"/>
                <w:szCs w:val="24"/>
              </w:rPr>
            </w:pPr>
          </w:p>
        </w:tc>
        <w:tc>
          <w:tcPr>
            <w:tcW w:w="1022" w:type="pct"/>
            <w:vAlign w:val="center"/>
          </w:tcPr>
          <w:p w14:paraId="4711D9AA"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联系方式</w:t>
            </w:r>
          </w:p>
        </w:tc>
        <w:tc>
          <w:tcPr>
            <w:tcW w:w="1650" w:type="pct"/>
            <w:vAlign w:val="center"/>
          </w:tcPr>
          <w:p w14:paraId="12D828AD" w14:textId="22932AC1" w:rsidR="003C4F46" w:rsidRDefault="003C4F46">
            <w:pPr>
              <w:adjustRightInd w:val="0"/>
              <w:snapToGrid w:val="0"/>
              <w:spacing w:line="240" w:lineRule="auto"/>
              <w:ind w:firstLineChars="0" w:firstLine="0"/>
              <w:jc w:val="center"/>
              <w:textAlignment w:val="auto"/>
              <w:rPr>
                <w:rFonts w:cs="Times New Roman"/>
                <w:color w:val="000000" w:themeColor="text1"/>
                <w:szCs w:val="24"/>
              </w:rPr>
            </w:pPr>
          </w:p>
        </w:tc>
      </w:tr>
      <w:tr w:rsidR="003C4F46" w14:paraId="3963DA0D" w14:textId="77777777">
        <w:trPr>
          <w:trHeight w:val="387"/>
        </w:trPr>
        <w:tc>
          <w:tcPr>
            <w:tcW w:w="971" w:type="pct"/>
            <w:tcMar>
              <w:top w:w="16" w:type="dxa"/>
              <w:left w:w="16" w:type="dxa"/>
              <w:right w:w="16" w:type="dxa"/>
            </w:tcMar>
            <w:vAlign w:val="center"/>
          </w:tcPr>
          <w:p w14:paraId="6CF2CBE4"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建设地点</w:t>
            </w:r>
          </w:p>
        </w:tc>
        <w:tc>
          <w:tcPr>
            <w:tcW w:w="4028" w:type="pct"/>
            <w:gridSpan w:val="3"/>
            <w:vAlign w:val="center"/>
          </w:tcPr>
          <w:p w14:paraId="3984DECB" w14:textId="6BC584C2" w:rsidR="003C4F46" w:rsidRDefault="003C4F46">
            <w:pPr>
              <w:adjustRightInd w:val="0"/>
              <w:snapToGrid w:val="0"/>
              <w:spacing w:line="240" w:lineRule="auto"/>
              <w:ind w:firstLineChars="0" w:firstLine="0"/>
              <w:jc w:val="center"/>
              <w:textAlignment w:val="auto"/>
              <w:rPr>
                <w:rFonts w:cs="Times New Roman"/>
                <w:color w:val="000000" w:themeColor="text1"/>
                <w:szCs w:val="24"/>
              </w:rPr>
            </w:pPr>
          </w:p>
        </w:tc>
      </w:tr>
      <w:tr w:rsidR="003C4F46" w14:paraId="360EB615" w14:textId="77777777">
        <w:trPr>
          <w:trHeight w:val="281"/>
        </w:trPr>
        <w:tc>
          <w:tcPr>
            <w:tcW w:w="971" w:type="pct"/>
            <w:tcMar>
              <w:top w:w="16" w:type="dxa"/>
              <w:left w:w="16" w:type="dxa"/>
              <w:right w:w="16" w:type="dxa"/>
            </w:tcMar>
            <w:vAlign w:val="center"/>
          </w:tcPr>
          <w:p w14:paraId="46B1096D"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地理坐标</w:t>
            </w:r>
          </w:p>
        </w:tc>
        <w:tc>
          <w:tcPr>
            <w:tcW w:w="4028" w:type="pct"/>
            <w:gridSpan w:val="3"/>
            <w:vAlign w:val="center"/>
          </w:tcPr>
          <w:p w14:paraId="10C3793C" w14:textId="623167E5" w:rsidR="003C4F46" w:rsidRDefault="003C4F46">
            <w:pPr>
              <w:spacing w:line="240" w:lineRule="auto"/>
              <w:ind w:firstLineChars="0" w:firstLine="0"/>
              <w:jc w:val="center"/>
              <w:textAlignment w:val="auto"/>
              <w:rPr>
                <w:rFonts w:cs="Times New Roman"/>
                <w:color w:val="000000" w:themeColor="text1"/>
                <w:szCs w:val="24"/>
              </w:rPr>
            </w:pPr>
          </w:p>
        </w:tc>
      </w:tr>
      <w:tr w:rsidR="003C4F46" w14:paraId="055EF1ED" w14:textId="77777777">
        <w:trPr>
          <w:trHeight w:val="803"/>
        </w:trPr>
        <w:tc>
          <w:tcPr>
            <w:tcW w:w="971" w:type="pct"/>
            <w:tcMar>
              <w:top w:w="16" w:type="dxa"/>
              <w:left w:w="16" w:type="dxa"/>
              <w:right w:w="16" w:type="dxa"/>
            </w:tcMar>
            <w:vAlign w:val="center"/>
          </w:tcPr>
          <w:p w14:paraId="6D6C21D0"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国民经济</w:t>
            </w:r>
          </w:p>
          <w:p w14:paraId="685A0EC3"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行业类别</w:t>
            </w:r>
          </w:p>
        </w:tc>
        <w:tc>
          <w:tcPr>
            <w:tcW w:w="1355" w:type="pct"/>
            <w:vAlign w:val="center"/>
          </w:tcPr>
          <w:p w14:paraId="61F545C0"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ascii="TimesNewRomanPSMT" w:hAnsi="TimesNewRomanPSMT" w:hint="eastAsia"/>
                <w:color w:val="000000"/>
              </w:rPr>
              <w:t>N7724</w:t>
            </w:r>
            <w:r>
              <w:rPr>
                <w:rFonts w:ascii="TimesNewRomanPSMT" w:hAnsi="TimesNewRomanPSMT" w:hint="eastAsia"/>
                <w:color w:val="000000"/>
              </w:rPr>
              <w:t>危险废物治理</w:t>
            </w:r>
          </w:p>
        </w:tc>
        <w:tc>
          <w:tcPr>
            <w:tcW w:w="1022" w:type="pct"/>
            <w:vAlign w:val="center"/>
          </w:tcPr>
          <w:p w14:paraId="1981BAB5"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bookmarkStart w:id="6" w:name="_Hlk49843745"/>
            <w:r>
              <w:rPr>
                <w:rFonts w:cs="Times New Roman"/>
                <w:color w:val="000000" w:themeColor="text1"/>
                <w:szCs w:val="24"/>
              </w:rPr>
              <w:t>建设项目</w:t>
            </w:r>
          </w:p>
          <w:p w14:paraId="20E47112"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行业类别</w:t>
            </w:r>
            <w:bookmarkEnd w:id="6"/>
          </w:p>
        </w:tc>
        <w:tc>
          <w:tcPr>
            <w:tcW w:w="1650" w:type="pct"/>
            <w:vAlign w:val="center"/>
          </w:tcPr>
          <w:p w14:paraId="76D285AB" w14:textId="77777777" w:rsidR="003C4F46" w:rsidRDefault="004B6A81">
            <w:pPr>
              <w:adjustRightInd w:val="0"/>
              <w:snapToGrid w:val="0"/>
              <w:spacing w:line="240" w:lineRule="auto"/>
              <w:ind w:firstLineChars="0" w:firstLine="0"/>
              <w:textAlignment w:val="auto"/>
            </w:pPr>
            <w:r>
              <w:rPr>
                <w:rFonts w:cs="Times New Roman" w:hint="eastAsia"/>
                <w:szCs w:val="24"/>
              </w:rPr>
              <w:t>四十七、生态保护和环境治理业</w:t>
            </w:r>
            <w:r>
              <w:rPr>
                <w:rFonts w:cs="Times New Roman" w:hint="eastAsia"/>
                <w:szCs w:val="24"/>
              </w:rPr>
              <w:t>-101</w:t>
            </w:r>
            <w:r>
              <w:rPr>
                <w:rFonts w:cs="Times New Roman" w:hint="eastAsia"/>
                <w:szCs w:val="24"/>
              </w:rPr>
              <w:t>、危险废物（不含医疗废物）利用及处置</w:t>
            </w:r>
            <w:r>
              <w:rPr>
                <w:rFonts w:cs="Times New Roman" w:hint="eastAsia"/>
                <w:szCs w:val="24"/>
              </w:rPr>
              <w:t>-</w:t>
            </w:r>
            <w:r>
              <w:rPr>
                <w:rFonts w:cs="Times New Roman" w:hint="eastAsia"/>
                <w:szCs w:val="24"/>
              </w:rPr>
              <w:t>其他</w:t>
            </w:r>
          </w:p>
        </w:tc>
      </w:tr>
      <w:tr w:rsidR="003C4F46" w14:paraId="190689E7" w14:textId="77777777">
        <w:trPr>
          <w:trHeight w:val="1074"/>
        </w:trPr>
        <w:tc>
          <w:tcPr>
            <w:tcW w:w="971" w:type="pct"/>
            <w:tcMar>
              <w:top w:w="16" w:type="dxa"/>
              <w:left w:w="16" w:type="dxa"/>
              <w:right w:w="16" w:type="dxa"/>
            </w:tcMar>
            <w:vAlign w:val="center"/>
          </w:tcPr>
          <w:p w14:paraId="2673CDDE"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建设性质</w:t>
            </w:r>
          </w:p>
        </w:tc>
        <w:tc>
          <w:tcPr>
            <w:tcW w:w="1355" w:type="pct"/>
            <w:vAlign w:val="center"/>
          </w:tcPr>
          <w:p w14:paraId="43AD7D0A"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52"/>
            </w:r>
            <w:r>
              <w:rPr>
                <w:rFonts w:cs="Times New Roman"/>
                <w:color w:val="000000" w:themeColor="text1"/>
                <w:szCs w:val="24"/>
              </w:rPr>
              <w:t>新建（迁建）</w:t>
            </w:r>
          </w:p>
          <w:p w14:paraId="71A2B5BB"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A3"/>
            </w:r>
            <w:r>
              <w:rPr>
                <w:rFonts w:cs="Times New Roman"/>
                <w:color w:val="000000" w:themeColor="text1"/>
                <w:szCs w:val="24"/>
              </w:rPr>
              <w:t>改建</w:t>
            </w:r>
          </w:p>
          <w:p w14:paraId="0A22C39E"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A3"/>
            </w:r>
            <w:r>
              <w:rPr>
                <w:rFonts w:cs="Times New Roman"/>
                <w:color w:val="000000" w:themeColor="text1"/>
                <w:szCs w:val="24"/>
              </w:rPr>
              <w:t>扩建</w:t>
            </w:r>
          </w:p>
          <w:p w14:paraId="72B74176"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F0A3"/>
            </w:r>
            <w:r>
              <w:rPr>
                <w:rFonts w:cs="Times New Roman"/>
                <w:color w:val="000000" w:themeColor="text1"/>
                <w:szCs w:val="24"/>
              </w:rPr>
              <w:t>技术改造</w:t>
            </w:r>
          </w:p>
        </w:tc>
        <w:tc>
          <w:tcPr>
            <w:tcW w:w="1022" w:type="pct"/>
            <w:vAlign w:val="center"/>
          </w:tcPr>
          <w:p w14:paraId="7B574D7D"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建设项目</w:t>
            </w:r>
          </w:p>
          <w:p w14:paraId="5F44BDE7"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申报情形</w:t>
            </w:r>
          </w:p>
        </w:tc>
        <w:tc>
          <w:tcPr>
            <w:tcW w:w="1650" w:type="pct"/>
            <w:vAlign w:val="center"/>
          </w:tcPr>
          <w:p w14:paraId="6B362CBE"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A3"/>
            </w:r>
            <w:r>
              <w:rPr>
                <w:rFonts w:cs="Times New Roman"/>
                <w:color w:val="000000" w:themeColor="text1"/>
                <w:szCs w:val="24"/>
              </w:rPr>
              <w:t>首次申报项目</w:t>
            </w:r>
          </w:p>
          <w:p w14:paraId="185F6F76"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F0A3"/>
            </w:r>
            <w:r>
              <w:rPr>
                <w:rFonts w:cs="Times New Roman"/>
                <w:color w:val="000000" w:themeColor="text1"/>
                <w:szCs w:val="24"/>
              </w:rPr>
              <w:t>不予批准后再次申报项目</w:t>
            </w:r>
          </w:p>
          <w:p w14:paraId="2043ADDA"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F0A3"/>
            </w:r>
            <w:r>
              <w:rPr>
                <w:rFonts w:cs="Times New Roman"/>
                <w:color w:val="000000" w:themeColor="text1"/>
                <w:szCs w:val="24"/>
              </w:rPr>
              <w:t>超五年重新审核项目</w:t>
            </w:r>
          </w:p>
          <w:p w14:paraId="5F714F92" w14:textId="77777777" w:rsidR="003C4F46" w:rsidRDefault="004B6A81">
            <w:pPr>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52"/>
            </w:r>
            <w:r>
              <w:rPr>
                <w:rFonts w:cs="Times New Roman"/>
                <w:color w:val="000000" w:themeColor="text1"/>
                <w:szCs w:val="24"/>
              </w:rPr>
              <w:t>重大变动重新报批项目</w:t>
            </w:r>
          </w:p>
        </w:tc>
      </w:tr>
      <w:tr w:rsidR="003C4F46" w14:paraId="08F04CFD" w14:textId="77777777">
        <w:trPr>
          <w:trHeight w:val="1182"/>
        </w:trPr>
        <w:tc>
          <w:tcPr>
            <w:tcW w:w="971" w:type="pct"/>
            <w:tcMar>
              <w:top w:w="16" w:type="dxa"/>
              <w:left w:w="16" w:type="dxa"/>
              <w:right w:w="16" w:type="dxa"/>
            </w:tcMar>
            <w:vAlign w:val="center"/>
          </w:tcPr>
          <w:p w14:paraId="2AE5320B"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项目审批（核准</w:t>
            </w:r>
            <w:r>
              <w:rPr>
                <w:rFonts w:cs="Times New Roman"/>
                <w:color w:val="000000" w:themeColor="text1"/>
                <w:szCs w:val="24"/>
              </w:rPr>
              <w:t>/</w:t>
            </w:r>
            <w:r>
              <w:rPr>
                <w:rFonts w:cs="Times New Roman"/>
                <w:color w:val="000000" w:themeColor="text1"/>
                <w:szCs w:val="24"/>
              </w:rPr>
              <w:t>备案）部门（选填）</w:t>
            </w:r>
          </w:p>
        </w:tc>
        <w:tc>
          <w:tcPr>
            <w:tcW w:w="1355" w:type="pct"/>
            <w:vAlign w:val="center"/>
          </w:tcPr>
          <w:p w14:paraId="35BDA2A5"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hint="eastAsia"/>
                <w:color w:val="000000" w:themeColor="text1"/>
                <w:szCs w:val="24"/>
              </w:rPr>
              <w:t>/</w:t>
            </w:r>
          </w:p>
        </w:tc>
        <w:tc>
          <w:tcPr>
            <w:tcW w:w="1022" w:type="pct"/>
            <w:vAlign w:val="center"/>
          </w:tcPr>
          <w:p w14:paraId="471554D4"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项目审批（核准</w:t>
            </w:r>
            <w:r>
              <w:rPr>
                <w:rFonts w:cs="Times New Roman"/>
                <w:color w:val="000000" w:themeColor="text1"/>
                <w:szCs w:val="24"/>
              </w:rPr>
              <w:t>/</w:t>
            </w:r>
          </w:p>
          <w:p w14:paraId="18642E65"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备案）文号（选填）</w:t>
            </w:r>
          </w:p>
        </w:tc>
        <w:tc>
          <w:tcPr>
            <w:tcW w:w="1650" w:type="pct"/>
            <w:vAlign w:val="center"/>
          </w:tcPr>
          <w:p w14:paraId="5654A950"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hint="eastAsia"/>
                <w:color w:val="000000" w:themeColor="text1"/>
                <w:szCs w:val="24"/>
              </w:rPr>
              <w:t>/</w:t>
            </w:r>
          </w:p>
        </w:tc>
      </w:tr>
      <w:tr w:rsidR="003C4F46" w14:paraId="68D6A487" w14:textId="77777777">
        <w:tc>
          <w:tcPr>
            <w:tcW w:w="971" w:type="pct"/>
            <w:tcMar>
              <w:top w:w="16" w:type="dxa"/>
              <w:left w:w="16" w:type="dxa"/>
              <w:right w:w="16" w:type="dxa"/>
            </w:tcMar>
            <w:vAlign w:val="center"/>
          </w:tcPr>
          <w:p w14:paraId="05C6411B"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总投资（万元）</w:t>
            </w:r>
          </w:p>
        </w:tc>
        <w:tc>
          <w:tcPr>
            <w:tcW w:w="1355" w:type="pct"/>
            <w:vAlign w:val="center"/>
          </w:tcPr>
          <w:p w14:paraId="21BC6F51"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highlight w:val="yellow"/>
              </w:rPr>
            </w:pPr>
            <w:r>
              <w:rPr>
                <w:rFonts w:hint="eastAsia"/>
                <w:color w:val="000000" w:themeColor="text1"/>
              </w:rPr>
              <w:t>500</w:t>
            </w:r>
          </w:p>
        </w:tc>
        <w:tc>
          <w:tcPr>
            <w:tcW w:w="1022" w:type="pct"/>
            <w:tcMar>
              <w:top w:w="16" w:type="dxa"/>
              <w:left w:w="16" w:type="dxa"/>
              <w:right w:w="16" w:type="dxa"/>
            </w:tcMar>
            <w:vAlign w:val="center"/>
          </w:tcPr>
          <w:p w14:paraId="55074D57" w14:textId="77777777" w:rsidR="003C4F46" w:rsidRDefault="004B6A81">
            <w:pPr>
              <w:adjustRightInd w:val="0"/>
              <w:snapToGrid w:val="0"/>
              <w:spacing w:line="240" w:lineRule="auto"/>
              <w:ind w:firstLineChars="0" w:firstLine="0"/>
              <w:textAlignment w:val="auto"/>
              <w:rPr>
                <w:rFonts w:cs="Times New Roman"/>
                <w:color w:val="000000" w:themeColor="text1"/>
                <w:szCs w:val="24"/>
              </w:rPr>
            </w:pPr>
            <w:r>
              <w:rPr>
                <w:rFonts w:cs="Times New Roman"/>
                <w:color w:val="000000" w:themeColor="text1"/>
                <w:szCs w:val="24"/>
              </w:rPr>
              <w:t>环保投资（万元）</w:t>
            </w:r>
          </w:p>
        </w:tc>
        <w:tc>
          <w:tcPr>
            <w:tcW w:w="1650" w:type="pct"/>
            <w:vAlign w:val="center"/>
          </w:tcPr>
          <w:p w14:paraId="142EF76C"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highlight w:val="yellow"/>
              </w:rPr>
            </w:pPr>
            <w:r>
              <w:rPr>
                <w:rFonts w:hint="eastAsia"/>
                <w:color w:val="000000" w:themeColor="text1"/>
              </w:rPr>
              <w:t>34</w:t>
            </w:r>
          </w:p>
        </w:tc>
      </w:tr>
      <w:tr w:rsidR="003C4F46" w14:paraId="2BEB66FC" w14:textId="77777777" w:rsidTr="00474CA7">
        <w:trPr>
          <w:trHeight w:val="400"/>
        </w:trPr>
        <w:tc>
          <w:tcPr>
            <w:tcW w:w="971" w:type="pct"/>
            <w:tcMar>
              <w:top w:w="16" w:type="dxa"/>
              <w:left w:w="16" w:type="dxa"/>
              <w:right w:w="16" w:type="dxa"/>
            </w:tcMar>
            <w:vAlign w:val="center"/>
          </w:tcPr>
          <w:p w14:paraId="0D72B506"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环保投资占比（</w:t>
            </w:r>
            <w:r>
              <w:rPr>
                <w:rFonts w:cs="Times New Roman"/>
                <w:color w:val="000000" w:themeColor="text1"/>
                <w:szCs w:val="24"/>
              </w:rPr>
              <w:t>%</w:t>
            </w:r>
            <w:r>
              <w:rPr>
                <w:rFonts w:cs="Times New Roman"/>
                <w:color w:val="000000" w:themeColor="text1"/>
                <w:szCs w:val="24"/>
              </w:rPr>
              <w:t>）</w:t>
            </w:r>
          </w:p>
        </w:tc>
        <w:tc>
          <w:tcPr>
            <w:tcW w:w="1355" w:type="pct"/>
            <w:vAlign w:val="center"/>
          </w:tcPr>
          <w:p w14:paraId="049762D4"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highlight w:val="yellow"/>
              </w:rPr>
            </w:pPr>
            <w:r>
              <w:rPr>
                <w:rFonts w:cs="Times New Roman" w:hint="eastAsia"/>
                <w:color w:val="000000" w:themeColor="text1"/>
                <w:szCs w:val="24"/>
              </w:rPr>
              <w:t>6.8</w:t>
            </w:r>
          </w:p>
        </w:tc>
        <w:tc>
          <w:tcPr>
            <w:tcW w:w="1022" w:type="pct"/>
            <w:tcMar>
              <w:top w:w="16" w:type="dxa"/>
              <w:left w:w="16" w:type="dxa"/>
              <w:right w:w="16" w:type="dxa"/>
            </w:tcMar>
            <w:vAlign w:val="center"/>
          </w:tcPr>
          <w:p w14:paraId="3EB7029B"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施工工期</w:t>
            </w:r>
          </w:p>
        </w:tc>
        <w:tc>
          <w:tcPr>
            <w:tcW w:w="1650" w:type="pct"/>
            <w:vAlign w:val="center"/>
          </w:tcPr>
          <w:p w14:paraId="0DEBD8DE"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highlight w:val="yellow"/>
              </w:rPr>
            </w:pPr>
            <w:r>
              <w:rPr>
                <w:rFonts w:cs="Times New Roman" w:hint="eastAsia"/>
                <w:color w:val="000000" w:themeColor="text1"/>
                <w:szCs w:val="24"/>
              </w:rPr>
              <w:t>1</w:t>
            </w:r>
            <w:r>
              <w:rPr>
                <w:rFonts w:cs="Times New Roman" w:hint="eastAsia"/>
                <w:color w:val="000000" w:themeColor="text1"/>
                <w:szCs w:val="24"/>
              </w:rPr>
              <w:t>个月</w:t>
            </w:r>
          </w:p>
        </w:tc>
      </w:tr>
      <w:tr w:rsidR="003C4F46" w14:paraId="6F4B1D13" w14:textId="77777777">
        <w:trPr>
          <w:trHeight w:val="853"/>
        </w:trPr>
        <w:tc>
          <w:tcPr>
            <w:tcW w:w="971" w:type="pct"/>
            <w:tcMar>
              <w:top w:w="16" w:type="dxa"/>
              <w:left w:w="16" w:type="dxa"/>
              <w:right w:w="16" w:type="dxa"/>
            </w:tcMar>
            <w:vAlign w:val="center"/>
          </w:tcPr>
          <w:p w14:paraId="00DA9D14"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zCs w:val="24"/>
              </w:rPr>
              <w:t>是否开工建设</w:t>
            </w:r>
          </w:p>
        </w:tc>
        <w:tc>
          <w:tcPr>
            <w:tcW w:w="1355" w:type="pct"/>
            <w:vAlign w:val="center"/>
          </w:tcPr>
          <w:p w14:paraId="5DC8BF56" w14:textId="77777777" w:rsidR="003C4F46" w:rsidRDefault="004B6A81">
            <w:pPr>
              <w:adjustRightInd w:val="0"/>
              <w:snapToGrid w:val="0"/>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A3"/>
            </w:r>
            <w:r>
              <w:rPr>
                <w:rFonts w:cs="Times New Roman"/>
                <w:color w:val="000000" w:themeColor="text1"/>
                <w:szCs w:val="24"/>
              </w:rPr>
              <w:t>否</w:t>
            </w:r>
          </w:p>
          <w:p w14:paraId="7961337C" w14:textId="77777777" w:rsidR="003C4F46" w:rsidRDefault="004B6A81">
            <w:pPr>
              <w:adjustRightInd w:val="0"/>
              <w:snapToGrid w:val="0"/>
              <w:spacing w:line="240" w:lineRule="auto"/>
              <w:ind w:firstLineChars="0" w:firstLine="0"/>
              <w:textAlignment w:val="auto"/>
              <w:rPr>
                <w:rFonts w:cs="Times New Roman"/>
                <w:color w:val="000000" w:themeColor="text1"/>
                <w:szCs w:val="24"/>
              </w:rPr>
            </w:pPr>
            <w:r>
              <w:rPr>
                <w:rFonts w:cs="Times New Roman"/>
                <w:color w:val="000000" w:themeColor="text1"/>
                <w:szCs w:val="24"/>
              </w:rPr>
              <w:sym w:font="Wingdings 2" w:char="0052"/>
            </w:r>
            <w:r>
              <w:rPr>
                <w:rFonts w:cs="Times New Roman"/>
                <w:color w:val="000000" w:themeColor="text1"/>
                <w:szCs w:val="24"/>
              </w:rPr>
              <w:t>是</w:t>
            </w:r>
          </w:p>
          <w:p w14:paraId="21012146" w14:textId="77777777" w:rsidR="003C4F46" w:rsidRDefault="004B6A81">
            <w:pPr>
              <w:adjustRightInd w:val="0"/>
              <w:snapToGrid w:val="0"/>
              <w:spacing w:line="240" w:lineRule="auto"/>
              <w:ind w:firstLineChars="0" w:firstLine="0"/>
              <w:textAlignment w:val="auto"/>
              <w:rPr>
                <w:rFonts w:cs="Times New Roman"/>
                <w:color w:val="000000" w:themeColor="text1"/>
                <w:szCs w:val="24"/>
              </w:rPr>
            </w:pPr>
            <w:r>
              <w:rPr>
                <w:rFonts w:cs="Times New Roman" w:hint="eastAsia"/>
                <w:color w:val="000000" w:themeColor="text1"/>
                <w:szCs w:val="24"/>
              </w:rPr>
              <w:t>4</w:t>
            </w:r>
            <w:r>
              <w:rPr>
                <w:rFonts w:cs="Times New Roman" w:hint="eastAsia"/>
                <w:color w:val="000000" w:themeColor="text1"/>
                <w:szCs w:val="24"/>
              </w:rPr>
              <w:t>座储罐已于</w:t>
            </w:r>
            <w:r>
              <w:rPr>
                <w:rFonts w:cs="Times New Roman" w:hint="eastAsia"/>
                <w:color w:val="000000" w:themeColor="text1"/>
                <w:szCs w:val="24"/>
              </w:rPr>
              <w:t>2018</w:t>
            </w:r>
            <w:r>
              <w:rPr>
                <w:rFonts w:cs="Times New Roman" w:hint="eastAsia"/>
                <w:color w:val="000000" w:themeColor="text1"/>
                <w:szCs w:val="24"/>
              </w:rPr>
              <w:t>年建成，建成后一直未投运，未造成环境污染，未受行政处罚</w:t>
            </w:r>
          </w:p>
        </w:tc>
        <w:tc>
          <w:tcPr>
            <w:tcW w:w="1022" w:type="pct"/>
            <w:tcMar>
              <w:top w:w="16" w:type="dxa"/>
              <w:left w:w="16" w:type="dxa"/>
              <w:right w:w="16" w:type="dxa"/>
            </w:tcMar>
            <w:vAlign w:val="center"/>
          </w:tcPr>
          <w:p w14:paraId="43662C68" w14:textId="77777777" w:rsidR="003C4F46" w:rsidRDefault="004B6A81">
            <w:pPr>
              <w:adjustRightInd w:val="0"/>
              <w:snapToGrid w:val="0"/>
              <w:spacing w:line="240" w:lineRule="auto"/>
              <w:ind w:firstLineChars="0" w:firstLine="0"/>
              <w:jc w:val="center"/>
              <w:textAlignment w:val="auto"/>
              <w:rPr>
                <w:rFonts w:cs="Times New Roman"/>
                <w:color w:val="000000" w:themeColor="text1"/>
                <w:spacing w:val="-6"/>
                <w:szCs w:val="24"/>
              </w:rPr>
            </w:pPr>
            <w:r>
              <w:rPr>
                <w:rFonts w:cs="Times New Roman"/>
                <w:color w:val="000000" w:themeColor="text1"/>
                <w:spacing w:val="-6"/>
                <w:szCs w:val="24"/>
              </w:rPr>
              <w:t>用地（用海）</w:t>
            </w:r>
          </w:p>
          <w:p w14:paraId="41C2718A"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color w:val="000000" w:themeColor="text1"/>
                <w:spacing w:val="-6"/>
                <w:szCs w:val="24"/>
              </w:rPr>
              <w:t>面积（</w:t>
            </w:r>
            <w:r>
              <w:rPr>
                <w:rFonts w:cs="Times New Roman"/>
                <w:color w:val="000000" w:themeColor="text1"/>
                <w:spacing w:val="-6"/>
                <w:szCs w:val="24"/>
              </w:rPr>
              <w:t>m</w:t>
            </w:r>
            <w:r>
              <w:rPr>
                <w:rFonts w:cs="Times New Roman"/>
                <w:color w:val="000000" w:themeColor="text1"/>
                <w:spacing w:val="-6"/>
                <w:szCs w:val="24"/>
                <w:vertAlign w:val="superscript"/>
              </w:rPr>
              <w:t>2</w:t>
            </w:r>
            <w:r>
              <w:rPr>
                <w:rFonts w:cs="Times New Roman"/>
                <w:color w:val="000000" w:themeColor="text1"/>
                <w:spacing w:val="-6"/>
                <w:szCs w:val="24"/>
              </w:rPr>
              <w:t>）</w:t>
            </w:r>
          </w:p>
        </w:tc>
        <w:tc>
          <w:tcPr>
            <w:tcW w:w="1650" w:type="pct"/>
            <w:vAlign w:val="center"/>
          </w:tcPr>
          <w:p w14:paraId="5B8A9A37" w14:textId="77777777" w:rsidR="003C4F46" w:rsidRDefault="004B6A81">
            <w:pPr>
              <w:adjustRightInd w:val="0"/>
              <w:snapToGrid w:val="0"/>
              <w:spacing w:line="240" w:lineRule="auto"/>
              <w:ind w:firstLineChars="0" w:firstLine="0"/>
              <w:jc w:val="center"/>
              <w:textAlignment w:val="auto"/>
              <w:rPr>
                <w:rFonts w:cs="Times New Roman"/>
                <w:color w:val="000000" w:themeColor="text1"/>
                <w:szCs w:val="24"/>
              </w:rPr>
            </w:pPr>
            <w:r>
              <w:rPr>
                <w:rFonts w:cs="Times New Roman" w:hint="eastAsia"/>
                <w:color w:val="000000" w:themeColor="text1"/>
                <w:szCs w:val="24"/>
              </w:rPr>
              <w:t>0</w:t>
            </w:r>
          </w:p>
        </w:tc>
      </w:tr>
      <w:tr w:rsidR="003C4F46" w14:paraId="6205E0AE" w14:textId="77777777">
        <w:tblPrEx>
          <w:tblCellMar>
            <w:left w:w="108" w:type="dxa"/>
            <w:right w:w="108" w:type="dxa"/>
          </w:tblCellMar>
        </w:tblPrEx>
        <w:trPr>
          <w:trHeight w:val="436"/>
        </w:trPr>
        <w:tc>
          <w:tcPr>
            <w:tcW w:w="971" w:type="pct"/>
            <w:vAlign w:val="center"/>
          </w:tcPr>
          <w:p w14:paraId="2FA74DBA" w14:textId="77777777" w:rsidR="003C4F46" w:rsidRDefault="004B6A81">
            <w:pPr>
              <w:autoSpaceDE w:val="0"/>
              <w:autoSpaceDN w:val="0"/>
              <w:adjustRightInd w:val="0"/>
              <w:snapToGrid w:val="0"/>
              <w:spacing w:line="240" w:lineRule="auto"/>
              <w:ind w:firstLineChars="0" w:firstLine="0"/>
              <w:jc w:val="center"/>
              <w:textAlignment w:val="auto"/>
              <w:rPr>
                <w:rFonts w:cs="Times New Roman"/>
                <w:color w:val="000000" w:themeColor="text1"/>
                <w:kern w:val="0"/>
                <w:szCs w:val="24"/>
              </w:rPr>
            </w:pPr>
            <w:r>
              <w:rPr>
                <w:rFonts w:cs="Times New Roman"/>
                <w:color w:val="000000" w:themeColor="text1"/>
                <w:kern w:val="0"/>
                <w:szCs w:val="24"/>
              </w:rPr>
              <w:t>专项评价设置情况</w:t>
            </w:r>
          </w:p>
        </w:tc>
        <w:tc>
          <w:tcPr>
            <w:tcW w:w="4028" w:type="pct"/>
            <w:gridSpan w:val="3"/>
            <w:vAlign w:val="center"/>
          </w:tcPr>
          <w:p w14:paraId="405D9ABB" w14:textId="77777777" w:rsidR="003C4F46" w:rsidRDefault="004B6A81">
            <w:pPr>
              <w:ind w:firstLine="480"/>
              <w:jc w:val="center"/>
              <w:rPr>
                <w:rFonts w:cs="Times New Roman"/>
                <w:color w:val="000000" w:themeColor="text1"/>
              </w:rPr>
            </w:pPr>
            <w:r>
              <w:rPr>
                <w:rFonts w:cs="Times New Roman" w:hint="eastAsia"/>
                <w:color w:val="000000" w:themeColor="text1"/>
              </w:rPr>
              <w:t>无</w:t>
            </w:r>
          </w:p>
        </w:tc>
      </w:tr>
      <w:tr w:rsidR="003C4F46" w14:paraId="04DE93B2" w14:textId="77777777">
        <w:tblPrEx>
          <w:tblCellMar>
            <w:left w:w="108" w:type="dxa"/>
            <w:right w:w="108" w:type="dxa"/>
          </w:tblCellMar>
        </w:tblPrEx>
        <w:trPr>
          <w:trHeight w:val="127"/>
        </w:trPr>
        <w:tc>
          <w:tcPr>
            <w:tcW w:w="971" w:type="pct"/>
            <w:vAlign w:val="center"/>
          </w:tcPr>
          <w:p w14:paraId="168970DE" w14:textId="77777777" w:rsidR="003C4F46" w:rsidRDefault="004B6A81">
            <w:pPr>
              <w:autoSpaceDE w:val="0"/>
              <w:autoSpaceDN w:val="0"/>
              <w:adjustRightInd w:val="0"/>
              <w:snapToGrid w:val="0"/>
              <w:spacing w:line="240" w:lineRule="auto"/>
              <w:ind w:firstLineChars="0" w:firstLine="0"/>
              <w:jc w:val="center"/>
              <w:textAlignment w:val="auto"/>
              <w:rPr>
                <w:rFonts w:cs="Times New Roman"/>
                <w:color w:val="000000" w:themeColor="text1"/>
                <w:kern w:val="0"/>
                <w:szCs w:val="24"/>
              </w:rPr>
            </w:pPr>
            <w:r>
              <w:rPr>
                <w:rFonts w:cs="Times New Roman"/>
                <w:color w:val="000000" w:themeColor="text1"/>
                <w:szCs w:val="24"/>
              </w:rPr>
              <w:t>规划情况</w:t>
            </w:r>
          </w:p>
        </w:tc>
        <w:tc>
          <w:tcPr>
            <w:tcW w:w="4028" w:type="pct"/>
            <w:gridSpan w:val="3"/>
            <w:vAlign w:val="center"/>
          </w:tcPr>
          <w:p w14:paraId="31BBBF94" w14:textId="77777777" w:rsidR="003C4F46" w:rsidRDefault="004B6A81">
            <w:pPr>
              <w:ind w:firstLineChars="0" w:firstLine="0"/>
              <w:rPr>
                <w:color w:val="000000" w:themeColor="text1"/>
              </w:rPr>
            </w:pPr>
            <w:bookmarkStart w:id="7" w:name="OLE_LINK12"/>
            <w:r>
              <w:rPr>
                <w:rFonts w:hint="eastAsia"/>
                <w:color w:val="000000" w:themeColor="text1"/>
              </w:rPr>
              <w:t>批复名称：关于对《轮台工业园区国土空间专项规划（</w:t>
            </w:r>
            <w:r>
              <w:rPr>
                <w:rFonts w:hint="eastAsia"/>
                <w:color w:val="000000" w:themeColor="text1"/>
              </w:rPr>
              <w:t>2024-2035</w:t>
            </w:r>
            <w:r>
              <w:rPr>
                <w:rFonts w:hint="eastAsia"/>
                <w:color w:val="000000" w:themeColor="text1"/>
              </w:rPr>
              <w:t>）》的批复；</w:t>
            </w:r>
          </w:p>
          <w:p w14:paraId="0AB15CD2" w14:textId="77777777" w:rsidR="003C4F46" w:rsidRDefault="004B6A81">
            <w:pPr>
              <w:ind w:firstLineChars="0" w:firstLine="0"/>
              <w:rPr>
                <w:color w:val="000000" w:themeColor="text1"/>
              </w:rPr>
            </w:pPr>
            <w:r>
              <w:rPr>
                <w:rFonts w:hint="eastAsia"/>
                <w:color w:val="000000" w:themeColor="text1"/>
              </w:rPr>
              <w:t>批复单位：轮台县人民政府；</w:t>
            </w:r>
          </w:p>
          <w:p w14:paraId="5142A5C7" w14:textId="77777777" w:rsidR="003C4F46" w:rsidRDefault="004B6A81">
            <w:pPr>
              <w:ind w:firstLineChars="0" w:firstLine="0"/>
            </w:pPr>
            <w:r>
              <w:rPr>
                <w:rFonts w:hint="eastAsia"/>
                <w:color w:val="000000" w:themeColor="text1"/>
              </w:rPr>
              <w:t>批复时间：</w:t>
            </w:r>
            <w:r>
              <w:rPr>
                <w:rFonts w:hint="eastAsia"/>
                <w:color w:val="000000" w:themeColor="text1"/>
              </w:rPr>
              <w:t>2025</w:t>
            </w:r>
            <w:r>
              <w:rPr>
                <w:rFonts w:hint="eastAsia"/>
                <w:color w:val="000000" w:themeColor="text1"/>
              </w:rPr>
              <w:t>年</w:t>
            </w:r>
            <w:r>
              <w:rPr>
                <w:rFonts w:hint="eastAsia"/>
                <w:color w:val="000000" w:themeColor="text1"/>
              </w:rPr>
              <w:t>2</w:t>
            </w:r>
            <w:r>
              <w:rPr>
                <w:rFonts w:hint="eastAsia"/>
                <w:color w:val="000000" w:themeColor="text1"/>
              </w:rPr>
              <w:t>月</w:t>
            </w:r>
            <w:r>
              <w:rPr>
                <w:rFonts w:hint="eastAsia"/>
                <w:color w:val="000000" w:themeColor="text1"/>
              </w:rPr>
              <w:t>12</w:t>
            </w:r>
            <w:r>
              <w:rPr>
                <w:rFonts w:hint="eastAsia"/>
                <w:color w:val="000000" w:themeColor="text1"/>
              </w:rPr>
              <w:t>日</w:t>
            </w:r>
            <w:bookmarkEnd w:id="7"/>
            <w:r>
              <w:rPr>
                <w:rFonts w:hint="eastAsia"/>
                <w:color w:val="000000" w:themeColor="text1"/>
              </w:rPr>
              <w:t>。</w:t>
            </w:r>
          </w:p>
        </w:tc>
      </w:tr>
      <w:tr w:rsidR="003C4F46" w14:paraId="54BF63B7" w14:textId="77777777">
        <w:tblPrEx>
          <w:tblCellMar>
            <w:left w:w="108" w:type="dxa"/>
            <w:right w:w="108" w:type="dxa"/>
          </w:tblCellMar>
        </w:tblPrEx>
        <w:trPr>
          <w:trHeight w:val="55"/>
        </w:trPr>
        <w:tc>
          <w:tcPr>
            <w:tcW w:w="971" w:type="pct"/>
            <w:vAlign w:val="center"/>
          </w:tcPr>
          <w:p w14:paraId="69D4C351" w14:textId="77777777" w:rsidR="003C4F46" w:rsidRDefault="004B6A81">
            <w:pPr>
              <w:adjustRightInd w:val="0"/>
              <w:snapToGrid w:val="0"/>
              <w:spacing w:line="240" w:lineRule="auto"/>
              <w:ind w:firstLineChars="0" w:firstLine="0"/>
              <w:jc w:val="center"/>
              <w:textAlignment w:val="auto"/>
              <w:rPr>
                <w:rFonts w:cs="Times New Roman"/>
                <w:color w:val="000000" w:themeColor="text1"/>
                <w:kern w:val="0"/>
                <w:szCs w:val="24"/>
              </w:rPr>
            </w:pPr>
            <w:r>
              <w:rPr>
                <w:rFonts w:cs="Times New Roman"/>
                <w:color w:val="000000" w:themeColor="text1"/>
                <w:szCs w:val="24"/>
              </w:rPr>
              <w:t>规划环境影响评价情况</w:t>
            </w:r>
          </w:p>
        </w:tc>
        <w:tc>
          <w:tcPr>
            <w:tcW w:w="4028" w:type="pct"/>
            <w:gridSpan w:val="3"/>
            <w:vAlign w:val="center"/>
          </w:tcPr>
          <w:p w14:paraId="2255E859" w14:textId="77777777" w:rsidR="003C4F46" w:rsidRDefault="004B6A81">
            <w:pPr>
              <w:ind w:firstLineChars="0" w:firstLine="0"/>
            </w:pPr>
            <w:r>
              <w:rPr>
                <w:rFonts w:hint="eastAsia"/>
                <w:color w:val="000000" w:themeColor="text1"/>
              </w:rPr>
              <w:t>规划环评名称：《轮台工业园区国土空间专项规划（</w:t>
            </w:r>
            <w:r>
              <w:rPr>
                <w:rFonts w:hint="eastAsia"/>
                <w:color w:val="000000" w:themeColor="text1"/>
              </w:rPr>
              <w:t>2024-2035</w:t>
            </w:r>
            <w:r>
              <w:rPr>
                <w:rFonts w:hint="eastAsia"/>
                <w:color w:val="000000" w:themeColor="text1"/>
              </w:rPr>
              <w:t>）》环境影响报告书；</w:t>
            </w:r>
          </w:p>
        </w:tc>
      </w:tr>
      <w:tr w:rsidR="003C4F46" w14:paraId="7A033501" w14:textId="77777777">
        <w:tblPrEx>
          <w:tblCellMar>
            <w:left w:w="108" w:type="dxa"/>
            <w:right w:w="108" w:type="dxa"/>
          </w:tblCellMar>
        </w:tblPrEx>
        <w:tc>
          <w:tcPr>
            <w:tcW w:w="971" w:type="pct"/>
            <w:vAlign w:val="center"/>
          </w:tcPr>
          <w:p w14:paraId="4D6144F6" w14:textId="77777777" w:rsidR="003C4F46" w:rsidRDefault="004B6A81">
            <w:pPr>
              <w:autoSpaceDE w:val="0"/>
              <w:autoSpaceDN w:val="0"/>
              <w:adjustRightInd w:val="0"/>
              <w:snapToGrid w:val="0"/>
              <w:spacing w:line="240" w:lineRule="auto"/>
              <w:ind w:firstLineChars="0" w:firstLine="0"/>
              <w:textAlignment w:val="auto"/>
              <w:rPr>
                <w:rFonts w:cs="Times New Roman"/>
                <w:color w:val="000000" w:themeColor="text1"/>
                <w:kern w:val="0"/>
                <w:szCs w:val="24"/>
              </w:rPr>
            </w:pPr>
            <w:r>
              <w:rPr>
                <w:rFonts w:cs="Times New Roman"/>
                <w:color w:val="000000" w:themeColor="text1"/>
                <w:kern w:val="0"/>
                <w:szCs w:val="24"/>
              </w:rPr>
              <w:t>规划及规划环境影响评价符合性分析</w:t>
            </w:r>
          </w:p>
        </w:tc>
        <w:tc>
          <w:tcPr>
            <w:tcW w:w="4028" w:type="pct"/>
            <w:gridSpan w:val="3"/>
            <w:vAlign w:val="center"/>
          </w:tcPr>
          <w:p w14:paraId="279F7745" w14:textId="77777777" w:rsidR="003C4F46" w:rsidRDefault="004B6A81">
            <w:pPr>
              <w:ind w:firstLine="480"/>
            </w:pPr>
            <w:r>
              <w:rPr>
                <w:rFonts w:hint="eastAsia"/>
              </w:rPr>
              <w:t>《轮台工业园区国土空间专项规划（</w:t>
            </w:r>
            <w:r>
              <w:rPr>
                <w:rFonts w:hint="eastAsia"/>
              </w:rPr>
              <w:t>2024-2035</w:t>
            </w:r>
            <w:r>
              <w:rPr>
                <w:rFonts w:hint="eastAsia"/>
              </w:rPr>
              <w:t>年）》于</w:t>
            </w:r>
            <w:r>
              <w:rPr>
                <w:rFonts w:hint="eastAsia"/>
              </w:rPr>
              <w:t>2025</w:t>
            </w:r>
            <w:r>
              <w:rPr>
                <w:rFonts w:hint="eastAsia"/>
              </w:rPr>
              <w:t>年</w:t>
            </w:r>
            <w:r>
              <w:rPr>
                <w:rFonts w:hint="eastAsia"/>
              </w:rPr>
              <w:t>2</w:t>
            </w:r>
            <w:r>
              <w:rPr>
                <w:rFonts w:hint="eastAsia"/>
              </w:rPr>
              <w:t>月</w:t>
            </w:r>
            <w:r>
              <w:rPr>
                <w:rFonts w:hint="eastAsia"/>
              </w:rPr>
              <w:t>12</w:t>
            </w:r>
            <w:r>
              <w:rPr>
                <w:rFonts w:hint="eastAsia"/>
              </w:rPr>
              <w:t>日取得了轮台县人民政府出具的审批意见。根据《规划》，</w:t>
            </w:r>
            <w:r>
              <w:rPr>
                <w:rFonts w:hint="eastAsia"/>
              </w:rPr>
              <w:lastRenderedPageBreak/>
              <w:t>轮台工业园区自治区批复的范围为</w:t>
            </w:r>
            <w:r>
              <w:rPr>
                <w:rFonts w:hint="eastAsia"/>
              </w:rPr>
              <w:t>34.8</w:t>
            </w:r>
            <w:r>
              <w:rPr>
                <w:rFonts w:hint="eastAsia"/>
              </w:rPr>
              <w:t>平方公里，园区采取“一园两区”模式，县城以西</w:t>
            </w:r>
            <w:r>
              <w:rPr>
                <w:rFonts w:hint="eastAsia"/>
              </w:rPr>
              <w:t>20</w:t>
            </w:r>
            <w:r>
              <w:rPr>
                <w:rFonts w:hint="eastAsia"/>
              </w:rPr>
              <w:t>公里为拉依苏石油化工区、县城东部为红桥石油服务区，本项目位于轮台工业园区（</w:t>
            </w:r>
            <w:r>
              <w:rPr>
                <w:rFonts w:cs="Times New Roman" w:hint="eastAsia"/>
                <w:color w:val="000000"/>
              </w:rPr>
              <w:t>拉依苏石油化工区</w:t>
            </w:r>
            <w:r>
              <w:rPr>
                <w:rFonts w:hint="eastAsia"/>
              </w:rPr>
              <w:t>）。</w:t>
            </w:r>
          </w:p>
          <w:p w14:paraId="2BAF6D1B" w14:textId="77777777" w:rsidR="003C4F46" w:rsidRDefault="004B6A81">
            <w:pPr>
              <w:ind w:firstLine="482"/>
            </w:pPr>
            <w:r>
              <w:rPr>
                <w:rFonts w:hint="eastAsia"/>
                <w:b/>
                <w:bCs/>
              </w:rPr>
              <w:t>功能定位：</w:t>
            </w:r>
            <w:r>
              <w:rPr>
                <w:rFonts w:hint="eastAsia"/>
              </w:rPr>
              <w:t>完善园区特色功能定位——加快红桥石油服务区、拉依苏精细化工区的轮台工业园区“一园两区”等基础设施建设，明确工业园区拉依苏石油化工区精细化工产业定位、以轮台红桥石油服务区油气勘探开发为重点，加大园区主导产业延链、补链、强链，发展“飞地园区”。将园区打造成现代经济体系的新天地、高质量发展的新引擎、经济稳定运行的“压舱石”。</w:t>
            </w:r>
          </w:p>
          <w:p w14:paraId="03F972E3" w14:textId="77777777" w:rsidR="003C4F46" w:rsidRDefault="004B6A81">
            <w:pPr>
              <w:ind w:firstLine="482"/>
              <w:rPr>
                <w:rFonts w:cs="Times New Roman"/>
                <w:color w:val="000000"/>
              </w:rPr>
            </w:pPr>
            <w:r>
              <w:rPr>
                <w:rFonts w:hint="eastAsia"/>
                <w:b/>
                <w:bCs/>
              </w:rPr>
              <w:t>产业定位：</w:t>
            </w:r>
            <w:r>
              <w:rPr>
                <w:rFonts w:hint="eastAsia"/>
              </w:rPr>
              <w:t>通过多角度分析，根据《国民经济行业分类》（</w:t>
            </w:r>
            <w:r>
              <w:rPr>
                <w:rFonts w:hint="eastAsia"/>
              </w:rPr>
              <w:t>GB/T4754-2017</w:t>
            </w:r>
            <w:r>
              <w:rPr>
                <w:rFonts w:hint="eastAsia"/>
              </w:rPr>
              <w:t>）、《“十四五”原材料工业发展规划》等，结合《轮台县</w:t>
            </w:r>
            <w:r>
              <w:rPr>
                <w:rFonts w:hint="eastAsia"/>
                <w:color w:val="000000"/>
              </w:rPr>
              <w:t>“十四五”规划》，分析轮台县工业发展基础，</w:t>
            </w:r>
            <w:r>
              <w:rPr>
                <w:rFonts w:hint="eastAsia"/>
                <w:b/>
                <w:bCs/>
                <w:color w:val="000000"/>
              </w:rPr>
              <w:t>拉依苏石油化工区的发展定位是：</w:t>
            </w:r>
            <w:r>
              <w:rPr>
                <w:rFonts w:hint="eastAsia"/>
                <w:color w:val="000000"/>
              </w:rPr>
              <w:t>形成以石油天然气化工、硅基新材料产业为主导，以煤化工、现代能源为重点，以盐化工、精细化工为延伸，以资源循环利用为补充的现代化工产业体系</w:t>
            </w:r>
            <w:r>
              <w:rPr>
                <w:rFonts w:cs="Times New Roman"/>
                <w:color w:val="000000"/>
              </w:rPr>
              <w:t>。</w:t>
            </w:r>
          </w:p>
          <w:p w14:paraId="13B92C49" w14:textId="77777777" w:rsidR="003C4F46" w:rsidRDefault="004B6A81">
            <w:pPr>
              <w:ind w:firstLine="482"/>
            </w:pPr>
            <w:r>
              <w:rPr>
                <w:rFonts w:hint="eastAsia"/>
                <w:b/>
                <w:bCs/>
              </w:rPr>
              <w:t>功能分区：</w:t>
            </w:r>
            <w:bookmarkStart w:id="8" w:name="OLE_LINK8"/>
            <w:r>
              <w:rPr>
                <w:rFonts w:hint="eastAsia"/>
              </w:rPr>
              <w:t>红桥石油服务区</w:t>
            </w:r>
            <w:bookmarkEnd w:id="8"/>
            <w:r>
              <w:rPr>
                <w:rFonts w:hint="eastAsia"/>
              </w:rPr>
              <w:t>规划形成“三轴一心多片区”的功能结构。</w:t>
            </w:r>
          </w:p>
          <w:p w14:paraId="41E49A60" w14:textId="0A45A70E" w:rsidR="003C4F46" w:rsidRDefault="004B6A81">
            <w:pPr>
              <w:ind w:firstLine="480"/>
              <w:rPr>
                <w:color w:val="000000"/>
              </w:rPr>
            </w:pPr>
            <w:r>
              <w:rPr>
                <w:rFonts w:cs="Times New Roman" w:hint="eastAsia"/>
                <w:color w:val="000000"/>
              </w:rPr>
              <w:t>本项目为危险废物贮存库项目，</w:t>
            </w:r>
            <w:r w:rsidR="009C4C8C" w:rsidRPr="009C4C8C">
              <w:rPr>
                <w:rFonts w:cs="Times New Roman" w:hint="eastAsia"/>
                <w:color w:val="000000"/>
              </w:rPr>
              <w:t>N7724</w:t>
            </w:r>
            <w:r w:rsidR="009C4C8C" w:rsidRPr="009C4C8C">
              <w:rPr>
                <w:rFonts w:cs="Times New Roman" w:hint="eastAsia"/>
                <w:color w:val="000000"/>
              </w:rPr>
              <w:t>危险废物治理</w:t>
            </w:r>
            <w:r w:rsidR="009C4C8C">
              <w:rPr>
                <w:rFonts w:cs="Times New Roman" w:hint="eastAsia"/>
                <w:color w:val="000000"/>
              </w:rPr>
              <w:t>行业</w:t>
            </w:r>
            <w:r>
              <w:rPr>
                <w:rFonts w:cs="Times New Roman" w:hint="eastAsia"/>
                <w:color w:val="000000"/>
              </w:rPr>
              <w:t>，服务于园区及周边企业产生的危险废物的规范收集与贮存。拉依苏石油化工区产业体系以资源循环利用为补充，本项目属于资源循环利用范畴，与园区产业定位相符</w:t>
            </w:r>
            <w:r>
              <w:rPr>
                <w:rFonts w:cs="Times New Roman"/>
                <w:color w:val="000000"/>
              </w:rPr>
              <w:t>。</w:t>
            </w:r>
          </w:p>
        </w:tc>
      </w:tr>
      <w:tr w:rsidR="003C4F46" w14:paraId="28323C2E" w14:textId="77777777">
        <w:tblPrEx>
          <w:tblCellMar>
            <w:left w:w="108" w:type="dxa"/>
            <w:right w:w="108" w:type="dxa"/>
          </w:tblCellMar>
        </w:tblPrEx>
        <w:trPr>
          <w:trHeight w:val="12742"/>
        </w:trPr>
        <w:tc>
          <w:tcPr>
            <w:tcW w:w="971" w:type="pct"/>
            <w:vAlign w:val="center"/>
          </w:tcPr>
          <w:p w14:paraId="68156949" w14:textId="77777777" w:rsidR="003C4F46" w:rsidRDefault="004B6A81">
            <w:pPr>
              <w:autoSpaceDE w:val="0"/>
              <w:autoSpaceDN w:val="0"/>
              <w:adjustRightInd w:val="0"/>
              <w:snapToGrid w:val="0"/>
              <w:spacing w:line="240" w:lineRule="auto"/>
              <w:ind w:firstLineChars="0" w:firstLine="0"/>
              <w:jc w:val="center"/>
              <w:textAlignment w:val="auto"/>
              <w:rPr>
                <w:rFonts w:cs="Times New Roman"/>
                <w:color w:val="000000" w:themeColor="text1"/>
                <w:kern w:val="0"/>
                <w:szCs w:val="24"/>
              </w:rPr>
            </w:pPr>
            <w:r>
              <w:rPr>
                <w:rFonts w:cs="Times New Roman"/>
                <w:color w:val="000000" w:themeColor="text1"/>
                <w:kern w:val="0"/>
                <w:szCs w:val="24"/>
              </w:rPr>
              <w:lastRenderedPageBreak/>
              <w:t>其他符合性分析</w:t>
            </w:r>
          </w:p>
        </w:tc>
        <w:tc>
          <w:tcPr>
            <w:tcW w:w="4028" w:type="pct"/>
            <w:gridSpan w:val="3"/>
            <w:vAlign w:val="center"/>
          </w:tcPr>
          <w:p w14:paraId="18751487" w14:textId="77777777" w:rsidR="003C4F46" w:rsidRDefault="004B6A81">
            <w:pPr>
              <w:ind w:firstLineChars="0" w:firstLine="0"/>
              <w:rPr>
                <w:b/>
                <w:bCs/>
                <w:color w:val="000000" w:themeColor="text1"/>
              </w:rPr>
            </w:pPr>
            <w:r>
              <w:rPr>
                <w:rFonts w:hint="eastAsia"/>
                <w:b/>
                <w:bCs/>
                <w:color w:val="000000" w:themeColor="text1"/>
              </w:rPr>
              <w:t>1.</w:t>
            </w:r>
            <w:r>
              <w:rPr>
                <w:rFonts w:hint="eastAsia"/>
                <w:b/>
                <w:bCs/>
                <w:color w:val="000000" w:themeColor="text1"/>
              </w:rPr>
              <w:t>项目产业政策符合性分析</w:t>
            </w:r>
          </w:p>
          <w:p w14:paraId="5EA12DF2" w14:textId="425E9EAC" w:rsidR="003C4F46" w:rsidRDefault="00F80B97">
            <w:pPr>
              <w:widowControl/>
              <w:ind w:firstLine="480"/>
              <w:rPr>
                <w:color w:val="000000" w:themeColor="text1"/>
              </w:rPr>
            </w:pPr>
            <w:r>
              <w:rPr>
                <w:rFonts w:ascii="Segoe UI" w:hAnsi="Segoe UI" w:cs="Segoe UI"/>
                <w:color w:val="0F1115"/>
                <w:shd w:val="clear" w:color="auto" w:fill="FFFFFF"/>
              </w:rPr>
              <w:t>本项目为危险废物收集、贮存项目，不涉及危险废物处置</w:t>
            </w:r>
            <w:r>
              <w:rPr>
                <w:rFonts w:hint="eastAsia"/>
              </w:rPr>
              <w:t>。</w:t>
            </w:r>
            <w:r w:rsidR="004B6A81">
              <w:rPr>
                <w:rFonts w:hint="eastAsia"/>
              </w:rPr>
              <w:t>根据国家发展和改革委员会《产业结构调整指导目录（</w:t>
            </w:r>
            <w:r w:rsidR="004B6A81">
              <w:t>2024</w:t>
            </w:r>
            <w:r w:rsidR="004B6A81">
              <w:rPr>
                <w:rFonts w:hint="eastAsia"/>
              </w:rPr>
              <w:t>年本）》</w:t>
            </w:r>
            <w:r w:rsidR="004B6A81">
              <w:t>，</w:t>
            </w:r>
            <w:r>
              <w:rPr>
                <w:rFonts w:cs="Times New Roman" w:hint="eastAsia"/>
                <w:szCs w:val="24"/>
              </w:rPr>
              <w:t>本项目不属于鼓励类、限制类或淘汰类，视为允许类，符合国家产业政策</w:t>
            </w:r>
            <w:r w:rsidR="004B6A81">
              <w:rPr>
                <w:rFonts w:hint="eastAsia"/>
                <w:color w:val="000000" w:themeColor="text1"/>
              </w:rPr>
              <w:t>。</w:t>
            </w:r>
            <w:bookmarkStart w:id="9" w:name="_Hlk97287319"/>
          </w:p>
          <w:p w14:paraId="686C91E0" w14:textId="77777777" w:rsidR="003C4F46" w:rsidRDefault="004B6A81">
            <w:pPr>
              <w:ind w:firstLineChars="0" w:firstLine="0"/>
              <w:rPr>
                <w:rFonts w:cs="Times New Roman"/>
                <w:b/>
                <w:bCs/>
              </w:rPr>
            </w:pPr>
            <w:r>
              <w:rPr>
                <w:rFonts w:hint="eastAsia"/>
                <w:b/>
                <w:bCs/>
                <w:color w:val="000000" w:themeColor="text1"/>
              </w:rPr>
              <w:t>2.</w:t>
            </w:r>
            <w:r>
              <w:rPr>
                <w:rFonts w:hint="eastAsia"/>
                <w:b/>
                <w:bCs/>
                <w:color w:val="000000" w:themeColor="text1"/>
              </w:rPr>
              <w:t>选址合理性分析</w:t>
            </w:r>
          </w:p>
          <w:p w14:paraId="28252CF9" w14:textId="77777777" w:rsidR="003C4F46" w:rsidRDefault="004B6A81">
            <w:pPr>
              <w:ind w:firstLine="480"/>
              <w:rPr>
                <w:color w:val="000000" w:themeColor="text1"/>
              </w:rPr>
            </w:pPr>
            <w:r>
              <w:rPr>
                <w:rFonts w:hint="eastAsia"/>
                <w:color w:val="000000" w:themeColor="text1"/>
              </w:rPr>
              <w:t>本项目选址合理性分析依据《危险废物贮存污染控制标准》（</w:t>
            </w:r>
            <w:r>
              <w:rPr>
                <w:rFonts w:hint="eastAsia"/>
                <w:color w:val="000000" w:themeColor="text1"/>
              </w:rPr>
              <w:t>GB18597-2023</w:t>
            </w:r>
            <w:r>
              <w:rPr>
                <w:rFonts w:hint="eastAsia"/>
                <w:color w:val="000000" w:themeColor="text1"/>
              </w:rPr>
              <w:t>）及《危险废物收集贮存运输技术规范》（</w:t>
            </w:r>
            <w:r>
              <w:rPr>
                <w:rFonts w:hint="eastAsia"/>
                <w:color w:val="000000" w:themeColor="text1"/>
              </w:rPr>
              <w:t>HJ2025-2012</w:t>
            </w:r>
            <w:r>
              <w:rPr>
                <w:rFonts w:hint="eastAsia"/>
                <w:color w:val="000000" w:themeColor="text1"/>
              </w:rPr>
              <w:t>）的相关要求，从以下几个方面进行论证：</w:t>
            </w:r>
          </w:p>
          <w:p w14:paraId="353B03D4" w14:textId="77777777" w:rsidR="003C4F46" w:rsidRDefault="004B6A81">
            <w:pPr>
              <w:ind w:firstLine="48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）用地性质：本项目在轮台塔中石油化工有限公司现有厂区内建设，不新增用地，用地性质为工业用地，符合园区用地规划。</w:t>
            </w:r>
          </w:p>
          <w:p w14:paraId="340EBEC6" w14:textId="77777777" w:rsidR="003C4F46" w:rsidRDefault="004B6A81">
            <w:pPr>
              <w:ind w:firstLine="480"/>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）环境敏感目标：项目位于轮台工业园区拉依苏石油化工区内，厂界外</w:t>
            </w:r>
            <w:r>
              <w:rPr>
                <w:rFonts w:hint="eastAsia"/>
                <w:color w:val="000000" w:themeColor="text1"/>
              </w:rPr>
              <w:t>500m</w:t>
            </w:r>
            <w:r>
              <w:rPr>
                <w:rFonts w:hint="eastAsia"/>
                <w:color w:val="000000" w:themeColor="text1"/>
              </w:rPr>
              <w:t>范围内无居民区、学校、医院等大气环境敏感目标。</w:t>
            </w:r>
          </w:p>
          <w:p w14:paraId="34B974D7" w14:textId="77777777" w:rsidR="003C4F46" w:rsidRDefault="004B6A81">
            <w:pPr>
              <w:ind w:firstLine="480"/>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）地质条件：项目所在地不涉及活动断层、滑坡、泥石流等地质灾害易发区，贮存库为地上一层建设，底部不涉及地下水位。</w:t>
            </w:r>
          </w:p>
          <w:p w14:paraId="49C43DD0" w14:textId="1C59A77E" w:rsidR="003C4F46" w:rsidRDefault="004B6A81">
            <w:pPr>
              <w:ind w:firstLine="480"/>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）园区规划符合性：本项目属于危险废物治理业，服务于园区及周边企业危险废物的规范</w:t>
            </w:r>
            <w:r w:rsidR="00744D0C">
              <w:rPr>
                <w:rFonts w:hint="eastAsia"/>
                <w:color w:val="000000" w:themeColor="text1"/>
              </w:rPr>
              <w:t>贮存</w:t>
            </w:r>
            <w:r>
              <w:rPr>
                <w:rFonts w:hint="eastAsia"/>
                <w:color w:val="000000" w:themeColor="text1"/>
              </w:rPr>
              <w:t>，符合轮台工业园区拉依苏石油化工区“以资源循环利用为补充”的产业定位。</w:t>
            </w:r>
          </w:p>
          <w:p w14:paraId="08842903" w14:textId="77777777" w:rsidR="003C4F46" w:rsidRDefault="004B6A81">
            <w:pPr>
              <w:ind w:firstLine="480"/>
              <w:rPr>
                <w:color w:val="000000" w:themeColor="text1"/>
              </w:rPr>
            </w:pPr>
            <w:r>
              <w:rPr>
                <w:rFonts w:hint="eastAsia"/>
                <w:color w:val="000000" w:themeColor="text1"/>
              </w:rPr>
              <w:t>（</w:t>
            </w:r>
            <w:r>
              <w:rPr>
                <w:rFonts w:hint="eastAsia"/>
                <w:color w:val="000000" w:themeColor="text1"/>
              </w:rPr>
              <w:t>5</w:t>
            </w:r>
            <w:r>
              <w:rPr>
                <w:rFonts w:hint="eastAsia"/>
                <w:color w:val="000000" w:themeColor="text1"/>
              </w:rPr>
              <w:t>）公用工程依托：项目所在区域供水、供电、道路等基础设施完善，均可依托厂区现有设施，满足项目建设及运营需求。</w:t>
            </w:r>
          </w:p>
          <w:p w14:paraId="51260067" w14:textId="77777777" w:rsidR="003C4F46" w:rsidRDefault="004B6A81">
            <w:pPr>
              <w:ind w:firstLine="480"/>
              <w:rPr>
                <w:rFonts w:cs="Times New Roman"/>
              </w:rPr>
            </w:pPr>
            <w:r>
              <w:rPr>
                <w:rFonts w:hint="eastAsia"/>
                <w:color w:val="000000" w:themeColor="text1"/>
              </w:rPr>
              <w:t>综上所述，本项目选址符合《危险废物贮存污染控制标准》（</w:t>
            </w:r>
            <w:r>
              <w:rPr>
                <w:rFonts w:hint="eastAsia"/>
                <w:color w:val="000000" w:themeColor="text1"/>
              </w:rPr>
              <w:t>GB18597-2023</w:t>
            </w:r>
            <w:r>
              <w:rPr>
                <w:rFonts w:hint="eastAsia"/>
                <w:color w:val="000000" w:themeColor="text1"/>
              </w:rPr>
              <w:t>）等相关标准要求，选址合理。</w:t>
            </w:r>
          </w:p>
          <w:p w14:paraId="39EA3E9E" w14:textId="77777777" w:rsidR="003C4F46" w:rsidRDefault="004B6A81">
            <w:pPr>
              <w:ind w:firstLineChars="0" w:firstLine="0"/>
              <w:rPr>
                <w:b/>
                <w:bCs/>
                <w:color w:val="000000" w:themeColor="text1"/>
              </w:rPr>
            </w:pPr>
            <w:r>
              <w:rPr>
                <w:b/>
                <w:bCs/>
                <w:color w:val="000000" w:themeColor="text1"/>
              </w:rPr>
              <w:t>3</w:t>
            </w:r>
            <w:r>
              <w:rPr>
                <w:rFonts w:hint="eastAsia"/>
                <w:b/>
                <w:bCs/>
                <w:color w:val="000000" w:themeColor="text1"/>
              </w:rPr>
              <w:t>.</w:t>
            </w:r>
            <w:r>
              <w:rPr>
                <w:rFonts w:hint="eastAsia"/>
                <w:b/>
                <w:bCs/>
                <w:color w:val="000000" w:themeColor="text1"/>
              </w:rPr>
              <w:t>本项目与新疆维吾尔自治区“生态环境分区管控”符合性分析</w:t>
            </w:r>
          </w:p>
          <w:p w14:paraId="6A710D03" w14:textId="77777777" w:rsidR="003C4F46" w:rsidRDefault="004B6A81">
            <w:pPr>
              <w:ind w:firstLine="480"/>
              <w:rPr>
                <w:color w:val="000000" w:themeColor="text1"/>
              </w:rPr>
            </w:pPr>
            <w:r>
              <w:rPr>
                <w:rFonts w:hint="eastAsia"/>
                <w:color w:val="000000" w:themeColor="text1"/>
              </w:rPr>
              <w:t>本项目与《新疆维吾尔自治区生态环境分区管控动态更新成果》（新环环评发〔</w:t>
            </w:r>
            <w:r>
              <w:rPr>
                <w:rFonts w:hint="eastAsia"/>
                <w:color w:val="000000" w:themeColor="text1"/>
              </w:rPr>
              <w:t>2024</w:t>
            </w:r>
            <w:r>
              <w:rPr>
                <w:rFonts w:hint="eastAsia"/>
                <w:color w:val="000000" w:themeColor="text1"/>
              </w:rPr>
              <w:t>〕</w:t>
            </w:r>
            <w:r>
              <w:rPr>
                <w:rFonts w:hint="eastAsia"/>
                <w:color w:val="000000" w:themeColor="text1"/>
              </w:rPr>
              <w:t>157</w:t>
            </w:r>
            <w:r>
              <w:rPr>
                <w:rFonts w:hint="eastAsia"/>
                <w:color w:val="000000" w:themeColor="text1"/>
              </w:rPr>
              <w:t>号）相符性分析详见表</w:t>
            </w:r>
            <w:r>
              <w:rPr>
                <w:rFonts w:hint="eastAsia"/>
                <w:color w:val="000000" w:themeColor="text1"/>
              </w:rPr>
              <w:t>1-</w:t>
            </w:r>
            <w:r>
              <w:rPr>
                <w:color w:val="000000" w:themeColor="text1"/>
              </w:rPr>
              <w:t>1</w:t>
            </w:r>
            <w:r>
              <w:rPr>
                <w:rFonts w:hint="eastAsia"/>
                <w:color w:val="000000" w:themeColor="text1"/>
              </w:rPr>
              <w:t>。</w:t>
            </w:r>
          </w:p>
          <w:p w14:paraId="0E0D0F39" w14:textId="77777777" w:rsidR="003C4F46" w:rsidRDefault="004B6A81">
            <w:pPr>
              <w:adjustRightInd w:val="0"/>
              <w:spacing w:beforeLines="50" w:before="163" w:line="240" w:lineRule="auto"/>
              <w:ind w:firstLineChars="0" w:firstLine="0"/>
              <w:jc w:val="center"/>
              <w:textAlignment w:val="baseline"/>
              <w:rPr>
                <w:b/>
                <w:kern w:val="0"/>
                <w:sz w:val="21"/>
                <w:szCs w:val="20"/>
              </w:rPr>
            </w:pPr>
            <w:r>
              <w:rPr>
                <w:rFonts w:hint="eastAsia"/>
                <w:b/>
                <w:kern w:val="0"/>
                <w:sz w:val="21"/>
                <w:szCs w:val="20"/>
              </w:rPr>
              <w:t>表</w:t>
            </w:r>
            <w:r>
              <w:rPr>
                <w:b/>
                <w:kern w:val="0"/>
                <w:sz w:val="21"/>
                <w:szCs w:val="20"/>
              </w:rPr>
              <w:t xml:space="preserve">1-1  </w:t>
            </w:r>
            <w:r>
              <w:rPr>
                <w:rFonts w:hint="eastAsia"/>
                <w:b/>
                <w:kern w:val="0"/>
                <w:sz w:val="21"/>
                <w:szCs w:val="20"/>
              </w:rPr>
              <w:t>与新疆维吾尔自治区“生态环境分区管控”符合性分析</w:t>
            </w:r>
            <w:r>
              <w:rPr>
                <w:rFonts w:cs="Times New Roman" w:hint="eastAsia"/>
                <w:b/>
                <w:kern w:val="0"/>
                <w:sz w:val="21"/>
                <w:szCs w:val="20"/>
              </w:rPr>
              <w:t>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80"/>
              <w:gridCol w:w="400"/>
              <w:gridCol w:w="3357"/>
              <w:gridCol w:w="2121"/>
              <w:gridCol w:w="456"/>
            </w:tblGrid>
            <w:tr w:rsidR="003C4F46" w14:paraId="7711A2D0" w14:textId="77777777">
              <w:trPr>
                <w:trHeight w:val="397"/>
                <w:jc w:val="center"/>
              </w:trPr>
              <w:tc>
                <w:tcPr>
                  <w:tcW w:w="539" w:type="pct"/>
                  <w:vAlign w:val="center"/>
                </w:tcPr>
                <w:p w14:paraId="260DBD19"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名称</w:t>
                  </w:r>
                </w:p>
              </w:tc>
              <w:tc>
                <w:tcPr>
                  <w:tcW w:w="2786" w:type="pct"/>
                  <w:gridSpan w:val="2"/>
                  <w:vAlign w:val="center"/>
                </w:tcPr>
                <w:p w14:paraId="781C352E"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文件要求</w:t>
                  </w:r>
                </w:p>
              </w:tc>
              <w:tc>
                <w:tcPr>
                  <w:tcW w:w="1296" w:type="pct"/>
                  <w:vAlign w:val="center"/>
                </w:tcPr>
                <w:p w14:paraId="6D312264"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本项目</w:t>
                  </w:r>
                </w:p>
              </w:tc>
              <w:tc>
                <w:tcPr>
                  <w:tcW w:w="380" w:type="pct"/>
                  <w:vAlign w:val="center"/>
                </w:tcPr>
                <w:p w14:paraId="110139C3"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符合性</w:t>
                  </w:r>
                </w:p>
              </w:tc>
            </w:tr>
            <w:tr w:rsidR="003C4F46" w14:paraId="28E55AEE" w14:textId="77777777">
              <w:trPr>
                <w:trHeight w:val="397"/>
                <w:jc w:val="center"/>
              </w:trPr>
              <w:tc>
                <w:tcPr>
                  <w:tcW w:w="539" w:type="pct"/>
                  <w:vMerge w:val="restart"/>
                  <w:vAlign w:val="center"/>
                </w:tcPr>
                <w:p w14:paraId="7A9FEF82" w14:textId="2F51C1C7" w:rsidR="003C4F46" w:rsidRDefault="004B6A81" w:rsidP="008806ED">
                  <w:pPr>
                    <w:spacing w:line="240" w:lineRule="auto"/>
                    <w:ind w:firstLineChars="0" w:firstLine="0"/>
                    <w:contextualSpacing/>
                    <w:rPr>
                      <w:rFonts w:cs="Times New Roman"/>
                      <w:sz w:val="21"/>
                      <w:szCs w:val="21"/>
                    </w:rPr>
                  </w:pPr>
                  <w:r>
                    <w:rPr>
                      <w:rFonts w:hint="eastAsia"/>
                      <w:sz w:val="21"/>
                      <w:szCs w:val="21"/>
                    </w:rPr>
                    <w:lastRenderedPageBreak/>
                    <w:t>《新疆维吾尔自治区“生态环境分区管控”方案》</w:t>
                  </w:r>
                </w:p>
              </w:tc>
              <w:tc>
                <w:tcPr>
                  <w:tcW w:w="339" w:type="pct"/>
                  <w:vAlign w:val="center"/>
                </w:tcPr>
                <w:p w14:paraId="64B4486F"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生态保护红线</w:t>
                  </w:r>
                </w:p>
              </w:tc>
              <w:tc>
                <w:tcPr>
                  <w:tcW w:w="2446" w:type="pct"/>
                  <w:vAlign w:val="center"/>
                </w:tcPr>
                <w:p w14:paraId="734BAE0D"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按照“生态功能不降低、面积不减少、性质不改变”的基本要求，对划定的生态保护红线实施严格管控，保障和维护国家生态安全的底线和生命线</w:t>
                  </w:r>
                </w:p>
              </w:tc>
              <w:tc>
                <w:tcPr>
                  <w:tcW w:w="1296" w:type="pct"/>
                  <w:vAlign w:val="center"/>
                </w:tcPr>
                <w:p w14:paraId="39611FDC"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本项目不在生态保护红线范围内</w:t>
                  </w:r>
                </w:p>
              </w:tc>
              <w:tc>
                <w:tcPr>
                  <w:tcW w:w="380" w:type="pct"/>
                  <w:vAlign w:val="center"/>
                </w:tcPr>
                <w:p w14:paraId="5E100D91"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符合</w:t>
                  </w:r>
                </w:p>
              </w:tc>
            </w:tr>
            <w:tr w:rsidR="003C4F46" w14:paraId="3CBA3238" w14:textId="77777777">
              <w:trPr>
                <w:trHeight w:val="397"/>
                <w:jc w:val="center"/>
              </w:trPr>
              <w:tc>
                <w:tcPr>
                  <w:tcW w:w="539" w:type="pct"/>
                  <w:vMerge/>
                  <w:vAlign w:val="center"/>
                </w:tcPr>
                <w:p w14:paraId="01DE1B7B" w14:textId="77777777" w:rsidR="003C4F46" w:rsidRDefault="003C4F46">
                  <w:pPr>
                    <w:spacing w:line="240" w:lineRule="auto"/>
                    <w:ind w:firstLineChars="0" w:firstLine="0"/>
                    <w:contextualSpacing/>
                    <w:jc w:val="center"/>
                    <w:rPr>
                      <w:rFonts w:cs="Times New Roman"/>
                      <w:sz w:val="21"/>
                      <w:szCs w:val="21"/>
                    </w:rPr>
                  </w:pPr>
                </w:p>
              </w:tc>
              <w:tc>
                <w:tcPr>
                  <w:tcW w:w="339" w:type="pct"/>
                  <w:vAlign w:val="center"/>
                </w:tcPr>
                <w:p w14:paraId="40D0E7F2"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环境质量底线</w:t>
                  </w:r>
                </w:p>
              </w:tc>
              <w:tc>
                <w:tcPr>
                  <w:tcW w:w="2446" w:type="pct"/>
                  <w:vAlign w:val="center"/>
                </w:tcPr>
                <w:p w14:paraId="295EF37A"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296" w:type="pct"/>
                  <w:vAlign w:val="center"/>
                </w:tcPr>
                <w:p w14:paraId="3AAF6184" w14:textId="0BD3F09C" w:rsidR="003C4F46" w:rsidRDefault="00517934">
                  <w:pPr>
                    <w:spacing w:line="240" w:lineRule="auto"/>
                    <w:ind w:firstLineChars="0" w:firstLine="0"/>
                    <w:contextualSpacing/>
                    <w:rPr>
                      <w:rFonts w:cs="Times New Roman"/>
                      <w:sz w:val="21"/>
                      <w:szCs w:val="21"/>
                    </w:rPr>
                  </w:pPr>
                  <w:r w:rsidRPr="00517934">
                    <w:rPr>
                      <w:rFonts w:cs="Times New Roman" w:hint="eastAsia"/>
                      <w:sz w:val="21"/>
                      <w:szCs w:val="21"/>
                    </w:rPr>
                    <w:t>本项目运营期废气主要为</w:t>
                  </w:r>
                  <w:r w:rsidR="00744D0C">
                    <w:rPr>
                      <w:rFonts w:cs="Times New Roman" w:hint="eastAsia"/>
                      <w:sz w:val="21"/>
                      <w:szCs w:val="21"/>
                    </w:rPr>
                    <w:t>危险废物</w:t>
                  </w:r>
                  <w:r w:rsidRPr="00517934">
                    <w:rPr>
                      <w:rFonts w:cs="Times New Roman" w:hint="eastAsia"/>
                      <w:sz w:val="21"/>
                      <w:szCs w:val="21"/>
                    </w:rPr>
                    <w:t>贮存库废气和储罐呼吸废气。</w:t>
                  </w:r>
                  <w:r w:rsidR="00744D0C">
                    <w:rPr>
                      <w:rFonts w:cs="Times New Roman" w:hint="eastAsia"/>
                      <w:sz w:val="21"/>
                      <w:szCs w:val="21"/>
                    </w:rPr>
                    <w:t>危险废物</w:t>
                  </w:r>
                  <w:r w:rsidRPr="00517934">
                    <w:rPr>
                      <w:rFonts w:cs="Times New Roman" w:hint="eastAsia"/>
                      <w:sz w:val="21"/>
                      <w:szCs w:val="21"/>
                    </w:rPr>
                    <w:t>采用密封容器盛装，贮存库废气经负压收集后，先经碱液喷淋塔预处理去除硫酸雾，再依托现有二级活性炭吸附装置处理，尾气通过</w:t>
                  </w:r>
                  <w:r w:rsidRPr="00517934">
                    <w:rPr>
                      <w:rFonts w:cs="Times New Roman" w:hint="eastAsia"/>
                      <w:sz w:val="21"/>
                      <w:szCs w:val="21"/>
                    </w:rPr>
                    <w:t>15m</w:t>
                  </w:r>
                  <w:r w:rsidRPr="00517934">
                    <w:rPr>
                      <w:rFonts w:cs="Times New Roman" w:hint="eastAsia"/>
                      <w:sz w:val="21"/>
                      <w:szCs w:val="21"/>
                    </w:rPr>
                    <w:t>高排气筒（</w:t>
                  </w:r>
                  <w:r w:rsidRPr="00517934">
                    <w:rPr>
                      <w:rFonts w:cs="Times New Roman" w:hint="eastAsia"/>
                      <w:sz w:val="21"/>
                      <w:szCs w:val="21"/>
                    </w:rPr>
                    <w:t>DA005</w:t>
                  </w:r>
                  <w:r w:rsidRPr="00517934">
                    <w:rPr>
                      <w:rFonts w:cs="Times New Roman" w:hint="eastAsia"/>
                      <w:sz w:val="21"/>
                      <w:szCs w:val="21"/>
                    </w:rPr>
                    <w:t>）排放；储罐外壁涂刷白色防腐涂料以降低温差变化，设置带阻火器的呼吸阀，采用气相连通系统，装车采取浸没式、密闭方式以减少呼吸废气排放</w:t>
                  </w:r>
                  <w:r w:rsidR="004B6A81">
                    <w:rPr>
                      <w:rFonts w:cs="Times New Roman" w:hint="eastAsia"/>
                      <w:sz w:val="21"/>
                      <w:szCs w:val="21"/>
                    </w:rPr>
                    <w:t>。</w:t>
                  </w:r>
                  <w:r w:rsidRPr="00517934">
                    <w:rPr>
                      <w:rFonts w:cs="Times New Roman" w:hint="eastAsia"/>
                      <w:sz w:val="21"/>
                      <w:szCs w:val="21"/>
                    </w:rPr>
                    <w:t>碱液喷淋废液经中和后循环使用，反应饱和后排入厂区污水处理站处理；生活污水排入园区管网由园区污水处理</w:t>
                  </w:r>
                  <w:r w:rsidR="008806ED">
                    <w:rPr>
                      <w:rFonts w:cs="Times New Roman" w:hint="eastAsia"/>
                      <w:sz w:val="21"/>
                      <w:szCs w:val="21"/>
                    </w:rPr>
                    <w:t>厂</w:t>
                  </w:r>
                  <w:r w:rsidRPr="00517934">
                    <w:rPr>
                      <w:rFonts w:cs="Times New Roman" w:hint="eastAsia"/>
                      <w:sz w:val="21"/>
                      <w:szCs w:val="21"/>
                    </w:rPr>
                    <w:t>处理；事故冲洗废水作危废交有资质单位处置，不外排</w:t>
                  </w:r>
                  <w:r w:rsidR="004B6A81">
                    <w:rPr>
                      <w:rFonts w:cs="Times New Roman" w:hint="eastAsia"/>
                      <w:sz w:val="21"/>
                      <w:szCs w:val="21"/>
                    </w:rPr>
                    <w:t>。生活垃圾由环卫部门清运，危险废物与本项目其他</w:t>
                  </w:r>
                  <w:r w:rsidR="00744D0C">
                    <w:rPr>
                      <w:rFonts w:cs="Times New Roman" w:hint="eastAsia"/>
                      <w:sz w:val="21"/>
                      <w:szCs w:val="21"/>
                    </w:rPr>
                    <w:t>危险废物</w:t>
                  </w:r>
                  <w:r w:rsidR="004B6A81">
                    <w:rPr>
                      <w:rFonts w:cs="Times New Roman" w:hint="eastAsia"/>
                      <w:sz w:val="21"/>
                      <w:szCs w:val="21"/>
                    </w:rPr>
                    <w:t>一并</w:t>
                  </w:r>
                  <w:r w:rsidR="00744D0C">
                    <w:rPr>
                      <w:rFonts w:cs="Times New Roman" w:hint="eastAsia"/>
                      <w:sz w:val="21"/>
                      <w:szCs w:val="21"/>
                    </w:rPr>
                    <w:t>贮存</w:t>
                  </w:r>
                  <w:r w:rsidR="004B6A81">
                    <w:rPr>
                      <w:rFonts w:cs="Times New Roman" w:hint="eastAsia"/>
                      <w:sz w:val="21"/>
                      <w:szCs w:val="21"/>
                    </w:rPr>
                    <w:t>、委托处置。</w:t>
                  </w:r>
                  <w:r w:rsidR="009C4C8C" w:rsidRPr="009C4C8C">
                    <w:rPr>
                      <w:rFonts w:cs="Times New Roman" w:hint="eastAsia"/>
                      <w:sz w:val="21"/>
                      <w:szCs w:val="21"/>
                    </w:rPr>
                    <w:t>在采取上述治理措施并落实环境风险应急预案的前提下，项目环境风险可控；正常工况下，项目不会对土壤环境造成明显不利影响</w:t>
                  </w:r>
                </w:p>
              </w:tc>
              <w:tc>
                <w:tcPr>
                  <w:tcW w:w="380" w:type="pct"/>
                  <w:vAlign w:val="center"/>
                </w:tcPr>
                <w:p w14:paraId="753CE8C1"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符合</w:t>
                  </w:r>
                </w:p>
              </w:tc>
            </w:tr>
            <w:tr w:rsidR="003C4F46" w14:paraId="70BA32BC" w14:textId="77777777">
              <w:trPr>
                <w:trHeight w:val="397"/>
                <w:jc w:val="center"/>
              </w:trPr>
              <w:tc>
                <w:tcPr>
                  <w:tcW w:w="539" w:type="pct"/>
                  <w:vMerge/>
                  <w:vAlign w:val="center"/>
                </w:tcPr>
                <w:p w14:paraId="4E255CCB" w14:textId="77777777" w:rsidR="003C4F46" w:rsidRDefault="003C4F46">
                  <w:pPr>
                    <w:spacing w:line="240" w:lineRule="auto"/>
                    <w:ind w:firstLineChars="0" w:firstLine="0"/>
                    <w:contextualSpacing/>
                    <w:jc w:val="center"/>
                    <w:rPr>
                      <w:rFonts w:cs="Times New Roman"/>
                      <w:sz w:val="21"/>
                      <w:szCs w:val="21"/>
                    </w:rPr>
                  </w:pPr>
                </w:p>
              </w:tc>
              <w:tc>
                <w:tcPr>
                  <w:tcW w:w="339" w:type="pct"/>
                  <w:vAlign w:val="center"/>
                </w:tcPr>
                <w:p w14:paraId="0A65B868"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资</w:t>
                  </w:r>
                  <w:r>
                    <w:rPr>
                      <w:rFonts w:cs="Times New Roman" w:hint="eastAsia"/>
                      <w:sz w:val="21"/>
                      <w:szCs w:val="21"/>
                    </w:rPr>
                    <w:lastRenderedPageBreak/>
                    <w:t>源利用上线</w:t>
                  </w:r>
                </w:p>
              </w:tc>
              <w:tc>
                <w:tcPr>
                  <w:tcW w:w="2446" w:type="pct"/>
                  <w:vAlign w:val="center"/>
                </w:tcPr>
                <w:p w14:paraId="7B602D64"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lastRenderedPageBreak/>
                    <w:t>强化节约集约利用，持续提升资源</w:t>
                  </w:r>
                  <w:r>
                    <w:rPr>
                      <w:rFonts w:cs="Times New Roman" w:hint="eastAsia"/>
                      <w:sz w:val="21"/>
                      <w:szCs w:val="21"/>
                    </w:rPr>
                    <w:lastRenderedPageBreak/>
                    <w:t>能源利用效率，水资源、土地资源、能源消耗等达到国家、自治区下达的总量和强度控制目标</w:t>
                  </w:r>
                </w:p>
              </w:tc>
              <w:tc>
                <w:tcPr>
                  <w:tcW w:w="1296" w:type="pct"/>
                  <w:vAlign w:val="center"/>
                </w:tcPr>
                <w:p w14:paraId="33BA5DB3" w14:textId="06D71CC5" w:rsidR="003C4F46" w:rsidRDefault="004B6A81">
                  <w:pPr>
                    <w:spacing w:line="240" w:lineRule="auto"/>
                    <w:ind w:firstLineChars="0" w:firstLine="0"/>
                    <w:contextualSpacing/>
                    <w:rPr>
                      <w:rFonts w:cs="Times New Roman"/>
                      <w:sz w:val="21"/>
                      <w:szCs w:val="21"/>
                    </w:rPr>
                  </w:pPr>
                  <w:r>
                    <w:rPr>
                      <w:rFonts w:cs="Times New Roman" w:hint="eastAsia"/>
                      <w:sz w:val="21"/>
                      <w:szCs w:val="21"/>
                    </w:rPr>
                    <w:lastRenderedPageBreak/>
                    <w:t>本项目不新增占地。项</w:t>
                  </w:r>
                  <w:r>
                    <w:rPr>
                      <w:rFonts w:cs="Times New Roman" w:hint="eastAsia"/>
                      <w:sz w:val="21"/>
                      <w:szCs w:val="21"/>
                    </w:rPr>
                    <w:lastRenderedPageBreak/>
                    <w:t>目综合能耗均在园区分配的指标范围内，可满足国家和自治区对资源能源消耗总量及强度控制目标的要求</w:t>
                  </w:r>
                </w:p>
              </w:tc>
              <w:tc>
                <w:tcPr>
                  <w:tcW w:w="380" w:type="pct"/>
                  <w:vAlign w:val="center"/>
                </w:tcPr>
                <w:p w14:paraId="0FA965FC"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lastRenderedPageBreak/>
                    <w:t>符</w:t>
                  </w:r>
                  <w:r>
                    <w:rPr>
                      <w:rFonts w:cs="Times New Roman" w:hint="eastAsia"/>
                      <w:sz w:val="21"/>
                      <w:szCs w:val="21"/>
                    </w:rPr>
                    <w:lastRenderedPageBreak/>
                    <w:t>合</w:t>
                  </w:r>
                </w:p>
              </w:tc>
            </w:tr>
            <w:tr w:rsidR="003C4F46" w14:paraId="26605484" w14:textId="77777777">
              <w:trPr>
                <w:trHeight w:val="397"/>
                <w:jc w:val="center"/>
              </w:trPr>
              <w:tc>
                <w:tcPr>
                  <w:tcW w:w="539" w:type="pct"/>
                  <w:vMerge/>
                  <w:vAlign w:val="center"/>
                </w:tcPr>
                <w:p w14:paraId="32394D5C" w14:textId="77777777" w:rsidR="003C4F46" w:rsidRDefault="003C4F46">
                  <w:pPr>
                    <w:spacing w:line="240" w:lineRule="auto"/>
                    <w:ind w:firstLineChars="0" w:firstLine="0"/>
                    <w:contextualSpacing/>
                    <w:jc w:val="center"/>
                    <w:rPr>
                      <w:rFonts w:cs="Times New Roman"/>
                      <w:sz w:val="21"/>
                      <w:szCs w:val="21"/>
                    </w:rPr>
                  </w:pPr>
                </w:p>
              </w:tc>
              <w:tc>
                <w:tcPr>
                  <w:tcW w:w="339" w:type="pct"/>
                  <w:vAlign w:val="center"/>
                </w:tcPr>
                <w:p w14:paraId="5B598E06"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环境管控单元</w:t>
                  </w:r>
                </w:p>
              </w:tc>
              <w:tc>
                <w:tcPr>
                  <w:tcW w:w="2446" w:type="pct"/>
                  <w:vAlign w:val="center"/>
                </w:tcPr>
                <w:p w14:paraId="15AA6096" w14:textId="77777777" w:rsidR="003C4F46" w:rsidRDefault="004B6A81">
                  <w:pPr>
                    <w:adjustRightInd w:val="0"/>
                    <w:spacing w:line="240" w:lineRule="auto"/>
                    <w:ind w:firstLineChars="0" w:firstLine="0"/>
                    <w:rPr>
                      <w:rFonts w:cs="Times New Roman"/>
                      <w:sz w:val="21"/>
                      <w:szCs w:val="21"/>
                    </w:rPr>
                  </w:pPr>
                  <w:r>
                    <w:rPr>
                      <w:rFonts w:cs="Times New Roman" w:hint="eastAsia"/>
                      <w:sz w:val="21"/>
                      <w:szCs w:val="21"/>
                    </w:rPr>
                    <w:t>自治区共划定</w:t>
                  </w:r>
                  <w:r>
                    <w:rPr>
                      <w:rFonts w:cs="Times New Roman" w:hint="eastAsia"/>
                      <w:sz w:val="21"/>
                      <w:szCs w:val="21"/>
                    </w:rPr>
                    <w:t>1777</w:t>
                  </w:r>
                  <w:r>
                    <w:rPr>
                      <w:rFonts w:cs="Times New Roman" w:hint="eastAsia"/>
                      <w:sz w:val="21"/>
                      <w:szCs w:val="21"/>
                    </w:rPr>
                    <w:t>个环境管控单元，分为优先保护单元、重点管控单元和一般管控单元三类，实施分类管控。</w:t>
                  </w:r>
                </w:p>
                <w:p w14:paraId="44481D41" w14:textId="77777777" w:rsidR="003C4F46" w:rsidRDefault="004B6A81">
                  <w:pPr>
                    <w:adjustRightInd w:val="0"/>
                    <w:spacing w:line="240" w:lineRule="auto"/>
                    <w:ind w:firstLineChars="0" w:firstLine="0"/>
                    <w:rPr>
                      <w:rFonts w:cs="Times New Roman"/>
                      <w:sz w:val="21"/>
                      <w:szCs w:val="21"/>
                    </w:rPr>
                  </w:pPr>
                  <w:r>
                    <w:rPr>
                      <w:rFonts w:cs="Times New Roman" w:hint="eastAsia"/>
                      <w:sz w:val="21"/>
                      <w:szCs w:val="21"/>
                    </w:rPr>
                    <w:t>优先保护单元</w:t>
                  </w:r>
                  <w:r>
                    <w:rPr>
                      <w:rFonts w:cs="Times New Roman" w:hint="eastAsia"/>
                      <w:sz w:val="21"/>
                      <w:szCs w:val="21"/>
                    </w:rPr>
                    <w:t>925</w:t>
                  </w:r>
                  <w:r>
                    <w:rPr>
                      <w:rFonts w:cs="Times New Roman" w:hint="eastAsia"/>
                      <w:sz w:val="21"/>
                      <w:szCs w:val="21"/>
                    </w:rPr>
                    <w:t>个，主要包括生态保护红线区和生态保护红线区以外的饮用水水源保护区、水源涵养区、防风固沙区、土地沙化防控区、水土流失防控区等一般生态空间管控区。生态保护红线区执行生态保护红线管理办法的有关要求；一般生态空间管控区应以生态环境保护优先为原则，开发建设活动应严格执行相关法律、法规要求，严守生态环境质量底线，确保生态功能不降低。</w:t>
                  </w:r>
                </w:p>
                <w:p w14:paraId="1D971A63" w14:textId="77777777" w:rsidR="003C4F46" w:rsidRDefault="004B6A81">
                  <w:pPr>
                    <w:adjustRightInd w:val="0"/>
                    <w:spacing w:line="240" w:lineRule="auto"/>
                    <w:ind w:firstLineChars="0" w:firstLine="0"/>
                    <w:rPr>
                      <w:rFonts w:cs="Times New Roman"/>
                      <w:sz w:val="21"/>
                      <w:szCs w:val="21"/>
                    </w:rPr>
                  </w:pPr>
                  <w:r>
                    <w:rPr>
                      <w:rFonts w:cs="Times New Roman" w:hint="eastAsia"/>
                      <w:sz w:val="21"/>
                      <w:szCs w:val="21"/>
                    </w:rPr>
                    <w:t>重点管控单元</w:t>
                  </w:r>
                  <w:r>
                    <w:rPr>
                      <w:rFonts w:cs="Times New Roman" w:hint="eastAsia"/>
                      <w:sz w:val="21"/>
                      <w:szCs w:val="21"/>
                    </w:rPr>
                    <w:t>713</w:t>
                  </w:r>
                  <w:r>
                    <w:rPr>
                      <w:rFonts w:cs="Times New Roman" w:hint="eastAsia"/>
                      <w:sz w:val="21"/>
                      <w:szCs w:val="21"/>
                    </w:rPr>
                    <w:t>个，主要包括城镇建成区、工业园区和开发强度大、污染物排放强度高的工业聚集区等。重点管控单元要着力优化空间布局，不断提升资源利用效率，有针对性地加强污染物排放管控和环境风险管控，解决生态环境质量不达标、生态环境风险高等问题。</w:t>
                  </w:r>
                </w:p>
                <w:p w14:paraId="48DBFE4A" w14:textId="77777777" w:rsidR="003C4F46" w:rsidRDefault="004B6A81">
                  <w:pPr>
                    <w:spacing w:line="240" w:lineRule="auto"/>
                    <w:ind w:firstLineChars="0" w:firstLine="0"/>
                    <w:contextualSpacing/>
                    <w:rPr>
                      <w:rFonts w:cs="Times New Roman"/>
                      <w:sz w:val="21"/>
                      <w:szCs w:val="21"/>
                    </w:rPr>
                  </w:pPr>
                  <w:r>
                    <w:rPr>
                      <w:rFonts w:cs="Times New Roman" w:hint="eastAsia"/>
                      <w:sz w:val="21"/>
                      <w:szCs w:val="21"/>
                    </w:rPr>
                    <w:t>一般管控单元</w:t>
                  </w:r>
                  <w:r>
                    <w:rPr>
                      <w:rFonts w:cs="Times New Roman" w:hint="eastAsia"/>
                      <w:sz w:val="21"/>
                      <w:szCs w:val="21"/>
                    </w:rPr>
                    <w:t>139</w:t>
                  </w:r>
                  <w:r>
                    <w:rPr>
                      <w:rFonts w:cs="Times New Roman" w:hint="eastAsia"/>
                      <w:sz w:val="21"/>
                      <w:szCs w:val="21"/>
                    </w:rPr>
                    <w:t>个，主要包括优先保护单元和重点管控单元之外的其它区域。一般管控单元主要落实生态环境保护基本要求，推动区域环境质量持续改善。</w:t>
                  </w:r>
                </w:p>
              </w:tc>
              <w:tc>
                <w:tcPr>
                  <w:tcW w:w="1296" w:type="pct"/>
                  <w:vAlign w:val="center"/>
                </w:tcPr>
                <w:p w14:paraId="3AB72ACF" w14:textId="77777777" w:rsidR="003C4F46" w:rsidRDefault="004B6A81">
                  <w:pPr>
                    <w:spacing w:line="240" w:lineRule="auto"/>
                    <w:ind w:firstLineChars="0" w:firstLine="0"/>
                    <w:contextualSpacing/>
                    <w:rPr>
                      <w:rFonts w:cs="Times New Roman"/>
                      <w:sz w:val="21"/>
                      <w:szCs w:val="21"/>
                    </w:rPr>
                  </w:pPr>
                  <w:r>
                    <w:rPr>
                      <w:rFonts w:cs="Times New Roman" w:hint="eastAsia"/>
                      <w:sz w:val="21"/>
                      <w:szCs w:val="21"/>
                    </w:rPr>
                    <w:t>本项目位于轮台工业园区</w:t>
                  </w:r>
                  <w:r>
                    <w:rPr>
                      <w:rFonts w:cs="Times New Roman" w:hint="eastAsia"/>
                      <w:sz w:val="21"/>
                      <w:szCs w:val="21"/>
                    </w:rPr>
                    <w:t>-</w:t>
                  </w:r>
                  <w:r>
                    <w:rPr>
                      <w:rFonts w:cs="Times New Roman" w:hint="eastAsia"/>
                      <w:sz w:val="21"/>
                      <w:szCs w:val="21"/>
                    </w:rPr>
                    <w:t>重点管控单元（</w:t>
                  </w:r>
                  <w:r>
                    <w:rPr>
                      <w:rFonts w:cs="Times New Roman" w:hint="eastAsia"/>
                      <w:sz w:val="21"/>
                      <w:szCs w:val="21"/>
                    </w:rPr>
                    <w:t>ZH65282220004</w:t>
                  </w:r>
                  <w:r>
                    <w:rPr>
                      <w:rFonts w:cs="Times New Roman" w:hint="eastAsia"/>
                      <w:sz w:val="21"/>
                      <w:szCs w:val="21"/>
                    </w:rPr>
                    <w:t>），项目建设坚持生态优先原则，在建设过程中严格执行国家及地方相关法律法规，严守生态环境质量底线，确保区域生态功能不降低；通过落实完善的污染防治和环境风险防控措施，各类污染物可实现达标排放，项目实施后的环境风险处于可控范围</w:t>
                  </w:r>
                </w:p>
              </w:tc>
              <w:tc>
                <w:tcPr>
                  <w:tcW w:w="380" w:type="pct"/>
                  <w:vAlign w:val="center"/>
                </w:tcPr>
                <w:p w14:paraId="1FF21D72" w14:textId="77777777" w:rsidR="003C4F46" w:rsidRDefault="004B6A81">
                  <w:pPr>
                    <w:spacing w:line="240" w:lineRule="auto"/>
                    <w:ind w:firstLineChars="0" w:firstLine="0"/>
                    <w:contextualSpacing/>
                    <w:jc w:val="center"/>
                    <w:rPr>
                      <w:rFonts w:cs="Times New Roman"/>
                      <w:sz w:val="21"/>
                      <w:szCs w:val="21"/>
                    </w:rPr>
                  </w:pPr>
                  <w:r>
                    <w:rPr>
                      <w:rFonts w:cs="Times New Roman" w:hint="eastAsia"/>
                      <w:sz w:val="21"/>
                      <w:szCs w:val="21"/>
                    </w:rPr>
                    <w:t>符合</w:t>
                  </w:r>
                </w:p>
              </w:tc>
            </w:tr>
          </w:tbl>
          <w:p w14:paraId="589704F9" w14:textId="77777777" w:rsidR="003C4F46" w:rsidRDefault="004B6A81">
            <w:pPr>
              <w:autoSpaceDE w:val="0"/>
              <w:autoSpaceDN w:val="0"/>
              <w:adjustRightInd w:val="0"/>
              <w:ind w:firstLineChars="0" w:firstLine="0"/>
              <w:rPr>
                <w:b/>
                <w:bCs/>
              </w:rPr>
            </w:pPr>
            <w:r>
              <w:rPr>
                <w:rFonts w:hint="eastAsia"/>
                <w:b/>
                <w:bCs/>
              </w:rPr>
              <w:t>4.</w:t>
            </w:r>
            <w:r>
              <w:rPr>
                <w:rFonts w:hint="eastAsia"/>
                <w:b/>
                <w:bCs/>
              </w:rPr>
              <w:t>本项目与《关于印发〈新疆维吾尔自治区七大片区生态环境分区管控要求〉（</w:t>
            </w:r>
            <w:r>
              <w:rPr>
                <w:rFonts w:hint="eastAsia"/>
                <w:b/>
                <w:bCs/>
              </w:rPr>
              <w:t>2021</w:t>
            </w:r>
            <w:r>
              <w:rPr>
                <w:rFonts w:hint="eastAsia"/>
                <w:b/>
                <w:bCs/>
              </w:rPr>
              <w:t>年版）的通知》（新环环评发〔</w:t>
            </w:r>
            <w:r>
              <w:rPr>
                <w:rFonts w:hint="eastAsia"/>
                <w:b/>
                <w:bCs/>
              </w:rPr>
              <w:t>2021</w:t>
            </w:r>
            <w:r>
              <w:rPr>
                <w:rFonts w:hint="eastAsia"/>
                <w:b/>
                <w:bCs/>
              </w:rPr>
              <w:t>〕</w:t>
            </w:r>
            <w:r>
              <w:rPr>
                <w:rFonts w:hint="eastAsia"/>
                <w:b/>
                <w:bCs/>
              </w:rPr>
              <w:t>162</w:t>
            </w:r>
            <w:r>
              <w:rPr>
                <w:rFonts w:hint="eastAsia"/>
                <w:b/>
                <w:bCs/>
              </w:rPr>
              <w:t>号）符合性分析</w:t>
            </w:r>
          </w:p>
          <w:p w14:paraId="34A6A710" w14:textId="77777777" w:rsidR="003C4F46" w:rsidRDefault="004B6A81">
            <w:pPr>
              <w:autoSpaceDE w:val="0"/>
              <w:autoSpaceDN w:val="0"/>
              <w:adjustRightInd w:val="0"/>
              <w:ind w:firstLine="480"/>
              <w:rPr>
                <w:b/>
                <w:bCs/>
              </w:rPr>
            </w:pPr>
            <w:r>
              <w:rPr>
                <w:rFonts w:hint="eastAsia"/>
              </w:rPr>
              <w:t>本项目位于轮台县，属于天山南坡片区，本项目与“天山南坡片区总体管控要求”符合性分析见表</w:t>
            </w:r>
            <w:r>
              <w:rPr>
                <w:rFonts w:hint="eastAsia"/>
              </w:rPr>
              <w:t>1-</w:t>
            </w:r>
            <w:r>
              <w:t>2</w:t>
            </w:r>
            <w:r>
              <w:rPr>
                <w:rFonts w:hint="eastAsia"/>
              </w:rPr>
              <w:t>。</w:t>
            </w:r>
          </w:p>
          <w:p w14:paraId="7863EC26" w14:textId="2E7634FE" w:rsidR="003C4F46" w:rsidRDefault="004B6A81">
            <w:pPr>
              <w:adjustRightInd w:val="0"/>
              <w:spacing w:beforeLines="50" w:before="163" w:line="240" w:lineRule="auto"/>
              <w:ind w:firstLineChars="0" w:firstLine="0"/>
              <w:jc w:val="center"/>
              <w:textAlignment w:val="baseline"/>
              <w:rPr>
                <w:rFonts w:cs="Times New Roman"/>
                <w:b/>
                <w:kern w:val="0"/>
                <w:sz w:val="21"/>
                <w:szCs w:val="20"/>
              </w:rPr>
            </w:pPr>
            <w:r>
              <w:rPr>
                <w:rFonts w:cs="Times New Roman" w:hint="eastAsia"/>
                <w:b/>
                <w:kern w:val="0"/>
                <w:sz w:val="21"/>
                <w:szCs w:val="20"/>
              </w:rPr>
              <w:t>表</w:t>
            </w:r>
            <w:r>
              <w:rPr>
                <w:rFonts w:cs="Times New Roman"/>
                <w:b/>
                <w:kern w:val="0"/>
                <w:sz w:val="21"/>
                <w:szCs w:val="20"/>
              </w:rPr>
              <w:t xml:space="preserve">1-2  </w:t>
            </w:r>
            <w:r>
              <w:rPr>
                <w:rFonts w:cs="Times New Roman" w:hint="eastAsia"/>
                <w:b/>
                <w:kern w:val="0"/>
                <w:sz w:val="21"/>
                <w:szCs w:val="20"/>
              </w:rPr>
              <w:t>本项目与七大片</w:t>
            </w:r>
            <w:r w:rsidR="007258DB">
              <w:rPr>
                <w:rFonts w:cs="Times New Roman" w:hint="eastAsia"/>
                <w:b/>
                <w:kern w:val="0"/>
                <w:sz w:val="21"/>
                <w:szCs w:val="20"/>
              </w:rPr>
              <w:t>区</w:t>
            </w:r>
            <w:r>
              <w:rPr>
                <w:rFonts w:cs="Times New Roman" w:hint="eastAsia"/>
                <w:b/>
                <w:kern w:val="0"/>
                <w:sz w:val="21"/>
                <w:szCs w:val="20"/>
              </w:rPr>
              <w:t>天山南坡片区总体管控要求符合性分析一览表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6"/>
              <w:gridCol w:w="3644"/>
              <w:gridCol w:w="2353"/>
              <w:gridCol w:w="591"/>
            </w:tblGrid>
            <w:tr w:rsidR="003C4F46" w14:paraId="4546B025" w14:textId="77777777">
              <w:tc>
                <w:tcPr>
                  <w:tcW w:w="256" w:type="pct"/>
                  <w:vMerge w:val="restart"/>
                  <w:vAlign w:val="center"/>
                </w:tcPr>
                <w:p w14:paraId="2C6757C1"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lastRenderedPageBreak/>
                    <w:t>天山南坡片区总体管控要求</w:t>
                  </w:r>
                </w:p>
              </w:tc>
              <w:tc>
                <w:tcPr>
                  <w:tcW w:w="2614" w:type="pct"/>
                  <w:vAlign w:val="center"/>
                </w:tcPr>
                <w:p w14:paraId="139E5AF6"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管控要求</w:t>
                  </w:r>
                </w:p>
              </w:tc>
              <w:tc>
                <w:tcPr>
                  <w:tcW w:w="1693" w:type="pct"/>
                  <w:vAlign w:val="center"/>
                </w:tcPr>
                <w:p w14:paraId="3D144CA9"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本项目</w:t>
                  </w:r>
                </w:p>
              </w:tc>
              <w:tc>
                <w:tcPr>
                  <w:tcW w:w="437" w:type="pct"/>
                  <w:vAlign w:val="center"/>
                </w:tcPr>
                <w:p w14:paraId="4ECDB933"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符合性</w:t>
                  </w:r>
                </w:p>
              </w:tc>
            </w:tr>
            <w:tr w:rsidR="003C4F46" w14:paraId="0A3FCE0E" w14:textId="77777777">
              <w:tc>
                <w:tcPr>
                  <w:tcW w:w="256" w:type="pct"/>
                  <w:vMerge/>
                  <w:vAlign w:val="center"/>
                </w:tcPr>
                <w:p w14:paraId="43E05462" w14:textId="77777777" w:rsidR="003C4F46" w:rsidRDefault="003C4F46">
                  <w:pPr>
                    <w:widowControl/>
                    <w:spacing w:line="240" w:lineRule="auto"/>
                    <w:ind w:firstLineChars="0" w:firstLine="0"/>
                    <w:jc w:val="center"/>
                    <w:textAlignment w:val="auto"/>
                    <w:rPr>
                      <w:rFonts w:ascii="宋体" w:hAnsi="宋体" w:cs="Times New Roman"/>
                      <w:color w:val="000000"/>
                      <w:kern w:val="0"/>
                      <w:sz w:val="21"/>
                      <w:szCs w:val="21"/>
                    </w:rPr>
                  </w:pPr>
                </w:p>
              </w:tc>
              <w:tc>
                <w:tcPr>
                  <w:tcW w:w="2614" w:type="pct"/>
                  <w:vAlign w:val="center"/>
                </w:tcPr>
                <w:p w14:paraId="1011FE62" w14:textId="77777777" w:rsidR="003C4F46" w:rsidRDefault="004B6A81">
                  <w:pPr>
                    <w:spacing w:line="240" w:lineRule="auto"/>
                    <w:ind w:firstLineChars="0" w:firstLine="0"/>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切实保护托木尔峰和天山南坡中段冰雪水源及生物多样性保护生态功能区内的托木尔峰自然景观、高山冰川、野生动物、森林和草原，合理利用天然草地，稳步推进草原减牧，加强保护区管理，维护自然景观和生物多样性。</w:t>
                  </w:r>
                </w:p>
              </w:tc>
              <w:tc>
                <w:tcPr>
                  <w:tcW w:w="1693" w:type="pct"/>
                  <w:vAlign w:val="center"/>
                </w:tcPr>
                <w:p w14:paraId="1D58B3B8" w14:textId="77777777" w:rsidR="003C4F46" w:rsidRDefault="004B6A81">
                  <w:pPr>
                    <w:spacing w:line="240" w:lineRule="auto"/>
                    <w:ind w:firstLineChars="0" w:firstLine="0"/>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本项目不在托木尔峰和天山南坡中段冰雪水源及生物多样性保护生态功能区</w:t>
                  </w:r>
                </w:p>
              </w:tc>
              <w:tc>
                <w:tcPr>
                  <w:tcW w:w="437" w:type="pct"/>
                  <w:vAlign w:val="center"/>
                </w:tcPr>
                <w:p w14:paraId="6EF36392"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符合</w:t>
                  </w:r>
                </w:p>
              </w:tc>
            </w:tr>
            <w:tr w:rsidR="003C4F46" w14:paraId="05B8DA5F" w14:textId="77777777">
              <w:tc>
                <w:tcPr>
                  <w:tcW w:w="256" w:type="pct"/>
                  <w:vMerge/>
                  <w:vAlign w:val="center"/>
                </w:tcPr>
                <w:p w14:paraId="4CD0A5DC" w14:textId="77777777" w:rsidR="003C4F46" w:rsidRDefault="003C4F46">
                  <w:pPr>
                    <w:widowControl/>
                    <w:spacing w:line="240" w:lineRule="auto"/>
                    <w:ind w:firstLineChars="0" w:firstLine="0"/>
                    <w:jc w:val="center"/>
                    <w:textAlignment w:val="auto"/>
                    <w:rPr>
                      <w:rFonts w:ascii="宋体" w:hAnsi="宋体" w:cs="Times New Roman"/>
                      <w:color w:val="000000"/>
                      <w:kern w:val="0"/>
                      <w:sz w:val="21"/>
                      <w:szCs w:val="21"/>
                    </w:rPr>
                  </w:pPr>
                </w:p>
              </w:tc>
              <w:tc>
                <w:tcPr>
                  <w:tcW w:w="2614" w:type="pct"/>
                  <w:vAlign w:val="center"/>
                </w:tcPr>
                <w:p w14:paraId="7B77BA4A" w14:textId="77777777" w:rsidR="003C4F46" w:rsidRDefault="004B6A81">
                  <w:pPr>
                    <w:spacing w:line="240" w:lineRule="auto"/>
                    <w:ind w:firstLineChars="0" w:firstLine="0"/>
                    <w:textAlignment w:val="auto"/>
                    <w:rPr>
                      <w:rFonts w:ascii="宋体" w:hAnsi="宋体" w:cs="Times New Roman"/>
                      <w:color w:val="000000"/>
                      <w:kern w:val="0"/>
                      <w:sz w:val="21"/>
                      <w:szCs w:val="21"/>
                    </w:rPr>
                  </w:pPr>
                  <w:r>
                    <w:rPr>
                      <w:rFonts w:ascii="宋体" w:hAnsi="宋体" w:cs="Times New Roman" w:hint="eastAsia"/>
                      <w:snapToGrid w:val="0"/>
                      <w:color w:val="000000"/>
                      <w:kern w:val="0"/>
                      <w:sz w:val="21"/>
                      <w:szCs w:val="21"/>
                    </w:rPr>
                    <w:t>重点做好塔里木盆地北缘荒漠化防治。加强荒漠植被及河岸荒漠林保护，规范油气勘探开发作业，建立油田和公路扰动区域工程与生物相结合的防风固沙体系，逐步形成生态屏障。</w:t>
                  </w:r>
                </w:p>
              </w:tc>
              <w:tc>
                <w:tcPr>
                  <w:tcW w:w="1693" w:type="pct"/>
                  <w:vAlign w:val="center"/>
                </w:tcPr>
                <w:p w14:paraId="3B32B320"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snapToGrid w:val="0"/>
                      <w:color w:val="000000"/>
                      <w:kern w:val="0"/>
                      <w:sz w:val="21"/>
                      <w:szCs w:val="21"/>
                    </w:rPr>
                    <w:t>本项目不涉及油气勘探开发</w:t>
                  </w:r>
                </w:p>
              </w:tc>
              <w:tc>
                <w:tcPr>
                  <w:tcW w:w="437" w:type="pct"/>
                  <w:vAlign w:val="center"/>
                </w:tcPr>
                <w:p w14:paraId="230EB169"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符合</w:t>
                  </w:r>
                </w:p>
              </w:tc>
            </w:tr>
            <w:tr w:rsidR="003C4F46" w14:paraId="2D8F1A10" w14:textId="77777777">
              <w:tc>
                <w:tcPr>
                  <w:tcW w:w="256" w:type="pct"/>
                  <w:vMerge/>
                  <w:vAlign w:val="center"/>
                </w:tcPr>
                <w:p w14:paraId="1F9E1E18" w14:textId="77777777" w:rsidR="003C4F46" w:rsidRDefault="003C4F46">
                  <w:pPr>
                    <w:widowControl/>
                    <w:spacing w:line="240" w:lineRule="auto"/>
                    <w:ind w:firstLineChars="0" w:firstLine="0"/>
                    <w:jc w:val="center"/>
                    <w:textAlignment w:val="auto"/>
                    <w:rPr>
                      <w:rFonts w:ascii="宋体" w:hAnsi="宋体" w:cs="Times New Roman"/>
                      <w:color w:val="000000"/>
                      <w:kern w:val="0"/>
                      <w:sz w:val="21"/>
                      <w:szCs w:val="21"/>
                    </w:rPr>
                  </w:pPr>
                </w:p>
              </w:tc>
              <w:tc>
                <w:tcPr>
                  <w:tcW w:w="2614" w:type="pct"/>
                  <w:vAlign w:val="center"/>
                </w:tcPr>
                <w:p w14:paraId="0FF53F4F" w14:textId="77777777" w:rsidR="003C4F46" w:rsidRDefault="004B6A81">
                  <w:pPr>
                    <w:spacing w:line="240" w:lineRule="auto"/>
                    <w:ind w:firstLineChars="0" w:firstLine="0"/>
                    <w:textAlignment w:val="auto"/>
                    <w:rPr>
                      <w:rFonts w:ascii="宋体" w:hAnsi="宋体" w:cs="Times New Roman"/>
                      <w:snapToGrid w:val="0"/>
                      <w:color w:val="000000"/>
                      <w:kern w:val="0"/>
                      <w:sz w:val="21"/>
                      <w:szCs w:val="21"/>
                    </w:rPr>
                  </w:pPr>
                  <w:r>
                    <w:rPr>
                      <w:rFonts w:ascii="宋体" w:hAnsi="宋体" w:cs="Times New Roman" w:hint="eastAsia"/>
                      <w:snapToGrid w:val="0"/>
                      <w:color w:val="000000"/>
                      <w:kern w:val="0"/>
                      <w:sz w:val="21"/>
                      <w:szCs w:val="21"/>
                    </w:rPr>
                    <w:t>推进塔里木河流域用水结构调整，维护塔里木河、博斯腾湖基本生态用水</w:t>
                  </w:r>
                </w:p>
              </w:tc>
              <w:tc>
                <w:tcPr>
                  <w:tcW w:w="1693" w:type="pct"/>
                  <w:vAlign w:val="center"/>
                </w:tcPr>
                <w:p w14:paraId="4E8A8334" w14:textId="77777777" w:rsidR="003C4F46" w:rsidRDefault="004B6A81">
                  <w:pPr>
                    <w:spacing w:line="240" w:lineRule="auto"/>
                    <w:ind w:firstLineChars="0" w:firstLine="0"/>
                    <w:jc w:val="center"/>
                    <w:textAlignment w:val="auto"/>
                    <w:rPr>
                      <w:rFonts w:ascii="宋体" w:hAnsi="宋体" w:cs="Times New Roman"/>
                      <w:snapToGrid w:val="0"/>
                      <w:color w:val="000000"/>
                      <w:kern w:val="0"/>
                      <w:sz w:val="21"/>
                      <w:szCs w:val="21"/>
                    </w:rPr>
                  </w:pPr>
                  <w:r>
                    <w:rPr>
                      <w:rFonts w:ascii="宋体" w:hAnsi="宋体" w:cs="Times New Roman" w:hint="eastAsia"/>
                      <w:snapToGrid w:val="0"/>
                      <w:color w:val="000000"/>
                      <w:kern w:val="0"/>
                      <w:sz w:val="21"/>
                      <w:szCs w:val="21"/>
                    </w:rPr>
                    <w:t>本项目不涉及塔里木河、博斯腾湖生态用水</w:t>
                  </w:r>
                </w:p>
              </w:tc>
              <w:tc>
                <w:tcPr>
                  <w:tcW w:w="437" w:type="pct"/>
                  <w:vAlign w:val="center"/>
                </w:tcPr>
                <w:p w14:paraId="32D84300"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符合</w:t>
                  </w:r>
                </w:p>
              </w:tc>
            </w:tr>
            <w:tr w:rsidR="003C4F46" w14:paraId="027CB37E" w14:textId="77777777">
              <w:tc>
                <w:tcPr>
                  <w:tcW w:w="256" w:type="pct"/>
                  <w:vMerge/>
                  <w:vAlign w:val="center"/>
                </w:tcPr>
                <w:p w14:paraId="65E7A117" w14:textId="77777777" w:rsidR="003C4F46" w:rsidRDefault="003C4F46">
                  <w:pPr>
                    <w:widowControl/>
                    <w:spacing w:line="240" w:lineRule="auto"/>
                    <w:ind w:firstLineChars="0" w:firstLine="0"/>
                    <w:jc w:val="center"/>
                    <w:textAlignment w:val="auto"/>
                    <w:rPr>
                      <w:rFonts w:ascii="宋体" w:hAnsi="宋体" w:cs="Times New Roman"/>
                      <w:color w:val="000000"/>
                      <w:kern w:val="0"/>
                      <w:sz w:val="21"/>
                      <w:szCs w:val="21"/>
                    </w:rPr>
                  </w:pPr>
                </w:p>
              </w:tc>
              <w:tc>
                <w:tcPr>
                  <w:tcW w:w="2614" w:type="pct"/>
                  <w:vAlign w:val="center"/>
                </w:tcPr>
                <w:p w14:paraId="021BE1ED" w14:textId="77777777" w:rsidR="003C4F46" w:rsidRDefault="004B6A81">
                  <w:pPr>
                    <w:spacing w:line="240" w:lineRule="auto"/>
                    <w:ind w:firstLineChars="0" w:firstLine="0"/>
                    <w:textAlignment w:val="auto"/>
                    <w:rPr>
                      <w:rFonts w:ascii="宋体" w:hAnsi="宋体" w:cs="Times New Roman"/>
                      <w:snapToGrid w:val="0"/>
                      <w:color w:val="000000"/>
                      <w:kern w:val="0"/>
                      <w:sz w:val="21"/>
                      <w:szCs w:val="21"/>
                    </w:rPr>
                  </w:pPr>
                  <w:r>
                    <w:rPr>
                      <w:rFonts w:ascii="宋体" w:hAnsi="宋体" w:cs="Times New Roman" w:hint="eastAsia"/>
                      <w:snapToGrid w:val="0"/>
                      <w:color w:val="000000"/>
                      <w:kern w:val="0"/>
                      <w:sz w:val="21"/>
                      <w:szCs w:val="21"/>
                    </w:rPr>
                    <w:t>加强塔里木河流域水环境风险管控。加大博斯腾湖污染源头达标排放治理和监督力度，实施博斯腾湖综合治理。</w:t>
                  </w:r>
                </w:p>
              </w:tc>
              <w:tc>
                <w:tcPr>
                  <w:tcW w:w="1693" w:type="pct"/>
                  <w:vAlign w:val="center"/>
                </w:tcPr>
                <w:p w14:paraId="02B6EA2A" w14:textId="77777777" w:rsidR="003C4F46" w:rsidRDefault="004B6A81">
                  <w:pPr>
                    <w:spacing w:line="240" w:lineRule="auto"/>
                    <w:ind w:firstLineChars="0" w:firstLine="0"/>
                    <w:jc w:val="center"/>
                    <w:textAlignment w:val="auto"/>
                    <w:rPr>
                      <w:rFonts w:ascii="宋体" w:hAnsi="宋体" w:cs="Times New Roman"/>
                      <w:snapToGrid w:val="0"/>
                      <w:color w:val="000000"/>
                      <w:kern w:val="0"/>
                      <w:sz w:val="21"/>
                      <w:szCs w:val="21"/>
                    </w:rPr>
                  </w:pPr>
                  <w:r>
                    <w:rPr>
                      <w:rFonts w:ascii="宋体" w:hAnsi="宋体" w:cs="Times New Roman" w:hint="eastAsia"/>
                      <w:snapToGrid w:val="0"/>
                      <w:color w:val="000000"/>
                      <w:kern w:val="0"/>
                      <w:sz w:val="21"/>
                      <w:szCs w:val="21"/>
                    </w:rPr>
                    <w:t>本项目不涉及</w:t>
                  </w:r>
                </w:p>
              </w:tc>
              <w:tc>
                <w:tcPr>
                  <w:tcW w:w="437" w:type="pct"/>
                  <w:vAlign w:val="center"/>
                </w:tcPr>
                <w:p w14:paraId="3E41EF0E"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符合</w:t>
                  </w:r>
                </w:p>
              </w:tc>
            </w:tr>
            <w:tr w:rsidR="003C4F46" w14:paraId="38ED8143" w14:textId="77777777">
              <w:trPr>
                <w:trHeight w:val="90"/>
              </w:trPr>
              <w:tc>
                <w:tcPr>
                  <w:tcW w:w="256" w:type="pct"/>
                  <w:vMerge/>
                  <w:vAlign w:val="center"/>
                </w:tcPr>
                <w:p w14:paraId="04FE9895" w14:textId="77777777" w:rsidR="003C4F46" w:rsidRDefault="003C4F46">
                  <w:pPr>
                    <w:widowControl/>
                    <w:spacing w:line="240" w:lineRule="auto"/>
                    <w:ind w:firstLineChars="0" w:firstLine="0"/>
                    <w:jc w:val="center"/>
                    <w:textAlignment w:val="auto"/>
                    <w:rPr>
                      <w:rFonts w:ascii="宋体" w:hAnsi="宋体" w:cs="Times New Roman"/>
                      <w:color w:val="000000"/>
                      <w:kern w:val="0"/>
                      <w:sz w:val="21"/>
                      <w:szCs w:val="21"/>
                    </w:rPr>
                  </w:pPr>
                </w:p>
              </w:tc>
              <w:tc>
                <w:tcPr>
                  <w:tcW w:w="2614" w:type="pct"/>
                  <w:vAlign w:val="center"/>
                </w:tcPr>
                <w:p w14:paraId="36303B43" w14:textId="77777777" w:rsidR="003C4F46" w:rsidRDefault="004B6A81">
                  <w:pPr>
                    <w:spacing w:line="240" w:lineRule="auto"/>
                    <w:ind w:firstLineChars="0" w:firstLine="0"/>
                    <w:textAlignment w:val="auto"/>
                    <w:rPr>
                      <w:rFonts w:ascii="宋体" w:hAnsi="宋体" w:cs="Times New Roman"/>
                      <w:snapToGrid w:val="0"/>
                      <w:color w:val="000000"/>
                      <w:kern w:val="0"/>
                      <w:sz w:val="21"/>
                      <w:szCs w:val="21"/>
                    </w:rPr>
                  </w:pPr>
                  <w:r>
                    <w:rPr>
                      <w:rFonts w:ascii="宋体" w:hAnsi="宋体" w:cs="Times New Roman" w:hint="eastAsia"/>
                      <w:snapToGrid w:val="0"/>
                      <w:color w:val="000000"/>
                      <w:kern w:val="0"/>
                      <w:sz w:val="21"/>
                      <w:szCs w:val="21"/>
                    </w:rPr>
                    <w:t>加强油（气）资源开发区土壤环境污染综合整治。强化涉重金属行业污染防控与工业废物处理处置。</w:t>
                  </w:r>
                </w:p>
              </w:tc>
              <w:tc>
                <w:tcPr>
                  <w:tcW w:w="1693" w:type="pct"/>
                  <w:vAlign w:val="center"/>
                </w:tcPr>
                <w:p w14:paraId="735E4D79" w14:textId="77777777" w:rsidR="003C4F46" w:rsidRDefault="004B6A81">
                  <w:pPr>
                    <w:spacing w:line="240" w:lineRule="auto"/>
                    <w:ind w:firstLineChars="0" w:firstLine="0"/>
                    <w:jc w:val="center"/>
                    <w:textAlignment w:val="auto"/>
                    <w:rPr>
                      <w:rFonts w:ascii="宋体" w:hAnsi="宋体" w:cs="Times New Roman"/>
                      <w:snapToGrid w:val="0"/>
                      <w:color w:val="000000"/>
                      <w:kern w:val="0"/>
                      <w:sz w:val="21"/>
                      <w:szCs w:val="21"/>
                    </w:rPr>
                  </w:pPr>
                  <w:r>
                    <w:rPr>
                      <w:rFonts w:ascii="宋体" w:hAnsi="宋体" w:cs="Times New Roman" w:hint="eastAsia"/>
                      <w:snapToGrid w:val="0"/>
                      <w:color w:val="000000"/>
                      <w:kern w:val="0"/>
                      <w:sz w:val="21"/>
                      <w:szCs w:val="21"/>
                    </w:rPr>
                    <w:t>本项目不涉及油气开发，不涉及重金属排放</w:t>
                  </w:r>
                </w:p>
              </w:tc>
              <w:tc>
                <w:tcPr>
                  <w:tcW w:w="437" w:type="pct"/>
                  <w:vAlign w:val="center"/>
                </w:tcPr>
                <w:p w14:paraId="03CF0B34" w14:textId="77777777" w:rsidR="003C4F46" w:rsidRDefault="004B6A81">
                  <w:pPr>
                    <w:spacing w:line="240" w:lineRule="auto"/>
                    <w:ind w:firstLineChars="0" w:firstLine="0"/>
                    <w:jc w:val="center"/>
                    <w:textAlignment w:val="auto"/>
                    <w:rPr>
                      <w:rFonts w:ascii="宋体" w:hAnsi="宋体" w:cs="Times New Roman"/>
                      <w:color w:val="000000"/>
                      <w:kern w:val="0"/>
                      <w:sz w:val="21"/>
                      <w:szCs w:val="21"/>
                    </w:rPr>
                  </w:pPr>
                  <w:r>
                    <w:rPr>
                      <w:rFonts w:ascii="宋体" w:hAnsi="宋体" w:cs="Times New Roman" w:hint="eastAsia"/>
                      <w:color w:val="000000"/>
                      <w:kern w:val="0"/>
                      <w:sz w:val="21"/>
                      <w:szCs w:val="21"/>
                    </w:rPr>
                    <w:t>符合</w:t>
                  </w:r>
                </w:p>
              </w:tc>
            </w:tr>
          </w:tbl>
          <w:p w14:paraId="0A84CA19" w14:textId="77777777" w:rsidR="003C4F46" w:rsidRDefault="004B6A81">
            <w:pPr>
              <w:autoSpaceDE w:val="0"/>
              <w:autoSpaceDN w:val="0"/>
              <w:adjustRightInd w:val="0"/>
              <w:spacing w:line="384" w:lineRule="auto"/>
              <w:ind w:firstLine="480"/>
              <w:rPr>
                <w:rFonts w:hAnsi="宋体" w:cs="宋体"/>
                <w:kern w:val="0"/>
              </w:rPr>
            </w:pPr>
            <w:r>
              <w:rPr>
                <w:rFonts w:hAnsi="宋体" w:cs="宋体" w:hint="eastAsia"/>
                <w:kern w:val="0"/>
              </w:rPr>
              <w:t>综上，本项目符合《新疆维吾尔自治区七大片区生态环境分区管控要求》中天山南坡片区总体管控要求。</w:t>
            </w:r>
          </w:p>
          <w:p w14:paraId="2349E3FF" w14:textId="77777777" w:rsidR="003C4F46" w:rsidRDefault="004B6A81">
            <w:pPr>
              <w:pStyle w:val="afb"/>
              <w:ind w:firstLineChars="0" w:firstLine="0"/>
            </w:pPr>
            <w:r>
              <w:rPr>
                <w:rFonts w:hAnsi="宋体" w:cs="宋体" w:hint="eastAsia"/>
                <w:kern w:val="0"/>
              </w:rPr>
              <w:t>5.</w:t>
            </w:r>
            <w:r>
              <w:t>与巴州</w:t>
            </w:r>
            <w:r>
              <w:rPr>
                <w:rFonts w:hint="eastAsia"/>
              </w:rPr>
              <w:t>“生态环境分区管控”</w:t>
            </w:r>
            <w:r>
              <w:t>符合性分析</w:t>
            </w:r>
          </w:p>
          <w:p w14:paraId="64BC68FA" w14:textId="77777777" w:rsidR="003C4F46" w:rsidRDefault="004B6A81">
            <w:pPr>
              <w:autoSpaceDE w:val="0"/>
              <w:autoSpaceDN w:val="0"/>
              <w:adjustRightInd w:val="0"/>
              <w:spacing w:line="384" w:lineRule="auto"/>
              <w:ind w:firstLine="480"/>
              <w:rPr>
                <w:rFonts w:hAnsi="宋体" w:cs="宋体"/>
                <w:b/>
                <w:bCs/>
                <w:kern w:val="0"/>
              </w:rPr>
            </w:pPr>
            <w:r>
              <w:t>根据</w:t>
            </w:r>
            <w:r>
              <w:t>2024</w:t>
            </w:r>
            <w:r>
              <w:t>年</w:t>
            </w:r>
            <w:r>
              <w:t>12</w:t>
            </w:r>
            <w:r>
              <w:t>月</w:t>
            </w:r>
            <w:r>
              <w:t>9</w:t>
            </w:r>
            <w:r>
              <w:t>日发布的《关于印发巴音郭楞蒙古自治州</w:t>
            </w:r>
            <w:r>
              <w:rPr>
                <w:rFonts w:hint="eastAsia"/>
              </w:rPr>
              <w:t>“</w:t>
            </w:r>
            <w:r>
              <w:t>三线一单</w:t>
            </w:r>
            <w:r>
              <w:rPr>
                <w:rFonts w:hint="eastAsia"/>
              </w:rPr>
              <w:t>”</w:t>
            </w:r>
            <w:r>
              <w:t>生态环境分区管控动态更新成果（</w:t>
            </w:r>
            <w:r>
              <w:t>2023</w:t>
            </w:r>
            <w:r>
              <w:t>年）的通知》（巴政办发〔</w:t>
            </w:r>
            <w:r>
              <w:t>2024</w:t>
            </w:r>
            <w:r>
              <w:t>〕</w:t>
            </w:r>
            <w:r>
              <w:t>32</w:t>
            </w:r>
            <w:r>
              <w:t>号</w:t>
            </w:r>
            <w:r>
              <w:rPr>
                <w:rFonts w:hint="eastAsia"/>
              </w:rPr>
              <w:t>），本项目与巴州生态环境分区管控符</w:t>
            </w:r>
            <w:r>
              <w:t>合性分析见表</w:t>
            </w:r>
            <w:r>
              <w:rPr>
                <w:rFonts w:hint="eastAsia"/>
              </w:rPr>
              <w:t>1-</w:t>
            </w:r>
            <w:r>
              <w:t>3</w:t>
            </w:r>
            <w:r>
              <w:rPr>
                <w:rFonts w:hint="eastAsia"/>
              </w:rPr>
              <w:t>。</w:t>
            </w:r>
          </w:p>
          <w:p w14:paraId="2B1439A1" w14:textId="77777777" w:rsidR="003C4F46" w:rsidRDefault="004B6A81">
            <w:pPr>
              <w:adjustRightInd w:val="0"/>
              <w:spacing w:beforeLines="50" w:before="163" w:line="240" w:lineRule="auto"/>
              <w:ind w:firstLineChars="0" w:firstLine="0"/>
              <w:jc w:val="center"/>
              <w:textAlignment w:val="auto"/>
              <w:rPr>
                <w:rFonts w:cs="Times New Roman"/>
                <w:b/>
                <w:kern w:val="0"/>
                <w:sz w:val="21"/>
                <w:szCs w:val="20"/>
              </w:rPr>
            </w:pPr>
            <w:r>
              <w:rPr>
                <w:rFonts w:cs="Times New Roman" w:hint="eastAsia"/>
                <w:b/>
                <w:kern w:val="0"/>
                <w:sz w:val="21"/>
                <w:szCs w:val="20"/>
              </w:rPr>
              <w:t>表</w:t>
            </w:r>
            <w:r>
              <w:rPr>
                <w:rFonts w:cs="Times New Roman"/>
                <w:b/>
                <w:kern w:val="0"/>
                <w:sz w:val="21"/>
                <w:szCs w:val="20"/>
              </w:rPr>
              <w:t xml:space="preserve">1-3  </w:t>
            </w:r>
            <w:r>
              <w:rPr>
                <w:rFonts w:cs="Times New Roman" w:hint="eastAsia"/>
                <w:b/>
                <w:kern w:val="0"/>
                <w:sz w:val="21"/>
                <w:szCs w:val="20"/>
              </w:rPr>
              <w:t>本项目与巴音郭楞蒙古自治州生态环境分区管控方案符合性分析</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4"/>
              <w:gridCol w:w="3291"/>
              <w:gridCol w:w="2281"/>
              <w:gridCol w:w="738"/>
            </w:tblGrid>
            <w:tr w:rsidR="003C4F46" w14:paraId="1CB3E44C" w14:textId="77777777">
              <w:trPr>
                <w:trHeight w:val="416"/>
                <w:jc w:val="center"/>
              </w:trPr>
              <w:tc>
                <w:tcPr>
                  <w:tcW w:w="517" w:type="pct"/>
                  <w:vAlign w:val="center"/>
                </w:tcPr>
                <w:p w14:paraId="41F3A42A"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名称</w:t>
                  </w:r>
                </w:p>
              </w:tc>
              <w:tc>
                <w:tcPr>
                  <w:tcW w:w="2360" w:type="pct"/>
                  <w:vAlign w:val="center"/>
                </w:tcPr>
                <w:p w14:paraId="3AEDAE75"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符合性分析</w:t>
                  </w:r>
                </w:p>
              </w:tc>
              <w:tc>
                <w:tcPr>
                  <w:tcW w:w="1583" w:type="pct"/>
                  <w:vAlign w:val="center"/>
                </w:tcPr>
                <w:p w14:paraId="4B4A981E"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本项目</w:t>
                  </w:r>
                </w:p>
              </w:tc>
              <w:tc>
                <w:tcPr>
                  <w:tcW w:w="540" w:type="pct"/>
                  <w:vAlign w:val="center"/>
                </w:tcPr>
                <w:p w14:paraId="07BA9A08"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符合性</w:t>
                  </w:r>
                </w:p>
              </w:tc>
            </w:tr>
            <w:tr w:rsidR="003C4F46" w14:paraId="6EE5ADB9" w14:textId="77777777">
              <w:trPr>
                <w:jc w:val="center"/>
              </w:trPr>
              <w:tc>
                <w:tcPr>
                  <w:tcW w:w="517" w:type="pct"/>
                  <w:vAlign w:val="center"/>
                </w:tcPr>
                <w:p w14:paraId="3C4A04B6"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生态保护红线</w:t>
                  </w:r>
                </w:p>
              </w:tc>
              <w:tc>
                <w:tcPr>
                  <w:tcW w:w="2360" w:type="pct"/>
                  <w:vAlign w:val="center"/>
                </w:tcPr>
                <w:p w14:paraId="7EA3906E"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按照</w:t>
                  </w:r>
                  <w:r>
                    <w:rPr>
                      <w:rFonts w:cs="Times New Roman"/>
                      <w:sz w:val="21"/>
                      <w:szCs w:val="21"/>
                    </w:rPr>
                    <w:t>“</w:t>
                  </w:r>
                  <w:r>
                    <w:rPr>
                      <w:rFonts w:cs="Times New Roman"/>
                      <w:sz w:val="21"/>
                      <w:szCs w:val="21"/>
                    </w:rPr>
                    <w:t>生态功能不降低、面积不减少、性质不改变</w:t>
                  </w:r>
                  <w:r>
                    <w:rPr>
                      <w:rFonts w:cs="Times New Roman"/>
                      <w:sz w:val="21"/>
                      <w:szCs w:val="21"/>
                    </w:rPr>
                    <w:t>”</w:t>
                  </w:r>
                  <w:r>
                    <w:rPr>
                      <w:rFonts w:cs="Times New Roman"/>
                      <w:sz w:val="21"/>
                      <w:szCs w:val="21"/>
                    </w:rPr>
                    <w:t>的基本要求，对划定的生态保护红线实施严格管控，保障和维护国家生态安全的底线和生命线</w:t>
                  </w:r>
                </w:p>
              </w:tc>
              <w:tc>
                <w:tcPr>
                  <w:tcW w:w="1583" w:type="pct"/>
                  <w:vAlign w:val="center"/>
                </w:tcPr>
                <w:p w14:paraId="63E8D5C1"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本项目不在生态保护红线范围内</w:t>
                  </w:r>
                </w:p>
              </w:tc>
              <w:tc>
                <w:tcPr>
                  <w:tcW w:w="540" w:type="pct"/>
                  <w:vAlign w:val="center"/>
                </w:tcPr>
                <w:p w14:paraId="765D2873"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符合</w:t>
                  </w:r>
                </w:p>
              </w:tc>
            </w:tr>
            <w:tr w:rsidR="003C4F46" w14:paraId="33C981FF" w14:textId="77777777">
              <w:trPr>
                <w:jc w:val="center"/>
              </w:trPr>
              <w:tc>
                <w:tcPr>
                  <w:tcW w:w="517" w:type="pct"/>
                  <w:vAlign w:val="center"/>
                </w:tcPr>
                <w:p w14:paraId="7C468C69"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lastRenderedPageBreak/>
                    <w:t>环境质量底线</w:t>
                  </w:r>
                </w:p>
              </w:tc>
              <w:tc>
                <w:tcPr>
                  <w:tcW w:w="2360" w:type="pct"/>
                  <w:vAlign w:val="center"/>
                </w:tcPr>
                <w:p w14:paraId="3985A23D" w14:textId="77777777" w:rsidR="003C4F46" w:rsidRDefault="004B6A81">
                  <w:pPr>
                    <w:spacing w:line="240" w:lineRule="auto"/>
                    <w:ind w:firstLineChars="0" w:firstLine="0"/>
                    <w:contextualSpacing/>
                    <w:rPr>
                      <w:rFonts w:cs="Times New Roman"/>
                      <w:color w:val="000000"/>
                      <w:sz w:val="21"/>
                      <w:szCs w:val="21"/>
                    </w:rPr>
                  </w:pPr>
                  <w:r>
                    <w:rPr>
                      <w:rFonts w:cs="Times New Roman"/>
                      <w:color w:val="000000"/>
                      <w:sz w:val="21"/>
                      <w:szCs w:val="21"/>
                    </w:rPr>
                    <w:t>全州水环境质量持续改善，开都河、塔里木河、迪那河、车尔臣河、黄水沟</w:t>
                  </w:r>
                  <w:r>
                    <w:rPr>
                      <w:rFonts w:cs="Times New Roman"/>
                      <w:color w:val="000000"/>
                      <w:sz w:val="21"/>
                      <w:szCs w:val="21"/>
                    </w:rPr>
                    <w:t>5</w:t>
                  </w:r>
                  <w:r>
                    <w:rPr>
                      <w:rFonts w:cs="Times New Roman"/>
                      <w:color w:val="000000"/>
                      <w:sz w:val="21"/>
                      <w:szCs w:val="21"/>
                    </w:rPr>
                    <w:t>条河流</w:t>
                  </w:r>
                  <w:r>
                    <w:rPr>
                      <w:rFonts w:cs="Times New Roman"/>
                      <w:color w:val="000000"/>
                      <w:sz w:val="21"/>
                      <w:szCs w:val="21"/>
                    </w:rPr>
                    <w:t>13</w:t>
                  </w:r>
                  <w:r>
                    <w:rPr>
                      <w:rFonts w:cs="Times New Roman"/>
                      <w:color w:val="000000"/>
                      <w:sz w:val="21"/>
                      <w:szCs w:val="21"/>
                    </w:rPr>
                    <w:t>个监测断面稳定达到</w:t>
                  </w:r>
                  <w:r>
                    <w:rPr>
                      <w:rFonts w:cs="Times New Roman"/>
                      <w:color w:val="000000"/>
                      <w:sz w:val="21"/>
                      <w:szCs w:val="21"/>
                    </w:rPr>
                    <w:t>Ⅱ</w:t>
                  </w:r>
                  <w:r>
                    <w:rPr>
                      <w:rFonts w:cs="Times New Roman"/>
                      <w:color w:val="000000"/>
                      <w:sz w:val="21"/>
                      <w:szCs w:val="21"/>
                    </w:rPr>
                    <w:t>类水（塔里木河氟化物不参与考核，其他指标均为</w:t>
                  </w:r>
                  <w:r>
                    <w:rPr>
                      <w:rFonts w:cs="Times New Roman"/>
                      <w:color w:val="000000"/>
                      <w:sz w:val="21"/>
                      <w:szCs w:val="21"/>
                    </w:rPr>
                    <w:t>Ⅱ</w:t>
                  </w:r>
                  <w:r>
                    <w:rPr>
                      <w:rFonts w:cs="Times New Roman"/>
                      <w:color w:val="000000"/>
                      <w:sz w:val="21"/>
                      <w:szCs w:val="21"/>
                    </w:rPr>
                    <w:t>类），孔雀河</w:t>
                  </w:r>
                  <w:r>
                    <w:rPr>
                      <w:rFonts w:cs="Times New Roman"/>
                      <w:color w:val="000000"/>
                      <w:sz w:val="21"/>
                      <w:szCs w:val="21"/>
                    </w:rPr>
                    <w:t>4</w:t>
                  </w:r>
                  <w:r>
                    <w:rPr>
                      <w:rFonts w:cs="Times New Roman"/>
                      <w:color w:val="000000"/>
                      <w:sz w:val="21"/>
                      <w:szCs w:val="21"/>
                    </w:rPr>
                    <w:t>个监测断面达到</w:t>
                  </w:r>
                  <w:r>
                    <w:rPr>
                      <w:rFonts w:cs="Times New Roman" w:hint="eastAsia"/>
                      <w:color w:val="000000"/>
                      <w:sz w:val="21"/>
                      <w:szCs w:val="21"/>
                    </w:rPr>
                    <w:t>Ⅱ类</w:t>
                  </w:r>
                  <w:r>
                    <w:rPr>
                      <w:rFonts w:cs="Times New Roman"/>
                      <w:color w:val="000000"/>
                      <w:sz w:val="21"/>
                      <w:szCs w:val="21"/>
                    </w:rPr>
                    <w:t>水，博斯腾湖</w:t>
                  </w:r>
                  <w:r>
                    <w:rPr>
                      <w:rFonts w:cs="Times New Roman"/>
                      <w:color w:val="000000"/>
                      <w:sz w:val="21"/>
                      <w:szCs w:val="21"/>
                    </w:rPr>
                    <w:t>17</w:t>
                  </w:r>
                  <w:r>
                    <w:rPr>
                      <w:rFonts w:cs="Times New Roman"/>
                      <w:color w:val="000000"/>
                      <w:sz w:val="21"/>
                      <w:szCs w:val="21"/>
                    </w:rPr>
                    <w:t>个重点点位中</w:t>
                  </w:r>
                  <w:r>
                    <w:rPr>
                      <w:rFonts w:cs="Times New Roman"/>
                      <w:color w:val="000000"/>
                      <w:sz w:val="21"/>
                      <w:szCs w:val="21"/>
                    </w:rPr>
                    <w:t>1</w:t>
                  </w:r>
                  <w:r>
                    <w:rPr>
                      <w:rFonts w:cs="Times New Roman"/>
                      <w:color w:val="000000"/>
                      <w:sz w:val="21"/>
                      <w:szCs w:val="21"/>
                    </w:rPr>
                    <w:t>、</w:t>
                  </w:r>
                  <w:r>
                    <w:rPr>
                      <w:rFonts w:cs="Times New Roman"/>
                      <w:color w:val="000000"/>
                      <w:sz w:val="21"/>
                      <w:szCs w:val="21"/>
                    </w:rPr>
                    <w:t>7</w:t>
                  </w:r>
                  <w:r>
                    <w:rPr>
                      <w:rFonts w:cs="Times New Roman"/>
                      <w:color w:val="000000"/>
                      <w:sz w:val="21"/>
                      <w:szCs w:val="21"/>
                    </w:rPr>
                    <w:t>、</w:t>
                  </w:r>
                  <w:r>
                    <w:rPr>
                      <w:rFonts w:cs="Times New Roman"/>
                      <w:color w:val="000000"/>
                      <w:sz w:val="21"/>
                      <w:szCs w:val="21"/>
                    </w:rPr>
                    <w:t>14</w:t>
                  </w:r>
                  <w:r>
                    <w:rPr>
                      <w:rFonts w:cs="Times New Roman"/>
                      <w:color w:val="000000"/>
                      <w:sz w:val="21"/>
                      <w:szCs w:val="21"/>
                    </w:rPr>
                    <w:t>监测点均值</w:t>
                  </w:r>
                  <w:r>
                    <w:rPr>
                      <w:rFonts w:cs="Times New Roman"/>
                      <w:color w:val="000000"/>
                      <w:sz w:val="21"/>
                      <w:szCs w:val="21"/>
                    </w:rPr>
                    <w:t>Ⅲ</w:t>
                  </w:r>
                  <w:r>
                    <w:rPr>
                      <w:rFonts w:cs="Times New Roman"/>
                      <w:color w:val="000000"/>
                      <w:sz w:val="21"/>
                      <w:szCs w:val="21"/>
                    </w:rPr>
                    <w:t>类，其余监测点均值</w:t>
                  </w:r>
                  <w:r>
                    <w:rPr>
                      <w:rFonts w:cs="Times New Roman"/>
                      <w:color w:val="000000"/>
                      <w:sz w:val="21"/>
                      <w:szCs w:val="21"/>
                    </w:rPr>
                    <w:t>Ⅳ</w:t>
                  </w:r>
                  <w:r>
                    <w:rPr>
                      <w:rFonts w:cs="Times New Roman"/>
                      <w:color w:val="000000"/>
                      <w:sz w:val="21"/>
                      <w:szCs w:val="21"/>
                    </w:rPr>
                    <w:t>类；受污染地表水体得到有效治理，饮用水安全保障水平持续提升，地下水超采得到严格控制，地下水水质保持稳定。全州环境空气质量有所提升，</w:t>
                  </w:r>
                  <w:r>
                    <w:rPr>
                      <w:rFonts w:cs="Times New Roman"/>
                      <w:color w:val="000000"/>
                      <w:sz w:val="21"/>
                      <w:szCs w:val="21"/>
                    </w:rPr>
                    <w:t>SO</w:t>
                  </w:r>
                  <w:r>
                    <w:rPr>
                      <w:rFonts w:cs="Times New Roman"/>
                      <w:color w:val="000000"/>
                      <w:sz w:val="21"/>
                      <w:szCs w:val="21"/>
                      <w:vertAlign w:val="subscript"/>
                    </w:rPr>
                    <w:t>2</w:t>
                  </w:r>
                  <w:r>
                    <w:rPr>
                      <w:rFonts w:cs="Times New Roman"/>
                      <w:color w:val="000000"/>
                      <w:sz w:val="21"/>
                      <w:szCs w:val="21"/>
                    </w:rPr>
                    <w:t>、</w:t>
                  </w:r>
                  <w:r>
                    <w:rPr>
                      <w:rFonts w:cs="Times New Roman"/>
                      <w:color w:val="000000"/>
                      <w:sz w:val="21"/>
                      <w:szCs w:val="21"/>
                    </w:rPr>
                    <w:t>NO</w:t>
                  </w:r>
                  <w:r>
                    <w:rPr>
                      <w:rFonts w:cs="Times New Roman"/>
                      <w:color w:val="000000"/>
                      <w:sz w:val="21"/>
                      <w:szCs w:val="21"/>
                      <w:vertAlign w:val="subscript"/>
                    </w:rPr>
                    <w:t>2</w:t>
                  </w:r>
                  <w:r>
                    <w:rPr>
                      <w:rFonts w:cs="Times New Roman"/>
                      <w:color w:val="000000"/>
                      <w:sz w:val="21"/>
                      <w:szCs w:val="21"/>
                    </w:rPr>
                    <w:t>浓度长期维持在较低水平，达到环境空气质量一级标准；逐步减少颗粒物排放，</w:t>
                  </w:r>
                  <w:r>
                    <w:rPr>
                      <w:rFonts w:cs="Times New Roman"/>
                      <w:color w:val="000000"/>
                      <w:sz w:val="21"/>
                      <w:szCs w:val="21"/>
                    </w:rPr>
                    <w:t>PM</w:t>
                  </w:r>
                  <w:r>
                    <w:rPr>
                      <w:rFonts w:cs="Times New Roman"/>
                      <w:color w:val="000000"/>
                      <w:sz w:val="21"/>
                      <w:szCs w:val="21"/>
                      <w:vertAlign w:val="subscript"/>
                    </w:rPr>
                    <w:t>10</w:t>
                  </w:r>
                  <w:r>
                    <w:rPr>
                      <w:rFonts w:cs="Times New Roman"/>
                      <w:color w:val="000000"/>
                      <w:sz w:val="21"/>
                      <w:szCs w:val="21"/>
                    </w:rPr>
                    <w:t>、</w:t>
                  </w:r>
                  <w:r>
                    <w:rPr>
                      <w:rFonts w:cs="Times New Roman"/>
                      <w:color w:val="000000"/>
                      <w:sz w:val="21"/>
                      <w:szCs w:val="21"/>
                    </w:rPr>
                    <w:t>PM</w:t>
                  </w:r>
                  <w:r>
                    <w:rPr>
                      <w:rFonts w:cs="Times New Roman"/>
                      <w:color w:val="000000"/>
                      <w:sz w:val="21"/>
                      <w:szCs w:val="21"/>
                      <w:vertAlign w:val="subscript"/>
                    </w:rPr>
                    <w:t>2.5</w:t>
                  </w:r>
                  <w:r>
                    <w:rPr>
                      <w:rFonts w:cs="Times New Roman"/>
                      <w:color w:val="000000"/>
                      <w:sz w:val="21"/>
                      <w:szCs w:val="21"/>
                    </w:rPr>
                    <w:t>平均浓度分别低于</w:t>
                  </w:r>
                  <w:r>
                    <w:rPr>
                      <w:rFonts w:cs="Times New Roman"/>
                      <w:color w:val="000000"/>
                      <w:sz w:val="21"/>
                      <w:szCs w:val="21"/>
                    </w:rPr>
                    <w:t>81μg/m</w:t>
                  </w:r>
                  <w:r>
                    <w:rPr>
                      <w:rFonts w:cs="Times New Roman"/>
                      <w:color w:val="000000"/>
                      <w:sz w:val="21"/>
                      <w:szCs w:val="21"/>
                      <w:vertAlign w:val="superscript"/>
                    </w:rPr>
                    <w:t>3</w:t>
                  </w:r>
                  <w:r>
                    <w:rPr>
                      <w:rFonts w:cs="Times New Roman"/>
                      <w:color w:val="000000"/>
                      <w:sz w:val="21"/>
                      <w:szCs w:val="21"/>
                    </w:rPr>
                    <w:t>、</w:t>
                  </w:r>
                  <w:r>
                    <w:rPr>
                      <w:rFonts w:cs="Times New Roman"/>
                      <w:color w:val="000000"/>
                      <w:sz w:val="21"/>
                      <w:szCs w:val="21"/>
                    </w:rPr>
                    <w:t>31.5μg/m</w:t>
                  </w:r>
                  <w:r>
                    <w:rPr>
                      <w:rFonts w:cs="Times New Roman"/>
                      <w:color w:val="000000"/>
                      <w:sz w:val="21"/>
                      <w:szCs w:val="21"/>
                      <w:vertAlign w:val="superscript"/>
                    </w:rPr>
                    <w:t>3</w:t>
                  </w:r>
                  <w:r>
                    <w:rPr>
                      <w:rFonts w:cs="Times New Roman" w:hint="eastAsia"/>
                      <w:color w:val="000000"/>
                      <w:sz w:val="21"/>
                      <w:szCs w:val="21"/>
                    </w:rPr>
                    <w:t>（</w:t>
                  </w:r>
                  <w:r>
                    <w:rPr>
                      <w:rFonts w:cs="Times New Roman"/>
                      <w:color w:val="000000"/>
                      <w:sz w:val="21"/>
                      <w:szCs w:val="21"/>
                    </w:rPr>
                    <w:t>库尔勒市，扣除沙尘天气影响</w:t>
                  </w:r>
                  <w:r>
                    <w:rPr>
                      <w:rFonts w:cs="Times New Roman" w:hint="eastAsia"/>
                      <w:color w:val="000000"/>
                      <w:sz w:val="21"/>
                      <w:szCs w:val="21"/>
                    </w:rPr>
                    <w:t>）</w:t>
                  </w:r>
                  <w:r>
                    <w:rPr>
                      <w:rFonts w:cs="Times New Roman"/>
                      <w:color w:val="000000"/>
                      <w:sz w:val="21"/>
                      <w:szCs w:val="21"/>
                    </w:rPr>
                    <w:t>，空气优良天数比例大于</w:t>
                  </w:r>
                  <w:r>
                    <w:rPr>
                      <w:rFonts w:cs="Times New Roman"/>
                      <w:color w:val="000000"/>
                      <w:sz w:val="21"/>
                      <w:szCs w:val="21"/>
                    </w:rPr>
                    <w:t>75.2%</w:t>
                  </w:r>
                  <w:r>
                    <w:rPr>
                      <w:rFonts w:cs="Times New Roman" w:hint="eastAsia"/>
                      <w:color w:val="000000"/>
                      <w:sz w:val="21"/>
                      <w:szCs w:val="21"/>
                    </w:rPr>
                    <w:t>（</w:t>
                  </w:r>
                  <w:r>
                    <w:rPr>
                      <w:rFonts w:cs="Times New Roman"/>
                      <w:color w:val="000000"/>
                      <w:sz w:val="21"/>
                      <w:szCs w:val="21"/>
                    </w:rPr>
                    <w:t>库尔勒市</w:t>
                  </w:r>
                  <w:r>
                    <w:rPr>
                      <w:rFonts w:cs="Times New Roman" w:hint="eastAsia"/>
                      <w:color w:val="000000"/>
                      <w:sz w:val="21"/>
                      <w:szCs w:val="21"/>
                    </w:rPr>
                    <w:t>）</w:t>
                  </w:r>
                  <w:r>
                    <w:rPr>
                      <w:rFonts w:cs="Times New Roman"/>
                      <w:color w:val="000000"/>
                      <w:sz w:val="21"/>
                      <w:szCs w:val="21"/>
                    </w:rPr>
                    <w:t>，重污染天数持续减少，沙尘影响严重地区做好防风固沙、生态环境保护修复等工作；全州土壤环境质量保持稳定，受污染耕地安全利用率达到</w:t>
                  </w:r>
                  <w:r>
                    <w:rPr>
                      <w:rFonts w:cs="Times New Roman"/>
                      <w:color w:val="000000"/>
                      <w:sz w:val="21"/>
                      <w:szCs w:val="21"/>
                    </w:rPr>
                    <w:t>98%</w:t>
                  </w:r>
                  <w:r>
                    <w:rPr>
                      <w:rFonts w:cs="Times New Roman"/>
                      <w:color w:val="000000"/>
                      <w:sz w:val="21"/>
                      <w:szCs w:val="21"/>
                    </w:rPr>
                    <w:t>以上，污染地块安全利用率不低于</w:t>
                  </w:r>
                  <w:r>
                    <w:rPr>
                      <w:rFonts w:cs="Times New Roman"/>
                      <w:color w:val="000000"/>
                      <w:sz w:val="21"/>
                      <w:szCs w:val="21"/>
                    </w:rPr>
                    <w:t>93%</w:t>
                  </w:r>
                  <w:r>
                    <w:rPr>
                      <w:rFonts w:cs="Times New Roman"/>
                      <w:color w:val="000000"/>
                      <w:sz w:val="21"/>
                      <w:szCs w:val="21"/>
                    </w:rPr>
                    <w:t>，土壤环境风险得到进一步管控</w:t>
                  </w:r>
                </w:p>
              </w:tc>
              <w:tc>
                <w:tcPr>
                  <w:tcW w:w="1583" w:type="pct"/>
                  <w:vAlign w:val="center"/>
                </w:tcPr>
                <w:p w14:paraId="56ADCF02" w14:textId="7046412B" w:rsidR="003C4F46" w:rsidRDefault="00517934">
                  <w:pPr>
                    <w:spacing w:line="240" w:lineRule="auto"/>
                    <w:ind w:firstLineChars="0" w:firstLine="0"/>
                    <w:contextualSpacing/>
                    <w:rPr>
                      <w:rFonts w:cs="Times New Roman"/>
                      <w:color w:val="000000"/>
                      <w:sz w:val="21"/>
                      <w:szCs w:val="21"/>
                    </w:rPr>
                  </w:pPr>
                  <w:r w:rsidRPr="00517934">
                    <w:rPr>
                      <w:rFonts w:cs="Times New Roman" w:hint="eastAsia"/>
                      <w:sz w:val="21"/>
                      <w:szCs w:val="21"/>
                    </w:rPr>
                    <w:t>本项目运营期废气主要为</w:t>
                  </w:r>
                  <w:r w:rsidR="00744D0C">
                    <w:rPr>
                      <w:rFonts w:cs="Times New Roman" w:hint="eastAsia"/>
                      <w:sz w:val="21"/>
                      <w:szCs w:val="21"/>
                    </w:rPr>
                    <w:t>危险废物</w:t>
                  </w:r>
                  <w:r w:rsidRPr="00517934">
                    <w:rPr>
                      <w:rFonts w:cs="Times New Roman" w:hint="eastAsia"/>
                      <w:sz w:val="21"/>
                      <w:szCs w:val="21"/>
                    </w:rPr>
                    <w:t>贮存库废气和储罐呼吸废气。</w:t>
                  </w:r>
                  <w:r w:rsidR="00744D0C">
                    <w:rPr>
                      <w:rFonts w:cs="Times New Roman" w:hint="eastAsia"/>
                      <w:sz w:val="21"/>
                      <w:szCs w:val="21"/>
                    </w:rPr>
                    <w:t>危险废物</w:t>
                  </w:r>
                  <w:r w:rsidRPr="00517934">
                    <w:rPr>
                      <w:rFonts w:cs="Times New Roman" w:hint="eastAsia"/>
                      <w:sz w:val="21"/>
                      <w:szCs w:val="21"/>
                    </w:rPr>
                    <w:t>采用密封容器盛装，贮存库废气经负压收集后，先经碱液喷淋塔预处理去除硫酸雾，再依托现有二级活性炭吸附装置处理，尾气通过</w:t>
                  </w:r>
                  <w:r w:rsidRPr="00517934">
                    <w:rPr>
                      <w:rFonts w:cs="Times New Roman" w:hint="eastAsia"/>
                      <w:sz w:val="21"/>
                      <w:szCs w:val="21"/>
                    </w:rPr>
                    <w:t>15m</w:t>
                  </w:r>
                  <w:r w:rsidRPr="00517934">
                    <w:rPr>
                      <w:rFonts w:cs="Times New Roman" w:hint="eastAsia"/>
                      <w:sz w:val="21"/>
                      <w:szCs w:val="21"/>
                    </w:rPr>
                    <w:t>高排气筒（</w:t>
                  </w:r>
                  <w:r w:rsidRPr="00517934">
                    <w:rPr>
                      <w:rFonts w:cs="Times New Roman" w:hint="eastAsia"/>
                      <w:sz w:val="21"/>
                      <w:szCs w:val="21"/>
                    </w:rPr>
                    <w:t>DA005</w:t>
                  </w:r>
                  <w:r w:rsidRPr="00517934">
                    <w:rPr>
                      <w:rFonts w:cs="Times New Roman" w:hint="eastAsia"/>
                      <w:sz w:val="21"/>
                      <w:szCs w:val="21"/>
                    </w:rPr>
                    <w:t>）排放；储罐外壁涂刷白色防腐涂料以降低温差变化，设置带阻火器的呼吸阀，采用气相连通系统，装车采取浸没式、密闭方式以减少呼吸废气排放</w:t>
                  </w:r>
                  <w:r>
                    <w:rPr>
                      <w:rFonts w:cs="Times New Roman" w:hint="eastAsia"/>
                      <w:sz w:val="21"/>
                      <w:szCs w:val="21"/>
                    </w:rPr>
                    <w:t>。</w:t>
                  </w:r>
                  <w:r w:rsidRPr="00517934">
                    <w:rPr>
                      <w:rFonts w:cs="Times New Roman" w:hint="eastAsia"/>
                      <w:sz w:val="21"/>
                      <w:szCs w:val="21"/>
                    </w:rPr>
                    <w:t>碱液喷淋废液经中和后循环使用，反应饱和后排入厂区污水处理站处理；生活污水排入园区管网由园区污水处理</w:t>
                  </w:r>
                  <w:r w:rsidR="008806ED">
                    <w:rPr>
                      <w:rFonts w:cs="Times New Roman" w:hint="eastAsia"/>
                      <w:sz w:val="21"/>
                      <w:szCs w:val="21"/>
                    </w:rPr>
                    <w:t>厂</w:t>
                  </w:r>
                  <w:r w:rsidRPr="00517934">
                    <w:rPr>
                      <w:rFonts w:cs="Times New Roman" w:hint="eastAsia"/>
                      <w:sz w:val="21"/>
                      <w:szCs w:val="21"/>
                    </w:rPr>
                    <w:t>处理；事故冲洗废水作</w:t>
                  </w:r>
                  <w:r w:rsidR="00744D0C">
                    <w:rPr>
                      <w:rFonts w:cs="Times New Roman" w:hint="eastAsia"/>
                      <w:sz w:val="21"/>
                      <w:szCs w:val="21"/>
                    </w:rPr>
                    <w:t>危险废物</w:t>
                  </w:r>
                  <w:r w:rsidRPr="00517934">
                    <w:rPr>
                      <w:rFonts w:cs="Times New Roman" w:hint="eastAsia"/>
                      <w:sz w:val="21"/>
                      <w:szCs w:val="21"/>
                    </w:rPr>
                    <w:t>交有资质单位处置，不外排</w:t>
                  </w:r>
                  <w:r>
                    <w:rPr>
                      <w:rFonts w:cs="Times New Roman" w:hint="eastAsia"/>
                      <w:sz w:val="21"/>
                      <w:szCs w:val="21"/>
                    </w:rPr>
                    <w:t>。生活垃圾由环卫部门清运，危险废物与本项目其他</w:t>
                  </w:r>
                  <w:r w:rsidR="00744D0C">
                    <w:rPr>
                      <w:rFonts w:cs="Times New Roman" w:hint="eastAsia"/>
                      <w:sz w:val="21"/>
                      <w:szCs w:val="21"/>
                    </w:rPr>
                    <w:t>危险废物</w:t>
                  </w:r>
                  <w:r>
                    <w:rPr>
                      <w:rFonts w:cs="Times New Roman" w:hint="eastAsia"/>
                      <w:sz w:val="21"/>
                      <w:szCs w:val="21"/>
                    </w:rPr>
                    <w:t>一并暂存、委托处置。</w:t>
                  </w:r>
                  <w:r w:rsidR="009C4C8C" w:rsidRPr="009C4C8C">
                    <w:rPr>
                      <w:rFonts w:cs="Times New Roman" w:hint="eastAsia"/>
                      <w:sz w:val="21"/>
                      <w:szCs w:val="21"/>
                    </w:rPr>
                    <w:t>在采取上述治理措施并落实环境风险应急预案的前提下，项目环境风险可控；正常工况下，项目不会对土壤环境造成明显不利影响</w:t>
                  </w:r>
                </w:p>
              </w:tc>
              <w:tc>
                <w:tcPr>
                  <w:tcW w:w="540" w:type="pct"/>
                  <w:vAlign w:val="center"/>
                </w:tcPr>
                <w:p w14:paraId="64EB5930"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符合</w:t>
                  </w:r>
                </w:p>
              </w:tc>
            </w:tr>
            <w:tr w:rsidR="003C4F46" w14:paraId="6C81D6A2" w14:textId="77777777" w:rsidTr="00474CA7">
              <w:trPr>
                <w:trHeight w:val="51"/>
                <w:jc w:val="center"/>
              </w:trPr>
              <w:tc>
                <w:tcPr>
                  <w:tcW w:w="517" w:type="pct"/>
                  <w:vAlign w:val="center"/>
                </w:tcPr>
                <w:p w14:paraId="548CDB44"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资源利用上线</w:t>
                  </w:r>
                </w:p>
              </w:tc>
              <w:tc>
                <w:tcPr>
                  <w:tcW w:w="2360" w:type="pct"/>
                  <w:vAlign w:val="center"/>
                </w:tcPr>
                <w:p w14:paraId="3AC4B26B" w14:textId="77777777" w:rsidR="003C4F46" w:rsidRDefault="004B6A81">
                  <w:pPr>
                    <w:spacing w:line="240" w:lineRule="auto"/>
                    <w:ind w:firstLineChars="0" w:firstLine="0"/>
                    <w:contextualSpacing/>
                    <w:rPr>
                      <w:rFonts w:cs="Times New Roman"/>
                      <w:sz w:val="21"/>
                      <w:szCs w:val="21"/>
                    </w:rPr>
                  </w:pPr>
                  <w:r>
                    <w:rPr>
                      <w:rFonts w:cs="Times New Roman"/>
                      <w:sz w:val="21"/>
                      <w:szCs w:val="21"/>
                    </w:rPr>
                    <w:t>强化节约集约利用，持续提升资源能源利用效率，水资源、土地资源、能源消耗等达到国家、自治区下达的总量和强度控制目标，加快低碳发展，提升碳汇能力，做好碳达峰和碳中和工作</w:t>
                  </w:r>
                </w:p>
              </w:tc>
              <w:tc>
                <w:tcPr>
                  <w:tcW w:w="1583" w:type="pct"/>
                  <w:vAlign w:val="center"/>
                </w:tcPr>
                <w:p w14:paraId="26FD903C" w14:textId="057754A3" w:rsidR="003C4F46" w:rsidRDefault="004B6A81">
                  <w:pPr>
                    <w:spacing w:line="240" w:lineRule="auto"/>
                    <w:ind w:firstLineChars="0" w:firstLine="0"/>
                    <w:contextualSpacing/>
                    <w:rPr>
                      <w:rFonts w:cs="Times New Roman"/>
                      <w:sz w:val="21"/>
                      <w:szCs w:val="21"/>
                    </w:rPr>
                  </w:pPr>
                  <w:r>
                    <w:rPr>
                      <w:rFonts w:cs="Times New Roman" w:hint="eastAsia"/>
                      <w:sz w:val="21"/>
                      <w:szCs w:val="21"/>
                    </w:rPr>
                    <w:t>本项目不新增占地。项目综合能耗均在园区分配的指标范围内，可满足国家和自治区对资源能源消耗总量及强度控制目标的要求</w:t>
                  </w:r>
                </w:p>
              </w:tc>
              <w:tc>
                <w:tcPr>
                  <w:tcW w:w="540" w:type="pct"/>
                  <w:vAlign w:val="center"/>
                </w:tcPr>
                <w:p w14:paraId="68930DB5"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符合</w:t>
                  </w:r>
                </w:p>
              </w:tc>
            </w:tr>
            <w:tr w:rsidR="003C4F46" w14:paraId="5AC4DAED" w14:textId="77777777" w:rsidTr="00474CA7">
              <w:trPr>
                <w:trHeight w:val="9369"/>
                <w:jc w:val="center"/>
              </w:trPr>
              <w:tc>
                <w:tcPr>
                  <w:tcW w:w="517" w:type="pct"/>
                  <w:vAlign w:val="center"/>
                </w:tcPr>
                <w:p w14:paraId="4C13E4AF" w14:textId="77777777" w:rsidR="003C4F46" w:rsidRDefault="004B6A81">
                  <w:pPr>
                    <w:spacing w:line="240" w:lineRule="auto"/>
                    <w:ind w:firstLineChars="0" w:firstLine="0"/>
                    <w:contextualSpacing/>
                    <w:jc w:val="center"/>
                    <w:rPr>
                      <w:rFonts w:cs="Times New Roman"/>
                      <w:sz w:val="21"/>
                      <w:szCs w:val="21"/>
                    </w:rPr>
                  </w:pPr>
                  <w:r>
                    <w:rPr>
                      <w:rFonts w:cs="Times New Roman"/>
                      <w:spacing w:val="-10"/>
                      <w:kern w:val="0"/>
                      <w:sz w:val="21"/>
                      <w:szCs w:val="21"/>
                    </w:rPr>
                    <w:lastRenderedPageBreak/>
                    <w:t>环境管控单元</w:t>
                  </w:r>
                </w:p>
              </w:tc>
              <w:tc>
                <w:tcPr>
                  <w:tcW w:w="2360" w:type="pct"/>
                  <w:vAlign w:val="center"/>
                </w:tcPr>
                <w:p w14:paraId="3238F3B4" w14:textId="77777777" w:rsidR="003C4F46" w:rsidRDefault="004B6A81">
                  <w:pPr>
                    <w:autoSpaceDE w:val="0"/>
                    <w:autoSpaceDN w:val="0"/>
                    <w:adjustRightInd w:val="0"/>
                    <w:spacing w:line="240" w:lineRule="auto"/>
                    <w:ind w:firstLine="420"/>
                    <w:rPr>
                      <w:rFonts w:cs="Times New Roman"/>
                      <w:color w:val="000000"/>
                      <w:sz w:val="21"/>
                      <w:szCs w:val="21"/>
                    </w:rPr>
                  </w:pPr>
                  <w:r>
                    <w:rPr>
                      <w:rFonts w:cs="Times New Roman"/>
                      <w:color w:val="000000"/>
                      <w:sz w:val="21"/>
                      <w:szCs w:val="21"/>
                    </w:rPr>
                    <w:t>自治州划定</w:t>
                  </w:r>
                  <w:r>
                    <w:rPr>
                      <w:rFonts w:cs="Times New Roman"/>
                      <w:color w:val="000000"/>
                      <w:sz w:val="21"/>
                      <w:szCs w:val="21"/>
                    </w:rPr>
                    <w:t>154</w:t>
                  </w:r>
                  <w:r>
                    <w:rPr>
                      <w:rFonts w:cs="Times New Roman"/>
                      <w:color w:val="000000"/>
                      <w:sz w:val="21"/>
                      <w:szCs w:val="21"/>
                    </w:rPr>
                    <w:t>个环境管控单元，分为优先保护单元、重点管控单元和一般管控单元等三个管控类别。</w:t>
                  </w:r>
                </w:p>
                <w:p w14:paraId="4DEA09F8" w14:textId="77777777" w:rsidR="003C4F46" w:rsidRDefault="004B6A81">
                  <w:pPr>
                    <w:autoSpaceDE w:val="0"/>
                    <w:autoSpaceDN w:val="0"/>
                    <w:adjustRightInd w:val="0"/>
                    <w:spacing w:line="240" w:lineRule="auto"/>
                    <w:ind w:firstLine="420"/>
                    <w:rPr>
                      <w:rFonts w:cs="Times New Roman"/>
                      <w:color w:val="000000"/>
                      <w:sz w:val="21"/>
                      <w:szCs w:val="21"/>
                    </w:rPr>
                  </w:pPr>
                  <w:r>
                    <w:rPr>
                      <w:rFonts w:cs="Times New Roman"/>
                      <w:color w:val="000000"/>
                      <w:sz w:val="21"/>
                      <w:szCs w:val="21"/>
                    </w:rPr>
                    <w:t>优先保护类单元</w:t>
                  </w:r>
                  <w:r>
                    <w:rPr>
                      <w:rFonts w:cs="Times New Roman"/>
                      <w:color w:val="000000"/>
                      <w:sz w:val="21"/>
                      <w:szCs w:val="21"/>
                    </w:rPr>
                    <w:t>66</w:t>
                  </w:r>
                  <w:r>
                    <w:rPr>
                      <w:rFonts w:cs="Times New Roman"/>
                      <w:color w:val="000000"/>
                      <w:sz w:val="21"/>
                      <w:szCs w:val="21"/>
                    </w:rPr>
                    <w:t>个。主要包括生态保护红线区和生态保护红线区以外的饮用水水源保护区、水源涵养区、防风固沙区、土地沙化防控区、水土流失防控区等一般生态空间管控区。生态保护红线区执行生态保护红线管理办法的有关要求；一般生态空间管控区应以生态环境保护优先为原则，开发建设活动应严格执行相关法律、法规要求，严守生态环境质量底线，确保生态功能不降低。</w:t>
                  </w:r>
                </w:p>
                <w:p w14:paraId="268D572C" w14:textId="77777777" w:rsidR="003C4F46" w:rsidRDefault="004B6A81">
                  <w:pPr>
                    <w:autoSpaceDE w:val="0"/>
                    <w:autoSpaceDN w:val="0"/>
                    <w:adjustRightInd w:val="0"/>
                    <w:spacing w:line="240" w:lineRule="auto"/>
                    <w:ind w:firstLine="420"/>
                    <w:rPr>
                      <w:rFonts w:cs="Times New Roman"/>
                      <w:color w:val="000000"/>
                      <w:sz w:val="21"/>
                      <w:szCs w:val="21"/>
                    </w:rPr>
                  </w:pPr>
                  <w:r>
                    <w:rPr>
                      <w:rFonts w:cs="Times New Roman"/>
                      <w:color w:val="000000"/>
                      <w:sz w:val="21"/>
                      <w:szCs w:val="21"/>
                    </w:rPr>
                    <w:t>重点管控单元</w:t>
                  </w:r>
                  <w:r>
                    <w:rPr>
                      <w:rFonts w:cs="Times New Roman"/>
                      <w:color w:val="000000"/>
                      <w:sz w:val="21"/>
                      <w:szCs w:val="21"/>
                    </w:rPr>
                    <w:t>79</w:t>
                  </w:r>
                  <w:r>
                    <w:rPr>
                      <w:rFonts w:cs="Times New Roman"/>
                      <w:color w:val="000000"/>
                      <w:sz w:val="21"/>
                      <w:szCs w:val="21"/>
                    </w:rPr>
                    <w:t>个。主要包括城镇建成区、工业园区和开发强度大、污染物排放强度高的工业聚集区等。要着力优化空间布局，不断提升资源利用效率，有针对性地加强污染物排放管控和环境风险防控，解决生态环境质量不达标、生态环境风险高等问题。</w:t>
                  </w:r>
                </w:p>
                <w:p w14:paraId="1755F1ED" w14:textId="77777777" w:rsidR="003C4F46" w:rsidRDefault="004B6A81">
                  <w:pPr>
                    <w:spacing w:line="240" w:lineRule="auto"/>
                    <w:ind w:firstLine="420"/>
                    <w:contextualSpacing/>
                    <w:rPr>
                      <w:rFonts w:cs="Times New Roman"/>
                      <w:sz w:val="21"/>
                      <w:szCs w:val="21"/>
                    </w:rPr>
                  </w:pPr>
                  <w:r>
                    <w:rPr>
                      <w:rFonts w:cs="Times New Roman"/>
                      <w:color w:val="000000"/>
                      <w:sz w:val="21"/>
                      <w:szCs w:val="21"/>
                    </w:rPr>
                    <w:t>一般管控单元共</w:t>
                  </w:r>
                  <w:r>
                    <w:rPr>
                      <w:rFonts w:cs="Times New Roman"/>
                      <w:color w:val="000000"/>
                      <w:sz w:val="21"/>
                      <w:szCs w:val="21"/>
                    </w:rPr>
                    <w:t>9</w:t>
                  </w:r>
                  <w:r>
                    <w:rPr>
                      <w:rFonts w:cs="Times New Roman"/>
                      <w:color w:val="000000"/>
                      <w:sz w:val="21"/>
                      <w:szCs w:val="21"/>
                    </w:rPr>
                    <w:t>个。主要包括优先保护单元和重点管控单元之外的其它区域。一般管控单元以沙漠、荒漠、戈壁、一般农业生产等为主的管控单元，主要落实生态环境保护基本要求，推动区域环境质量持续改善。</w:t>
                  </w:r>
                </w:p>
              </w:tc>
              <w:tc>
                <w:tcPr>
                  <w:tcW w:w="1583" w:type="pct"/>
                  <w:vAlign w:val="center"/>
                </w:tcPr>
                <w:p w14:paraId="572EDAC0" w14:textId="77777777" w:rsidR="003C4F46" w:rsidRDefault="004B6A81">
                  <w:pPr>
                    <w:spacing w:line="240" w:lineRule="auto"/>
                    <w:ind w:firstLineChars="0" w:firstLine="0"/>
                    <w:contextualSpacing/>
                    <w:rPr>
                      <w:rFonts w:cs="Times New Roman"/>
                      <w:color w:val="000000"/>
                      <w:sz w:val="21"/>
                      <w:szCs w:val="21"/>
                    </w:rPr>
                  </w:pPr>
                  <w:r>
                    <w:rPr>
                      <w:rFonts w:cs="Times New Roman" w:hint="eastAsia"/>
                      <w:sz w:val="21"/>
                      <w:szCs w:val="21"/>
                    </w:rPr>
                    <w:t>本项目位于轮台工业园区</w:t>
                  </w:r>
                  <w:r>
                    <w:rPr>
                      <w:rFonts w:cs="Times New Roman" w:hint="eastAsia"/>
                      <w:sz w:val="21"/>
                      <w:szCs w:val="21"/>
                    </w:rPr>
                    <w:t>-</w:t>
                  </w:r>
                  <w:r>
                    <w:rPr>
                      <w:rFonts w:cs="Times New Roman" w:hint="eastAsia"/>
                      <w:sz w:val="21"/>
                      <w:szCs w:val="21"/>
                    </w:rPr>
                    <w:t>重点管控单元（</w:t>
                  </w:r>
                  <w:r>
                    <w:rPr>
                      <w:rFonts w:cs="Times New Roman" w:hint="eastAsia"/>
                      <w:sz w:val="21"/>
                      <w:szCs w:val="21"/>
                    </w:rPr>
                    <w:t>ZH65282220004</w:t>
                  </w:r>
                  <w:r>
                    <w:rPr>
                      <w:rFonts w:cs="Times New Roman" w:hint="eastAsia"/>
                      <w:sz w:val="21"/>
                      <w:szCs w:val="21"/>
                    </w:rPr>
                    <w:t>），项目建设坚持生态优先原则，在建设过程中严格执行国家及地方相关法律法规，严守生态环境质量底线，确保区域生态功能不降低；通过落实完善的污染防治和环境风险防控措施，各类污染物可实现达标排放，项目实施后的环境风险处于可控范围</w:t>
                  </w:r>
                </w:p>
              </w:tc>
              <w:tc>
                <w:tcPr>
                  <w:tcW w:w="540" w:type="pct"/>
                  <w:vAlign w:val="center"/>
                </w:tcPr>
                <w:p w14:paraId="3B8AE6CB" w14:textId="77777777" w:rsidR="003C4F46" w:rsidRDefault="004B6A81">
                  <w:pPr>
                    <w:spacing w:line="240" w:lineRule="auto"/>
                    <w:ind w:firstLineChars="0" w:firstLine="0"/>
                    <w:contextualSpacing/>
                    <w:jc w:val="center"/>
                    <w:rPr>
                      <w:rFonts w:cs="Times New Roman"/>
                      <w:sz w:val="21"/>
                      <w:szCs w:val="21"/>
                    </w:rPr>
                  </w:pPr>
                  <w:r>
                    <w:rPr>
                      <w:rFonts w:cs="Times New Roman"/>
                      <w:sz w:val="21"/>
                      <w:szCs w:val="21"/>
                    </w:rPr>
                    <w:t>符合</w:t>
                  </w:r>
                </w:p>
              </w:tc>
            </w:tr>
          </w:tbl>
          <w:p w14:paraId="4D0FA67D" w14:textId="77777777" w:rsidR="003C4F46" w:rsidRDefault="004B6A81">
            <w:pPr>
              <w:spacing w:beforeLines="50" w:before="163" w:line="240" w:lineRule="auto"/>
              <w:ind w:firstLineChars="0" w:firstLine="0"/>
              <w:jc w:val="center"/>
              <w:rPr>
                <w:rFonts w:cs="Times New Roman"/>
                <w:b/>
                <w:color w:val="000000"/>
                <w:sz w:val="21"/>
              </w:rPr>
            </w:pPr>
            <w:bookmarkStart w:id="10" w:name="_Hlk97287333"/>
            <w:bookmarkEnd w:id="9"/>
            <w:r>
              <w:rPr>
                <w:rFonts w:cs="Times New Roman"/>
                <w:b/>
                <w:color w:val="000000"/>
                <w:sz w:val="21"/>
              </w:rPr>
              <w:t>表</w:t>
            </w:r>
            <w:r>
              <w:rPr>
                <w:rFonts w:cs="Times New Roman" w:hint="eastAsia"/>
                <w:b/>
                <w:color w:val="000000"/>
                <w:sz w:val="21"/>
              </w:rPr>
              <w:t>1-</w:t>
            </w:r>
            <w:r>
              <w:rPr>
                <w:rFonts w:cs="Times New Roman"/>
                <w:b/>
                <w:color w:val="000000"/>
                <w:sz w:val="21"/>
              </w:rPr>
              <w:t>4</w:t>
            </w:r>
            <w:r>
              <w:rPr>
                <w:rFonts w:cs="Times New Roman" w:hint="eastAsia"/>
                <w:b/>
                <w:color w:val="000000"/>
                <w:sz w:val="21"/>
              </w:rPr>
              <w:t xml:space="preserve"> </w:t>
            </w:r>
            <w:r>
              <w:rPr>
                <w:rFonts w:cs="Times New Roman"/>
                <w:b/>
                <w:color w:val="000000"/>
                <w:sz w:val="21"/>
              </w:rPr>
              <w:t xml:space="preserve"> </w:t>
            </w:r>
            <w:r>
              <w:rPr>
                <w:rFonts w:cs="Times New Roman" w:hint="eastAsia"/>
                <w:b/>
                <w:color w:val="000000"/>
                <w:sz w:val="21"/>
              </w:rPr>
              <w:t>本项目与《巴音郭楞蒙古自治州生态环境准入清单》符合性</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72"/>
              <w:gridCol w:w="3568"/>
              <w:gridCol w:w="2301"/>
              <w:gridCol w:w="573"/>
            </w:tblGrid>
            <w:tr w:rsidR="003C4F46" w14:paraId="6461F4CF" w14:textId="77777777">
              <w:trPr>
                <w:tblHeader/>
                <w:jc w:val="center"/>
              </w:trPr>
              <w:tc>
                <w:tcPr>
                  <w:tcW w:w="640" w:type="dxa"/>
                  <w:tcBorders>
                    <w:tl2br w:val="nil"/>
                    <w:tr2bl w:val="nil"/>
                  </w:tcBorders>
                  <w:vAlign w:val="center"/>
                </w:tcPr>
                <w:p w14:paraId="6C72F4EE"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内容</w:t>
                  </w:r>
                </w:p>
              </w:tc>
              <w:tc>
                <w:tcPr>
                  <w:tcW w:w="4345" w:type="dxa"/>
                  <w:tcBorders>
                    <w:tl2br w:val="nil"/>
                    <w:tr2bl w:val="nil"/>
                  </w:tcBorders>
                  <w:vAlign w:val="center"/>
                </w:tcPr>
                <w:p w14:paraId="112B4167"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管制要求</w:t>
                  </w:r>
                </w:p>
              </w:tc>
              <w:tc>
                <w:tcPr>
                  <w:tcW w:w="2617" w:type="dxa"/>
                  <w:tcBorders>
                    <w:tl2br w:val="nil"/>
                    <w:tr2bl w:val="nil"/>
                  </w:tcBorders>
                  <w:vAlign w:val="center"/>
                </w:tcPr>
                <w:p w14:paraId="4378D878"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本项目</w:t>
                  </w:r>
                </w:p>
              </w:tc>
              <w:tc>
                <w:tcPr>
                  <w:tcW w:w="641" w:type="dxa"/>
                  <w:tcBorders>
                    <w:tl2br w:val="nil"/>
                    <w:tr2bl w:val="nil"/>
                  </w:tcBorders>
                  <w:vAlign w:val="center"/>
                </w:tcPr>
                <w:p w14:paraId="0E155B73"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符合性</w:t>
                  </w:r>
                </w:p>
              </w:tc>
            </w:tr>
            <w:tr w:rsidR="003C4F46" w14:paraId="30520CB0" w14:textId="77777777">
              <w:trPr>
                <w:trHeight w:val="57"/>
                <w:jc w:val="center"/>
              </w:trPr>
              <w:tc>
                <w:tcPr>
                  <w:tcW w:w="8243" w:type="dxa"/>
                  <w:gridSpan w:val="4"/>
                  <w:tcBorders>
                    <w:tl2br w:val="nil"/>
                    <w:tr2bl w:val="nil"/>
                  </w:tcBorders>
                  <w:vAlign w:val="center"/>
                </w:tcPr>
                <w:p w14:paraId="1CF9A595" w14:textId="77777777" w:rsidR="003C4F46" w:rsidRDefault="004B6A81">
                  <w:pPr>
                    <w:spacing w:line="240" w:lineRule="auto"/>
                    <w:ind w:firstLineChars="0" w:firstLine="0"/>
                    <w:jc w:val="center"/>
                    <w:rPr>
                      <w:rFonts w:cs="Times New Roman"/>
                      <w:color w:val="000000"/>
                      <w:sz w:val="21"/>
                      <w:szCs w:val="21"/>
                    </w:rPr>
                  </w:pPr>
                  <w:r>
                    <w:rPr>
                      <w:rFonts w:cs="Times New Roman" w:hint="eastAsia"/>
                      <w:b/>
                      <w:bCs/>
                      <w:color w:val="000000"/>
                      <w:sz w:val="21"/>
                      <w:szCs w:val="21"/>
                    </w:rPr>
                    <w:t>轮台工业园区</w:t>
                  </w:r>
                  <w:r>
                    <w:rPr>
                      <w:rFonts w:cs="Times New Roman" w:hint="eastAsia"/>
                      <w:b/>
                      <w:bCs/>
                      <w:color w:val="000000"/>
                      <w:sz w:val="21"/>
                      <w:szCs w:val="21"/>
                    </w:rPr>
                    <w:t>-</w:t>
                  </w:r>
                  <w:r>
                    <w:rPr>
                      <w:rFonts w:cs="Times New Roman" w:hint="eastAsia"/>
                      <w:b/>
                      <w:bCs/>
                      <w:color w:val="000000"/>
                      <w:sz w:val="21"/>
                      <w:szCs w:val="21"/>
                    </w:rPr>
                    <w:t>重点管控单元（</w:t>
                  </w:r>
                  <w:r>
                    <w:rPr>
                      <w:rFonts w:cs="Times New Roman" w:hint="eastAsia"/>
                      <w:b/>
                      <w:bCs/>
                      <w:color w:val="000000"/>
                      <w:sz w:val="21"/>
                      <w:szCs w:val="21"/>
                    </w:rPr>
                    <w:t>ZH65282220004</w:t>
                  </w:r>
                  <w:r>
                    <w:rPr>
                      <w:rFonts w:cs="Times New Roman" w:hint="eastAsia"/>
                      <w:b/>
                      <w:bCs/>
                      <w:color w:val="000000"/>
                      <w:sz w:val="21"/>
                      <w:szCs w:val="21"/>
                    </w:rPr>
                    <w:t>）</w:t>
                  </w:r>
                </w:p>
              </w:tc>
            </w:tr>
            <w:tr w:rsidR="003C4F46" w14:paraId="6B38FB80" w14:textId="77777777" w:rsidTr="00744D0C">
              <w:trPr>
                <w:trHeight w:val="56"/>
                <w:jc w:val="center"/>
              </w:trPr>
              <w:tc>
                <w:tcPr>
                  <w:tcW w:w="640" w:type="dxa"/>
                  <w:tcBorders>
                    <w:tl2br w:val="nil"/>
                    <w:tr2bl w:val="nil"/>
                  </w:tcBorders>
                  <w:vAlign w:val="center"/>
                </w:tcPr>
                <w:p w14:paraId="56BD8152"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空间布局约束</w:t>
                  </w:r>
                </w:p>
              </w:tc>
              <w:tc>
                <w:tcPr>
                  <w:tcW w:w="4345" w:type="dxa"/>
                  <w:tcBorders>
                    <w:tl2br w:val="nil"/>
                    <w:tr2bl w:val="nil"/>
                  </w:tcBorders>
                  <w:vAlign w:val="center"/>
                </w:tcPr>
                <w:p w14:paraId="3F170845"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禁止引进能（水）耗不符合相关国家标准中准入值要求，且污染物排放和环境风险防控不符合国家（地方）标准及有关产业准入条件的高污染（排放）、高能（水）耗、高环境风险的工业项目</w:t>
                  </w:r>
                  <w:r>
                    <w:rPr>
                      <w:rFonts w:cs="Times New Roman"/>
                      <w:color w:val="000000"/>
                      <w:sz w:val="21"/>
                      <w:szCs w:val="21"/>
                    </w:rPr>
                    <w:t>。</w:t>
                  </w:r>
                </w:p>
              </w:tc>
              <w:tc>
                <w:tcPr>
                  <w:tcW w:w="2617" w:type="dxa"/>
                  <w:tcBorders>
                    <w:tl2br w:val="nil"/>
                    <w:tr2bl w:val="nil"/>
                  </w:tcBorders>
                  <w:vAlign w:val="center"/>
                </w:tcPr>
                <w:p w14:paraId="71A524F7" w14:textId="77777777" w:rsidR="003C4F46" w:rsidRDefault="004B6A81">
                  <w:pPr>
                    <w:spacing w:line="240" w:lineRule="auto"/>
                    <w:ind w:firstLineChars="0" w:firstLine="0"/>
                    <w:jc w:val="center"/>
                    <w:rPr>
                      <w:rFonts w:cs="Times New Roman"/>
                      <w:color w:val="000000"/>
                      <w:sz w:val="21"/>
                      <w:szCs w:val="21"/>
                    </w:rPr>
                  </w:pPr>
                  <w:r>
                    <w:rPr>
                      <w:rFonts w:cs="Times New Roman" w:hint="eastAsia"/>
                      <w:color w:val="000000"/>
                      <w:sz w:val="21"/>
                      <w:szCs w:val="21"/>
                    </w:rPr>
                    <w:t>本项目能（水）耗符合相关国家标准中准入值要求，各项污染物能够满足排放标准要求</w:t>
                  </w:r>
                </w:p>
              </w:tc>
              <w:tc>
                <w:tcPr>
                  <w:tcW w:w="641" w:type="dxa"/>
                  <w:tcBorders>
                    <w:tl2br w:val="nil"/>
                    <w:tr2bl w:val="nil"/>
                  </w:tcBorders>
                  <w:vAlign w:val="center"/>
                </w:tcPr>
                <w:p w14:paraId="67881921"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符合</w:t>
                  </w:r>
                </w:p>
              </w:tc>
            </w:tr>
            <w:tr w:rsidR="003C4F46" w14:paraId="07901A18" w14:textId="77777777">
              <w:trPr>
                <w:trHeight w:val="57"/>
                <w:jc w:val="center"/>
              </w:trPr>
              <w:tc>
                <w:tcPr>
                  <w:tcW w:w="640" w:type="dxa"/>
                  <w:tcBorders>
                    <w:tl2br w:val="nil"/>
                    <w:tr2bl w:val="nil"/>
                  </w:tcBorders>
                  <w:vAlign w:val="center"/>
                </w:tcPr>
                <w:p w14:paraId="041548A7"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污染</w:t>
                  </w:r>
                  <w:r>
                    <w:rPr>
                      <w:rFonts w:cs="Times New Roman"/>
                      <w:color w:val="000000"/>
                      <w:sz w:val="21"/>
                      <w:szCs w:val="21"/>
                    </w:rPr>
                    <w:lastRenderedPageBreak/>
                    <w:t>物排放管控</w:t>
                  </w:r>
                </w:p>
              </w:tc>
              <w:tc>
                <w:tcPr>
                  <w:tcW w:w="4345" w:type="dxa"/>
                  <w:tcBorders>
                    <w:tl2br w:val="nil"/>
                    <w:tr2bl w:val="nil"/>
                  </w:tcBorders>
                  <w:vAlign w:val="center"/>
                </w:tcPr>
                <w:p w14:paraId="3F90D88E"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lastRenderedPageBreak/>
                    <w:t>1.</w:t>
                  </w:r>
                  <w:r>
                    <w:rPr>
                      <w:rFonts w:cs="Times New Roman" w:hint="eastAsia"/>
                      <w:color w:val="000000"/>
                      <w:sz w:val="21"/>
                      <w:szCs w:val="21"/>
                    </w:rPr>
                    <w:t>大气排放污染物的企业事业单位和</w:t>
                  </w:r>
                  <w:r>
                    <w:rPr>
                      <w:rFonts w:cs="Times New Roman" w:hint="eastAsia"/>
                      <w:color w:val="000000"/>
                      <w:sz w:val="21"/>
                      <w:szCs w:val="21"/>
                    </w:rPr>
                    <w:lastRenderedPageBreak/>
                    <w:t>其他生产经营者应当履行大气污染防治的法定义务，执行大气污染物排放标准，遵守大气污染物排放总量控制要求。</w:t>
                  </w:r>
                </w:p>
                <w:p w14:paraId="32D087AB"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2.</w:t>
                  </w:r>
                  <w:r>
                    <w:rPr>
                      <w:rFonts w:cs="Times New Roman" w:hint="eastAsia"/>
                      <w:color w:val="000000"/>
                      <w:sz w:val="21"/>
                      <w:szCs w:val="21"/>
                    </w:rPr>
                    <w:t>实施挥发性有机物及恶臭治理。加快石化企业脱硫以及动力车间脱硫、脱硝工作，加强罐区油气治理、装卸储运油气回收以及工艺废气挥发性有机物治理、恶臭治理。积极推进陶瓷、玻璃、砖瓦等建材行业二氧化硫、烟粉尘控制。在石化、有机化工、煤化工等重点行业开展挥发性有机物综合治理，在石化行业开展“泄漏检测与修复”技术改造。建立挥发性有机物重点监管企业名录。积极推进加油站、储油库和油罐车开展油气回收，完成所有加油站、储油库和油罐车油气回收治理。</w:t>
                  </w:r>
                </w:p>
                <w:p w14:paraId="04F17AEC"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3.</w:t>
                  </w:r>
                  <w:r>
                    <w:rPr>
                      <w:rFonts w:cs="Times New Roman" w:hint="eastAsia"/>
                      <w:color w:val="000000"/>
                      <w:sz w:val="21"/>
                      <w:szCs w:val="21"/>
                    </w:rPr>
                    <w:t>防治地下水污染。石化生产存贮销售企业和工业园区等区域应进行必要的防渗处理。加油站地下油罐全部更新为双层罐或完成防渗池设置</w:t>
                  </w:r>
                  <w:r>
                    <w:rPr>
                      <w:rFonts w:cs="Times New Roman"/>
                      <w:color w:val="000000"/>
                      <w:sz w:val="21"/>
                      <w:szCs w:val="21"/>
                    </w:rPr>
                    <w:t>。</w:t>
                  </w:r>
                </w:p>
              </w:tc>
              <w:tc>
                <w:tcPr>
                  <w:tcW w:w="2617" w:type="dxa"/>
                  <w:tcBorders>
                    <w:tl2br w:val="nil"/>
                    <w:tr2bl w:val="nil"/>
                  </w:tcBorders>
                  <w:vAlign w:val="center"/>
                </w:tcPr>
                <w:p w14:paraId="4F4E22AC" w14:textId="267CF0D0" w:rsidR="003C4F46" w:rsidRDefault="00517934">
                  <w:pPr>
                    <w:spacing w:line="240" w:lineRule="auto"/>
                    <w:ind w:firstLineChars="0" w:firstLine="0"/>
                    <w:rPr>
                      <w:rFonts w:cs="Times New Roman"/>
                      <w:color w:val="000000"/>
                      <w:sz w:val="21"/>
                      <w:szCs w:val="21"/>
                    </w:rPr>
                  </w:pPr>
                  <w:r>
                    <w:rPr>
                      <w:rFonts w:cs="Times New Roman"/>
                      <w:color w:val="000000"/>
                      <w:sz w:val="21"/>
                      <w:szCs w:val="21"/>
                    </w:rPr>
                    <w:lastRenderedPageBreak/>
                    <w:t>1</w:t>
                  </w:r>
                  <w:r w:rsidR="004B6A81">
                    <w:rPr>
                      <w:rFonts w:cs="Times New Roman" w:hint="eastAsia"/>
                      <w:color w:val="000000"/>
                      <w:sz w:val="21"/>
                      <w:szCs w:val="21"/>
                    </w:rPr>
                    <w:t>.</w:t>
                  </w:r>
                  <w:r w:rsidR="004B6A81">
                    <w:rPr>
                      <w:rFonts w:cs="Times New Roman" w:hint="eastAsia"/>
                      <w:color w:val="000000"/>
                      <w:sz w:val="21"/>
                      <w:szCs w:val="21"/>
                    </w:rPr>
                    <w:t>本项目</w:t>
                  </w:r>
                  <w:r w:rsidR="004B6A81">
                    <w:rPr>
                      <w:rFonts w:cs="Times New Roman" w:hint="eastAsia"/>
                      <w:color w:val="000000"/>
                      <w:sz w:val="21"/>
                      <w:szCs w:val="21"/>
                    </w:rPr>
                    <w:t>1#</w:t>
                  </w:r>
                  <w:r w:rsidR="004B6A81">
                    <w:rPr>
                      <w:rFonts w:cs="Times New Roman" w:hint="eastAsia"/>
                      <w:color w:val="000000"/>
                      <w:sz w:val="21"/>
                      <w:szCs w:val="21"/>
                    </w:rPr>
                    <w:t>贮存库废气</w:t>
                  </w:r>
                  <w:r w:rsidR="004B6A81">
                    <w:rPr>
                      <w:rFonts w:cs="Times New Roman" w:hint="eastAsia"/>
                      <w:color w:val="000000"/>
                      <w:sz w:val="21"/>
                      <w:szCs w:val="21"/>
                    </w:rPr>
                    <w:lastRenderedPageBreak/>
                    <w:t>经负压收集后，先经新建的碱液喷淋塔预处理去除硫酸雾，再依托厂区现有二级活性炭吸附装置处理，尾气通过</w:t>
                  </w:r>
                  <w:r w:rsidR="004B6A81">
                    <w:rPr>
                      <w:rFonts w:cs="Times New Roman" w:hint="eastAsia"/>
                      <w:color w:val="000000"/>
                      <w:sz w:val="21"/>
                      <w:szCs w:val="21"/>
                    </w:rPr>
                    <w:t>15m</w:t>
                  </w:r>
                  <w:r w:rsidR="004B6A81">
                    <w:rPr>
                      <w:rFonts w:cs="Times New Roman" w:hint="eastAsia"/>
                      <w:color w:val="000000"/>
                      <w:sz w:val="21"/>
                      <w:szCs w:val="21"/>
                    </w:rPr>
                    <w:t>高排气筒（</w:t>
                  </w:r>
                  <w:r w:rsidR="004B6A81">
                    <w:rPr>
                      <w:rFonts w:cs="Times New Roman" w:hint="eastAsia"/>
                      <w:color w:val="000000"/>
                      <w:sz w:val="21"/>
                      <w:szCs w:val="21"/>
                    </w:rPr>
                    <w:t>DA005</w:t>
                  </w:r>
                  <w:r w:rsidR="004B6A81">
                    <w:rPr>
                      <w:rFonts w:cs="Times New Roman" w:hint="eastAsia"/>
                      <w:color w:val="000000"/>
                      <w:sz w:val="21"/>
                      <w:szCs w:val="21"/>
                    </w:rPr>
                    <w:t>）排放</w:t>
                  </w:r>
                  <w:r>
                    <w:rPr>
                      <w:rFonts w:cs="Times New Roman" w:hint="eastAsia"/>
                      <w:color w:val="000000"/>
                      <w:sz w:val="21"/>
                      <w:szCs w:val="21"/>
                    </w:rPr>
                    <w:t>2</w:t>
                  </w:r>
                  <w:r w:rsidR="004B6A81">
                    <w:rPr>
                      <w:rFonts w:cs="Times New Roman" w:hint="eastAsia"/>
                      <w:color w:val="000000"/>
                      <w:sz w:val="21"/>
                      <w:szCs w:val="21"/>
                    </w:rPr>
                    <w:t>.</w:t>
                  </w:r>
                  <w:r w:rsidR="004B6A81">
                    <w:rPr>
                      <w:rFonts w:cs="Times New Roman" w:hint="eastAsia"/>
                      <w:color w:val="000000"/>
                      <w:sz w:val="21"/>
                      <w:szCs w:val="21"/>
                    </w:rPr>
                    <w:t>项目已设计分区防渗措施</w:t>
                  </w:r>
                </w:p>
              </w:tc>
              <w:tc>
                <w:tcPr>
                  <w:tcW w:w="641" w:type="dxa"/>
                  <w:tcBorders>
                    <w:tl2br w:val="nil"/>
                    <w:tr2bl w:val="nil"/>
                  </w:tcBorders>
                  <w:vAlign w:val="center"/>
                </w:tcPr>
                <w:p w14:paraId="0395093D"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lastRenderedPageBreak/>
                    <w:t>符合</w:t>
                  </w:r>
                </w:p>
              </w:tc>
            </w:tr>
            <w:tr w:rsidR="003C4F46" w14:paraId="6603DC77" w14:textId="77777777">
              <w:trPr>
                <w:trHeight w:val="665"/>
                <w:jc w:val="center"/>
              </w:trPr>
              <w:tc>
                <w:tcPr>
                  <w:tcW w:w="640" w:type="dxa"/>
                  <w:tcBorders>
                    <w:tl2br w:val="nil"/>
                    <w:tr2bl w:val="nil"/>
                  </w:tcBorders>
                  <w:vAlign w:val="center"/>
                </w:tcPr>
                <w:p w14:paraId="3E45AF49"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环境风险防控</w:t>
                  </w:r>
                </w:p>
              </w:tc>
              <w:tc>
                <w:tcPr>
                  <w:tcW w:w="4345" w:type="dxa"/>
                  <w:tcBorders>
                    <w:tl2br w:val="nil"/>
                    <w:tr2bl w:val="nil"/>
                  </w:tcBorders>
                  <w:vAlign w:val="center"/>
                </w:tcPr>
                <w:p w14:paraId="12624F93" w14:textId="77777777" w:rsidR="003C4F46" w:rsidRDefault="004B6A81">
                  <w:pPr>
                    <w:pStyle w:val="afff7"/>
                    <w:jc w:val="both"/>
                    <w:rPr>
                      <w:color w:val="000000"/>
                      <w:szCs w:val="21"/>
                    </w:rPr>
                  </w:pPr>
                  <w:r>
                    <w:rPr>
                      <w:rFonts w:hint="eastAsia"/>
                    </w:rPr>
                    <w:t>1.</w:t>
                  </w:r>
                  <w:r>
                    <w:rPr>
                      <w:rFonts w:hint="eastAsia"/>
                    </w:rPr>
                    <w:t>定期评估地下水环境安全隐患，检查重点工业企业周边地下水污染状况，并定期公布污染地下水的企业名单。公布环境风险大、严重影响公众健康的地下水</w:t>
                  </w:r>
                  <w:r>
                    <w:rPr>
                      <w:rFonts w:hint="eastAsia"/>
                      <w:color w:val="000000"/>
                      <w:szCs w:val="21"/>
                    </w:rPr>
                    <w:t>污染场地清单，开展修复试点。</w:t>
                  </w:r>
                </w:p>
                <w:p w14:paraId="60937BE3"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2.</w:t>
                  </w:r>
                  <w:r>
                    <w:rPr>
                      <w:rFonts w:cs="Times New Roman" w:hint="eastAsia"/>
                      <w:color w:val="000000"/>
                      <w:sz w:val="21"/>
                      <w:szCs w:val="21"/>
                    </w:rPr>
                    <w:t>重点排污单位应当根据所在地重污染天气应急预案，编制</w:t>
                  </w:r>
                  <w:bookmarkStart w:id="11" w:name="OLE_LINK15"/>
                  <w:r>
                    <w:rPr>
                      <w:rFonts w:cs="Times New Roman" w:hint="eastAsia"/>
                      <w:color w:val="000000"/>
                      <w:sz w:val="21"/>
                      <w:szCs w:val="21"/>
                    </w:rPr>
                    <w:t>本单位重污染天气应急响应方案</w:t>
                  </w:r>
                  <w:bookmarkEnd w:id="11"/>
                  <w:r>
                    <w:rPr>
                      <w:rFonts w:cs="Times New Roman" w:hint="eastAsia"/>
                      <w:color w:val="000000"/>
                      <w:sz w:val="21"/>
                      <w:szCs w:val="21"/>
                    </w:rPr>
                    <w:t>。</w:t>
                  </w:r>
                </w:p>
                <w:p w14:paraId="1504AA3B" w14:textId="77777777" w:rsidR="003C4F46" w:rsidRDefault="004B6A81">
                  <w:pPr>
                    <w:pStyle w:val="a7"/>
                    <w:spacing w:line="240" w:lineRule="auto"/>
                    <w:ind w:firstLineChars="0" w:firstLine="0"/>
                  </w:pPr>
                  <w:r>
                    <w:rPr>
                      <w:rFonts w:hint="eastAsia"/>
                      <w:color w:val="000000"/>
                      <w:sz w:val="21"/>
                      <w:szCs w:val="21"/>
                    </w:rPr>
                    <w:t>3.</w:t>
                  </w:r>
                  <w:r>
                    <w:rPr>
                      <w:rFonts w:hint="eastAsia"/>
                      <w:color w:val="000000"/>
                      <w:sz w:val="21"/>
                      <w:szCs w:val="21"/>
                    </w:rPr>
                    <w:t>土壤环境重点监管企业全部纳入监督性环境监测范围，重点监测污染物为镉、汞、砷、铅、铬等重金属和多环芳烃、石油类等有机污染物。土壤环境监管重点行业企业拆除生产设施设备、构筑物和污染治理设施，要事先制定残留污染物清理和安全处置方案，并报所在地环境保护、工业和信息化部门备案；要严格按照有关规定实施安全处理处置，防范拆除活动污染土壤</w:t>
                  </w:r>
                </w:p>
              </w:tc>
              <w:tc>
                <w:tcPr>
                  <w:tcW w:w="2617" w:type="dxa"/>
                  <w:tcBorders>
                    <w:tl2br w:val="nil"/>
                    <w:tr2bl w:val="nil"/>
                  </w:tcBorders>
                  <w:vAlign w:val="center"/>
                </w:tcPr>
                <w:p w14:paraId="6F034916" w14:textId="77777777" w:rsidR="003C4F46" w:rsidRDefault="004B6A81">
                  <w:pPr>
                    <w:spacing w:line="240" w:lineRule="auto"/>
                    <w:ind w:firstLineChars="0" w:firstLine="0"/>
                    <w:rPr>
                      <w:rFonts w:cs="Times New Roman"/>
                      <w:color w:val="000000"/>
                      <w:sz w:val="21"/>
                      <w:szCs w:val="21"/>
                    </w:rPr>
                  </w:pPr>
                  <w:r>
                    <w:rPr>
                      <w:rFonts w:cs="Times New Roman"/>
                      <w:color w:val="000000"/>
                      <w:sz w:val="21"/>
                      <w:szCs w:val="21"/>
                    </w:rPr>
                    <w:t>现有工程已经制定了《</w:t>
                  </w:r>
                  <w:r>
                    <w:rPr>
                      <w:rFonts w:cs="Times New Roman" w:hint="eastAsia"/>
                      <w:color w:val="000000"/>
                      <w:sz w:val="21"/>
                      <w:szCs w:val="21"/>
                    </w:rPr>
                    <w:t>轮台塔中石油化工有限公司</w:t>
                  </w:r>
                  <w:r>
                    <w:rPr>
                      <w:rFonts w:cs="Times New Roman"/>
                      <w:color w:val="000000"/>
                      <w:sz w:val="21"/>
                      <w:szCs w:val="21"/>
                    </w:rPr>
                    <w:t>突发环境事件应急预案》，本项目采取分区防渗和硬化等措施可有效防治地下水和土壤环境污染</w:t>
                  </w:r>
                </w:p>
              </w:tc>
              <w:tc>
                <w:tcPr>
                  <w:tcW w:w="641" w:type="dxa"/>
                  <w:tcBorders>
                    <w:tl2br w:val="nil"/>
                    <w:tr2bl w:val="nil"/>
                  </w:tcBorders>
                  <w:vAlign w:val="center"/>
                </w:tcPr>
                <w:p w14:paraId="6C17BEE9"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符合</w:t>
                  </w:r>
                </w:p>
              </w:tc>
            </w:tr>
            <w:tr w:rsidR="003C4F46" w14:paraId="1A590AB8" w14:textId="77777777">
              <w:trPr>
                <w:trHeight w:val="57"/>
                <w:jc w:val="center"/>
              </w:trPr>
              <w:tc>
                <w:tcPr>
                  <w:tcW w:w="640" w:type="dxa"/>
                  <w:tcBorders>
                    <w:tl2br w:val="nil"/>
                    <w:tr2bl w:val="nil"/>
                  </w:tcBorders>
                  <w:vAlign w:val="center"/>
                </w:tcPr>
                <w:p w14:paraId="3D2DA9C2"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资源</w:t>
                  </w:r>
                  <w:r>
                    <w:rPr>
                      <w:rFonts w:cs="Times New Roman"/>
                      <w:color w:val="000000"/>
                      <w:sz w:val="21"/>
                      <w:szCs w:val="21"/>
                    </w:rPr>
                    <w:lastRenderedPageBreak/>
                    <w:t>利用效率</w:t>
                  </w:r>
                </w:p>
              </w:tc>
              <w:tc>
                <w:tcPr>
                  <w:tcW w:w="4345" w:type="dxa"/>
                  <w:tcBorders>
                    <w:tl2br w:val="nil"/>
                    <w:tr2bl w:val="nil"/>
                  </w:tcBorders>
                  <w:vAlign w:val="center"/>
                </w:tcPr>
                <w:p w14:paraId="1BD639DE" w14:textId="77777777" w:rsidR="003C4F46" w:rsidRDefault="004B6A81">
                  <w:pPr>
                    <w:spacing w:line="240" w:lineRule="auto"/>
                    <w:ind w:firstLineChars="0" w:firstLine="0"/>
                    <w:jc w:val="center"/>
                    <w:rPr>
                      <w:rFonts w:cs="Times New Roman"/>
                      <w:color w:val="000000"/>
                      <w:sz w:val="21"/>
                      <w:szCs w:val="21"/>
                    </w:rPr>
                  </w:pPr>
                  <w:r>
                    <w:rPr>
                      <w:rFonts w:hint="eastAsia"/>
                      <w:color w:val="000000"/>
                      <w:sz w:val="21"/>
                      <w:szCs w:val="21"/>
                    </w:rPr>
                    <w:lastRenderedPageBreak/>
                    <w:t>强化工业水循环利用。推进加强洗煤</w:t>
                  </w:r>
                  <w:r>
                    <w:rPr>
                      <w:rFonts w:hint="eastAsia"/>
                      <w:color w:val="000000"/>
                      <w:sz w:val="21"/>
                      <w:szCs w:val="21"/>
                    </w:rPr>
                    <w:lastRenderedPageBreak/>
                    <w:t>废水循环利用。在高耗水行业开展试点示范，筛选具有明显经济效益的节水治污技术。鼓励纺织印染、石油石化、煤化工等高耗水企业废水深度处理回用。具备使用再生水条件但未充分利用的项目，不得批准其新增取水许可</w:t>
                  </w:r>
                </w:p>
              </w:tc>
              <w:tc>
                <w:tcPr>
                  <w:tcW w:w="2617" w:type="dxa"/>
                  <w:tcBorders>
                    <w:tl2br w:val="nil"/>
                    <w:tr2bl w:val="nil"/>
                  </w:tcBorders>
                  <w:vAlign w:val="center"/>
                </w:tcPr>
                <w:p w14:paraId="0476AA95" w14:textId="45CE8549" w:rsidR="003C4F46" w:rsidRDefault="00517934">
                  <w:pPr>
                    <w:spacing w:line="240" w:lineRule="auto"/>
                    <w:ind w:firstLineChars="0" w:firstLine="0"/>
                    <w:rPr>
                      <w:color w:val="000000"/>
                      <w:sz w:val="21"/>
                      <w:szCs w:val="21"/>
                    </w:rPr>
                  </w:pPr>
                  <w:r w:rsidRPr="00517934">
                    <w:rPr>
                      <w:rFonts w:hint="eastAsia"/>
                      <w:color w:val="000000"/>
                      <w:sz w:val="21"/>
                      <w:szCs w:val="21"/>
                    </w:rPr>
                    <w:lastRenderedPageBreak/>
                    <w:t>本项目无工艺生产废水</w:t>
                  </w:r>
                  <w:r w:rsidRPr="00517934">
                    <w:rPr>
                      <w:rFonts w:hint="eastAsia"/>
                      <w:color w:val="000000"/>
                      <w:sz w:val="21"/>
                      <w:szCs w:val="21"/>
                    </w:rPr>
                    <w:lastRenderedPageBreak/>
                    <w:t>产生；碱液喷淋废液经中和后循环使用，反应饱和后排入厂区污水处理站处理；生活污水排入园区管网由园区污水处理</w:t>
                  </w:r>
                  <w:r w:rsidR="008806ED">
                    <w:rPr>
                      <w:rFonts w:hint="eastAsia"/>
                      <w:color w:val="000000"/>
                      <w:sz w:val="21"/>
                      <w:szCs w:val="21"/>
                    </w:rPr>
                    <w:t>厂</w:t>
                  </w:r>
                  <w:r w:rsidRPr="00517934">
                    <w:rPr>
                      <w:rFonts w:hint="eastAsia"/>
                      <w:color w:val="000000"/>
                      <w:sz w:val="21"/>
                      <w:szCs w:val="21"/>
                    </w:rPr>
                    <w:t>处理；事故冲洗废水作</w:t>
                  </w:r>
                  <w:r w:rsidR="00744D0C">
                    <w:rPr>
                      <w:rFonts w:cs="Times New Roman" w:hint="eastAsia"/>
                      <w:sz w:val="21"/>
                      <w:szCs w:val="21"/>
                    </w:rPr>
                    <w:t>危险废物</w:t>
                  </w:r>
                  <w:r w:rsidRPr="00517934">
                    <w:rPr>
                      <w:rFonts w:hint="eastAsia"/>
                      <w:color w:val="000000"/>
                      <w:sz w:val="21"/>
                      <w:szCs w:val="21"/>
                    </w:rPr>
                    <w:t>交有资质单位处置，不外排</w:t>
                  </w:r>
                </w:p>
              </w:tc>
              <w:tc>
                <w:tcPr>
                  <w:tcW w:w="641" w:type="dxa"/>
                  <w:tcBorders>
                    <w:tl2br w:val="nil"/>
                    <w:tr2bl w:val="nil"/>
                  </w:tcBorders>
                  <w:vAlign w:val="center"/>
                </w:tcPr>
                <w:p w14:paraId="577ABAB1" w14:textId="77777777" w:rsidR="003C4F46" w:rsidRDefault="004B6A81">
                  <w:pPr>
                    <w:spacing w:line="240" w:lineRule="auto"/>
                    <w:ind w:firstLineChars="0" w:firstLine="0"/>
                    <w:jc w:val="center"/>
                    <w:rPr>
                      <w:rFonts w:cs="Times New Roman"/>
                      <w:color w:val="000000"/>
                    </w:rPr>
                  </w:pPr>
                  <w:r>
                    <w:rPr>
                      <w:rFonts w:cs="Times New Roman"/>
                      <w:color w:val="000000"/>
                      <w:sz w:val="21"/>
                      <w:szCs w:val="21"/>
                    </w:rPr>
                    <w:lastRenderedPageBreak/>
                    <w:t>符合</w:t>
                  </w:r>
                </w:p>
              </w:tc>
            </w:tr>
          </w:tbl>
          <w:p w14:paraId="64FCF654" w14:textId="77777777" w:rsidR="003C4F46" w:rsidRDefault="004B6A81">
            <w:pPr>
              <w:autoSpaceDE w:val="0"/>
              <w:autoSpaceDN w:val="0"/>
              <w:adjustRightInd w:val="0"/>
              <w:snapToGrid w:val="0"/>
              <w:ind w:firstLine="480"/>
              <w:rPr>
                <w:szCs w:val="21"/>
              </w:rPr>
            </w:pPr>
            <w:r>
              <w:rPr>
                <w:rFonts w:hint="eastAsia"/>
                <w:szCs w:val="21"/>
              </w:rPr>
              <w:t>综上所述，本项目符合《关于印发巴音郭楞蒙古自治州生态环境分区管控动态更新成果（</w:t>
            </w:r>
            <w:r>
              <w:rPr>
                <w:rFonts w:hint="eastAsia"/>
                <w:szCs w:val="21"/>
              </w:rPr>
              <w:t>2023</w:t>
            </w:r>
            <w:r>
              <w:rPr>
                <w:rFonts w:hint="eastAsia"/>
                <w:szCs w:val="21"/>
              </w:rPr>
              <w:t>年）的通知》（巴政办发〔</w:t>
            </w:r>
            <w:r>
              <w:rPr>
                <w:rFonts w:hint="eastAsia"/>
                <w:szCs w:val="21"/>
              </w:rPr>
              <w:t>2024</w:t>
            </w:r>
            <w:r>
              <w:rPr>
                <w:rFonts w:hint="eastAsia"/>
                <w:szCs w:val="21"/>
              </w:rPr>
              <w:t>〕</w:t>
            </w:r>
            <w:r>
              <w:rPr>
                <w:rFonts w:hint="eastAsia"/>
                <w:szCs w:val="21"/>
              </w:rPr>
              <w:t>32</w:t>
            </w:r>
            <w:r>
              <w:rPr>
                <w:rFonts w:hint="eastAsia"/>
                <w:szCs w:val="21"/>
              </w:rPr>
              <w:t>号）以及所在管控单元“轮台工业园区</w:t>
            </w:r>
            <w:r>
              <w:rPr>
                <w:rFonts w:hint="eastAsia"/>
                <w:szCs w:val="21"/>
              </w:rPr>
              <w:t>-</w:t>
            </w:r>
            <w:r>
              <w:rPr>
                <w:rFonts w:hint="eastAsia"/>
                <w:szCs w:val="21"/>
              </w:rPr>
              <w:t>重点管控单元”的管控要求。</w:t>
            </w:r>
          </w:p>
          <w:p w14:paraId="5782EB47" w14:textId="77777777" w:rsidR="003C4F46" w:rsidRDefault="004B6A81">
            <w:pPr>
              <w:autoSpaceDE w:val="0"/>
              <w:autoSpaceDN w:val="0"/>
              <w:adjustRightInd w:val="0"/>
              <w:snapToGrid w:val="0"/>
              <w:ind w:firstLineChars="0" w:firstLine="0"/>
              <w:rPr>
                <w:szCs w:val="21"/>
              </w:rPr>
            </w:pPr>
            <w:r>
              <w:rPr>
                <w:rFonts w:hint="eastAsia"/>
                <w:b/>
                <w:color w:val="000000" w:themeColor="text1"/>
                <w:szCs w:val="21"/>
              </w:rPr>
              <w:t>6</w:t>
            </w:r>
            <w:r>
              <w:rPr>
                <w:b/>
                <w:color w:val="000000" w:themeColor="text1"/>
                <w:szCs w:val="21"/>
              </w:rPr>
              <w:t>.</w:t>
            </w:r>
            <w:r>
              <w:rPr>
                <w:rFonts w:hint="eastAsia"/>
                <w:b/>
                <w:color w:val="000000" w:themeColor="text1"/>
                <w:szCs w:val="21"/>
              </w:rPr>
              <w:t>项目与《危险废物污染防治技术政策》（环发〔</w:t>
            </w:r>
            <w:r>
              <w:rPr>
                <w:rFonts w:hint="eastAsia"/>
                <w:b/>
                <w:color w:val="000000" w:themeColor="text1"/>
                <w:szCs w:val="21"/>
              </w:rPr>
              <w:t>2001</w:t>
            </w:r>
            <w:r>
              <w:rPr>
                <w:rFonts w:hint="eastAsia"/>
                <w:b/>
                <w:color w:val="000000" w:themeColor="text1"/>
                <w:szCs w:val="21"/>
              </w:rPr>
              <w:t>〕</w:t>
            </w:r>
            <w:r>
              <w:rPr>
                <w:rFonts w:hint="eastAsia"/>
                <w:b/>
                <w:color w:val="000000" w:themeColor="text1"/>
                <w:szCs w:val="21"/>
              </w:rPr>
              <w:t>199</w:t>
            </w:r>
            <w:r>
              <w:rPr>
                <w:rFonts w:hint="eastAsia"/>
                <w:b/>
                <w:color w:val="000000" w:themeColor="text1"/>
                <w:szCs w:val="21"/>
              </w:rPr>
              <w:t>号）的符合性分析</w:t>
            </w:r>
          </w:p>
          <w:p w14:paraId="5488D8CF"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w:t>
            </w:r>
            <w:r>
              <w:rPr>
                <w:rFonts w:cs="Times New Roman"/>
                <w:b/>
                <w:color w:val="000000"/>
                <w:sz w:val="21"/>
              </w:rPr>
              <w:t xml:space="preserve">5  </w:t>
            </w:r>
            <w:r>
              <w:rPr>
                <w:rFonts w:cs="Times New Roman"/>
                <w:b/>
                <w:color w:val="000000"/>
                <w:sz w:val="21"/>
              </w:rPr>
              <w:t>与《危险废物污染防治技术政策》（环发〔</w:t>
            </w:r>
            <w:r>
              <w:rPr>
                <w:rFonts w:cs="Times New Roman"/>
                <w:b/>
                <w:color w:val="000000"/>
                <w:sz w:val="21"/>
              </w:rPr>
              <w:t>2001</w:t>
            </w:r>
            <w:r>
              <w:rPr>
                <w:rFonts w:cs="Times New Roman"/>
                <w:b/>
                <w:color w:val="000000"/>
                <w:sz w:val="21"/>
              </w:rPr>
              <w:t>〕</w:t>
            </w:r>
            <w:r>
              <w:rPr>
                <w:rFonts w:cs="Times New Roman"/>
                <w:b/>
                <w:color w:val="000000"/>
                <w:sz w:val="21"/>
              </w:rPr>
              <w:t>199</w:t>
            </w:r>
            <w:r>
              <w:rPr>
                <w:rFonts w:cs="Times New Roman"/>
                <w:b/>
                <w:color w:val="000000"/>
                <w:sz w:val="21"/>
              </w:rPr>
              <w:t>号）相符性分析</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748"/>
              <w:gridCol w:w="3834"/>
              <w:gridCol w:w="1881"/>
              <w:gridCol w:w="551"/>
            </w:tblGrid>
            <w:tr w:rsidR="003C4F46" w14:paraId="780AB522" w14:textId="77777777">
              <w:trPr>
                <w:trHeight w:val="23"/>
                <w:jc w:val="center"/>
              </w:trPr>
              <w:tc>
                <w:tcPr>
                  <w:tcW w:w="3266" w:type="pct"/>
                  <w:gridSpan w:val="2"/>
                  <w:vAlign w:val="center"/>
                </w:tcPr>
                <w:p w14:paraId="20F26B1F"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文件</w:t>
                  </w:r>
                  <w:r>
                    <w:rPr>
                      <w:rFonts w:cs="Times New Roman"/>
                      <w:sz w:val="21"/>
                      <w:szCs w:val="21"/>
                    </w:rPr>
                    <w:t>要求</w:t>
                  </w:r>
                </w:p>
              </w:tc>
              <w:tc>
                <w:tcPr>
                  <w:tcW w:w="1341" w:type="pct"/>
                  <w:vAlign w:val="center"/>
                </w:tcPr>
                <w:p w14:paraId="0F0449A6"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项目情况</w:t>
                  </w:r>
                </w:p>
              </w:tc>
              <w:tc>
                <w:tcPr>
                  <w:tcW w:w="393" w:type="pct"/>
                  <w:vAlign w:val="center"/>
                </w:tcPr>
                <w:p w14:paraId="328A206D"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符合性</w:t>
                  </w:r>
                </w:p>
              </w:tc>
            </w:tr>
            <w:tr w:rsidR="003C4F46" w14:paraId="1CEAD3BD" w14:textId="77777777">
              <w:trPr>
                <w:trHeight w:val="23"/>
                <w:jc w:val="center"/>
              </w:trPr>
              <w:tc>
                <w:tcPr>
                  <w:tcW w:w="533" w:type="pct"/>
                  <w:vMerge w:val="restart"/>
                  <w:vAlign w:val="center"/>
                </w:tcPr>
                <w:p w14:paraId="4DD3DAC1"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危险废物的减量化</w:t>
                  </w:r>
                </w:p>
              </w:tc>
              <w:tc>
                <w:tcPr>
                  <w:tcW w:w="2733" w:type="pct"/>
                  <w:vAlign w:val="center"/>
                </w:tcPr>
                <w:p w14:paraId="537BEC43" w14:textId="77777777" w:rsidR="003C4F46" w:rsidRDefault="004B6A81">
                  <w:pPr>
                    <w:spacing w:line="240" w:lineRule="auto"/>
                    <w:ind w:firstLineChars="0" w:firstLine="0"/>
                    <w:jc w:val="left"/>
                    <w:textAlignment w:val="auto"/>
                    <w:rPr>
                      <w:rFonts w:cs="Times New Roman"/>
                      <w:sz w:val="21"/>
                      <w:szCs w:val="21"/>
                    </w:rPr>
                  </w:pPr>
                  <w:r>
                    <w:rPr>
                      <w:rFonts w:cs="Times New Roman"/>
                      <w:sz w:val="21"/>
                      <w:szCs w:val="21"/>
                    </w:rPr>
                    <w:t>2.1</w:t>
                  </w:r>
                  <w:r>
                    <w:rPr>
                      <w:rFonts w:cs="Times New Roman"/>
                      <w:sz w:val="21"/>
                      <w:szCs w:val="21"/>
                    </w:rPr>
                    <w:t>危险废物减量化适用于任何产生危险废物的工艺过程。各级政府应通过经济和其他政策措施促进企业清洁生产，防止和减少危险废物的产生。企业应积极采用低废、少废、无废工艺，禁止采用《淘汰落后生产能力、工艺和产品的目录》中明令淘汰的技术工艺和设备。</w:t>
                  </w:r>
                </w:p>
              </w:tc>
              <w:tc>
                <w:tcPr>
                  <w:tcW w:w="1341" w:type="pct"/>
                  <w:vAlign w:val="center"/>
                </w:tcPr>
                <w:p w14:paraId="5423B17D"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本项目为危险废物回收贮存，不涉及危险废物处理内容</w:t>
                  </w:r>
                </w:p>
              </w:tc>
              <w:tc>
                <w:tcPr>
                  <w:tcW w:w="393" w:type="pct"/>
                  <w:vAlign w:val="center"/>
                </w:tcPr>
                <w:p w14:paraId="785CD88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4BFC6032" w14:textId="77777777">
              <w:trPr>
                <w:trHeight w:val="23"/>
                <w:jc w:val="center"/>
              </w:trPr>
              <w:tc>
                <w:tcPr>
                  <w:tcW w:w="533" w:type="pct"/>
                  <w:vMerge/>
                  <w:vAlign w:val="center"/>
                </w:tcPr>
                <w:p w14:paraId="77C9AB56"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vAlign w:val="center"/>
                </w:tcPr>
                <w:p w14:paraId="0EBEEC7E"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2.2</w:t>
                  </w:r>
                  <w:r>
                    <w:rPr>
                      <w:rFonts w:cs="Times New Roman"/>
                      <w:sz w:val="21"/>
                      <w:szCs w:val="21"/>
                    </w:rPr>
                    <w:t>对已经产生的危险废物，必须按照国家有关规定申报登记，建设符合标准的专门设施和场所妥善保存并设立危险废物标示牌，按有关规定自行处理处置或交由持有危险废物经营许可证的单位收集、运输、贮存和处理处置。在处理处置过程中，应采取措施减少危险废物的体积、重量和危险程度。</w:t>
                  </w:r>
                </w:p>
              </w:tc>
              <w:tc>
                <w:tcPr>
                  <w:tcW w:w="1341" w:type="pct"/>
                  <w:vAlign w:val="center"/>
                </w:tcPr>
                <w:p w14:paraId="4D836721"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项目建设严格按照《危险废物贮存污染控制标准》（</w:t>
                  </w:r>
                  <w:r>
                    <w:rPr>
                      <w:rFonts w:cs="Times New Roman" w:hint="eastAsia"/>
                      <w:sz w:val="21"/>
                      <w:szCs w:val="21"/>
                    </w:rPr>
                    <w:t>GB18597-2023</w:t>
                  </w:r>
                  <w:r>
                    <w:rPr>
                      <w:rFonts w:cs="Times New Roman" w:hint="eastAsia"/>
                      <w:sz w:val="21"/>
                      <w:szCs w:val="21"/>
                    </w:rPr>
                    <w:t>）要求进行“六防”（防风、防晒、防雨、防漏、防渗、防腐）建设，并严格按照《危险废物收集贮存运输技术规范》（</w:t>
                  </w:r>
                  <w:r>
                    <w:rPr>
                      <w:rFonts w:cs="Times New Roman" w:hint="eastAsia"/>
                      <w:sz w:val="21"/>
                      <w:szCs w:val="21"/>
                    </w:rPr>
                    <w:t>HJ2025-2012</w:t>
                  </w:r>
                  <w:r>
                    <w:rPr>
                      <w:rFonts w:cs="Times New Roman" w:hint="eastAsia"/>
                      <w:sz w:val="21"/>
                      <w:szCs w:val="21"/>
                    </w:rPr>
                    <w:t>）、《危险废物转移管理办法》进行管理</w:t>
                  </w:r>
                </w:p>
              </w:tc>
              <w:tc>
                <w:tcPr>
                  <w:tcW w:w="393" w:type="pct"/>
                  <w:vAlign w:val="center"/>
                </w:tcPr>
                <w:p w14:paraId="45183029"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39A9D534" w14:textId="77777777">
              <w:trPr>
                <w:trHeight w:val="972"/>
                <w:jc w:val="center"/>
              </w:trPr>
              <w:tc>
                <w:tcPr>
                  <w:tcW w:w="533" w:type="pct"/>
                  <w:vMerge w:val="restart"/>
                  <w:vAlign w:val="center"/>
                </w:tcPr>
                <w:p w14:paraId="2C034D0F"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危险废物的收集和运</w:t>
                  </w:r>
                  <w:r>
                    <w:rPr>
                      <w:rFonts w:cs="Times New Roman" w:hint="eastAsia"/>
                      <w:sz w:val="21"/>
                      <w:szCs w:val="21"/>
                    </w:rPr>
                    <w:lastRenderedPageBreak/>
                    <w:t>输</w:t>
                  </w:r>
                </w:p>
              </w:tc>
              <w:tc>
                <w:tcPr>
                  <w:tcW w:w="2733" w:type="pct"/>
                  <w:vAlign w:val="center"/>
                </w:tcPr>
                <w:p w14:paraId="15B00BB3"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lastRenderedPageBreak/>
                    <w:t>3.1</w:t>
                  </w:r>
                  <w:r>
                    <w:rPr>
                      <w:rFonts w:cs="Times New Roman"/>
                      <w:sz w:val="21"/>
                      <w:szCs w:val="21"/>
                    </w:rPr>
                    <w:t>危险废物要根据其成分，用符合国家标准的专门容器分类收集。</w:t>
                  </w:r>
                </w:p>
              </w:tc>
              <w:tc>
                <w:tcPr>
                  <w:tcW w:w="1341" w:type="pct"/>
                  <w:vMerge w:val="restart"/>
                  <w:vAlign w:val="center"/>
                </w:tcPr>
                <w:p w14:paraId="1DBD7DF0"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项目建设严格按照《危险废物贮存污染控制标准》</w:t>
                  </w:r>
                  <w:r>
                    <w:rPr>
                      <w:rFonts w:cs="Times New Roman" w:hint="eastAsia"/>
                      <w:sz w:val="21"/>
                      <w:szCs w:val="21"/>
                    </w:rPr>
                    <w:lastRenderedPageBreak/>
                    <w:t>（</w:t>
                  </w:r>
                  <w:r>
                    <w:rPr>
                      <w:rFonts w:cs="Times New Roman" w:hint="eastAsia"/>
                      <w:sz w:val="21"/>
                      <w:szCs w:val="21"/>
                    </w:rPr>
                    <w:t>GB18597-2023</w:t>
                  </w:r>
                  <w:r>
                    <w:rPr>
                      <w:rFonts w:cs="Times New Roman" w:hint="eastAsia"/>
                      <w:sz w:val="21"/>
                      <w:szCs w:val="21"/>
                    </w:rPr>
                    <w:t>）要求进行“六防”（防风、防晒、防雨、防漏、防渗、防腐）建设，并严格按照《危险废物收集贮存运输技术规范》（</w:t>
                  </w:r>
                  <w:r>
                    <w:rPr>
                      <w:rFonts w:cs="Times New Roman" w:hint="eastAsia"/>
                      <w:sz w:val="21"/>
                      <w:szCs w:val="21"/>
                    </w:rPr>
                    <w:t>HJ2025-2012</w:t>
                  </w:r>
                  <w:r>
                    <w:rPr>
                      <w:rFonts w:cs="Times New Roman" w:hint="eastAsia"/>
                      <w:sz w:val="21"/>
                      <w:szCs w:val="21"/>
                    </w:rPr>
                    <w:t>）、《危险废物转移管理办法》进行管理</w:t>
                  </w:r>
                </w:p>
              </w:tc>
              <w:tc>
                <w:tcPr>
                  <w:tcW w:w="393" w:type="pct"/>
                  <w:vAlign w:val="center"/>
                </w:tcPr>
                <w:p w14:paraId="0995249A"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lastRenderedPageBreak/>
                    <w:t>符合</w:t>
                  </w:r>
                </w:p>
              </w:tc>
            </w:tr>
            <w:tr w:rsidR="003C4F46" w14:paraId="12FFB6C3" w14:textId="77777777">
              <w:trPr>
                <w:trHeight w:val="90"/>
                <w:jc w:val="center"/>
              </w:trPr>
              <w:tc>
                <w:tcPr>
                  <w:tcW w:w="533" w:type="pct"/>
                  <w:vMerge/>
                  <w:vAlign w:val="center"/>
                </w:tcPr>
                <w:p w14:paraId="4364FAA4"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vAlign w:val="center"/>
                </w:tcPr>
                <w:p w14:paraId="13F03BC0"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3.2</w:t>
                  </w:r>
                  <w:r>
                    <w:rPr>
                      <w:rFonts w:cs="Times New Roman"/>
                      <w:sz w:val="21"/>
                      <w:szCs w:val="21"/>
                    </w:rPr>
                    <w:t>装运危险废物的容器应根据危险废物的不同特性而设计，不易破损、变形、老化，能有效地防止渗漏、扩散。装有危险废物的容器必须贴有标签，在标签上详细标明危险废物的名称、重量、成分、特性以及发生泄漏、扩散污染事故时的应急措施和补救方法。</w:t>
                  </w:r>
                </w:p>
              </w:tc>
              <w:tc>
                <w:tcPr>
                  <w:tcW w:w="1341" w:type="pct"/>
                  <w:vMerge/>
                  <w:vAlign w:val="center"/>
                </w:tcPr>
                <w:p w14:paraId="0230E3E2"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28A3123F"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77F238E7" w14:textId="77777777">
              <w:trPr>
                <w:trHeight w:val="23"/>
                <w:jc w:val="center"/>
              </w:trPr>
              <w:tc>
                <w:tcPr>
                  <w:tcW w:w="533" w:type="pct"/>
                  <w:vMerge/>
                  <w:vAlign w:val="center"/>
                </w:tcPr>
                <w:p w14:paraId="7712FFF9"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2EF2E8F2"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3.3</w:t>
                  </w:r>
                  <w:r>
                    <w:rPr>
                      <w:rFonts w:cs="Times New Roman"/>
                      <w:sz w:val="21"/>
                      <w:szCs w:val="21"/>
                    </w:rPr>
                    <w:t>居民生活、办公和第三产业产生的危险废物（如废电池、废日光灯管等）应与生活垃圾分类收集，通过分类收集提高其回收利用和无害化处理处置，逐步建立和完善社会源危险废物的回收网络。</w:t>
                  </w:r>
                </w:p>
              </w:tc>
              <w:tc>
                <w:tcPr>
                  <w:tcW w:w="1341" w:type="pct"/>
                  <w:vAlign w:val="center"/>
                </w:tcPr>
                <w:p w14:paraId="37DF5E90" w14:textId="0CBE8DCD"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本项</w:t>
                  </w:r>
                  <w:r w:rsidR="007C29E4">
                    <w:rPr>
                      <w:rFonts w:cs="Times New Roman" w:hint="eastAsia"/>
                      <w:sz w:val="21"/>
                      <w:szCs w:val="21"/>
                    </w:rPr>
                    <w:t>目</w:t>
                  </w:r>
                  <w:r>
                    <w:rPr>
                      <w:rFonts w:cs="Times New Roman" w:hint="eastAsia"/>
                      <w:sz w:val="21"/>
                      <w:szCs w:val="21"/>
                    </w:rPr>
                    <w:t>仅对危险废物进行分类贮存，不涉及危险废物处理处置</w:t>
                  </w:r>
                </w:p>
              </w:tc>
              <w:tc>
                <w:tcPr>
                  <w:tcW w:w="393" w:type="pct"/>
                  <w:vAlign w:val="center"/>
                </w:tcPr>
                <w:p w14:paraId="0F3B7B34"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03493CA0" w14:textId="77777777">
              <w:trPr>
                <w:trHeight w:val="23"/>
                <w:jc w:val="center"/>
              </w:trPr>
              <w:tc>
                <w:tcPr>
                  <w:tcW w:w="533" w:type="pct"/>
                  <w:vMerge/>
                  <w:vAlign w:val="center"/>
                </w:tcPr>
                <w:p w14:paraId="227DECE8"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53F644D7"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3.4</w:t>
                  </w:r>
                  <w:r>
                    <w:rPr>
                      <w:rFonts w:cs="Times New Roman"/>
                      <w:sz w:val="21"/>
                      <w:szCs w:val="21"/>
                    </w:rPr>
                    <w:t>鼓励发展安全高效的危险废物运输系统，鼓励发展各种形式的专用车辆，对危险废物的运输要求安全可靠，要严格按照危险废物运输的管理规定进行危险废物的运输，减少运输过程中的二次污染和可能造成的环境风险。</w:t>
                  </w:r>
                </w:p>
              </w:tc>
              <w:tc>
                <w:tcPr>
                  <w:tcW w:w="1341" w:type="pct"/>
                  <w:vAlign w:val="center"/>
                </w:tcPr>
                <w:p w14:paraId="29BBCDA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本项目不涉及该内容</w:t>
                  </w:r>
                </w:p>
              </w:tc>
              <w:tc>
                <w:tcPr>
                  <w:tcW w:w="393" w:type="pct"/>
                  <w:vAlign w:val="center"/>
                </w:tcPr>
                <w:p w14:paraId="24CDB944"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652CA7C5" w14:textId="77777777">
              <w:trPr>
                <w:trHeight w:val="23"/>
                <w:jc w:val="center"/>
              </w:trPr>
              <w:tc>
                <w:tcPr>
                  <w:tcW w:w="533" w:type="pct"/>
                  <w:vMerge/>
                  <w:vAlign w:val="center"/>
                </w:tcPr>
                <w:p w14:paraId="2BA76E37"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513BEE47"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3.5</w:t>
                  </w:r>
                  <w:r>
                    <w:rPr>
                      <w:rFonts w:cs="Times New Roman"/>
                      <w:sz w:val="21"/>
                      <w:szCs w:val="21"/>
                    </w:rPr>
                    <w:t>鼓励成立专业化的危险废物运输公司对危险废物实行专业化运输，运输车辆需有特殊标志。</w:t>
                  </w:r>
                </w:p>
              </w:tc>
              <w:tc>
                <w:tcPr>
                  <w:tcW w:w="1341" w:type="pct"/>
                  <w:vAlign w:val="center"/>
                </w:tcPr>
                <w:p w14:paraId="0330F06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本项目不涉及该内容</w:t>
                  </w:r>
                </w:p>
              </w:tc>
              <w:tc>
                <w:tcPr>
                  <w:tcW w:w="393" w:type="pct"/>
                  <w:vAlign w:val="center"/>
                </w:tcPr>
                <w:p w14:paraId="0783C517"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6E99132D" w14:textId="77777777">
              <w:trPr>
                <w:trHeight w:val="23"/>
                <w:jc w:val="center"/>
              </w:trPr>
              <w:tc>
                <w:tcPr>
                  <w:tcW w:w="533" w:type="pct"/>
                  <w:vMerge w:val="restart"/>
                  <w:vAlign w:val="center"/>
                </w:tcPr>
                <w:p w14:paraId="7D2D2C09"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危险废物的转移</w:t>
                  </w:r>
                </w:p>
              </w:tc>
              <w:tc>
                <w:tcPr>
                  <w:tcW w:w="2733" w:type="pct"/>
                </w:tcPr>
                <w:p w14:paraId="48FF5360"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4.1</w:t>
                  </w:r>
                  <w:r>
                    <w:rPr>
                      <w:rFonts w:cs="Times New Roman"/>
                      <w:sz w:val="21"/>
                      <w:szCs w:val="21"/>
                    </w:rPr>
                    <w:t>危险废物的越境转移应遵从《控制危险废物越境转移及其处置的巴塞尔公约》的要求，危险废物的国内转移应遵从《危险废物转移联单管理办法》</w:t>
                  </w:r>
                  <w:r>
                    <w:rPr>
                      <w:rFonts w:cs="Times New Roman" w:hint="eastAsia"/>
                      <w:sz w:val="21"/>
                      <w:szCs w:val="21"/>
                    </w:rPr>
                    <w:t>及其他</w:t>
                  </w:r>
                  <w:r>
                    <w:rPr>
                      <w:rFonts w:cs="Times New Roman"/>
                      <w:sz w:val="21"/>
                      <w:szCs w:val="21"/>
                    </w:rPr>
                    <w:t>有关规定的要求。</w:t>
                  </w:r>
                </w:p>
              </w:tc>
              <w:tc>
                <w:tcPr>
                  <w:tcW w:w="1341" w:type="pct"/>
                  <w:vAlign w:val="center"/>
                </w:tcPr>
                <w:p w14:paraId="062E5854"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项目严格按照《危险废物收集贮存运输技术规范》（</w:t>
                  </w:r>
                  <w:r>
                    <w:rPr>
                      <w:rFonts w:cs="Times New Roman" w:hint="eastAsia"/>
                      <w:sz w:val="21"/>
                      <w:szCs w:val="21"/>
                    </w:rPr>
                    <w:t>HJ2025-2012</w:t>
                  </w:r>
                  <w:r>
                    <w:rPr>
                      <w:rFonts w:cs="Times New Roman" w:hint="eastAsia"/>
                      <w:sz w:val="21"/>
                      <w:szCs w:val="21"/>
                    </w:rPr>
                    <w:t>）、《危险废物转移管理办法》管理</w:t>
                  </w:r>
                </w:p>
              </w:tc>
              <w:tc>
                <w:tcPr>
                  <w:tcW w:w="393" w:type="pct"/>
                  <w:vAlign w:val="center"/>
                </w:tcPr>
                <w:p w14:paraId="3AFF48CF"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476CF452" w14:textId="77777777">
              <w:trPr>
                <w:trHeight w:val="23"/>
                <w:jc w:val="center"/>
              </w:trPr>
              <w:tc>
                <w:tcPr>
                  <w:tcW w:w="533" w:type="pct"/>
                  <w:vMerge/>
                  <w:vAlign w:val="center"/>
                </w:tcPr>
                <w:p w14:paraId="0181875C"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61327803"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4.2</w:t>
                  </w:r>
                  <w:r>
                    <w:rPr>
                      <w:rFonts w:cs="Times New Roman"/>
                      <w:sz w:val="21"/>
                      <w:szCs w:val="21"/>
                    </w:rPr>
                    <w:t>各级环境保护行政主管部门应按照国家和地方制定的危险废物转移管理办法对危险废物的流向进行有效控制，禁止在转移过程中将危险废物排放至环境中。</w:t>
                  </w:r>
                </w:p>
              </w:tc>
              <w:tc>
                <w:tcPr>
                  <w:tcW w:w="1341" w:type="pct"/>
                  <w:vAlign w:val="center"/>
                </w:tcPr>
                <w:p w14:paraId="6832EFA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本项目不涉及该内容</w:t>
                  </w:r>
                </w:p>
              </w:tc>
              <w:tc>
                <w:tcPr>
                  <w:tcW w:w="393" w:type="pct"/>
                  <w:vAlign w:val="center"/>
                </w:tcPr>
                <w:p w14:paraId="0520691B"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2CEAD691" w14:textId="77777777">
              <w:trPr>
                <w:trHeight w:val="23"/>
                <w:jc w:val="center"/>
              </w:trPr>
              <w:tc>
                <w:tcPr>
                  <w:tcW w:w="533" w:type="pct"/>
                  <w:vMerge w:val="restart"/>
                  <w:vAlign w:val="center"/>
                </w:tcPr>
                <w:p w14:paraId="39E5BA84"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危险废物的资源化</w:t>
                  </w:r>
                </w:p>
              </w:tc>
              <w:tc>
                <w:tcPr>
                  <w:tcW w:w="2733" w:type="pct"/>
                </w:tcPr>
                <w:p w14:paraId="3D3133CB"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5.1</w:t>
                  </w:r>
                  <w:r>
                    <w:rPr>
                      <w:rFonts w:cs="Times New Roman"/>
                      <w:sz w:val="21"/>
                      <w:szCs w:val="21"/>
                    </w:rPr>
                    <w:t>已产生的危险废物应首先考虑回收利用，减少后续处理处置的负荷。回收利用过程应达到国家和地方有关规定的要求，避免二次污染。</w:t>
                  </w:r>
                </w:p>
              </w:tc>
              <w:tc>
                <w:tcPr>
                  <w:tcW w:w="1341" w:type="pct"/>
                  <w:vAlign w:val="center"/>
                </w:tcPr>
                <w:p w14:paraId="239CC46C"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本项目不涉及该内容</w:t>
                  </w:r>
                </w:p>
              </w:tc>
              <w:tc>
                <w:tcPr>
                  <w:tcW w:w="393" w:type="pct"/>
                  <w:vAlign w:val="center"/>
                </w:tcPr>
                <w:p w14:paraId="50281643"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04429F19" w14:textId="77777777">
              <w:trPr>
                <w:trHeight w:val="23"/>
                <w:jc w:val="center"/>
              </w:trPr>
              <w:tc>
                <w:tcPr>
                  <w:tcW w:w="533" w:type="pct"/>
                  <w:vMerge/>
                  <w:vAlign w:val="center"/>
                </w:tcPr>
                <w:p w14:paraId="4836446E"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64EBFBF0"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5.2</w:t>
                  </w:r>
                  <w:r>
                    <w:rPr>
                      <w:rFonts w:cs="Times New Roman"/>
                      <w:sz w:val="21"/>
                      <w:szCs w:val="21"/>
                    </w:rPr>
                    <w:t>生产过程中产生的危险废物，应积极推行生产系统内的回收利用。生产系统内无法回收利用的危险废物，通过系统外的危险废物交换、物质转化、再加工、能量转化等措施实现回收利用。</w:t>
                  </w:r>
                </w:p>
              </w:tc>
              <w:tc>
                <w:tcPr>
                  <w:tcW w:w="1341" w:type="pct"/>
                  <w:vAlign w:val="center"/>
                </w:tcPr>
                <w:p w14:paraId="4C2D071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本项目不涉及该内容</w:t>
                  </w:r>
                </w:p>
              </w:tc>
              <w:tc>
                <w:tcPr>
                  <w:tcW w:w="393" w:type="pct"/>
                  <w:vAlign w:val="center"/>
                </w:tcPr>
                <w:p w14:paraId="7675120E"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3585AD1F" w14:textId="77777777">
              <w:trPr>
                <w:trHeight w:val="23"/>
                <w:jc w:val="center"/>
              </w:trPr>
              <w:tc>
                <w:tcPr>
                  <w:tcW w:w="533" w:type="pct"/>
                  <w:vMerge/>
                  <w:vAlign w:val="center"/>
                </w:tcPr>
                <w:p w14:paraId="0ADE26E0"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078619F9"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5.3</w:t>
                  </w:r>
                  <w:r>
                    <w:rPr>
                      <w:rFonts w:cs="Times New Roman"/>
                      <w:sz w:val="21"/>
                      <w:szCs w:val="21"/>
                    </w:rPr>
                    <w:t>各级政府应通过设立专项基金、政府</w:t>
                  </w:r>
                  <w:r>
                    <w:rPr>
                      <w:rFonts w:cs="Times New Roman"/>
                      <w:sz w:val="21"/>
                      <w:szCs w:val="21"/>
                    </w:rPr>
                    <w:lastRenderedPageBreak/>
                    <w:t>补贴等经济政策和其他政策措施鼓励企业对已经产生的危险废物进行回收利用，实现危险废物的资源化</w:t>
                  </w:r>
                </w:p>
              </w:tc>
              <w:tc>
                <w:tcPr>
                  <w:tcW w:w="1341" w:type="pct"/>
                  <w:vAlign w:val="center"/>
                </w:tcPr>
                <w:p w14:paraId="3E9F1A9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lastRenderedPageBreak/>
                    <w:t>本项目不涉及该内容</w:t>
                  </w:r>
                </w:p>
              </w:tc>
              <w:tc>
                <w:tcPr>
                  <w:tcW w:w="393" w:type="pct"/>
                  <w:vAlign w:val="center"/>
                </w:tcPr>
                <w:p w14:paraId="78CB97A6"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4E28ADB0" w14:textId="77777777">
              <w:trPr>
                <w:trHeight w:val="23"/>
                <w:jc w:val="center"/>
              </w:trPr>
              <w:tc>
                <w:tcPr>
                  <w:tcW w:w="533" w:type="pct"/>
                  <w:vMerge/>
                  <w:vAlign w:val="center"/>
                </w:tcPr>
                <w:p w14:paraId="644F54CD"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527534CF"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5.4</w:t>
                  </w:r>
                  <w:r>
                    <w:rPr>
                      <w:rFonts w:cs="Times New Roman"/>
                      <w:sz w:val="21"/>
                      <w:szCs w:val="21"/>
                    </w:rPr>
                    <w:t>国家鼓励危险废物回收利用技术的研究与开发，逐步提高危险废物回收利用技术和装备水平，积极推广技术成熟、经济可行的危险废物回收利用技术。</w:t>
                  </w:r>
                </w:p>
              </w:tc>
              <w:tc>
                <w:tcPr>
                  <w:tcW w:w="1341" w:type="pct"/>
                  <w:vAlign w:val="center"/>
                </w:tcPr>
                <w:p w14:paraId="7577B81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本项目不涉及该内容</w:t>
                  </w:r>
                </w:p>
              </w:tc>
              <w:tc>
                <w:tcPr>
                  <w:tcW w:w="393" w:type="pct"/>
                  <w:vAlign w:val="center"/>
                </w:tcPr>
                <w:p w14:paraId="0CDE7B3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4202A474" w14:textId="77777777">
              <w:trPr>
                <w:trHeight w:val="23"/>
                <w:jc w:val="center"/>
              </w:trPr>
              <w:tc>
                <w:tcPr>
                  <w:tcW w:w="533" w:type="pct"/>
                  <w:vMerge w:val="restart"/>
                  <w:vAlign w:val="center"/>
                </w:tcPr>
                <w:p w14:paraId="099C1D32"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危险废物的贮存</w:t>
                  </w:r>
                </w:p>
              </w:tc>
              <w:tc>
                <w:tcPr>
                  <w:tcW w:w="2733" w:type="pct"/>
                </w:tcPr>
                <w:p w14:paraId="4518BBFD"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6.1</w:t>
                  </w:r>
                  <w:r>
                    <w:rPr>
                      <w:rFonts w:cs="Times New Roman"/>
                      <w:sz w:val="21"/>
                      <w:szCs w:val="21"/>
                    </w:rPr>
                    <w:t>对已产生的危险废物，若暂时不能回收利用或进行处理处置的，其产生单位须建设专门的危险废物贮存设施进行贮存，并设立危险废物标志，或委托具有专门危险废物贮存设施的单位进行贮存，贮存期限不得超过国家规定。贮存危险废物的单位需拥有相应的许可证。禁止将危险废物以任何形式转移给无许可证的单位，或转移到非危险废物贮存设施中。危险废物贮存设施应有相应的配套设施并按有关规定进行管理。</w:t>
                  </w:r>
                </w:p>
              </w:tc>
              <w:tc>
                <w:tcPr>
                  <w:tcW w:w="1341" w:type="pct"/>
                  <w:vAlign w:val="center"/>
                </w:tcPr>
                <w:p w14:paraId="60F0B4EC"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项目建设严格按照《危险废物贮存污染控制标准》（</w:t>
                  </w:r>
                  <w:r>
                    <w:rPr>
                      <w:rFonts w:cs="Times New Roman" w:hint="eastAsia"/>
                      <w:sz w:val="21"/>
                      <w:szCs w:val="21"/>
                    </w:rPr>
                    <w:t>GB18597-2023</w:t>
                  </w:r>
                  <w:r>
                    <w:rPr>
                      <w:rFonts w:cs="Times New Roman" w:hint="eastAsia"/>
                      <w:sz w:val="21"/>
                      <w:szCs w:val="21"/>
                    </w:rPr>
                    <w:t>）要求进行“六防”（防风、防晒、防雨、防漏、防渗、防腐）建设，并严格按照《危险废物收集贮存运输技术规范》（</w:t>
                  </w:r>
                  <w:r>
                    <w:rPr>
                      <w:rFonts w:cs="Times New Roman" w:hint="eastAsia"/>
                      <w:sz w:val="21"/>
                      <w:szCs w:val="21"/>
                    </w:rPr>
                    <w:t>HJ2025-2012</w:t>
                  </w:r>
                  <w:r>
                    <w:rPr>
                      <w:rFonts w:cs="Times New Roman" w:hint="eastAsia"/>
                      <w:sz w:val="21"/>
                      <w:szCs w:val="21"/>
                    </w:rPr>
                    <w:t>）、《危险废物转移管理办法》进行管理</w:t>
                  </w:r>
                </w:p>
              </w:tc>
              <w:tc>
                <w:tcPr>
                  <w:tcW w:w="393" w:type="pct"/>
                  <w:vAlign w:val="center"/>
                </w:tcPr>
                <w:p w14:paraId="0D599DAD"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673D30C0" w14:textId="77777777">
              <w:trPr>
                <w:trHeight w:val="23"/>
                <w:jc w:val="center"/>
              </w:trPr>
              <w:tc>
                <w:tcPr>
                  <w:tcW w:w="533" w:type="pct"/>
                  <w:vMerge/>
                  <w:vAlign w:val="center"/>
                </w:tcPr>
                <w:p w14:paraId="7A6BCF3A"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14F9E327" w14:textId="7777777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w:t>
                  </w:r>
                  <w:r w:rsidRPr="00517934">
                    <w:rPr>
                      <w:rFonts w:cs="Times New Roman"/>
                      <w:sz w:val="21"/>
                      <w:szCs w:val="21"/>
                    </w:rPr>
                    <w:t>危险废物的贮存设施应满足以下要求：</w:t>
                  </w:r>
                </w:p>
                <w:p w14:paraId="518C050A" w14:textId="7777777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6.2.1</w:t>
                  </w:r>
                  <w:r w:rsidRPr="00517934">
                    <w:rPr>
                      <w:rFonts w:cs="Times New Roman"/>
                      <w:sz w:val="21"/>
                      <w:szCs w:val="21"/>
                    </w:rPr>
                    <w:t>应建有堵截泄漏的裙脚，地面与裙脚要用坚固防渗的材料建造。应有隔离设施、报警装置和防风、防晒、防雨设施；</w:t>
                  </w:r>
                </w:p>
                <w:p w14:paraId="03AA417B" w14:textId="7821992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6.2.2</w:t>
                  </w:r>
                  <w:r w:rsidRPr="00517934">
                    <w:rPr>
                      <w:rFonts w:cs="Times New Roman"/>
                      <w:sz w:val="21"/>
                      <w:szCs w:val="21"/>
                    </w:rPr>
                    <w:t>基础防渗层为黏土层的，其厚度应在</w:t>
                  </w:r>
                  <w:r w:rsidRPr="00517934">
                    <w:rPr>
                      <w:rFonts w:cs="Times New Roman"/>
                      <w:sz w:val="21"/>
                      <w:szCs w:val="21"/>
                    </w:rPr>
                    <w:t>1</w:t>
                  </w:r>
                  <w:r w:rsidRPr="00517934">
                    <w:rPr>
                      <w:rFonts w:cs="Times New Roman"/>
                      <w:sz w:val="21"/>
                      <w:szCs w:val="21"/>
                    </w:rPr>
                    <w:t>米以上，渗透系数应小于</w:t>
                  </w:r>
                  <w:r w:rsidRPr="00517934">
                    <w:rPr>
                      <w:rFonts w:cs="Times New Roman"/>
                      <w:sz w:val="21"/>
                      <w:szCs w:val="21"/>
                    </w:rPr>
                    <w:t>1.0×10</w:t>
                  </w:r>
                  <w:r w:rsidR="00517934">
                    <w:rPr>
                      <w:rFonts w:cs="Times New Roman" w:hint="eastAsia"/>
                      <w:sz w:val="21"/>
                      <w:szCs w:val="21"/>
                      <w:vertAlign w:val="superscript"/>
                    </w:rPr>
                    <w:t>-</w:t>
                  </w:r>
                  <w:r w:rsidR="00517934">
                    <w:rPr>
                      <w:rFonts w:cs="Times New Roman"/>
                      <w:sz w:val="21"/>
                      <w:szCs w:val="21"/>
                      <w:vertAlign w:val="superscript"/>
                    </w:rPr>
                    <w:t>7</w:t>
                  </w:r>
                  <w:r w:rsidRPr="00517934">
                    <w:rPr>
                      <w:rFonts w:cs="Times New Roman"/>
                      <w:sz w:val="21"/>
                      <w:szCs w:val="21"/>
                    </w:rPr>
                    <w:t>厘米</w:t>
                  </w:r>
                  <w:r w:rsidRPr="00517934">
                    <w:rPr>
                      <w:rFonts w:cs="Times New Roman"/>
                      <w:sz w:val="21"/>
                      <w:szCs w:val="21"/>
                    </w:rPr>
                    <w:t>/</w:t>
                  </w:r>
                  <w:r w:rsidRPr="00517934">
                    <w:rPr>
                      <w:rFonts w:cs="Times New Roman"/>
                      <w:sz w:val="21"/>
                      <w:szCs w:val="21"/>
                    </w:rPr>
                    <w:t>秒；基础防渗层也可用厚度在</w:t>
                  </w:r>
                  <w:r w:rsidRPr="00517934">
                    <w:rPr>
                      <w:rFonts w:cs="Times New Roman"/>
                      <w:sz w:val="21"/>
                      <w:szCs w:val="21"/>
                    </w:rPr>
                    <w:t>2</w:t>
                  </w:r>
                  <w:r w:rsidRPr="00517934">
                    <w:rPr>
                      <w:rFonts w:cs="Times New Roman"/>
                      <w:sz w:val="21"/>
                      <w:szCs w:val="21"/>
                    </w:rPr>
                    <w:t>毫米以上的高密度聚乙烯或其他人工防渗材料组成，渗透系数应小于</w:t>
                  </w:r>
                  <w:r w:rsidRPr="00517934">
                    <w:rPr>
                      <w:rFonts w:cs="Times New Roman"/>
                      <w:sz w:val="21"/>
                      <w:szCs w:val="21"/>
                    </w:rPr>
                    <w:t>1.0×10</w:t>
                  </w:r>
                  <w:r w:rsidR="00517934">
                    <w:rPr>
                      <w:rFonts w:cs="Times New Roman" w:hint="eastAsia"/>
                      <w:sz w:val="21"/>
                      <w:szCs w:val="21"/>
                      <w:vertAlign w:val="superscript"/>
                    </w:rPr>
                    <w:t>-</w:t>
                  </w:r>
                  <w:r w:rsidR="00517934">
                    <w:rPr>
                      <w:rFonts w:cs="Times New Roman"/>
                      <w:sz w:val="21"/>
                      <w:szCs w:val="21"/>
                      <w:vertAlign w:val="superscript"/>
                    </w:rPr>
                    <w:t>1</w:t>
                  </w:r>
                  <w:r w:rsidRPr="00517934">
                    <w:rPr>
                      <w:rFonts w:cs="Times New Roman"/>
                      <w:sz w:val="21"/>
                      <w:szCs w:val="21"/>
                      <w:vertAlign w:val="superscript"/>
                    </w:rPr>
                    <w:t>0</w:t>
                  </w:r>
                  <w:r w:rsidRPr="00517934">
                    <w:rPr>
                      <w:rFonts w:cs="Times New Roman"/>
                      <w:sz w:val="21"/>
                      <w:szCs w:val="21"/>
                    </w:rPr>
                    <w:t>厘米</w:t>
                  </w:r>
                  <w:r w:rsidRPr="00517934">
                    <w:rPr>
                      <w:rFonts w:cs="Times New Roman"/>
                      <w:sz w:val="21"/>
                      <w:szCs w:val="21"/>
                    </w:rPr>
                    <w:t>/</w:t>
                  </w:r>
                  <w:r w:rsidRPr="00517934">
                    <w:rPr>
                      <w:rFonts w:cs="Times New Roman"/>
                      <w:sz w:val="21"/>
                      <w:szCs w:val="21"/>
                    </w:rPr>
                    <w:t>秒；</w:t>
                  </w:r>
                </w:p>
                <w:p w14:paraId="359EADED" w14:textId="7777777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6.2.3</w:t>
                  </w:r>
                  <w:r w:rsidRPr="00517934">
                    <w:rPr>
                      <w:rFonts w:cs="Times New Roman"/>
                      <w:sz w:val="21"/>
                      <w:szCs w:val="21"/>
                    </w:rPr>
                    <w:t>须有泄漏液体收集装置及气体导出口和气体净化装置；</w:t>
                  </w:r>
                </w:p>
                <w:p w14:paraId="23833750" w14:textId="7777777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6.2.4</w:t>
                  </w:r>
                  <w:r w:rsidRPr="00517934">
                    <w:rPr>
                      <w:rFonts w:cs="Times New Roman"/>
                      <w:sz w:val="21"/>
                      <w:szCs w:val="21"/>
                    </w:rPr>
                    <w:t>用于存放液体、半固体危险废物的地方，还须有耐腐蚀的硬化地面，地面无裂隙；</w:t>
                  </w:r>
                </w:p>
                <w:p w14:paraId="7BEDC636" w14:textId="7777777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6.2.5</w:t>
                  </w:r>
                  <w:r w:rsidRPr="00517934">
                    <w:rPr>
                      <w:rFonts w:cs="Times New Roman"/>
                      <w:sz w:val="21"/>
                      <w:szCs w:val="21"/>
                    </w:rPr>
                    <w:t>不相容的危险废物堆放区必须有隔离间隔断；</w:t>
                  </w:r>
                </w:p>
                <w:p w14:paraId="6BD9F0C3" w14:textId="77777777" w:rsidR="003C4F46" w:rsidRPr="00517934" w:rsidRDefault="004B6A81">
                  <w:pPr>
                    <w:spacing w:line="240" w:lineRule="auto"/>
                    <w:ind w:firstLineChars="0" w:firstLine="0"/>
                    <w:textAlignment w:val="auto"/>
                    <w:rPr>
                      <w:rFonts w:cs="Times New Roman"/>
                      <w:sz w:val="21"/>
                      <w:szCs w:val="21"/>
                    </w:rPr>
                  </w:pPr>
                  <w:r w:rsidRPr="00517934">
                    <w:rPr>
                      <w:rFonts w:cs="Times New Roman"/>
                      <w:sz w:val="21"/>
                      <w:szCs w:val="21"/>
                    </w:rPr>
                    <w:t>6.2.6</w:t>
                  </w:r>
                  <w:r w:rsidRPr="00517934">
                    <w:rPr>
                      <w:rFonts w:cs="Times New Roman"/>
                      <w:sz w:val="21"/>
                      <w:szCs w:val="21"/>
                    </w:rPr>
                    <w:t>衬层上需建有渗滤液收集清除系统、径流疏导系统、雨水收集池。</w:t>
                  </w:r>
                </w:p>
                <w:p w14:paraId="22F65F74" w14:textId="77777777" w:rsidR="003C4F46" w:rsidRDefault="004B6A81">
                  <w:pPr>
                    <w:spacing w:line="240" w:lineRule="auto"/>
                    <w:ind w:firstLineChars="0" w:firstLine="0"/>
                    <w:textAlignment w:val="auto"/>
                    <w:rPr>
                      <w:rFonts w:cs="Times New Roman"/>
                      <w:sz w:val="21"/>
                      <w:szCs w:val="21"/>
                    </w:rPr>
                  </w:pPr>
                  <w:r w:rsidRPr="00517934">
                    <w:rPr>
                      <w:rFonts w:cs="Times New Roman"/>
                      <w:sz w:val="21"/>
                      <w:szCs w:val="21"/>
                    </w:rPr>
                    <w:t xml:space="preserve">6.2.7 </w:t>
                  </w:r>
                  <w:r w:rsidRPr="00517934">
                    <w:rPr>
                      <w:rFonts w:cs="Times New Roman"/>
                      <w:sz w:val="21"/>
                      <w:szCs w:val="21"/>
                    </w:rPr>
                    <w:t>贮存易燃易爆的危险废物的场所应配备消防设备，贮存剧毒危险废物的场所必须有专人</w:t>
                  </w:r>
                  <w:r w:rsidRPr="00517934">
                    <w:rPr>
                      <w:rFonts w:cs="Times New Roman"/>
                      <w:sz w:val="21"/>
                      <w:szCs w:val="21"/>
                    </w:rPr>
                    <w:t>24</w:t>
                  </w:r>
                  <w:r w:rsidRPr="00517934">
                    <w:rPr>
                      <w:rFonts w:cs="Times New Roman"/>
                      <w:sz w:val="21"/>
                      <w:szCs w:val="21"/>
                    </w:rPr>
                    <w:t>小时看管。</w:t>
                  </w:r>
                </w:p>
              </w:tc>
              <w:tc>
                <w:tcPr>
                  <w:tcW w:w="1341" w:type="pct"/>
                  <w:vMerge w:val="restart"/>
                  <w:vAlign w:val="center"/>
                </w:tcPr>
                <w:p w14:paraId="60B8AD4B" w14:textId="09F6D644" w:rsidR="003C4F46" w:rsidRDefault="007A00B6">
                  <w:pPr>
                    <w:adjustRightInd w:val="0"/>
                    <w:snapToGrid w:val="0"/>
                    <w:spacing w:line="240" w:lineRule="auto"/>
                    <w:ind w:firstLineChars="0" w:firstLine="0"/>
                    <w:textAlignment w:val="auto"/>
                    <w:rPr>
                      <w:rFonts w:cs="Times New Roman"/>
                      <w:sz w:val="21"/>
                      <w:szCs w:val="21"/>
                    </w:rPr>
                  </w:pPr>
                  <w:r w:rsidRPr="007A00B6">
                    <w:rPr>
                      <w:rFonts w:cs="Times New Roman" w:hint="eastAsia"/>
                      <w:sz w:val="21"/>
                      <w:szCs w:val="21"/>
                    </w:rPr>
                    <w:t>项目严格落实《危险废物贮存污染控制标准》（</w:t>
                  </w:r>
                  <w:r w:rsidRPr="007A00B6">
                    <w:rPr>
                      <w:rFonts w:cs="Times New Roman" w:hint="eastAsia"/>
                      <w:sz w:val="21"/>
                      <w:szCs w:val="21"/>
                    </w:rPr>
                    <w:t>GB18597</w:t>
                  </w:r>
                  <w:r w:rsidR="00744D0C">
                    <w:rPr>
                      <w:rFonts w:cs="Times New Roman" w:hint="eastAsia"/>
                      <w:sz w:val="21"/>
                      <w:szCs w:val="21"/>
                    </w:rPr>
                    <w:t>-</w:t>
                  </w:r>
                  <w:r w:rsidRPr="007A00B6">
                    <w:rPr>
                      <w:rFonts w:cs="Times New Roman" w:hint="eastAsia"/>
                      <w:sz w:val="21"/>
                      <w:szCs w:val="21"/>
                    </w:rPr>
                    <w:t>2023</w:t>
                  </w:r>
                  <w:r w:rsidRPr="007A00B6">
                    <w:rPr>
                      <w:rFonts w:cs="Times New Roman" w:hint="eastAsia"/>
                      <w:sz w:val="21"/>
                      <w:szCs w:val="21"/>
                    </w:rPr>
                    <w:t>）和《危险废物污染防治技术政策》（环发〔</w:t>
                  </w:r>
                  <w:r w:rsidRPr="007A00B6">
                    <w:rPr>
                      <w:rFonts w:cs="Times New Roman" w:hint="eastAsia"/>
                      <w:sz w:val="21"/>
                      <w:szCs w:val="21"/>
                    </w:rPr>
                    <w:t>2001</w:t>
                  </w:r>
                  <w:r w:rsidRPr="007A00B6">
                    <w:rPr>
                      <w:rFonts w:cs="Times New Roman" w:hint="eastAsia"/>
                      <w:sz w:val="21"/>
                      <w:szCs w:val="21"/>
                    </w:rPr>
                    <w:t>〕</w:t>
                  </w:r>
                  <w:r w:rsidRPr="007A00B6">
                    <w:rPr>
                      <w:rFonts w:cs="Times New Roman" w:hint="eastAsia"/>
                      <w:sz w:val="21"/>
                      <w:szCs w:val="21"/>
                    </w:rPr>
                    <w:t>199</w:t>
                  </w:r>
                  <w:r w:rsidRPr="007A00B6">
                    <w:rPr>
                      <w:rFonts w:cs="Times New Roman" w:hint="eastAsia"/>
                      <w:sz w:val="21"/>
                      <w:szCs w:val="21"/>
                    </w:rPr>
                    <w:t>号）中关于危险废物贮存的相关规定；设置导流槽并连接至厂区事故池；挥发性有机物经活性炭吸附装置处理后排放。所有存放场地均进行硬化处理，并按重点防渗区要求建设；不同类别危险废物分区存放</w:t>
                  </w:r>
                </w:p>
              </w:tc>
              <w:tc>
                <w:tcPr>
                  <w:tcW w:w="393" w:type="pct"/>
                  <w:vAlign w:val="center"/>
                </w:tcPr>
                <w:p w14:paraId="27DD136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4A13E325" w14:textId="77777777">
              <w:trPr>
                <w:trHeight w:val="23"/>
                <w:jc w:val="center"/>
              </w:trPr>
              <w:tc>
                <w:tcPr>
                  <w:tcW w:w="533" w:type="pct"/>
                  <w:vMerge/>
                  <w:vAlign w:val="center"/>
                </w:tcPr>
                <w:p w14:paraId="31841EA7"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3498AB89" w14:textId="11EA05AB" w:rsidR="003C4F46" w:rsidRDefault="004B6A81">
                  <w:pPr>
                    <w:spacing w:line="240" w:lineRule="auto"/>
                    <w:ind w:firstLineChars="0" w:firstLine="0"/>
                    <w:textAlignment w:val="auto"/>
                    <w:rPr>
                      <w:rFonts w:cs="Times New Roman"/>
                      <w:sz w:val="21"/>
                      <w:szCs w:val="21"/>
                    </w:rPr>
                  </w:pPr>
                  <w:r>
                    <w:rPr>
                      <w:rFonts w:cs="Times New Roman"/>
                      <w:sz w:val="21"/>
                      <w:szCs w:val="21"/>
                    </w:rPr>
                    <w:t>6.3</w:t>
                  </w:r>
                  <w:r>
                    <w:rPr>
                      <w:rFonts w:cs="Times New Roman"/>
                      <w:sz w:val="21"/>
                      <w:szCs w:val="21"/>
                    </w:rPr>
                    <w:t>危险废物的贮存设施的选址与设计、运行与管理、安全防护、环境监测及应急</w:t>
                  </w:r>
                  <w:r>
                    <w:rPr>
                      <w:rFonts w:cs="Times New Roman"/>
                      <w:sz w:val="21"/>
                      <w:szCs w:val="21"/>
                    </w:rPr>
                    <w:lastRenderedPageBreak/>
                    <w:t>措施以及关闭等须遵循《危险废物贮存污染控制标准》的规定。</w:t>
                  </w:r>
                </w:p>
              </w:tc>
              <w:tc>
                <w:tcPr>
                  <w:tcW w:w="1341" w:type="pct"/>
                  <w:vMerge/>
                  <w:vAlign w:val="center"/>
                </w:tcPr>
                <w:p w14:paraId="5FF96974"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7E4F7A4D"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072B876A" w14:textId="77777777">
              <w:trPr>
                <w:trHeight w:val="23"/>
                <w:jc w:val="center"/>
              </w:trPr>
              <w:tc>
                <w:tcPr>
                  <w:tcW w:w="533" w:type="pct"/>
                  <w:vMerge w:val="restart"/>
                  <w:vAlign w:val="center"/>
                </w:tcPr>
                <w:p w14:paraId="77FDCFFD"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一般</w:t>
                  </w:r>
                </w:p>
                <w:p w14:paraId="5F211D09"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要求</w:t>
                  </w:r>
                </w:p>
              </w:tc>
              <w:tc>
                <w:tcPr>
                  <w:tcW w:w="2733" w:type="pct"/>
                  <w:vAlign w:val="center"/>
                </w:tcPr>
                <w:p w14:paraId="1463D37D"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1.</w:t>
                  </w:r>
                  <w:r>
                    <w:rPr>
                      <w:rFonts w:cs="Times New Roman"/>
                      <w:sz w:val="21"/>
                      <w:szCs w:val="21"/>
                    </w:rPr>
                    <w:t>废矿物油收集容器应完好无损，没有腐蚀、污染、损毁或其他</w:t>
                  </w:r>
                  <w:r>
                    <w:rPr>
                      <w:rFonts w:cs="Times New Roman" w:hint="eastAsia"/>
                      <w:sz w:val="21"/>
                      <w:szCs w:val="21"/>
                    </w:rPr>
                    <w:t>可能</w:t>
                  </w:r>
                  <w:r>
                    <w:rPr>
                      <w:rFonts w:cs="Times New Roman"/>
                      <w:sz w:val="21"/>
                      <w:szCs w:val="21"/>
                    </w:rPr>
                    <w:t>导致其使用效能减弱的缺陷。</w:t>
                  </w:r>
                </w:p>
              </w:tc>
              <w:tc>
                <w:tcPr>
                  <w:tcW w:w="1341" w:type="pct"/>
                  <w:vMerge w:val="restart"/>
                  <w:vAlign w:val="center"/>
                </w:tcPr>
                <w:p w14:paraId="54B5277E"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本项目采用专用容器收集产生单位产生的废矿物油</w:t>
                  </w:r>
                </w:p>
              </w:tc>
              <w:tc>
                <w:tcPr>
                  <w:tcW w:w="393" w:type="pct"/>
                  <w:vMerge w:val="restart"/>
                  <w:vAlign w:val="center"/>
                </w:tcPr>
                <w:p w14:paraId="44B8F8BF"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626FC2F4" w14:textId="77777777">
              <w:trPr>
                <w:trHeight w:val="23"/>
                <w:jc w:val="center"/>
              </w:trPr>
              <w:tc>
                <w:tcPr>
                  <w:tcW w:w="533" w:type="pct"/>
                  <w:vMerge/>
                  <w:vAlign w:val="center"/>
                </w:tcPr>
                <w:p w14:paraId="2BF6A0AF"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vAlign w:val="center"/>
                </w:tcPr>
                <w:p w14:paraId="2F7F35BD"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2.</w:t>
                  </w:r>
                  <w:r>
                    <w:rPr>
                      <w:rFonts w:cs="Times New Roman"/>
                      <w:sz w:val="21"/>
                      <w:szCs w:val="21"/>
                    </w:rPr>
                    <w:t>废矿物油收集过程产生的废旧容器应按照危险废物进行处置，仍可转作他用的，应经过消除污染的处理。</w:t>
                  </w:r>
                </w:p>
              </w:tc>
              <w:tc>
                <w:tcPr>
                  <w:tcW w:w="1341" w:type="pct"/>
                  <w:vMerge/>
                  <w:vAlign w:val="center"/>
                </w:tcPr>
                <w:p w14:paraId="3E3D572C" w14:textId="77777777" w:rsidR="003C4F46" w:rsidRDefault="003C4F46">
                  <w:pPr>
                    <w:adjustRightInd w:val="0"/>
                    <w:snapToGrid w:val="0"/>
                    <w:spacing w:line="240" w:lineRule="auto"/>
                    <w:ind w:firstLineChars="0" w:firstLine="0"/>
                    <w:jc w:val="center"/>
                    <w:rPr>
                      <w:rFonts w:cs="Times New Roman"/>
                      <w:sz w:val="21"/>
                      <w:szCs w:val="21"/>
                    </w:rPr>
                  </w:pPr>
                </w:p>
              </w:tc>
              <w:tc>
                <w:tcPr>
                  <w:tcW w:w="393" w:type="pct"/>
                  <w:vMerge/>
                  <w:vAlign w:val="center"/>
                </w:tcPr>
                <w:p w14:paraId="5245FFB6" w14:textId="77777777" w:rsidR="003C4F46" w:rsidRDefault="003C4F46">
                  <w:pPr>
                    <w:spacing w:line="240" w:lineRule="auto"/>
                    <w:ind w:firstLineChars="0" w:firstLine="0"/>
                    <w:jc w:val="center"/>
                    <w:textAlignment w:val="auto"/>
                    <w:rPr>
                      <w:rFonts w:cs="Times New Roman"/>
                      <w:sz w:val="21"/>
                      <w:szCs w:val="21"/>
                    </w:rPr>
                  </w:pPr>
                </w:p>
              </w:tc>
            </w:tr>
            <w:tr w:rsidR="003C4F46" w14:paraId="37CBC7B6" w14:textId="77777777">
              <w:trPr>
                <w:trHeight w:val="23"/>
                <w:jc w:val="center"/>
              </w:trPr>
              <w:tc>
                <w:tcPr>
                  <w:tcW w:w="533" w:type="pct"/>
                  <w:vMerge/>
                  <w:vAlign w:val="center"/>
                </w:tcPr>
                <w:p w14:paraId="749702AC"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vAlign w:val="center"/>
                </w:tcPr>
                <w:p w14:paraId="604E803C"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3.</w:t>
                  </w:r>
                  <w:r>
                    <w:rPr>
                      <w:rFonts w:cs="Times New Roman"/>
                      <w:sz w:val="21"/>
                      <w:szCs w:val="21"/>
                    </w:rPr>
                    <w:t>废矿物油应在产生源收集，不宜在产生源收集的应设置专用设施集中收集。</w:t>
                  </w:r>
                </w:p>
              </w:tc>
              <w:tc>
                <w:tcPr>
                  <w:tcW w:w="1341" w:type="pct"/>
                  <w:vMerge/>
                  <w:vAlign w:val="center"/>
                </w:tcPr>
                <w:p w14:paraId="3E9A7276" w14:textId="77777777" w:rsidR="003C4F46" w:rsidRDefault="003C4F46">
                  <w:pPr>
                    <w:adjustRightInd w:val="0"/>
                    <w:snapToGrid w:val="0"/>
                    <w:spacing w:line="240" w:lineRule="auto"/>
                    <w:ind w:firstLineChars="0" w:firstLine="0"/>
                    <w:jc w:val="center"/>
                    <w:rPr>
                      <w:rFonts w:cs="Times New Roman"/>
                      <w:sz w:val="21"/>
                      <w:szCs w:val="21"/>
                    </w:rPr>
                  </w:pPr>
                </w:p>
              </w:tc>
              <w:tc>
                <w:tcPr>
                  <w:tcW w:w="393" w:type="pct"/>
                  <w:vMerge/>
                  <w:vAlign w:val="center"/>
                </w:tcPr>
                <w:p w14:paraId="4625EB97" w14:textId="77777777" w:rsidR="003C4F46" w:rsidRDefault="003C4F46">
                  <w:pPr>
                    <w:spacing w:line="240" w:lineRule="auto"/>
                    <w:ind w:firstLineChars="0" w:firstLine="0"/>
                    <w:jc w:val="center"/>
                    <w:textAlignment w:val="auto"/>
                    <w:rPr>
                      <w:rFonts w:cs="Times New Roman"/>
                      <w:sz w:val="21"/>
                      <w:szCs w:val="21"/>
                    </w:rPr>
                  </w:pPr>
                </w:p>
              </w:tc>
            </w:tr>
            <w:tr w:rsidR="003C4F46" w14:paraId="02107D41" w14:textId="77777777">
              <w:trPr>
                <w:trHeight w:val="23"/>
                <w:jc w:val="center"/>
              </w:trPr>
              <w:tc>
                <w:tcPr>
                  <w:tcW w:w="533" w:type="pct"/>
                  <w:vMerge/>
                  <w:vAlign w:val="center"/>
                </w:tcPr>
                <w:p w14:paraId="1FB97260"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vAlign w:val="center"/>
                </w:tcPr>
                <w:p w14:paraId="28659DE0"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4.</w:t>
                  </w:r>
                  <w:r>
                    <w:rPr>
                      <w:rFonts w:cs="Times New Roman"/>
                      <w:sz w:val="21"/>
                      <w:szCs w:val="21"/>
                    </w:rPr>
                    <w:t>废矿物油收集过程产生的含油棉、含油毡等含废矿物油废物应一并收集。</w:t>
                  </w:r>
                </w:p>
              </w:tc>
              <w:tc>
                <w:tcPr>
                  <w:tcW w:w="1341" w:type="pct"/>
                  <w:vMerge/>
                  <w:vAlign w:val="center"/>
                </w:tcPr>
                <w:p w14:paraId="5D665B69" w14:textId="77777777" w:rsidR="003C4F46" w:rsidRDefault="003C4F46">
                  <w:pPr>
                    <w:spacing w:line="240" w:lineRule="auto"/>
                    <w:ind w:firstLineChars="0" w:firstLine="0"/>
                    <w:jc w:val="center"/>
                    <w:textAlignment w:val="auto"/>
                    <w:rPr>
                      <w:rFonts w:cs="Times New Roman"/>
                      <w:sz w:val="21"/>
                      <w:szCs w:val="21"/>
                    </w:rPr>
                  </w:pPr>
                </w:p>
              </w:tc>
              <w:tc>
                <w:tcPr>
                  <w:tcW w:w="393" w:type="pct"/>
                  <w:vMerge/>
                  <w:vAlign w:val="center"/>
                </w:tcPr>
                <w:p w14:paraId="3ACDBE76" w14:textId="77777777" w:rsidR="003C4F46" w:rsidRDefault="003C4F46">
                  <w:pPr>
                    <w:spacing w:line="240" w:lineRule="auto"/>
                    <w:ind w:firstLineChars="0" w:firstLine="0"/>
                    <w:jc w:val="center"/>
                    <w:textAlignment w:val="auto"/>
                    <w:rPr>
                      <w:rFonts w:cs="Times New Roman"/>
                      <w:sz w:val="21"/>
                      <w:szCs w:val="21"/>
                    </w:rPr>
                  </w:pPr>
                </w:p>
              </w:tc>
            </w:tr>
            <w:tr w:rsidR="003C4F46" w14:paraId="3CE115CE" w14:textId="77777777">
              <w:trPr>
                <w:trHeight w:val="23"/>
                <w:jc w:val="center"/>
              </w:trPr>
              <w:tc>
                <w:tcPr>
                  <w:tcW w:w="533" w:type="pct"/>
                  <w:vMerge w:val="restart"/>
                  <w:vAlign w:val="center"/>
                </w:tcPr>
                <w:p w14:paraId="4DA1C58F"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贮存污染控制技术要求</w:t>
                  </w:r>
                </w:p>
              </w:tc>
              <w:tc>
                <w:tcPr>
                  <w:tcW w:w="2733" w:type="pct"/>
                </w:tcPr>
                <w:p w14:paraId="5224D977"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1.</w:t>
                  </w:r>
                  <w:r>
                    <w:rPr>
                      <w:rFonts w:cs="Times New Roman"/>
                      <w:sz w:val="21"/>
                      <w:szCs w:val="21"/>
                    </w:rPr>
                    <w:t>废矿物油贮存污染控制应符合</w:t>
                  </w:r>
                  <w:r>
                    <w:rPr>
                      <w:rFonts w:cs="Times New Roman"/>
                      <w:sz w:val="21"/>
                      <w:szCs w:val="21"/>
                    </w:rPr>
                    <w:t>GB18597</w:t>
                  </w:r>
                  <w:r>
                    <w:rPr>
                      <w:rFonts w:cs="Times New Roman"/>
                      <w:sz w:val="21"/>
                      <w:szCs w:val="21"/>
                    </w:rPr>
                    <w:t>中的有关规定。</w:t>
                  </w:r>
                </w:p>
              </w:tc>
              <w:tc>
                <w:tcPr>
                  <w:tcW w:w="1341" w:type="pct"/>
                  <w:vMerge w:val="restart"/>
                  <w:vAlign w:val="center"/>
                </w:tcPr>
                <w:p w14:paraId="6AB784E4"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项目建设了具有防渗、防腐、防雨等符合《危险废物贮存污染控制标准》（</w:t>
                  </w:r>
                  <w:r>
                    <w:rPr>
                      <w:rFonts w:cs="Times New Roman" w:hint="eastAsia"/>
                      <w:sz w:val="21"/>
                      <w:szCs w:val="21"/>
                    </w:rPr>
                    <w:t>GB18597-2023</w:t>
                  </w:r>
                  <w:r>
                    <w:rPr>
                      <w:rFonts w:cs="Times New Roman" w:hint="eastAsia"/>
                      <w:sz w:val="21"/>
                      <w:szCs w:val="21"/>
                    </w:rPr>
                    <w:t>）要求的危险废物贮存设施，并严格按照《危险废物收集贮存运输技术规范》（</w:t>
                  </w:r>
                  <w:r>
                    <w:rPr>
                      <w:rFonts w:cs="Times New Roman" w:hint="eastAsia"/>
                      <w:sz w:val="21"/>
                      <w:szCs w:val="21"/>
                    </w:rPr>
                    <w:t>HJ2025-2012</w:t>
                  </w:r>
                  <w:r>
                    <w:rPr>
                      <w:rFonts w:cs="Times New Roman" w:hint="eastAsia"/>
                      <w:sz w:val="21"/>
                      <w:szCs w:val="21"/>
                    </w:rPr>
                    <w:t>）、《危险废物转移管理办法》管理</w:t>
                  </w:r>
                </w:p>
              </w:tc>
              <w:tc>
                <w:tcPr>
                  <w:tcW w:w="393" w:type="pct"/>
                  <w:vAlign w:val="center"/>
                </w:tcPr>
                <w:p w14:paraId="1D7216CA"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616BFF09" w14:textId="77777777">
              <w:trPr>
                <w:trHeight w:val="90"/>
                <w:jc w:val="center"/>
              </w:trPr>
              <w:tc>
                <w:tcPr>
                  <w:tcW w:w="533" w:type="pct"/>
                  <w:vMerge/>
                  <w:vAlign w:val="center"/>
                </w:tcPr>
                <w:p w14:paraId="220E522F"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1A73A074"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2.</w:t>
                  </w:r>
                  <w:r>
                    <w:rPr>
                      <w:rFonts w:cs="Times New Roman"/>
                      <w:sz w:val="21"/>
                      <w:szCs w:val="21"/>
                    </w:rPr>
                    <w:t>废矿物油贮存设施的设计、建设除符合危险废物贮存设计原则外，还应符合有关消防和危险品贮存设计规范。</w:t>
                  </w:r>
                </w:p>
              </w:tc>
              <w:tc>
                <w:tcPr>
                  <w:tcW w:w="1341" w:type="pct"/>
                  <w:vMerge/>
                  <w:vAlign w:val="center"/>
                </w:tcPr>
                <w:p w14:paraId="60DF51A3"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724BCFB3"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7A52CDF9" w14:textId="77777777">
              <w:trPr>
                <w:trHeight w:val="23"/>
                <w:jc w:val="center"/>
              </w:trPr>
              <w:tc>
                <w:tcPr>
                  <w:tcW w:w="533" w:type="pct"/>
                  <w:vMerge/>
                  <w:vAlign w:val="center"/>
                </w:tcPr>
                <w:p w14:paraId="0723E399"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06DF2A92"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3.</w:t>
                  </w:r>
                  <w:r>
                    <w:rPr>
                      <w:rFonts w:cs="Times New Roman"/>
                      <w:sz w:val="21"/>
                      <w:szCs w:val="21"/>
                    </w:rPr>
                    <w:t>废矿物油贮存设施应远离火源，并避免高温和阳光直射。</w:t>
                  </w:r>
                </w:p>
              </w:tc>
              <w:tc>
                <w:tcPr>
                  <w:tcW w:w="1341" w:type="pct"/>
                  <w:vMerge/>
                  <w:vAlign w:val="center"/>
                </w:tcPr>
                <w:p w14:paraId="3A70C92E"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13E2AEA6"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3316E654" w14:textId="77777777">
              <w:trPr>
                <w:trHeight w:val="23"/>
                <w:jc w:val="center"/>
              </w:trPr>
              <w:tc>
                <w:tcPr>
                  <w:tcW w:w="533" w:type="pct"/>
                  <w:vMerge/>
                  <w:vAlign w:val="center"/>
                </w:tcPr>
                <w:p w14:paraId="55B4C816"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136CCCEF"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4.</w:t>
                  </w:r>
                  <w:r>
                    <w:rPr>
                      <w:rFonts w:cs="Times New Roman"/>
                      <w:sz w:val="21"/>
                      <w:szCs w:val="21"/>
                    </w:rPr>
                    <w:t>废矿物油应使用专用设施贮存，贮存前应进行检验，不应与不相容的废物混合，实行分类存放。</w:t>
                  </w:r>
                </w:p>
              </w:tc>
              <w:tc>
                <w:tcPr>
                  <w:tcW w:w="1341" w:type="pct"/>
                  <w:vMerge/>
                  <w:vAlign w:val="center"/>
                </w:tcPr>
                <w:p w14:paraId="4FFEB79A"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79D6736C"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28D629CF" w14:textId="77777777">
              <w:trPr>
                <w:trHeight w:val="23"/>
                <w:jc w:val="center"/>
              </w:trPr>
              <w:tc>
                <w:tcPr>
                  <w:tcW w:w="533" w:type="pct"/>
                  <w:vMerge/>
                  <w:vAlign w:val="center"/>
                </w:tcPr>
                <w:p w14:paraId="108EF42B"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5739CC51"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5.</w:t>
                  </w:r>
                  <w:r>
                    <w:rPr>
                      <w:rFonts w:cs="Times New Roman"/>
                      <w:sz w:val="21"/>
                      <w:szCs w:val="21"/>
                    </w:rPr>
                    <w:t>废矿物油贮存设施内地面应</w:t>
                  </w:r>
                  <w:r>
                    <w:rPr>
                      <w:rFonts w:cs="Times New Roman" w:hint="eastAsia"/>
                      <w:sz w:val="21"/>
                      <w:szCs w:val="21"/>
                    </w:rPr>
                    <w:t>做</w:t>
                  </w:r>
                  <w:r>
                    <w:rPr>
                      <w:rFonts w:cs="Times New Roman"/>
                      <w:sz w:val="21"/>
                      <w:szCs w:val="21"/>
                    </w:rPr>
                    <w:t>防渗处理，并建设废矿物油收集和导流系统，用于收集不慎泄露的废矿物油。</w:t>
                  </w:r>
                </w:p>
              </w:tc>
              <w:tc>
                <w:tcPr>
                  <w:tcW w:w="1341" w:type="pct"/>
                  <w:vMerge/>
                  <w:vAlign w:val="center"/>
                </w:tcPr>
                <w:p w14:paraId="5F603031"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0825AFCE"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135AEE75" w14:textId="77777777">
              <w:trPr>
                <w:trHeight w:val="23"/>
                <w:jc w:val="center"/>
              </w:trPr>
              <w:tc>
                <w:tcPr>
                  <w:tcW w:w="533" w:type="pct"/>
                  <w:vMerge/>
                  <w:vAlign w:val="center"/>
                </w:tcPr>
                <w:p w14:paraId="3B0EB7FA"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3EB4BA20"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6.</w:t>
                  </w:r>
                  <w:r>
                    <w:rPr>
                      <w:rFonts w:cs="Times New Roman"/>
                      <w:sz w:val="21"/>
                      <w:szCs w:val="21"/>
                    </w:rPr>
                    <w:t>废矿物油容器盛装液体废矿物油时，应留有足够的膨胀余量，预留容积应不少于总容积的</w:t>
                  </w:r>
                  <w:r>
                    <w:rPr>
                      <w:rFonts w:cs="Times New Roman"/>
                      <w:sz w:val="21"/>
                      <w:szCs w:val="21"/>
                    </w:rPr>
                    <w:t>5%</w:t>
                  </w:r>
                  <w:r>
                    <w:rPr>
                      <w:rFonts w:cs="Times New Roman"/>
                      <w:sz w:val="21"/>
                      <w:szCs w:val="21"/>
                    </w:rPr>
                    <w:t>。</w:t>
                  </w:r>
                </w:p>
              </w:tc>
              <w:tc>
                <w:tcPr>
                  <w:tcW w:w="1341" w:type="pct"/>
                  <w:vMerge/>
                  <w:vAlign w:val="center"/>
                </w:tcPr>
                <w:p w14:paraId="36554254"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7FDE6F26"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76AE13C1" w14:textId="77777777">
              <w:trPr>
                <w:trHeight w:val="23"/>
                <w:jc w:val="center"/>
              </w:trPr>
              <w:tc>
                <w:tcPr>
                  <w:tcW w:w="533" w:type="pct"/>
                  <w:vMerge/>
                  <w:vAlign w:val="center"/>
                </w:tcPr>
                <w:p w14:paraId="227AB67A" w14:textId="77777777" w:rsidR="003C4F46" w:rsidRDefault="003C4F46">
                  <w:pPr>
                    <w:adjustRightInd w:val="0"/>
                    <w:snapToGrid w:val="0"/>
                    <w:spacing w:line="240" w:lineRule="auto"/>
                    <w:ind w:firstLineChars="0" w:firstLine="0"/>
                    <w:jc w:val="center"/>
                    <w:rPr>
                      <w:rFonts w:cs="Times New Roman"/>
                      <w:sz w:val="21"/>
                      <w:szCs w:val="21"/>
                    </w:rPr>
                  </w:pPr>
                </w:p>
              </w:tc>
              <w:tc>
                <w:tcPr>
                  <w:tcW w:w="2733" w:type="pct"/>
                </w:tcPr>
                <w:p w14:paraId="58B73418"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7.</w:t>
                  </w:r>
                  <w:r>
                    <w:rPr>
                      <w:rFonts w:cs="Times New Roman"/>
                      <w:sz w:val="21"/>
                      <w:szCs w:val="21"/>
                    </w:rPr>
                    <w:t>已盛装废矿物油的容器应密封，贮油油罐应设置呼吸孔，防止气体膨胀，并安装防护罩，防止杂质落入。</w:t>
                  </w:r>
                </w:p>
              </w:tc>
              <w:tc>
                <w:tcPr>
                  <w:tcW w:w="1341" w:type="pct"/>
                  <w:vMerge/>
                  <w:vAlign w:val="center"/>
                </w:tcPr>
                <w:p w14:paraId="07566B64"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93" w:type="pct"/>
                  <w:vAlign w:val="center"/>
                </w:tcPr>
                <w:p w14:paraId="196299AC"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bl>
          <w:p w14:paraId="0F38BCC4" w14:textId="77777777" w:rsidR="003C4F46" w:rsidRDefault="004B6A81">
            <w:pPr>
              <w:ind w:firstLineChars="0" w:firstLine="0"/>
              <w:textAlignment w:val="auto"/>
              <w:rPr>
                <w:rFonts w:cs="Times New Roman"/>
                <w:b/>
                <w:bCs/>
                <w:kern w:val="0"/>
                <w:szCs w:val="24"/>
              </w:rPr>
            </w:pPr>
            <w:r>
              <w:rPr>
                <w:rFonts w:cs="Times New Roman" w:hint="eastAsia"/>
                <w:b/>
                <w:bCs/>
                <w:kern w:val="0"/>
                <w:szCs w:val="24"/>
              </w:rPr>
              <w:t>7</w:t>
            </w:r>
            <w:r>
              <w:rPr>
                <w:rFonts w:cs="Times New Roman"/>
                <w:b/>
                <w:bCs/>
                <w:kern w:val="0"/>
                <w:szCs w:val="24"/>
              </w:rPr>
              <w:t>.</w:t>
            </w:r>
            <w:r>
              <w:rPr>
                <w:rFonts w:cs="Times New Roman" w:hint="eastAsia"/>
                <w:b/>
                <w:bCs/>
                <w:kern w:val="0"/>
                <w:szCs w:val="24"/>
              </w:rPr>
              <w:t>项目与《废矿物油回收利用污染控制技术规范》（</w:t>
            </w:r>
            <w:r>
              <w:rPr>
                <w:rFonts w:cs="Times New Roman" w:hint="eastAsia"/>
                <w:b/>
                <w:bCs/>
                <w:kern w:val="0"/>
                <w:szCs w:val="24"/>
              </w:rPr>
              <w:t>HJ607-2011</w:t>
            </w:r>
            <w:r>
              <w:rPr>
                <w:rFonts w:cs="Times New Roman" w:hint="eastAsia"/>
                <w:b/>
                <w:bCs/>
                <w:kern w:val="0"/>
                <w:szCs w:val="24"/>
              </w:rPr>
              <w:t>）符合性分析</w:t>
            </w:r>
          </w:p>
          <w:p w14:paraId="0EAE632E"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w:t>
            </w:r>
            <w:r>
              <w:rPr>
                <w:rFonts w:cs="Times New Roman"/>
                <w:b/>
                <w:color w:val="000000"/>
                <w:sz w:val="21"/>
              </w:rPr>
              <w:t xml:space="preserve">6  </w:t>
            </w:r>
            <w:r>
              <w:rPr>
                <w:rFonts w:cs="Times New Roman"/>
                <w:b/>
                <w:color w:val="000000"/>
                <w:sz w:val="21"/>
              </w:rPr>
              <w:t>符合性分析一览表</w:t>
            </w:r>
          </w:p>
          <w:tbl>
            <w:tblPr>
              <w:tblW w:w="4997" w:type="pct"/>
              <w:tblInd w:w="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461"/>
              <w:gridCol w:w="3074"/>
              <w:gridCol w:w="475"/>
            </w:tblGrid>
            <w:tr w:rsidR="003C4F46" w14:paraId="4F3A16E4" w14:textId="77777777">
              <w:trPr>
                <w:trHeight w:val="479"/>
              </w:trPr>
              <w:tc>
                <w:tcPr>
                  <w:tcW w:w="2468" w:type="pct"/>
                  <w:vAlign w:val="center"/>
                </w:tcPr>
                <w:p w14:paraId="531F831F"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shd w:val="clear" w:color="auto" w:fill="FFFFFF"/>
                      <w:lang w:bidi="zh-CN"/>
                    </w:rPr>
                  </w:pPr>
                  <w:r>
                    <w:rPr>
                      <w:rFonts w:cs="Times New Roman" w:hint="eastAsia"/>
                      <w:color w:val="000000"/>
                      <w:kern w:val="0"/>
                      <w:sz w:val="21"/>
                      <w:szCs w:val="21"/>
                      <w:shd w:val="clear" w:color="auto" w:fill="FFFFFF"/>
                      <w:lang w:bidi="zh-CN"/>
                    </w:rPr>
                    <w:t>文件要求</w:t>
                  </w:r>
                </w:p>
              </w:tc>
              <w:tc>
                <w:tcPr>
                  <w:tcW w:w="2192" w:type="pct"/>
                  <w:vAlign w:val="center"/>
                </w:tcPr>
                <w:p w14:paraId="7AF62AED"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val="zh-CN" w:bidi="zh-CN"/>
                    </w:rPr>
                  </w:pPr>
                  <w:r>
                    <w:rPr>
                      <w:rFonts w:cs="Times New Roman"/>
                      <w:color w:val="000000"/>
                      <w:kern w:val="0"/>
                      <w:sz w:val="21"/>
                      <w:szCs w:val="21"/>
                      <w:lang w:val="zh-CN" w:bidi="zh-CN"/>
                    </w:rPr>
                    <w:t>本项目</w:t>
                  </w:r>
                </w:p>
              </w:tc>
              <w:tc>
                <w:tcPr>
                  <w:tcW w:w="339" w:type="pct"/>
                  <w:vAlign w:val="center"/>
                </w:tcPr>
                <w:p w14:paraId="50D9D12A"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val="zh-CN" w:bidi="zh-CN"/>
                    </w:rPr>
                  </w:pPr>
                  <w:r>
                    <w:rPr>
                      <w:rFonts w:cs="Times New Roman"/>
                      <w:color w:val="000000"/>
                      <w:kern w:val="0"/>
                      <w:sz w:val="21"/>
                      <w:szCs w:val="21"/>
                      <w:lang w:val="zh-CN" w:bidi="zh-CN"/>
                    </w:rPr>
                    <w:t>符合性</w:t>
                  </w:r>
                </w:p>
              </w:tc>
            </w:tr>
            <w:tr w:rsidR="003C4F46" w14:paraId="7BDB12CC" w14:textId="77777777">
              <w:tc>
                <w:tcPr>
                  <w:tcW w:w="2468" w:type="pct"/>
                  <w:vAlign w:val="center"/>
                </w:tcPr>
                <w:p w14:paraId="028D127B" w14:textId="5D8698A9" w:rsidR="003C4F46" w:rsidRDefault="004B6A81">
                  <w:pPr>
                    <w:spacing w:line="240" w:lineRule="auto"/>
                    <w:ind w:firstLineChars="0" w:firstLine="0"/>
                    <w:textAlignment w:val="auto"/>
                    <w:rPr>
                      <w:rFonts w:cs="Times New Roman"/>
                      <w:sz w:val="21"/>
                      <w:szCs w:val="21"/>
                      <w:lang w:val="zh-CN"/>
                    </w:rPr>
                  </w:pPr>
                  <w:r>
                    <w:rPr>
                      <w:rFonts w:cs="Times New Roman"/>
                      <w:sz w:val="21"/>
                      <w:szCs w:val="21"/>
                      <w:lang w:val="zh-CN"/>
                    </w:rPr>
                    <w:t>7.1</w:t>
                  </w:r>
                  <w:r>
                    <w:rPr>
                      <w:rFonts w:cs="Times New Roman"/>
                      <w:sz w:val="21"/>
                      <w:szCs w:val="21"/>
                      <w:lang w:val="zh-CN"/>
                    </w:rPr>
                    <w:t>废矿物油贮存污染控制应符合</w:t>
                  </w:r>
                  <w:r>
                    <w:rPr>
                      <w:rFonts w:cs="Times New Roman"/>
                      <w:sz w:val="21"/>
                      <w:szCs w:val="21"/>
                      <w:lang w:val="zh-CN"/>
                    </w:rPr>
                    <w:t>GB18597</w:t>
                  </w:r>
                  <w:r>
                    <w:rPr>
                      <w:rFonts w:cs="Times New Roman"/>
                      <w:sz w:val="21"/>
                      <w:szCs w:val="21"/>
                      <w:lang w:val="zh-CN"/>
                    </w:rPr>
                    <w:t>中的有关规定。</w:t>
                  </w:r>
                </w:p>
              </w:tc>
              <w:tc>
                <w:tcPr>
                  <w:tcW w:w="2192" w:type="pct"/>
                  <w:vAlign w:val="center"/>
                </w:tcPr>
                <w:p w14:paraId="790AB081" w14:textId="77777777" w:rsidR="003C4F46" w:rsidRDefault="004B6A81" w:rsidP="00517934">
                  <w:pPr>
                    <w:adjustRightInd w:val="0"/>
                    <w:snapToGrid w:val="0"/>
                    <w:spacing w:line="240" w:lineRule="auto"/>
                    <w:ind w:firstLineChars="0" w:firstLine="0"/>
                    <w:textAlignment w:val="auto"/>
                    <w:rPr>
                      <w:rFonts w:cs="Times New Roman"/>
                      <w:color w:val="000000"/>
                      <w:kern w:val="0"/>
                      <w:sz w:val="21"/>
                      <w:szCs w:val="21"/>
                      <w:lang w:bidi="zh-CN"/>
                    </w:rPr>
                  </w:pPr>
                  <w:r>
                    <w:rPr>
                      <w:rFonts w:cs="Times New Roman" w:hint="eastAsia"/>
                      <w:color w:val="000000"/>
                      <w:kern w:val="0"/>
                      <w:sz w:val="21"/>
                      <w:szCs w:val="21"/>
                      <w:lang w:bidi="zh-CN"/>
                    </w:rPr>
                    <w:t>本项目符合</w:t>
                  </w:r>
                  <w:r>
                    <w:rPr>
                      <w:rFonts w:cs="Times New Roman"/>
                      <w:color w:val="000000"/>
                      <w:kern w:val="0"/>
                      <w:sz w:val="21"/>
                      <w:szCs w:val="21"/>
                      <w:lang w:val="zh-CN" w:bidi="zh-CN"/>
                    </w:rPr>
                    <w:t>《危险废物贮存污染控制标准》（</w:t>
                  </w:r>
                  <w:r>
                    <w:rPr>
                      <w:rFonts w:cs="Times New Roman"/>
                      <w:color w:val="000000"/>
                      <w:kern w:val="0"/>
                      <w:sz w:val="21"/>
                      <w:szCs w:val="21"/>
                      <w:lang w:val="zh-CN" w:bidi="zh-CN"/>
                    </w:rPr>
                    <w:t>GB18597-2023</w:t>
                  </w:r>
                  <w:r>
                    <w:rPr>
                      <w:rFonts w:cs="Times New Roman"/>
                      <w:color w:val="000000"/>
                      <w:kern w:val="0"/>
                      <w:sz w:val="21"/>
                      <w:szCs w:val="21"/>
                      <w:lang w:val="zh-CN" w:bidi="zh-CN"/>
                    </w:rPr>
                    <w:t>）</w:t>
                  </w:r>
                  <w:r>
                    <w:rPr>
                      <w:rFonts w:cs="Times New Roman" w:hint="eastAsia"/>
                      <w:color w:val="000000"/>
                      <w:kern w:val="0"/>
                      <w:sz w:val="21"/>
                      <w:szCs w:val="21"/>
                      <w:lang w:bidi="zh-CN"/>
                    </w:rPr>
                    <w:t>相关管控要求</w:t>
                  </w:r>
                </w:p>
              </w:tc>
              <w:tc>
                <w:tcPr>
                  <w:tcW w:w="339" w:type="pct"/>
                  <w:vAlign w:val="center"/>
                </w:tcPr>
                <w:p w14:paraId="2A222B12"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r w:rsidR="003C4F46" w14:paraId="7FCFA2A3" w14:textId="77777777">
              <w:tc>
                <w:tcPr>
                  <w:tcW w:w="2468" w:type="pct"/>
                  <w:vAlign w:val="center"/>
                </w:tcPr>
                <w:p w14:paraId="1E6D2455"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7.2</w:t>
                  </w:r>
                  <w:r>
                    <w:rPr>
                      <w:rFonts w:cs="Times New Roman" w:hint="eastAsia"/>
                      <w:sz w:val="21"/>
                      <w:szCs w:val="21"/>
                    </w:rPr>
                    <w:t>废矿物油贮存设施的设计、建设除符合危险废物贮存设计原则外，</w:t>
                  </w:r>
                  <w:r>
                    <w:rPr>
                      <w:rFonts w:cs="Times New Roman" w:hint="eastAsia"/>
                      <w:sz w:val="21"/>
                      <w:szCs w:val="21"/>
                    </w:rPr>
                    <w:lastRenderedPageBreak/>
                    <w:t>还应符合有关消防和危险品贮存设计规范。</w:t>
                  </w:r>
                </w:p>
              </w:tc>
              <w:tc>
                <w:tcPr>
                  <w:tcW w:w="2192" w:type="pct"/>
                  <w:vAlign w:val="center"/>
                </w:tcPr>
                <w:p w14:paraId="5C178D0C" w14:textId="77777777" w:rsidR="003C4F46" w:rsidRDefault="004B6A81" w:rsidP="00517934">
                  <w:pPr>
                    <w:widowControl/>
                    <w:adjustRightInd w:val="0"/>
                    <w:snapToGrid w:val="0"/>
                    <w:spacing w:line="240" w:lineRule="auto"/>
                    <w:ind w:firstLineChars="0" w:firstLine="0"/>
                    <w:textAlignment w:val="auto"/>
                    <w:rPr>
                      <w:rFonts w:cs="Times New Roman"/>
                      <w:color w:val="000000"/>
                      <w:kern w:val="0"/>
                      <w:sz w:val="21"/>
                      <w:szCs w:val="21"/>
                      <w:lang w:bidi="zh-CN"/>
                    </w:rPr>
                  </w:pPr>
                  <w:r>
                    <w:rPr>
                      <w:rFonts w:cs="Times New Roman" w:hint="eastAsia"/>
                      <w:color w:val="000000"/>
                      <w:kern w:val="0"/>
                      <w:sz w:val="21"/>
                      <w:szCs w:val="21"/>
                      <w:lang w:bidi="zh-CN"/>
                    </w:rPr>
                    <w:lastRenderedPageBreak/>
                    <w:t>本项目符合相关消防和危险品贮存设计规范，</w:t>
                  </w:r>
                  <w:r>
                    <w:rPr>
                      <w:rFonts w:cs="Times New Roman"/>
                      <w:bCs/>
                      <w:sz w:val="21"/>
                      <w:szCs w:val="21"/>
                    </w:rPr>
                    <w:t>修建时配备相应</w:t>
                  </w:r>
                  <w:r>
                    <w:rPr>
                      <w:rFonts w:cs="Times New Roman"/>
                      <w:bCs/>
                      <w:sz w:val="21"/>
                      <w:szCs w:val="21"/>
                    </w:rPr>
                    <w:lastRenderedPageBreak/>
                    <w:t>的通讯设备、照明设备和消防设施</w:t>
                  </w:r>
                  <w:r>
                    <w:rPr>
                      <w:rFonts w:cs="Times New Roman" w:hint="eastAsia"/>
                      <w:bCs/>
                      <w:sz w:val="21"/>
                      <w:szCs w:val="21"/>
                    </w:rPr>
                    <w:t>。采用隔离贮存的方式进行贮存</w:t>
                  </w:r>
                </w:p>
              </w:tc>
              <w:tc>
                <w:tcPr>
                  <w:tcW w:w="339" w:type="pct"/>
                  <w:vAlign w:val="center"/>
                </w:tcPr>
                <w:p w14:paraId="0E8AD9BB"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lastRenderedPageBreak/>
                    <w:t>符合</w:t>
                  </w:r>
                </w:p>
              </w:tc>
            </w:tr>
            <w:tr w:rsidR="003C4F46" w14:paraId="5256F70C" w14:textId="77777777">
              <w:tc>
                <w:tcPr>
                  <w:tcW w:w="2468" w:type="pct"/>
                  <w:vAlign w:val="center"/>
                </w:tcPr>
                <w:p w14:paraId="5B9F40E6"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7.3</w:t>
                  </w:r>
                  <w:r>
                    <w:rPr>
                      <w:rFonts w:cs="Times New Roman"/>
                      <w:sz w:val="21"/>
                      <w:szCs w:val="21"/>
                    </w:rPr>
                    <w:t>废矿物油贮存设施应远离火源</w:t>
                  </w:r>
                  <w:r>
                    <w:rPr>
                      <w:rFonts w:cs="Times New Roman" w:hint="eastAsia"/>
                      <w:sz w:val="21"/>
                      <w:szCs w:val="21"/>
                    </w:rPr>
                    <w:t>，</w:t>
                  </w:r>
                  <w:r>
                    <w:rPr>
                      <w:rFonts w:cs="Times New Roman"/>
                      <w:sz w:val="21"/>
                      <w:szCs w:val="21"/>
                    </w:rPr>
                    <w:t>并避免高温和阳光直射。</w:t>
                  </w:r>
                </w:p>
              </w:tc>
              <w:tc>
                <w:tcPr>
                  <w:tcW w:w="2192" w:type="pct"/>
                  <w:vAlign w:val="center"/>
                </w:tcPr>
                <w:p w14:paraId="078990CC" w14:textId="77777777" w:rsidR="003C4F46" w:rsidRDefault="004B6A81" w:rsidP="00517934">
                  <w:pPr>
                    <w:widowControl/>
                    <w:adjustRightInd w:val="0"/>
                    <w:snapToGrid w:val="0"/>
                    <w:spacing w:line="240" w:lineRule="auto"/>
                    <w:ind w:firstLineChars="0" w:firstLine="0"/>
                    <w:textAlignment w:val="auto"/>
                    <w:rPr>
                      <w:rFonts w:cs="Times New Roman"/>
                      <w:color w:val="000000"/>
                      <w:kern w:val="0"/>
                      <w:sz w:val="21"/>
                      <w:szCs w:val="21"/>
                      <w:lang w:bidi="zh-CN"/>
                    </w:rPr>
                  </w:pPr>
                  <w:r>
                    <w:rPr>
                      <w:rFonts w:cs="Times New Roman" w:hint="eastAsia"/>
                      <w:color w:val="000000"/>
                      <w:kern w:val="0"/>
                      <w:sz w:val="21"/>
                      <w:szCs w:val="21"/>
                      <w:lang w:bidi="zh-CN"/>
                    </w:rPr>
                    <w:t>本项目贮存设施远离火源，为封闭式结构，避免阳光直射</w:t>
                  </w:r>
                </w:p>
              </w:tc>
              <w:tc>
                <w:tcPr>
                  <w:tcW w:w="339" w:type="pct"/>
                  <w:vAlign w:val="center"/>
                </w:tcPr>
                <w:p w14:paraId="4384A266"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r w:rsidR="003C4F46" w14:paraId="5B3A29BE" w14:textId="77777777">
              <w:tc>
                <w:tcPr>
                  <w:tcW w:w="2468" w:type="pct"/>
                  <w:vAlign w:val="center"/>
                </w:tcPr>
                <w:p w14:paraId="6D5078F3"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7.4</w:t>
                  </w:r>
                  <w:r>
                    <w:rPr>
                      <w:rFonts w:cs="Times New Roman"/>
                      <w:sz w:val="21"/>
                      <w:szCs w:val="21"/>
                    </w:rPr>
                    <w:t>废矿物油应使用专用设施贮存，贮存前应进行检验，不应与不相容的废物混合，实行分类存放。</w:t>
                  </w:r>
                </w:p>
              </w:tc>
              <w:tc>
                <w:tcPr>
                  <w:tcW w:w="2192" w:type="pct"/>
                  <w:vAlign w:val="center"/>
                </w:tcPr>
                <w:p w14:paraId="433CEA34" w14:textId="5D520427" w:rsidR="003C4F46" w:rsidRDefault="004B6A81" w:rsidP="00517934">
                  <w:pPr>
                    <w:widowControl/>
                    <w:adjustRightInd w:val="0"/>
                    <w:snapToGrid w:val="0"/>
                    <w:spacing w:line="240" w:lineRule="auto"/>
                    <w:ind w:firstLineChars="0" w:firstLine="0"/>
                    <w:textAlignment w:val="auto"/>
                    <w:rPr>
                      <w:rFonts w:cs="Times New Roman"/>
                      <w:color w:val="000000"/>
                      <w:kern w:val="0"/>
                      <w:sz w:val="21"/>
                      <w:szCs w:val="21"/>
                      <w:lang w:bidi="zh-CN"/>
                    </w:rPr>
                  </w:pPr>
                  <w:r>
                    <w:rPr>
                      <w:rFonts w:cs="Times New Roman" w:hint="eastAsia"/>
                      <w:color w:val="000000"/>
                      <w:kern w:val="0"/>
                      <w:sz w:val="21"/>
                      <w:szCs w:val="21"/>
                      <w:lang w:bidi="zh-CN"/>
                    </w:rPr>
                    <w:t>项目废矿物油贮存在</w:t>
                  </w:r>
                  <w:r>
                    <w:rPr>
                      <w:rFonts w:cs="Times New Roman"/>
                      <w:color w:val="000000"/>
                      <w:kern w:val="0"/>
                      <w:sz w:val="21"/>
                      <w:szCs w:val="21"/>
                      <w:lang w:bidi="zh-CN"/>
                    </w:rPr>
                    <w:t>600</w:t>
                  </w:r>
                  <w:r>
                    <w:rPr>
                      <w:rFonts w:cs="Times New Roman" w:hint="eastAsia"/>
                      <w:color w:val="000000"/>
                      <w:kern w:val="0"/>
                      <w:sz w:val="21"/>
                      <w:szCs w:val="21"/>
                      <w:lang w:bidi="zh-CN"/>
                    </w:rPr>
                    <w:t>m</w:t>
                  </w:r>
                  <w:r>
                    <w:rPr>
                      <w:rFonts w:cs="Times New Roman" w:hint="eastAsia"/>
                      <w:color w:val="000000"/>
                      <w:kern w:val="0"/>
                      <w:sz w:val="21"/>
                      <w:szCs w:val="21"/>
                      <w:vertAlign w:val="superscript"/>
                      <w:lang w:bidi="zh-CN"/>
                    </w:rPr>
                    <w:t>3</w:t>
                  </w:r>
                  <w:r>
                    <w:rPr>
                      <w:rFonts w:cs="Times New Roman" w:hint="eastAsia"/>
                      <w:color w:val="000000"/>
                      <w:kern w:val="0"/>
                      <w:sz w:val="21"/>
                      <w:szCs w:val="21"/>
                      <w:lang w:bidi="zh-CN"/>
                    </w:rPr>
                    <w:t>废油储罐内，单独存放，不</w:t>
                  </w:r>
                  <w:r w:rsidR="007258DB">
                    <w:rPr>
                      <w:rFonts w:cs="Times New Roman" w:hint="eastAsia"/>
                      <w:color w:val="000000"/>
                      <w:kern w:val="0"/>
                      <w:sz w:val="21"/>
                      <w:szCs w:val="21"/>
                      <w:lang w:bidi="zh-CN"/>
                    </w:rPr>
                    <w:t>与</w:t>
                  </w:r>
                  <w:r>
                    <w:rPr>
                      <w:rFonts w:cs="Times New Roman" w:hint="eastAsia"/>
                      <w:color w:val="000000"/>
                      <w:kern w:val="0"/>
                      <w:sz w:val="21"/>
                      <w:szCs w:val="21"/>
                      <w:lang w:bidi="zh-CN"/>
                    </w:rPr>
                    <w:t>其他废物混合</w:t>
                  </w:r>
                </w:p>
              </w:tc>
              <w:tc>
                <w:tcPr>
                  <w:tcW w:w="339" w:type="pct"/>
                  <w:vAlign w:val="center"/>
                </w:tcPr>
                <w:p w14:paraId="12F1A456"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r w:rsidR="003C4F46" w14:paraId="1ED6471F" w14:textId="77777777">
              <w:tc>
                <w:tcPr>
                  <w:tcW w:w="2468" w:type="pct"/>
                  <w:vAlign w:val="center"/>
                </w:tcPr>
                <w:p w14:paraId="61604832"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7.5</w:t>
                  </w:r>
                  <w:r>
                    <w:rPr>
                      <w:rFonts w:cs="Times New Roman"/>
                      <w:sz w:val="21"/>
                      <w:szCs w:val="21"/>
                    </w:rPr>
                    <w:t>废矿物油贮存设施内地面应作防渗处理，并建设废矿物油收集和导流系统，用于收集不慎泄漏的废矿物油。</w:t>
                  </w:r>
                </w:p>
              </w:tc>
              <w:tc>
                <w:tcPr>
                  <w:tcW w:w="2192" w:type="pct"/>
                  <w:vAlign w:val="center"/>
                </w:tcPr>
                <w:p w14:paraId="45BE8EC4" w14:textId="09746065" w:rsidR="003C4F46" w:rsidRDefault="00744D0C">
                  <w:pPr>
                    <w:widowControl/>
                    <w:adjustRightInd w:val="0"/>
                    <w:snapToGrid w:val="0"/>
                    <w:spacing w:line="240" w:lineRule="auto"/>
                    <w:ind w:firstLineChars="0" w:firstLine="0"/>
                    <w:textAlignment w:val="auto"/>
                    <w:rPr>
                      <w:rFonts w:cs="Times New Roman"/>
                      <w:color w:val="000000"/>
                      <w:kern w:val="0"/>
                      <w:sz w:val="21"/>
                      <w:szCs w:val="21"/>
                      <w:lang w:bidi="zh-CN"/>
                    </w:rPr>
                  </w:pPr>
                  <w:r>
                    <w:rPr>
                      <w:rFonts w:cs="Times New Roman" w:hint="eastAsia"/>
                      <w:sz w:val="21"/>
                      <w:szCs w:val="21"/>
                    </w:rPr>
                    <w:t>危险废物贮存库</w:t>
                  </w:r>
                  <w:r w:rsidR="004B6A81">
                    <w:rPr>
                      <w:rFonts w:cs="Times New Roman" w:hint="eastAsia"/>
                      <w:color w:val="000000"/>
                      <w:kern w:val="0"/>
                      <w:sz w:val="21"/>
                      <w:szCs w:val="21"/>
                      <w:lang w:bidi="zh-CN"/>
                    </w:rPr>
                    <w:t>地面做重点防渗，并设置导流槽，连接厂区现有</w:t>
                  </w:r>
                  <w:r w:rsidR="004B6A81">
                    <w:rPr>
                      <w:rFonts w:cs="Times New Roman"/>
                      <w:color w:val="000000"/>
                      <w:kern w:val="0"/>
                      <w:sz w:val="21"/>
                      <w:szCs w:val="21"/>
                      <w:lang w:bidi="zh-CN"/>
                    </w:rPr>
                    <w:t>80</w:t>
                  </w:r>
                  <w:r w:rsidR="004B6A81">
                    <w:rPr>
                      <w:rFonts w:cs="Times New Roman" w:hint="eastAsia"/>
                      <w:color w:val="000000"/>
                      <w:kern w:val="0"/>
                      <w:sz w:val="21"/>
                      <w:szCs w:val="21"/>
                      <w:lang w:bidi="zh-CN"/>
                    </w:rPr>
                    <w:t>0m</w:t>
                  </w:r>
                  <w:r w:rsidR="004B6A81">
                    <w:rPr>
                      <w:rFonts w:cs="Times New Roman" w:hint="eastAsia"/>
                      <w:color w:val="000000"/>
                      <w:kern w:val="0"/>
                      <w:sz w:val="21"/>
                      <w:szCs w:val="21"/>
                      <w:vertAlign w:val="superscript"/>
                      <w:lang w:bidi="zh-CN"/>
                    </w:rPr>
                    <w:t>3</w:t>
                  </w:r>
                  <w:r w:rsidR="004B6A81">
                    <w:rPr>
                      <w:rFonts w:cs="Times New Roman" w:hint="eastAsia"/>
                      <w:color w:val="000000"/>
                      <w:kern w:val="0"/>
                      <w:sz w:val="21"/>
                      <w:szCs w:val="21"/>
                      <w:lang w:bidi="zh-CN"/>
                    </w:rPr>
                    <w:t>事故池用于收集</w:t>
                  </w:r>
                  <w:r w:rsidR="004B6A81">
                    <w:rPr>
                      <w:rFonts w:cs="Times New Roman"/>
                      <w:sz w:val="21"/>
                      <w:szCs w:val="21"/>
                    </w:rPr>
                    <w:t>不慎泄漏的废矿物油</w:t>
                  </w:r>
                  <w:r w:rsidR="004B6A81">
                    <w:rPr>
                      <w:rFonts w:cs="Times New Roman" w:hint="eastAsia"/>
                      <w:sz w:val="21"/>
                      <w:szCs w:val="21"/>
                    </w:rPr>
                    <w:t>，该事故池依托可行</w:t>
                  </w:r>
                </w:p>
              </w:tc>
              <w:tc>
                <w:tcPr>
                  <w:tcW w:w="339" w:type="pct"/>
                  <w:vAlign w:val="center"/>
                </w:tcPr>
                <w:p w14:paraId="3A77BE8F"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r w:rsidR="003C4F46" w14:paraId="46EB36C5" w14:textId="77777777">
              <w:tc>
                <w:tcPr>
                  <w:tcW w:w="2468" w:type="pct"/>
                  <w:vAlign w:val="center"/>
                </w:tcPr>
                <w:p w14:paraId="1D733B91"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7.6</w:t>
                  </w:r>
                  <w:r>
                    <w:rPr>
                      <w:rFonts w:cs="Times New Roman"/>
                      <w:sz w:val="21"/>
                      <w:szCs w:val="21"/>
                    </w:rPr>
                    <w:t>废矿物油容器盛装液体废矿物油时，应留有足够的膨胀余量，预留容积应不少于总容积的</w:t>
                  </w:r>
                  <w:r>
                    <w:rPr>
                      <w:rFonts w:cs="Times New Roman"/>
                      <w:sz w:val="21"/>
                      <w:szCs w:val="21"/>
                    </w:rPr>
                    <w:t>5%</w:t>
                  </w:r>
                  <w:r>
                    <w:rPr>
                      <w:rFonts w:cs="Times New Roman"/>
                      <w:sz w:val="21"/>
                      <w:szCs w:val="21"/>
                    </w:rPr>
                    <w:t>。</w:t>
                  </w:r>
                </w:p>
              </w:tc>
              <w:tc>
                <w:tcPr>
                  <w:tcW w:w="2192" w:type="pct"/>
                  <w:vAlign w:val="center"/>
                </w:tcPr>
                <w:p w14:paraId="68C0F234" w14:textId="14E0493B" w:rsidR="003C4F46" w:rsidRPr="00C00F9E" w:rsidRDefault="00C00F9E">
                  <w:pPr>
                    <w:widowControl/>
                    <w:adjustRightInd w:val="0"/>
                    <w:snapToGrid w:val="0"/>
                    <w:spacing w:line="240" w:lineRule="auto"/>
                    <w:ind w:firstLineChars="0" w:firstLine="0"/>
                    <w:textAlignment w:val="auto"/>
                    <w:rPr>
                      <w:rFonts w:cs="Times New Roman"/>
                      <w:color w:val="000000"/>
                      <w:kern w:val="0"/>
                      <w:sz w:val="21"/>
                      <w:szCs w:val="21"/>
                      <w:lang w:bidi="zh-CN"/>
                    </w:rPr>
                  </w:pPr>
                  <w:r w:rsidRPr="00C00F9E">
                    <w:rPr>
                      <w:rFonts w:cs="Times New Roman"/>
                      <w:sz w:val="21"/>
                      <w:szCs w:val="21"/>
                    </w:rPr>
                    <w:t>HW08</w:t>
                  </w:r>
                  <w:r w:rsidRPr="00C00F9E">
                    <w:rPr>
                      <w:rFonts w:cs="Times New Roman"/>
                      <w:sz w:val="21"/>
                      <w:szCs w:val="21"/>
                    </w:rPr>
                    <w:t>废矿物油采用</w:t>
                  </w:r>
                  <w:r w:rsidRPr="00C00F9E">
                    <w:rPr>
                      <w:rFonts w:cs="Times New Roman"/>
                      <w:sz w:val="21"/>
                      <w:szCs w:val="21"/>
                    </w:rPr>
                    <w:t>3</w:t>
                  </w:r>
                  <w:r w:rsidRPr="00C00F9E">
                    <w:rPr>
                      <w:rFonts w:cs="Times New Roman"/>
                      <w:sz w:val="21"/>
                      <w:szCs w:val="21"/>
                    </w:rPr>
                    <w:t>座</w:t>
                  </w:r>
                  <w:r w:rsidRPr="00C00F9E">
                    <w:rPr>
                      <w:rFonts w:cs="Times New Roman"/>
                      <w:sz w:val="21"/>
                      <w:szCs w:val="21"/>
                    </w:rPr>
                    <w:t>600m³</w:t>
                  </w:r>
                  <w:r w:rsidRPr="00C00F9E">
                    <w:rPr>
                      <w:rFonts w:cs="Times New Roman"/>
                      <w:sz w:val="21"/>
                      <w:szCs w:val="21"/>
                    </w:rPr>
                    <w:t>储罐贮存，最大贮存量为</w:t>
                  </w:r>
                  <w:r w:rsidRPr="00C00F9E">
                    <w:rPr>
                      <w:rFonts w:cs="Times New Roman"/>
                      <w:sz w:val="21"/>
                      <w:szCs w:val="21"/>
                    </w:rPr>
                    <w:t>1377t</w:t>
                  </w:r>
                </w:p>
              </w:tc>
              <w:tc>
                <w:tcPr>
                  <w:tcW w:w="339" w:type="pct"/>
                  <w:vAlign w:val="center"/>
                </w:tcPr>
                <w:p w14:paraId="4D18AE80"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r w:rsidR="003C4F46" w14:paraId="2D623C75" w14:textId="77777777">
              <w:tc>
                <w:tcPr>
                  <w:tcW w:w="2468" w:type="pct"/>
                  <w:vAlign w:val="center"/>
                </w:tcPr>
                <w:p w14:paraId="48A10E57"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7.7</w:t>
                  </w:r>
                  <w:r>
                    <w:rPr>
                      <w:rFonts w:cs="Times New Roman"/>
                      <w:sz w:val="21"/>
                      <w:szCs w:val="21"/>
                    </w:rPr>
                    <w:t>已盛装废矿物油的容器应密封，贮油油罐应设置呼吸孔，防止气体膨胀，并安装防护罩，防止杂质落入。</w:t>
                  </w:r>
                </w:p>
              </w:tc>
              <w:tc>
                <w:tcPr>
                  <w:tcW w:w="2192" w:type="pct"/>
                  <w:vAlign w:val="center"/>
                </w:tcPr>
                <w:p w14:paraId="65AFF339" w14:textId="77777777" w:rsidR="003C4F46" w:rsidRDefault="004B6A81" w:rsidP="00517934">
                  <w:pPr>
                    <w:widowControl/>
                    <w:adjustRightInd w:val="0"/>
                    <w:snapToGrid w:val="0"/>
                    <w:spacing w:line="240" w:lineRule="auto"/>
                    <w:ind w:firstLineChars="0" w:firstLine="0"/>
                    <w:textAlignment w:val="auto"/>
                    <w:rPr>
                      <w:rFonts w:cs="Times New Roman"/>
                      <w:color w:val="000000"/>
                      <w:kern w:val="0"/>
                      <w:sz w:val="21"/>
                      <w:szCs w:val="21"/>
                      <w:lang w:bidi="zh-CN"/>
                    </w:rPr>
                  </w:pPr>
                  <w:r>
                    <w:rPr>
                      <w:rFonts w:cs="Times New Roman" w:hint="eastAsia"/>
                      <w:color w:val="000000"/>
                      <w:kern w:val="0"/>
                      <w:sz w:val="21"/>
                      <w:szCs w:val="21"/>
                      <w:lang w:bidi="zh-CN"/>
                    </w:rPr>
                    <w:t>废油储罐设置呼吸阀（呼吸孔），配套安装防护罩，防止杂物落入</w:t>
                  </w:r>
                </w:p>
              </w:tc>
              <w:tc>
                <w:tcPr>
                  <w:tcW w:w="339" w:type="pct"/>
                  <w:vAlign w:val="center"/>
                </w:tcPr>
                <w:p w14:paraId="2A12C6D2"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bl>
          <w:p w14:paraId="2CB62A00" w14:textId="77777777" w:rsidR="003C4F46" w:rsidRDefault="004B6A81">
            <w:pPr>
              <w:ind w:firstLineChars="0" w:firstLine="0"/>
              <w:textAlignment w:val="auto"/>
              <w:rPr>
                <w:rFonts w:cs="Times New Roman"/>
                <w:b/>
                <w:bCs/>
                <w:kern w:val="0"/>
                <w:szCs w:val="24"/>
              </w:rPr>
            </w:pPr>
            <w:r>
              <w:rPr>
                <w:rFonts w:cs="Times New Roman"/>
                <w:b/>
                <w:bCs/>
                <w:kern w:val="0"/>
                <w:szCs w:val="24"/>
              </w:rPr>
              <w:t>8.</w:t>
            </w:r>
            <w:r>
              <w:rPr>
                <w:rFonts w:cs="Times New Roman"/>
                <w:b/>
                <w:bCs/>
                <w:kern w:val="0"/>
                <w:szCs w:val="24"/>
              </w:rPr>
              <w:t>项目与《危险废物转移管理办法》的符合性</w:t>
            </w:r>
            <w:r>
              <w:rPr>
                <w:rFonts w:cs="Times New Roman" w:hint="eastAsia"/>
                <w:b/>
                <w:bCs/>
                <w:kern w:val="0"/>
                <w:szCs w:val="24"/>
              </w:rPr>
              <w:t>分析</w:t>
            </w:r>
          </w:p>
          <w:p w14:paraId="6375FF24"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w:t>
            </w:r>
            <w:r>
              <w:rPr>
                <w:rFonts w:cs="Times New Roman"/>
                <w:b/>
                <w:color w:val="000000"/>
                <w:sz w:val="21"/>
              </w:rPr>
              <w:t xml:space="preserve">7  </w:t>
            </w:r>
            <w:r>
              <w:rPr>
                <w:rFonts w:cs="Times New Roman"/>
                <w:b/>
                <w:color w:val="000000"/>
                <w:sz w:val="21"/>
              </w:rPr>
              <w:t>与《危险废物转移管理办法》相符性分析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4619"/>
              <w:gridCol w:w="1788"/>
              <w:gridCol w:w="603"/>
            </w:tblGrid>
            <w:tr w:rsidR="003C4F46" w14:paraId="7CB253E5" w14:textId="77777777">
              <w:trPr>
                <w:trHeight w:val="23"/>
                <w:jc w:val="center"/>
              </w:trPr>
              <w:tc>
                <w:tcPr>
                  <w:tcW w:w="3294" w:type="pct"/>
                  <w:vAlign w:val="center"/>
                </w:tcPr>
                <w:p w14:paraId="40C9EA4F"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文件</w:t>
                  </w:r>
                  <w:r>
                    <w:rPr>
                      <w:rFonts w:cs="Times New Roman"/>
                      <w:sz w:val="21"/>
                      <w:szCs w:val="21"/>
                    </w:rPr>
                    <w:t>要求</w:t>
                  </w:r>
                </w:p>
              </w:tc>
              <w:tc>
                <w:tcPr>
                  <w:tcW w:w="1275" w:type="pct"/>
                  <w:vAlign w:val="center"/>
                </w:tcPr>
                <w:p w14:paraId="1D2EB790"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项目情况</w:t>
                  </w:r>
                </w:p>
              </w:tc>
              <w:tc>
                <w:tcPr>
                  <w:tcW w:w="430" w:type="pct"/>
                  <w:vAlign w:val="center"/>
                </w:tcPr>
                <w:p w14:paraId="2444C124"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符合性</w:t>
                  </w:r>
                </w:p>
              </w:tc>
            </w:tr>
            <w:tr w:rsidR="003C4F46" w14:paraId="54D94C1C" w14:textId="77777777">
              <w:trPr>
                <w:trHeight w:val="23"/>
                <w:jc w:val="center"/>
              </w:trPr>
              <w:tc>
                <w:tcPr>
                  <w:tcW w:w="3294" w:type="pct"/>
                  <w:vAlign w:val="center"/>
                </w:tcPr>
                <w:p w14:paraId="604985E1"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转移危险废物的，应当执行危险废物转移联单制度，法律法规另有规定的除外。危险废物转移联单的格式和内容由生态环境部另行制定。</w:t>
                  </w:r>
                </w:p>
              </w:tc>
              <w:tc>
                <w:tcPr>
                  <w:tcW w:w="1275" w:type="pct"/>
                  <w:vAlign w:val="center"/>
                </w:tcPr>
                <w:p w14:paraId="7FA1F528"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按照要求填写危险废物转移联单</w:t>
                  </w:r>
                </w:p>
              </w:tc>
              <w:tc>
                <w:tcPr>
                  <w:tcW w:w="430" w:type="pct"/>
                  <w:vAlign w:val="center"/>
                </w:tcPr>
                <w:p w14:paraId="0346F95E"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596B3A2D" w14:textId="77777777">
              <w:trPr>
                <w:trHeight w:val="23"/>
                <w:jc w:val="center"/>
              </w:trPr>
              <w:tc>
                <w:tcPr>
                  <w:tcW w:w="3294" w:type="pct"/>
                  <w:vAlign w:val="center"/>
                </w:tcPr>
                <w:p w14:paraId="2F49BA86"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转移危险废物的，应当通过国家危险废物信息管理系统填写、运行危险废物电子转移联单，并依照国家有关规定公开危险废物转移相关污染环境防治信息。</w:t>
                  </w:r>
                </w:p>
              </w:tc>
              <w:tc>
                <w:tcPr>
                  <w:tcW w:w="1275" w:type="pct"/>
                  <w:vAlign w:val="center"/>
                </w:tcPr>
                <w:p w14:paraId="3A8563D2"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按照要求填写危险废物转移联单</w:t>
                  </w:r>
                </w:p>
              </w:tc>
              <w:tc>
                <w:tcPr>
                  <w:tcW w:w="430" w:type="pct"/>
                  <w:vAlign w:val="center"/>
                </w:tcPr>
                <w:p w14:paraId="2A535186"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785635B0" w14:textId="77777777">
              <w:trPr>
                <w:trHeight w:val="23"/>
                <w:jc w:val="center"/>
              </w:trPr>
              <w:tc>
                <w:tcPr>
                  <w:tcW w:w="3294" w:type="pct"/>
                  <w:vAlign w:val="center"/>
                </w:tcPr>
                <w:p w14:paraId="01A3A88B"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危险废物移出人、危险废物承运人、危险废物接受人在危险废物转移过程中应当采取防扬散、防流失、防渗漏或者其他防止污染环境的措施，不得擅自倾倒、堆放、丢弃、遗撒危险废物，并对所造成的环境污染及生态破坏依法承担责任。</w:t>
                  </w:r>
                </w:p>
              </w:tc>
              <w:tc>
                <w:tcPr>
                  <w:tcW w:w="1275" w:type="pct"/>
                  <w:vAlign w:val="center"/>
                </w:tcPr>
                <w:p w14:paraId="7E8587F3" w14:textId="3BFD66C7" w:rsidR="003C4F46" w:rsidRDefault="004B6A81">
                  <w:pPr>
                    <w:adjustRightInd w:val="0"/>
                    <w:snapToGrid w:val="0"/>
                    <w:spacing w:line="240" w:lineRule="auto"/>
                    <w:ind w:firstLineChars="0" w:firstLine="0"/>
                    <w:rPr>
                      <w:rFonts w:cs="Times New Roman"/>
                      <w:sz w:val="21"/>
                      <w:szCs w:val="21"/>
                    </w:rPr>
                  </w:pPr>
                  <w:r>
                    <w:rPr>
                      <w:rFonts w:cs="Times New Roman" w:hint="eastAsia"/>
                      <w:sz w:val="21"/>
                      <w:szCs w:val="21"/>
                    </w:rPr>
                    <w:t>危险废物通过专用车进行转移</w:t>
                  </w:r>
                </w:p>
              </w:tc>
              <w:tc>
                <w:tcPr>
                  <w:tcW w:w="430" w:type="pct"/>
                  <w:vAlign w:val="center"/>
                </w:tcPr>
                <w:p w14:paraId="63BD82F7"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20E023E5" w14:textId="77777777">
              <w:trPr>
                <w:trHeight w:val="23"/>
                <w:jc w:val="center"/>
              </w:trPr>
              <w:tc>
                <w:tcPr>
                  <w:tcW w:w="3294" w:type="pct"/>
                  <w:vAlign w:val="center"/>
                </w:tcPr>
                <w:p w14:paraId="1E5699B9"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1.</w:t>
                  </w:r>
                  <w:r>
                    <w:rPr>
                      <w:rFonts w:cs="Times New Roman" w:hint="eastAsia"/>
                      <w:sz w:val="21"/>
                      <w:szCs w:val="21"/>
                    </w:rPr>
                    <w:t>对承运人或者接受人的主体资格和技术能力进行核实，依法签订书面合同，并在合同中约定运输、储存、利用、处置危险废物的污染防治要求及相关责任；</w:t>
                  </w:r>
                </w:p>
                <w:p w14:paraId="7B54208D"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2.</w:t>
                  </w:r>
                  <w:r>
                    <w:rPr>
                      <w:rFonts w:cs="Times New Roman" w:hint="eastAsia"/>
                      <w:sz w:val="21"/>
                      <w:szCs w:val="21"/>
                    </w:rPr>
                    <w:t>制定危险废物管理计划，明确拟转移危险废物的种类、重量（数量）和流向等信息；</w:t>
                  </w:r>
                </w:p>
                <w:p w14:paraId="6571B2F6"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3.</w:t>
                  </w:r>
                  <w:r>
                    <w:rPr>
                      <w:rFonts w:cs="Times New Roman" w:hint="eastAsia"/>
                      <w:sz w:val="21"/>
                      <w:szCs w:val="21"/>
                    </w:rPr>
                    <w:t>建立危险废物管理台账，对转移的危险废物进行</w:t>
                  </w:r>
                  <w:r>
                    <w:rPr>
                      <w:rFonts w:cs="Times New Roman" w:hint="eastAsia"/>
                      <w:sz w:val="21"/>
                      <w:szCs w:val="21"/>
                    </w:rPr>
                    <w:lastRenderedPageBreak/>
                    <w:t>计量称重，如实记录、妥善保管转移危险废物的种类、重量（数量）和接收人等相关信息；</w:t>
                  </w:r>
                </w:p>
                <w:p w14:paraId="55EB7D61"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4.</w:t>
                  </w:r>
                  <w:r>
                    <w:rPr>
                      <w:rFonts w:cs="Times New Roman" w:hint="eastAsia"/>
                      <w:sz w:val="21"/>
                      <w:szCs w:val="21"/>
                    </w:rPr>
                    <w:t>填写、运行危险废物转移联单，在危险废物转移联单中如实填写移出人、承运人、接受人信息，转移危险废物的种类、重量（数量）、危险特性等信息，以及突发环境事件的防范措施等；</w:t>
                  </w:r>
                </w:p>
                <w:p w14:paraId="4635CF4D"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5.</w:t>
                  </w:r>
                  <w:r>
                    <w:rPr>
                      <w:rFonts w:cs="Times New Roman" w:hint="eastAsia"/>
                      <w:sz w:val="21"/>
                      <w:szCs w:val="21"/>
                    </w:rPr>
                    <w:t>及时核实接受人贮存、利用或者处置行管危险废物情况；</w:t>
                  </w:r>
                </w:p>
                <w:p w14:paraId="195E8761" w14:textId="77777777" w:rsidR="003C4F46" w:rsidRDefault="004B6A81">
                  <w:pPr>
                    <w:spacing w:line="240" w:lineRule="auto"/>
                    <w:ind w:firstLineChars="0" w:firstLine="0"/>
                    <w:textAlignment w:val="auto"/>
                    <w:rPr>
                      <w:rFonts w:cs="Times New Roman"/>
                      <w:szCs w:val="24"/>
                    </w:rPr>
                  </w:pPr>
                  <w:r>
                    <w:rPr>
                      <w:rFonts w:cs="Times New Roman" w:hint="eastAsia"/>
                      <w:sz w:val="21"/>
                      <w:szCs w:val="21"/>
                    </w:rPr>
                    <w:t>6.</w:t>
                  </w:r>
                  <w:r>
                    <w:rPr>
                      <w:rFonts w:cs="Times New Roman" w:hint="eastAsia"/>
                      <w:sz w:val="21"/>
                      <w:szCs w:val="21"/>
                    </w:rPr>
                    <w:t>法律法规规定的其他义务。</w:t>
                  </w:r>
                </w:p>
              </w:tc>
              <w:tc>
                <w:tcPr>
                  <w:tcW w:w="1275" w:type="pct"/>
                  <w:vAlign w:val="center"/>
                </w:tcPr>
                <w:p w14:paraId="5A7C55E0"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bCs/>
                      <w:sz w:val="21"/>
                      <w:szCs w:val="21"/>
                    </w:rPr>
                    <w:lastRenderedPageBreak/>
                    <w:t>建设单位将按要求建立台账制度，</w:t>
                  </w:r>
                  <w:r>
                    <w:rPr>
                      <w:rFonts w:cs="Times New Roman" w:hint="eastAsia"/>
                      <w:sz w:val="21"/>
                      <w:szCs w:val="21"/>
                    </w:rPr>
                    <w:t>按照要求及时记录，</w:t>
                  </w:r>
                  <w:r>
                    <w:rPr>
                      <w:rFonts w:cs="Times New Roman" w:hint="eastAsia"/>
                      <w:bCs/>
                      <w:sz w:val="21"/>
                      <w:szCs w:val="21"/>
                    </w:rPr>
                    <w:t>严格执行相关要求</w:t>
                  </w:r>
                </w:p>
              </w:tc>
              <w:tc>
                <w:tcPr>
                  <w:tcW w:w="430" w:type="pct"/>
                  <w:vAlign w:val="center"/>
                </w:tcPr>
                <w:p w14:paraId="6EF750B5"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bl>
          <w:p w14:paraId="51CDD0A5" w14:textId="77777777" w:rsidR="003C4F46" w:rsidRDefault="004B6A81">
            <w:pPr>
              <w:ind w:firstLineChars="0" w:firstLine="0"/>
              <w:textAlignment w:val="auto"/>
              <w:rPr>
                <w:rFonts w:cs="Times New Roman"/>
                <w:b/>
                <w:bCs/>
                <w:kern w:val="0"/>
                <w:szCs w:val="24"/>
              </w:rPr>
            </w:pPr>
            <w:r>
              <w:rPr>
                <w:rFonts w:cs="Times New Roman"/>
                <w:b/>
                <w:bCs/>
                <w:kern w:val="0"/>
                <w:szCs w:val="24"/>
              </w:rPr>
              <w:t>9.</w:t>
            </w:r>
            <w:r>
              <w:rPr>
                <w:rFonts w:cs="Times New Roman" w:hint="eastAsia"/>
                <w:b/>
                <w:bCs/>
                <w:kern w:val="0"/>
                <w:szCs w:val="24"/>
              </w:rPr>
              <w:t>项目与《强化危险废物监管和利用处置能力改革实施方案》（国办函〔</w:t>
            </w:r>
            <w:r>
              <w:rPr>
                <w:rFonts w:cs="Times New Roman" w:hint="eastAsia"/>
                <w:b/>
                <w:bCs/>
                <w:kern w:val="0"/>
                <w:szCs w:val="24"/>
              </w:rPr>
              <w:t>2021</w:t>
            </w:r>
            <w:r>
              <w:rPr>
                <w:rFonts w:cs="Times New Roman" w:hint="eastAsia"/>
                <w:b/>
                <w:bCs/>
                <w:kern w:val="0"/>
                <w:szCs w:val="24"/>
              </w:rPr>
              <w:t>〕</w:t>
            </w:r>
            <w:r>
              <w:rPr>
                <w:rFonts w:cs="Times New Roman" w:hint="eastAsia"/>
                <w:b/>
                <w:bCs/>
                <w:kern w:val="0"/>
                <w:szCs w:val="24"/>
              </w:rPr>
              <w:t>47</w:t>
            </w:r>
            <w:r>
              <w:rPr>
                <w:rFonts w:cs="Times New Roman" w:hint="eastAsia"/>
                <w:b/>
                <w:bCs/>
                <w:kern w:val="0"/>
                <w:szCs w:val="24"/>
              </w:rPr>
              <w:t>号）符合性分析</w:t>
            </w:r>
          </w:p>
          <w:p w14:paraId="5FCA3C94"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kern w:val="0"/>
                <w:szCs w:val="21"/>
              </w:rPr>
            </w:pPr>
            <w:r>
              <w:rPr>
                <w:rFonts w:cs="Times New Roman"/>
                <w:b/>
                <w:color w:val="000000"/>
                <w:sz w:val="21"/>
              </w:rPr>
              <w:t>表</w:t>
            </w:r>
            <w:r>
              <w:rPr>
                <w:rFonts w:cs="Times New Roman" w:hint="eastAsia"/>
                <w:b/>
                <w:color w:val="000000"/>
                <w:sz w:val="21"/>
              </w:rPr>
              <w:t>1-</w:t>
            </w:r>
            <w:r>
              <w:rPr>
                <w:rFonts w:cs="Times New Roman"/>
                <w:b/>
                <w:color w:val="000000"/>
                <w:sz w:val="21"/>
              </w:rPr>
              <w:t xml:space="preserve">8  </w:t>
            </w:r>
            <w:r>
              <w:rPr>
                <w:rFonts w:cs="Times New Roman"/>
                <w:b/>
                <w:color w:val="000000"/>
                <w:sz w:val="21"/>
              </w:rPr>
              <w:t>与《强化危险废物监管和利用处置能力改革实施方案》相符性分析</w:t>
            </w:r>
          </w:p>
          <w:tbl>
            <w:tblPr>
              <w:tblStyle w:val="aff"/>
              <w:tblW w:w="4998"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635"/>
              <w:gridCol w:w="1751"/>
              <w:gridCol w:w="625"/>
            </w:tblGrid>
            <w:tr w:rsidR="003C4F46" w14:paraId="57B77431" w14:textId="77777777">
              <w:tc>
                <w:tcPr>
                  <w:tcW w:w="3304" w:type="pct"/>
                  <w:vAlign w:val="center"/>
                </w:tcPr>
                <w:p w14:paraId="6C82F685"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文件</w:t>
                  </w:r>
                  <w:r>
                    <w:rPr>
                      <w:rFonts w:cs="Times New Roman"/>
                      <w:sz w:val="21"/>
                      <w:szCs w:val="21"/>
                    </w:rPr>
                    <w:t>要求</w:t>
                  </w:r>
                </w:p>
              </w:tc>
              <w:tc>
                <w:tcPr>
                  <w:tcW w:w="1249" w:type="pct"/>
                  <w:vAlign w:val="center"/>
                </w:tcPr>
                <w:p w14:paraId="773836B6"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项目情况</w:t>
                  </w:r>
                </w:p>
              </w:tc>
              <w:tc>
                <w:tcPr>
                  <w:tcW w:w="446" w:type="pct"/>
                  <w:vAlign w:val="center"/>
                </w:tcPr>
                <w:p w14:paraId="4297E19F"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符合性</w:t>
                  </w:r>
                </w:p>
              </w:tc>
            </w:tr>
            <w:tr w:rsidR="003C4F46" w14:paraId="69A1FBA7" w14:textId="77777777">
              <w:tc>
                <w:tcPr>
                  <w:tcW w:w="3304" w:type="pct"/>
                </w:tcPr>
                <w:p w14:paraId="33F1571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严格环境准入。新改扩建项目要依法开展环境影响评价，严格危险废物污染环境防治设施“三同时”管理。依法依规对已批复的重点行业涉危险废物建设项目环境影响评价文件开展复核。依法落实工业危险废物排污许可制度。推进危险废物规范化环境管理。</w:t>
                  </w:r>
                </w:p>
              </w:tc>
              <w:tc>
                <w:tcPr>
                  <w:tcW w:w="1249" w:type="pct"/>
                </w:tcPr>
                <w:p w14:paraId="4CA5E3CB"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本项目为已建成的危险废物贮存库，本次为重新报批环评手续，项目已按“三同时”要求落实各项环保设施</w:t>
                  </w:r>
                </w:p>
              </w:tc>
              <w:tc>
                <w:tcPr>
                  <w:tcW w:w="446" w:type="pct"/>
                  <w:vAlign w:val="center"/>
                </w:tcPr>
                <w:p w14:paraId="1320BA9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3E53A566" w14:textId="77777777">
              <w:tc>
                <w:tcPr>
                  <w:tcW w:w="3304" w:type="pct"/>
                </w:tcPr>
                <w:p w14:paraId="0640319A"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推动收集转运贮存专业化。支持危险废物专业收集转运和利用处置单位建设区域性收集网点和贮存设施，开展小微企业、科研机构、学校等产生的危险废物有偿收集转运服务。开展工业园区危险废物集中收集贮存试点。鼓励在有条件的高校集中区域开展实验室危险废物分类收集和预处理示范项目建设。</w:t>
                  </w:r>
                </w:p>
              </w:tc>
              <w:tc>
                <w:tcPr>
                  <w:tcW w:w="1249" w:type="pct"/>
                </w:tcPr>
                <w:p w14:paraId="67BBA50E"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本项目属于小微企业危险废物收集贮存项目，符合新疆维吾尔自治区小微企业危险废物收集试点工作方案的相关要求</w:t>
                  </w:r>
                </w:p>
              </w:tc>
              <w:tc>
                <w:tcPr>
                  <w:tcW w:w="446" w:type="pct"/>
                  <w:vAlign w:val="center"/>
                </w:tcPr>
                <w:p w14:paraId="24B7E833"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r w:rsidR="003C4F46" w14:paraId="1DD6E916" w14:textId="77777777">
              <w:tc>
                <w:tcPr>
                  <w:tcW w:w="3304" w:type="pct"/>
                </w:tcPr>
                <w:p w14:paraId="29FD0EBA"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推进转移运输便捷化。建立危险废物和医疗废物运输车辆备案制度，完善</w:t>
                  </w:r>
                  <w:r>
                    <w:rPr>
                      <w:rFonts w:cs="Times New Roman"/>
                      <w:sz w:val="21"/>
                      <w:szCs w:val="21"/>
                    </w:rPr>
                    <w:t>“</w:t>
                  </w:r>
                  <w:r>
                    <w:rPr>
                      <w:rFonts w:cs="Times New Roman"/>
                      <w:sz w:val="21"/>
                      <w:szCs w:val="21"/>
                    </w:rPr>
                    <w:t>点对点</w:t>
                  </w:r>
                  <w:r>
                    <w:rPr>
                      <w:rFonts w:cs="Times New Roman"/>
                      <w:sz w:val="21"/>
                      <w:szCs w:val="21"/>
                    </w:rPr>
                    <w:t>”</w:t>
                  </w:r>
                  <w:r>
                    <w:rPr>
                      <w:rFonts w:cs="Times New Roman"/>
                      <w:sz w:val="21"/>
                      <w:szCs w:val="21"/>
                    </w:rPr>
                    <w:t>的常备通行路线，实现危险废物和医疗废物运输车辆规范有序、安全便捷通行</w:t>
                  </w:r>
                  <w:r>
                    <w:rPr>
                      <w:rFonts w:cs="Times New Roman" w:hint="eastAsia"/>
                      <w:sz w:val="21"/>
                      <w:szCs w:val="21"/>
                    </w:rPr>
                    <w:t>。</w:t>
                  </w:r>
                </w:p>
              </w:tc>
              <w:tc>
                <w:tcPr>
                  <w:tcW w:w="1249" w:type="pct"/>
                </w:tcPr>
                <w:p w14:paraId="6C2AB2C9"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本项目危险废物转运过程均由有资质单位进行转运</w:t>
                  </w:r>
                </w:p>
              </w:tc>
              <w:tc>
                <w:tcPr>
                  <w:tcW w:w="446" w:type="pct"/>
                  <w:vAlign w:val="center"/>
                </w:tcPr>
                <w:p w14:paraId="3D19B238"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符合</w:t>
                  </w:r>
                </w:p>
              </w:tc>
            </w:tr>
          </w:tbl>
          <w:p w14:paraId="58B8A331" w14:textId="77777777" w:rsidR="003C4F46" w:rsidRDefault="004B6A81">
            <w:pPr>
              <w:ind w:firstLineChars="0" w:firstLine="0"/>
              <w:textAlignment w:val="auto"/>
              <w:rPr>
                <w:rFonts w:cs="Times New Roman"/>
                <w:b/>
                <w:bCs/>
                <w:kern w:val="0"/>
                <w:szCs w:val="24"/>
              </w:rPr>
            </w:pPr>
            <w:r>
              <w:rPr>
                <w:rFonts w:cs="Times New Roman" w:hint="eastAsia"/>
                <w:b/>
                <w:bCs/>
                <w:kern w:val="0"/>
                <w:szCs w:val="24"/>
              </w:rPr>
              <w:t>1</w:t>
            </w:r>
            <w:r>
              <w:rPr>
                <w:rFonts w:cs="Times New Roman"/>
                <w:b/>
                <w:bCs/>
                <w:kern w:val="0"/>
                <w:szCs w:val="24"/>
              </w:rPr>
              <w:t>0.</w:t>
            </w:r>
            <w:r>
              <w:rPr>
                <w:rFonts w:cs="Times New Roman"/>
                <w:b/>
                <w:bCs/>
                <w:kern w:val="0"/>
                <w:szCs w:val="24"/>
              </w:rPr>
              <w:t>项目与《自治州危险废物处置利用设施建设布局实施意见》巴政办发〔</w:t>
            </w:r>
            <w:r>
              <w:rPr>
                <w:rFonts w:cs="Times New Roman"/>
                <w:b/>
                <w:bCs/>
                <w:kern w:val="0"/>
                <w:szCs w:val="24"/>
              </w:rPr>
              <w:t>2019</w:t>
            </w:r>
            <w:r>
              <w:rPr>
                <w:rFonts w:cs="Times New Roman"/>
                <w:b/>
                <w:bCs/>
                <w:kern w:val="0"/>
                <w:szCs w:val="24"/>
              </w:rPr>
              <w:t>〕</w:t>
            </w:r>
            <w:r>
              <w:rPr>
                <w:rFonts w:cs="Times New Roman"/>
                <w:b/>
                <w:bCs/>
                <w:kern w:val="0"/>
                <w:szCs w:val="24"/>
              </w:rPr>
              <w:t>5</w:t>
            </w:r>
            <w:r>
              <w:rPr>
                <w:rFonts w:cs="Times New Roman"/>
                <w:b/>
                <w:bCs/>
                <w:kern w:val="0"/>
                <w:szCs w:val="24"/>
              </w:rPr>
              <w:t>号文</w:t>
            </w:r>
            <w:r>
              <w:rPr>
                <w:rFonts w:cs="Times New Roman" w:hint="eastAsia"/>
                <w:b/>
                <w:bCs/>
                <w:kern w:val="0"/>
                <w:szCs w:val="24"/>
              </w:rPr>
              <w:t>符合性分析</w:t>
            </w:r>
          </w:p>
          <w:p w14:paraId="3E598377"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w:t>
            </w:r>
            <w:r>
              <w:rPr>
                <w:rFonts w:cs="Times New Roman"/>
                <w:b/>
                <w:color w:val="000000"/>
                <w:sz w:val="21"/>
              </w:rPr>
              <w:t xml:space="preserve">9  </w:t>
            </w:r>
            <w:r>
              <w:rPr>
                <w:rFonts w:cs="Times New Roman"/>
                <w:b/>
                <w:color w:val="000000"/>
                <w:sz w:val="21"/>
              </w:rPr>
              <w:t>与《自治州危险废物处置利用设施建设布局实施意见》相符性分析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349"/>
              <w:gridCol w:w="4496"/>
              <w:gridCol w:w="1834"/>
              <w:gridCol w:w="331"/>
            </w:tblGrid>
            <w:tr w:rsidR="003C4F46" w14:paraId="0BD9E6B1" w14:textId="77777777" w:rsidTr="00744D0C">
              <w:trPr>
                <w:trHeight w:val="23"/>
                <w:jc w:val="center"/>
              </w:trPr>
              <w:tc>
                <w:tcPr>
                  <w:tcW w:w="3456" w:type="pct"/>
                  <w:gridSpan w:val="2"/>
                  <w:vAlign w:val="center"/>
                </w:tcPr>
                <w:p w14:paraId="0B153EF4"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文件</w:t>
                  </w:r>
                  <w:r>
                    <w:rPr>
                      <w:rFonts w:cs="Times New Roman"/>
                      <w:sz w:val="21"/>
                      <w:szCs w:val="21"/>
                    </w:rPr>
                    <w:t>要求</w:t>
                  </w:r>
                </w:p>
              </w:tc>
              <w:tc>
                <w:tcPr>
                  <w:tcW w:w="1308" w:type="pct"/>
                  <w:vAlign w:val="center"/>
                </w:tcPr>
                <w:p w14:paraId="491CDE7F"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项目情况</w:t>
                  </w:r>
                </w:p>
              </w:tc>
              <w:tc>
                <w:tcPr>
                  <w:tcW w:w="236" w:type="pct"/>
                  <w:vAlign w:val="center"/>
                </w:tcPr>
                <w:p w14:paraId="73908F64"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符合性</w:t>
                  </w:r>
                </w:p>
              </w:tc>
            </w:tr>
            <w:tr w:rsidR="003C4F46" w14:paraId="45BD3100" w14:textId="77777777" w:rsidTr="00744D0C">
              <w:trPr>
                <w:trHeight w:val="23"/>
                <w:jc w:val="center"/>
              </w:trPr>
              <w:tc>
                <w:tcPr>
                  <w:tcW w:w="249" w:type="pct"/>
                  <w:vMerge w:val="restart"/>
                  <w:vAlign w:val="center"/>
                </w:tcPr>
                <w:p w14:paraId="1FEDF545" w14:textId="25946702" w:rsidR="003C4F46" w:rsidRDefault="00744D0C">
                  <w:pPr>
                    <w:spacing w:line="240" w:lineRule="auto"/>
                    <w:ind w:firstLineChars="0" w:firstLine="0"/>
                    <w:textAlignment w:val="auto"/>
                    <w:rPr>
                      <w:rFonts w:cs="Times New Roman"/>
                      <w:sz w:val="21"/>
                      <w:szCs w:val="21"/>
                    </w:rPr>
                  </w:pPr>
                  <w:r>
                    <w:rPr>
                      <w:rFonts w:cs="Times New Roman" w:hint="eastAsia"/>
                      <w:sz w:val="21"/>
                      <w:szCs w:val="21"/>
                    </w:rPr>
                    <w:lastRenderedPageBreak/>
                    <w:t>布局意见</w:t>
                  </w:r>
                </w:p>
              </w:tc>
              <w:tc>
                <w:tcPr>
                  <w:tcW w:w="3207" w:type="pct"/>
                  <w:vAlign w:val="center"/>
                </w:tcPr>
                <w:p w14:paraId="06E718BC"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积极推进废铅蓄电池安全收集、贮存。按照《关于印发〈新疆维吾尔自治区废铅蓄电池收集贮存和转移管理规范（试行）〉的通知》（新环字〔</w:t>
                  </w:r>
                  <w:r>
                    <w:rPr>
                      <w:rFonts w:cs="Times New Roman"/>
                      <w:sz w:val="21"/>
                      <w:szCs w:val="21"/>
                    </w:rPr>
                    <w:t>2018</w:t>
                  </w:r>
                  <w:r>
                    <w:rPr>
                      <w:rFonts w:cs="Times New Roman"/>
                      <w:sz w:val="21"/>
                      <w:szCs w:val="21"/>
                    </w:rPr>
                    <w:t>〕</w:t>
                  </w:r>
                  <w:r>
                    <w:rPr>
                      <w:rFonts w:cs="Times New Roman"/>
                      <w:sz w:val="21"/>
                      <w:szCs w:val="21"/>
                    </w:rPr>
                    <w:t>90</w:t>
                  </w:r>
                  <w:r>
                    <w:rPr>
                      <w:rFonts w:cs="Times New Roman"/>
                      <w:sz w:val="21"/>
                      <w:szCs w:val="21"/>
                    </w:rPr>
                    <w:t>号）要求，进一步规范全州废铅蓄电池收集贮存场所建设及收集、贮存、转移活动，防范废铅蓄电池对环境造成污染，到</w:t>
                  </w:r>
                  <w:r>
                    <w:rPr>
                      <w:rFonts w:cs="Times New Roman"/>
                      <w:sz w:val="21"/>
                      <w:szCs w:val="21"/>
                    </w:rPr>
                    <w:t>2020</w:t>
                  </w:r>
                  <w:r>
                    <w:rPr>
                      <w:rFonts w:cs="Times New Roman"/>
                      <w:sz w:val="21"/>
                      <w:szCs w:val="21"/>
                    </w:rPr>
                    <w:t>年底，在全州建成</w:t>
                  </w:r>
                  <w:r>
                    <w:rPr>
                      <w:rFonts w:cs="Times New Roman"/>
                      <w:sz w:val="21"/>
                      <w:szCs w:val="21"/>
                    </w:rPr>
                    <w:t>1</w:t>
                  </w:r>
                  <w:r>
                    <w:rPr>
                      <w:rFonts w:cs="Times New Roman"/>
                      <w:sz w:val="21"/>
                      <w:szCs w:val="21"/>
                    </w:rPr>
                    <w:t>个</w:t>
                  </w:r>
                  <w:r>
                    <w:rPr>
                      <w:rFonts w:cs="Times New Roman"/>
                      <w:sz w:val="21"/>
                      <w:szCs w:val="21"/>
                    </w:rPr>
                    <w:t>“</w:t>
                  </w:r>
                  <w:r>
                    <w:rPr>
                      <w:rFonts w:cs="Times New Roman"/>
                      <w:sz w:val="21"/>
                      <w:szCs w:val="21"/>
                    </w:rPr>
                    <w:t>收贮中心</w:t>
                  </w:r>
                  <w:r>
                    <w:rPr>
                      <w:rFonts w:cs="Times New Roman"/>
                      <w:sz w:val="21"/>
                      <w:szCs w:val="21"/>
                    </w:rPr>
                    <w:t>”</w:t>
                  </w:r>
                  <w:r>
                    <w:rPr>
                      <w:rFonts w:cs="Times New Roman"/>
                      <w:sz w:val="21"/>
                      <w:szCs w:val="21"/>
                    </w:rPr>
                    <w:t>、</w:t>
                  </w:r>
                  <w:r>
                    <w:rPr>
                      <w:rFonts w:cs="Times New Roman"/>
                      <w:sz w:val="21"/>
                      <w:szCs w:val="21"/>
                    </w:rPr>
                    <w:t>5</w:t>
                  </w:r>
                  <w:r>
                    <w:rPr>
                      <w:rFonts w:cs="Times New Roman"/>
                      <w:sz w:val="21"/>
                      <w:szCs w:val="21"/>
                    </w:rPr>
                    <w:t>～</w:t>
                  </w:r>
                  <w:r>
                    <w:rPr>
                      <w:rFonts w:cs="Times New Roman"/>
                      <w:sz w:val="21"/>
                      <w:szCs w:val="21"/>
                    </w:rPr>
                    <w:t>10</w:t>
                  </w:r>
                  <w:r>
                    <w:rPr>
                      <w:rFonts w:cs="Times New Roman"/>
                      <w:sz w:val="21"/>
                      <w:szCs w:val="21"/>
                    </w:rPr>
                    <w:t>个</w:t>
                  </w:r>
                  <w:r>
                    <w:rPr>
                      <w:rFonts w:cs="Times New Roman"/>
                      <w:sz w:val="21"/>
                      <w:szCs w:val="21"/>
                    </w:rPr>
                    <w:t>“</w:t>
                  </w:r>
                  <w:r>
                    <w:rPr>
                      <w:rFonts w:cs="Times New Roman"/>
                      <w:sz w:val="21"/>
                      <w:szCs w:val="21"/>
                    </w:rPr>
                    <w:t>暂存点</w:t>
                  </w:r>
                  <w:r>
                    <w:rPr>
                      <w:rFonts w:cs="Times New Roman"/>
                      <w:sz w:val="21"/>
                      <w:szCs w:val="21"/>
                    </w:rPr>
                    <w:t>”</w:t>
                  </w:r>
                  <w:r>
                    <w:rPr>
                      <w:rFonts w:cs="Times New Roman"/>
                      <w:sz w:val="21"/>
                      <w:szCs w:val="21"/>
                    </w:rPr>
                    <w:t>，形成</w:t>
                  </w:r>
                  <w:r>
                    <w:rPr>
                      <w:rFonts w:cs="Times New Roman"/>
                      <w:sz w:val="21"/>
                      <w:szCs w:val="21"/>
                    </w:rPr>
                    <w:t>1~1.5</w:t>
                  </w:r>
                  <w:r>
                    <w:rPr>
                      <w:rFonts w:cs="Times New Roman"/>
                      <w:sz w:val="21"/>
                      <w:szCs w:val="21"/>
                    </w:rPr>
                    <w:t>万吨</w:t>
                  </w:r>
                  <w:r>
                    <w:rPr>
                      <w:rFonts w:cs="Times New Roman"/>
                      <w:sz w:val="21"/>
                      <w:szCs w:val="21"/>
                    </w:rPr>
                    <w:t>/</w:t>
                  </w:r>
                  <w:r>
                    <w:rPr>
                      <w:rFonts w:cs="Times New Roman"/>
                      <w:sz w:val="21"/>
                      <w:szCs w:val="21"/>
                    </w:rPr>
                    <w:t>年的废铅蓄电池收集、贮存能力。</w:t>
                  </w:r>
                </w:p>
              </w:tc>
              <w:tc>
                <w:tcPr>
                  <w:tcW w:w="1308" w:type="pct"/>
                  <w:vAlign w:val="center"/>
                </w:tcPr>
                <w:p w14:paraId="6AAC8E68" w14:textId="519E471A" w:rsidR="003C4F46" w:rsidRDefault="004B6A81">
                  <w:pPr>
                    <w:adjustRightInd w:val="0"/>
                    <w:snapToGrid w:val="0"/>
                    <w:spacing w:line="240" w:lineRule="auto"/>
                    <w:ind w:firstLineChars="0" w:firstLine="0"/>
                    <w:rPr>
                      <w:rFonts w:cs="Times New Roman"/>
                      <w:sz w:val="21"/>
                      <w:szCs w:val="21"/>
                    </w:rPr>
                  </w:pPr>
                  <w:r>
                    <w:rPr>
                      <w:rFonts w:cs="Times New Roman" w:hint="eastAsia"/>
                      <w:sz w:val="21"/>
                      <w:szCs w:val="21"/>
                    </w:rPr>
                    <w:t>本项目严格按照</w:t>
                  </w:r>
                  <w:r>
                    <w:rPr>
                      <w:rFonts w:cs="Times New Roman"/>
                      <w:sz w:val="21"/>
                      <w:szCs w:val="21"/>
                    </w:rPr>
                    <w:t>《关于印发〈新疆维吾尔自治区废铅蓄电池收集贮存和转移管理规范（试行）〉的通知》（新环字〔</w:t>
                  </w:r>
                  <w:r>
                    <w:rPr>
                      <w:rFonts w:cs="Times New Roman"/>
                      <w:sz w:val="21"/>
                      <w:szCs w:val="21"/>
                    </w:rPr>
                    <w:t>2018</w:t>
                  </w:r>
                  <w:r>
                    <w:rPr>
                      <w:rFonts w:cs="Times New Roman"/>
                      <w:sz w:val="21"/>
                      <w:szCs w:val="21"/>
                    </w:rPr>
                    <w:t>〕</w:t>
                  </w:r>
                  <w:r>
                    <w:rPr>
                      <w:rFonts w:cs="Times New Roman"/>
                      <w:sz w:val="21"/>
                      <w:szCs w:val="21"/>
                    </w:rPr>
                    <w:t>90</w:t>
                  </w:r>
                  <w:r>
                    <w:rPr>
                      <w:rFonts w:cs="Times New Roman"/>
                      <w:sz w:val="21"/>
                      <w:szCs w:val="21"/>
                    </w:rPr>
                    <w:t>号）</w:t>
                  </w:r>
                  <w:r>
                    <w:rPr>
                      <w:rFonts w:cs="Times New Roman" w:hint="eastAsia"/>
                      <w:sz w:val="21"/>
                      <w:szCs w:val="21"/>
                    </w:rPr>
                    <w:t>要求建设，厂区废铅蓄电池最大贮存量为</w:t>
                  </w:r>
                  <w:r>
                    <w:rPr>
                      <w:rFonts w:cs="Times New Roman" w:hint="eastAsia"/>
                      <w:sz w:val="21"/>
                      <w:szCs w:val="21"/>
                    </w:rPr>
                    <w:t>30</w:t>
                  </w:r>
                  <w:r>
                    <w:rPr>
                      <w:rFonts w:cs="Times New Roman" w:hint="eastAsia"/>
                      <w:sz w:val="21"/>
                      <w:szCs w:val="21"/>
                    </w:rPr>
                    <w:t>吨</w:t>
                  </w:r>
                </w:p>
              </w:tc>
              <w:tc>
                <w:tcPr>
                  <w:tcW w:w="236" w:type="pct"/>
                  <w:vAlign w:val="center"/>
                </w:tcPr>
                <w:p w14:paraId="78E008C4"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26364D95" w14:textId="77777777" w:rsidTr="00744D0C">
              <w:trPr>
                <w:trHeight w:val="23"/>
                <w:jc w:val="center"/>
              </w:trPr>
              <w:tc>
                <w:tcPr>
                  <w:tcW w:w="249" w:type="pct"/>
                  <w:vMerge/>
                  <w:vAlign w:val="center"/>
                </w:tcPr>
                <w:p w14:paraId="000DA167" w14:textId="77777777" w:rsidR="003C4F46" w:rsidRDefault="003C4F46">
                  <w:pPr>
                    <w:spacing w:line="240" w:lineRule="auto"/>
                    <w:ind w:firstLineChars="0" w:firstLine="0"/>
                    <w:textAlignment w:val="auto"/>
                    <w:rPr>
                      <w:rFonts w:cs="Times New Roman"/>
                      <w:sz w:val="21"/>
                      <w:szCs w:val="21"/>
                    </w:rPr>
                  </w:pPr>
                </w:p>
              </w:tc>
              <w:tc>
                <w:tcPr>
                  <w:tcW w:w="3207" w:type="pct"/>
                  <w:vAlign w:val="center"/>
                </w:tcPr>
                <w:p w14:paraId="25F5A690"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推动农药废弃包装物等特种危险废物收集体系建设。各县市、库尔勒经济技术开发区要完善农药废弃包装物等特种危险废物的收集体系。</w:t>
                  </w:r>
                </w:p>
              </w:tc>
              <w:tc>
                <w:tcPr>
                  <w:tcW w:w="1308" w:type="pct"/>
                  <w:vAlign w:val="center"/>
                </w:tcPr>
                <w:p w14:paraId="5C03BA5A" w14:textId="2B2CEFDF" w:rsidR="003C4F46" w:rsidRDefault="00867B0C">
                  <w:pPr>
                    <w:adjustRightInd w:val="0"/>
                    <w:snapToGrid w:val="0"/>
                    <w:spacing w:line="240" w:lineRule="auto"/>
                    <w:ind w:firstLineChars="0" w:firstLine="0"/>
                    <w:rPr>
                      <w:rFonts w:cs="Times New Roman"/>
                      <w:sz w:val="21"/>
                      <w:szCs w:val="21"/>
                    </w:rPr>
                  </w:pPr>
                  <w:r w:rsidRPr="00867B0C">
                    <w:rPr>
                      <w:rFonts w:cs="Times New Roman" w:hint="eastAsia"/>
                      <w:sz w:val="21"/>
                      <w:szCs w:val="21"/>
                    </w:rPr>
                    <w:t>本项目不收集</w:t>
                  </w:r>
                  <w:r w:rsidRPr="00867B0C">
                    <w:rPr>
                      <w:rFonts w:cs="Times New Roman" w:hint="eastAsia"/>
                      <w:sz w:val="21"/>
                      <w:szCs w:val="21"/>
                    </w:rPr>
                    <w:t>HW04</w:t>
                  </w:r>
                  <w:r w:rsidRPr="00867B0C">
                    <w:rPr>
                      <w:rFonts w:cs="Times New Roman" w:hint="eastAsia"/>
                      <w:sz w:val="21"/>
                      <w:szCs w:val="21"/>
                    </w:rPr>
                    <w:t>类农药废物</w:t>
                  </w:r>
                </w:p>
              </w:tc>
              <w:tc>
                <w:tcPr>
                  <w:tcW w:w="236" w:type="pct"/>
                  <w:vAlign w:val="center"/>
                </w:tcPr>
                <w:p w14:paraId="16110695"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bl>
          <w:p w14:paraId="0C4B239A" w14:textId="77777777" w:rsidR="003C4F46" w:rsidRDefault="004B6A81">
            <w:pPr>
              <w:ind w:firstLineChars="0" w:firstLine="0"/>
              <w:textAlignment w:val="auto"/>
              <w:rPr>
                <w:rFonts w:cs="Times New Roman"/>
                <w:b/>
                <w:bCs/>
                <w:kern w:val="0"/>
                <w:szCs w:val="24"/>
              </w:rPr>
            </w:pPr>
            <w:r>
              <w:rPr>
                <w:rFonts w:cs="Times New Roman" w:hint="eastAsia"/>
                <w:b/>
                <w:bCs/>
                <w:kern w:val="0"/>
                <w:szCs w:val="24"/>
              </w:rPr>
              <w:t>1</w:t>
            </w:r>
            <w:r>
              <w:rPr>
                <w:rFonts w:cs="Times New Roman"/>
                <w:b/>
                <w:bCs/>
                <w:kern w:val="0"/>
                <w:szCs w:val="24"/>
              </w:rPr>
              <w:t>1</w:t>
            </w:r>
            <w:r>
              <w:rPr>
                <w:rFonts w:cs="Times New Roman" w:hint="eastAsia"/>
                <w:b/>
                <w:bCs/>
                <w:kern w:val="0"/>
                <w:szCs w:val="24"/>
              </w:rPr>
              <w:t>.</w:t>
            </w:r>
            <w:r>
              <w:rPr>
                <w:rFonts w:cs="Times New Roman"/>
                <w:b/>
                <w:bCs/>
                <w:kern w:val="0"/>
                <w:szCs w:val="24"/>
              </w:rPr>
              <w:t>项目与《新疆生态环境保护</w:t>
            </w:r>
            <w:r>
              <w:rPr>
                <w:rFonts w:cs="Times New Roman"/>
                <w:b/>
                <w:bCs/>
                <w:kern w:val="0"/>
                <w:szCs w:val="24"/>
              </w:rPr>
              <w:t>“</w:t>
            </w:r>
            <w:r>
              <w:rPr>
                <w:rFonts w:cs="Times New Roman"/>
                <w:b/>
                <w:bCs/>
                <w:kern w:val="0"/>
                <w:szCs w:val="24"/>
              </w:rPr>
              <w:t>十四五</w:t>
            </w:r>
            <w:r>
              <w:rPr>
                <w:rFonts w:cs="Times New Roman"/>
                <w:b/>
                <w:bCs/>
                <w:kern w:val="0"/>
                <w:szCs w:val="24"/>
              </w:rPr>
              <w:t>”</w:t>
            </w:r>
            <w:r>
              <w:rPr>
                <w:rFonts w:cs="Times New Roman"/>
                <w:b/>
                <w:bCs/>
                <w:kern w:val="0"/>
                <w:szCs w:val="24"/>
              </w:rPr>
              <w:t>规划》的符合性</w:t>
            </w:r>
            <w:r>
              <w:rPr>
                <w:rFonts w:cs="Times New Roman" w:hint="eastAsia"/>
                <w:b/>
                <w:bCs/>
                <w:kern w:val="0"/>
                <w:szCs w:val="24"/>
              </w:rPr>
              <w:t>分析。</w:t>
            </w:r>
          </w:p>
          <w:p w14:paraId="39A16F96"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1-1</w:t>
            </w:r>
            <w:r>
              <w:rPr>
                <w:rFonts w:cs="Times New Roman"/>
                <w:b/>
                <w:color w:val="000000"/>
                <w:sz w:val="21"/>
              </w:rPr>
              <w:t xml:space="preserve">0  </w:t>
            </w:r>
            <w:r>
              <w:rPr>
                <w:rFonts w:cs="Times New Roman"/>
                <w:b/>
                <w:color w:val="000000"/>
                <w:sz w:val="21"/>
              </w:rPr>
              <w:t>与《新疆生态环境保护</w:t>
            </w:r>
            <w:r>
              <w:rPr>
                <w:rFonts w:cs="Times New Roman"/>
                <w:b/>
                <w:color w:val="000000"/>
                <w:sz w:val="21"/>
              </w:rPr>
              <w:t>“</w:t>
            </w:r>
            <w:r>
              <w:rPr>
                <w:rFonts w:cs="Times New Roman"/>
                <w:b/>
                <w:color w:val="000000"/>
                <w:sz w:val="21"/>
              </w:rPr>
              <w:t>十四五</w:t>
            </w:r>
            <w:r>
              <w:rPr>
                <w:rFonts w:cs="Times New Roman"/>
                <w:b/>
                <w:color w:val="000000"/>
                <w:sz w:val="21"/>
              </w:rPr>
              <w:t>”</w:t>
            </w:r>
            <w:r>
              <w:rPr>
                <w:rFonts w:cs="Times New Roman"/>
                <w:b/>
                <w:color w:val="000000"/>
                <w:sz w:val="21"/>
              </w:rPr>
              <w:t>规划》相符性分析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4845"/>
              <w:gridCol w:w="1834"/>
              <w:gridCol w:w="331"/>
            </w:tblGrid>
            <w:tr w:rsidR="003C4F46" w14:paraId="2A237159" w14:textId="77777777">
              <w:trPr>
                <w:trHeight w:val="23"/>
                <w:jc w:val="center"/>
              </w:trPr>
              <w:tc>
                <w:tcPr>
                  <w:tcW w:w="3455" w:type="pct"/>
                  <w:vAlign w:val="center"/>
                </w:tcPr>
                <w:p w14:paraId="0142A084"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文件要求</w:t>
                  </w:r>
                </w:p>
              </w:tc>
              <w:tc>
                <w:tcPr>
                  <w:tcW w:w="1308" w:type="pct"/>
                  <w:vAlign w:val="center"/>
                </w:tcPr>
                <w:p w14:paraId="7414A551"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项目情况</w:t>
                  </w:r>
                </w:p>
              </w:tc>
              <w:tc>
                <w:tcPr>
                  <w:tcW w:w="236" w:type="pct"/>
                  <w:vAlign w:val="center"/>
                </w:tcPr>
                <w:p w14:paraId="57170B90"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符合性</w:t>
                  </w:r>
                </w:p>
              </w:tc>
            </w:tr>
            <w:tr w:rsidR="003C4F46" w14:paraId="1BBA3934" w14:textId="77777777">
              <w:trPr>
                <w:trHeight w:val="23"/>
                <w:jc w:val="center"/>
              </w:trPr>
              <w:tc>
                <w:tcPr>
                  <w:tcW w:w="3455" w:type="pct"/>
                  <w:vAlign w:val="center"/>
                </w:tcPr>
                <w:p w14:paraId="2CC03B99"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加强重点行业</w:t>
                  </w:r>
                  <w:r>
                    <w:rPr>
                      <w:rFonts w:cs="Times New Roman"/>
                      <w:sz w:val="21"/>
                      <w:szCs w:val="21"/>
                    </w:rPr>
                    <w:t>VOCs</w:t>
                  </w:r>
                  <w:r>
                    <w:rPr>
                      <w:rFonts w:cs="Times New Roman"/>
                      <w:sz w:val="21"/>
                      <w:szCs w:val="21"/>
                    </w:rPr>
                    <w:t>治理。实施</w:t>
                  </w:r>
                  <w:r>
                    <w:rPr>
                      <w:rFonts w:cs="Times New Roman"/>
                      <w:sz w:val="21"/>
                      <w:szCs w:val="21"/>
                    </w:rPr>
                    <w:t>VOCs</w:t>
                  </w:r>
                  <w:r>
                    <w:rPr>
                      <w:rFonts w:cs="Times New Roman"/>
                      <w:sz w:val="21"/>
                      <w:szCs w:val="21"/>
                    </w:rPr>
                    <w:t>排放总量控制，重点推进石油天然气开采、石化、化工、包装印刷、工业涂装、油品储运销等重点行业排放源以及机动车等移动源</w:t>
                  </w:r>
                  <w:r>
                    <w:rPr>
                      <w:rFonts w:cs="Times New Roman"/>
                      <w:sz w:val="21"/>
                      <w:szCs w:val="21"/>
                    </w:rPr>
                    <w:t>VOCs</w:t>
                  </w:r>
                  <w:r>
                    <w:rPr>
                      <w:rFonts w:cs="Times New Roman"/>
                      <w:sz w:val="21"/>
                      <w:szCs w:val="21"/>
                    </w:rPr>
                    <w:t>污染防治，加强重点行业、重点企业的精细化管控；全面推进使用低</w:t>
                  </w:r>
                  <w:r>
                    <w:rPr>
                      <w:rFonts w:cs="Times New Roman"/>
                      <w:sz w:val="21"/>
                      <w:szCs w:val="21"/>
                    </w:rPr>
                    <w:t>VOCs</w:t>
                  </w:r>
                  <w:r>
                    <w:rPr>
                      <w:rFonts w:cs="Times New Roman"/>
                      <w:sz w:val="21"/>
                      <w:szCs w:val="21"/>
                    </w:rPr>
                    <w:t>含量涂料、油墨、胶粘剂、清洗剂等；加强汽修行业</w:t>
                  </w:r>
                  <w:r>
                    <w:rPr>
                      <w:rFonts w:cs="Times New Roman"/>
                      <w:sz w:val="21"/>
                      <w:szCs w:val="21"/>
                    </w:rPr>
                    <w:t>VOCs</w:t>
                  </w:r>
                  <w:r>
                    <w:rPr>
                      <w:rFonts w:cs="Times New Roman"/>
                      <w:sz w:val="21"/>
                      <w:szCs w:val="21"/>
                    </w:rPr>
                    <w:t>综合治理，加大餐饮油烟污染治理力度，持续削减</w:t>
                  </w:r>
                  <w:r>
                    <w:rPr>
                      <w:rFonts w:cs="Times New Roman"/>
                      <w:sz w:val="21"/>
                      <w:szCs w:val="21"/>
                    </w:rPr>
                    <w:t>VOCs</w:t>
                  </w:r>
                  <w:r>
                    <w:rPr>
                      <w:rFonts w:cs="Times New Roman"/>
                      <w:sz w:val="21"/>
                      <w:szCs w:val="21"/>
                    </w:rPr>
                    <w:t>排放量。</w:t>
                  </w:r>
                </w:p>
              </w:tc>
              <w:tc>
                <w:tcPr>
                  <w:tcW w:w="1308" w:type="pct"/>
                  <w:vAlign w:val="center"/>
                </w:tcPr>
                <w:p w14:paraId="65BB355F" w14:textId="3278D76E" w:rsidR="003C4F46" w:rsidRDefault="004B6A81">
                  <w:pPr>
                    <w:adjustRightInd w:val="0"/>
                    <w:snapToGrid w:val="0"/>
                    <w:spacing w:line="240" w:lineRule="auto"/>
                    <w:ind w:firstLineChars="0" w:firstLine="0"/>
                    <w:rPr>
                      <w:rFonts w:cs="Times New Roman"/>
                      <w:sz w:val="21"/>
                      <w:szCs w:val="21"/>
                    </w:rPr>
                  </w:pPr>
                  <w:r>
                    <w:rPr>
                      <w:rFonts w:cs="Times New Roman"/>
                      <w:sz w:val="21"/>
                      <w:szCs w:val="21"/>
                    </w:rPr>
                    <w:t>本项目为危险废物贮存项目，项目建成后将加强对</w:t>
                  </w:r>
                  <w:r>
                    <w:rPr>
                      <w:rFonts w:cs="Times New Roman"/>
                      <w:sz w:val="21"/>
                      <w:szCs w:val="21"/>
                    </w:rPr>
                    <w:t>VOCs</w:t>
                  </w:r>
                  <w:r>
                    <w:rPr>
                      <w:rFonts w:cs="Times New Roman"/>
                      <w:sz w:val="21"/>
                      <w:szCs w:val="21"/>
                    </w:rPr>
                    <w:t>综合治理，</w:t>
                  </w:r>
                  <w:r w:rsidR="00517934" w:rsidRPr="00517934">
                    <w:rPr>
                      <w:rFonts w:cs="Times New Roman" w:hint="eastAsia"/>
                      <w:sz w:val="21"/>
                      <w:szCs w:val="21"/>
                    </w:rPr>
                    <w:t>贮存库废气经负压收集后，先经碱液喷淋塔预处理去除硫酸雾，再依托现有二级活性炭吸附装置处理，尾气通过</w:t>
                  </w:r>
                  <w:r w:rsidR="00517934" w:rsidRPr="00517934">
                    <w:rPr>
                      <w:rFonts w:cs="Times New Roman" w:hint="eastAsia"/>
                      <w:sz w:val="21"/>
                      <w:szCs w:val="21"/>
                    </w:rPr>
                    <w:t>15m</w:t>
                  </w:r>
                  <w:r w:rsidR="00517934" w:rsidRPr="00517934">
                    <w:rPr>
                      <w:rFonts w:cs="Times New Roman" w:hint="eastAsia"/>
                      <w:sz w:val="21"/>
                      <w:szCs w:val="21"/>
                    </w:rPr>
                    <w:t>高排气筒（</w:t>
                  </w:r>
                  <w:r w:rsidR="00517934" w:rsidRPr="00517934">
                    <w:rPr>
                      <w:rFonts w:cs="Times New Roman" w:hint="eastAsia"/>
                      <w:sz w:val="21"/>
                      <w:szCs w:val="21"/>
                    </w:rPr>
                    <w:t>DA005</w:t>
                  </w:r>
                  <w:r w:rsidR="00517934" w:rsidRPr="00517934">
                    <w:rPr>
                      <w:rFonts w:cs="Times New Roman" w:hint="eastAsia"/>
                      <w:sz w:val="21"/>
                      <w:szCs w:val="21"/>
                    </w:rPr>
                    <w:t>）排放</w:t>
                  </w:r>
                </w:p>
              </w:tc>
              <w:tc>
                <w:tcPr>
                  <w:tcW w:w="236" w:type="pct"/>
                  <w:vAlign w:val="center"/>
                </w:tcPr>
                <w:p w14:paraId="59FB60B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r w:rsidR="003C4F46" w14:paraId="524C96A1" w14:textId="77777777">
              <w:trPr>
                <w:trHeight w:val="23"/>
                <w:jc w:val="center"/>
              </w:trPr>
              <w:tc>
                <w:tcPr>
                  <w:tcW w:w="3455" w:type="pct"/>
                  <w:vAlign w:val="center"/>
                </w:tcPr>
                <w:p w14:paraId="523148DF"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加强环境噪声污染防控。加强噪声污染源监管，继续强化和深入推进交通运输噪声、建筑施工噪声、社会生活噪声、工业企业、机场周边噪声污染防治，推进工业企业噪声纳入排污许可管理。优化重点区域声环境质量监测点位，加强城市环境噪声、道路交通噪声、功能区噪声例行监测与评价，推动功能区声环境质量自动监测，强化声环境功能区管理，适时调整完善声环境功能区。继续强化噪声信访处置，畅通噪声污染投诉渠道，完善生态环境与相关部门的噪声污染投诉信息共享处理机制。</w:t>
                  </w:r>
                </w:p>
              </w:tc>
              <w:tc>
                <w:tcPr>
                  <w:tcW w:w="1308" w:type="pct"/>
                  <w:vAlign w:val="center"/>
                </w:tcPr>
                <w:p w14:paraId="47C569B4"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本项目为危险废物贮存项目，噪声较小，设备均设置在贮存库内</w:t>
                  </w:r>
                </w:p>
              </w:tc>
              <w:tc>
                <w:tcPr>
                  <w:tcW w:w="236" w:type="pct"/>
                  <w:vAlign w:val="center"/>
                </w:tcPr>
                <w:p w14:paraId="7B74FE4C"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r w:rsidR="003C4F46" w14:paraId="2DB29340" w14:textId="77777777">
              <w:trPr>
                <w:trHeight w:val="23"/>
                <w:jc w:val="center"/>
              </w:trPr>
              <w:tc>
                <w:tcPr>
                  <w:tcW w:w="3455" w:type="pct"/>
                  <w:vAlign w:val="center"/>
                </w:tcPr>
                <w:p w14:paraId="5F3B836A"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w:t>
                  </w:r>
                  <w:r>
                    <w:rPr>
                      <w:rFonts w:cs="Times New Roman"/>
                      <w:sz w:val="21"/>
                      <w:szCs w:val="21"/>
                    </w:rPr>
                    <w:lastRenderedPageBreak/>
                    <w:t>循环利用水平。</w:t>
                  </w:r>
                </w:p>
              </w:tc>
              <w:tc>
                <w:tcPr>
                  <w:tcW w:w="1308" w:type="pct"/>
                  <w:vAlign w:val="center"/>
                </w:tcPr>
                <w:p w14:paraId="092D6D0D"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lastRenderedPageBreak/>
                    <w:t>本项目无生产废水产生</w:t>
                  </w:r>
                </w:p>
              </w:tc>
              <w:tc>
                <w:tcPr>
                  <w:tcW w:w="236" w:type="pct"/>
                  <w:vAlign w:val="center"/>
                </w:tcPr>
                <w:p w14:paraId="2EBD42A5"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bl>
          <w:p w14:paraId="36C7D9E3" w14:textId="77777777" w:rsidR="003C4F46" w:rsidRDefault="004B6A81">
            <w:pPr>
              <w:ind w:firstLineChars="0" w:firstLine="0"/>
              <w:textAlignment w:val="auto"/>
              <w:rPr>
                <w:rFonts w:cs="Times New Roman"/>
                <w:b/>
                <w:bCs/>
                <w:kern w:val="0"/>
                <w:szCs w:val="24"/>
              </w:rPr>
            </w:pPr>
            <w:r>
              <w:rPr>
                <w:rFonts w:cs="Times New Roman" w:hint="eastAsia"/>
                <w:b/>
                <w:bCs/>
                <w:kern w:val="0"/>
                <w:szCs w:val="24"/>
              </w:rPr>
              <w:t>1</w:t>
            </w:r>
            <w:r>
              <w:rPr>
                <w:rFonts w:cs="Times New Roman"/>
                <w:b/>
                <w:bCs/>
                <w:kern w:val="0"/>
                <w:szCs w:val="24"/>
              </w:rPr>
              <w:t>2</w:t>
            </w:r>
            <w:r>
              <w:rPr>
                <w:rFonts w:cs="Times New Roman" w:hint="eastAsia"/>
                <w:b/>
                <w:bCs/>
                <w:kern w:val="0"/>
                <w:szCs w:val="24"/>
              </w:rPr>
              <w:t>.</w:t>
            </w:r>
            <w:r>
              <w:rPr>
                <w:rFonts w:cs="Times New Roman"/>
                <w:b/>
                <w:bCs/>
                <w:kern w:val="0"/>
                <w:szCs w:val="24"/>
              </w:rPr>
              <w:t>项目与《</w:t>
            </w:r>
            <w:r>
              <w:rPr>
                <w:rFonts w:cs="Times New Roman" w:hint="eastAsia"/>
                <w:b/>
                <w:bCs/>
                <w:kern w:val="0"/>
                <w:szCs w:val="24"/>
              </w:rPr>
              <w:t>巴音郭楞蒙古自治州</w:t>
            </w:r>
            <w:r>
              <w:rPr>
                <w:rFonts w:cs="Times New Roman"/>
                <w:b/>
                <w:bCs/>
                <w:kern w:val="0"/>
                <w:szCs w:val="24"/>
              </w:rPr>
              <w:t>生态环境</w:t>
            </w:r>
            <w:r>
              <w:rPr>
                <w:rFonts w:cs="Times New Roman"/>
                <w:b/>
                <w:bCs/>
                <w:kern w:val="0"/>
                <w:szCs w:val="24"/>
              </w:rPr>
              <w:t>“</w:t>
            </w:r>
            <w:r>
              <w:rPr>
                <w:rFonts w:cs="Times New Roman"/>
                <w:b/>
                <w:bCs/>
                <w:kern w:val="0"/>
                <w:szCs w:val="24"/>
              </w:rPr>
              <w:t>十四五</w:t>
            </w:r>
            <w:r>
              <w:rPr>
                <w:rFonts w:cs="Times New Roman"/>
                <w:b/>
                <w:bCs/>
                <w:kern w:val="0"/>
                <w:szCs w:val="24"/>
              </w:rPr>
              <w:t>”</w:t>
            </w:r>
            <w:r>
              <w:rPr>
                <w:rFonts w:cs="Times New Roman"/>
                <w:b/>
                <w:bCs/>
                <w:kern w:val="0"/>
                <w:szCs w:val="24"/>
              </w:rPr>
              <w:t>规划》的符合性</w:t>
            </w:r>
            <w:r>
              <w:rPr>
                <w:rFonts w:cs="Times New Roman" w:hint="eastAsia"/>
                <w:b/>
                <w:bCs/>
                <w:kern w:val="0"/>
                <w:szCs w:val="24"/>
              </w:rPr>
              <w:t>分析</w:t>
            </w:r>
          </w:p>
          <w:p w14:paraId="2BFEB8ED" w14:textId="77777777"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1-1</w:t>
            </w:r>
            <w:r>
              <w:rPr>
                <w:rFonts w:cs="Times New Roman"/>
                <w:b/>
                <w:color w:val="000000"/>
                <w:sz w:val="21"/>
              </w:rPr>
              <w:t>1</w:t>
            </w:r>
            <w:r>
              <w:rPr>
                <w:rFonts w:cs="Times New Roman" w:hint="eastAsia"/>
                <w:b/>
                <w:color w:val="000000"/>
                <w:sz w:val="21"/>
              </w:rPr>
              <w:t xml:space="preserve">   </w:t>
            </w:r>
            <w:r>
              <w:rPr>
                <w:rFonts w:cs="Times New Roman"/>
                <w:b/>
                <w:color w:val="000000"/>
                <w:sz w:val="21"/>
              </w:rPr>
              <w:t>与《巴州生态环境</w:t>
            </w:r>
            <w:r>
              <w:rPr>
                <w:rFonts w:cs="Times New Roman"/>
                <w:b/>
                <w:color w:val="000000"/>
                <w:sz w:val="21"/>
              </w:rPr>
              <w:t>“</w:t>
            </w:r>
            <w:r>
              <w:rPr>
                <w:rFonts w:cs="Times New Roman"/>
                <w:b/>
                <w:color w:val="000000"/>
                <w:sz w:val="21"/>
              </w:rPr>
              <w:t>十四五</w:t>
            </w:r>
            <w:r>
              <w:rPr>
                <w:rFonts w:cs="Times New Roman"/>
                <w:b/>
                <w:color w:val="000000"/>
                <w:sz w:val="21"/>
              </w:rPr>
              <w:t>”</w:t>
            </w:r>
            <w:r>
              <w:rPr>
                <w:rFonts w:cs="Times New Roman"/>
                <w:b/>
                <w:color w:val="000000"/>
                <w:sz w:val="21"/>
              </w:rPr>
              <w:t>规划》相符性分析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5239"/>
              <w:gridCol w:w="1409"/>
              <w:gridCol w:w="362"/>
            </w:tblGrid>
            <w:tr w:rsidR="003C4F46" w14:paraId="57482C0D" w14:textId="77777777">
              <w:trPr>
                <w:trHeight w:val="23"/>
                <w:jc w:val="center"/>
              </w:trPr>
              <w:tc>
                <w:tcPr>
                  <w:tcW w:w="3735" w:type="pct"/>
                  <w:vAlign w:val="center"/>
                </w:tcPr>
                <w:p w14:paraId="66091F4E"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hint="eastAsia"/>
                      <w:sz w:val="21"/>
                      <w:szCs w:val="21"/>
                    </w:rPr>
                    <w:t>文件</w:t>
                  </w:r>
                  <w:r>
                    <w:rPr>
                      <w:rFonts w:cs="Times New Roman"/>
                      <w:sz w:val="21"/>
                      <w:szCs w:val="21"/>
                    </w:rPr>
                    <w:t>要求</w:t>
                  </w:r>
                </w:p>
              </w:tc>
              <w:tc>
                <w:tcPr>
                  <w:tcW w:w="1005" w:type="pct"/>
                  <w:vAlign w:val="center"/>
                </w:tcPr>
                <w:p w14:paraId="0702F0EB"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项目情况</w:t>
                  </w:r>
                </w:p>
              </w:tc>
              <w:tc>
                <w:tcPr>
                  <w:tcW w:w="258" w:type="pct"/>
                  <w:vAlign w:val="center"/>
                </w:tcPr>
                <w:p w14:paraId="16E12B55" w14:textId="77777777" w:rsidR="003C4F46" w:rsidRDefault="004B6A81">
                  <w:pPr>
                    <w:adjustRightInd w:val="0"/>
                    <w:snapToGrid w:val="0"/>
                    <w:spacing w:line="240" w:lineRule="auto"/>
                    <w:ind w:firstLineChars="0" w:firstLine="0"/>
                    <w:jc w:val="center"/>
                    <w:rPr>
                      <w:rFonts w:cs="Times New Roman"/>
                      <w:sz w:val="21"/>
                      <w:szCs w:val="21"/>
                    </w:rPr>
                  </w:pPr>
                  <w:r>
                    <w:rPr>
                      <w:rFonts w:cs="Times New Roman"/>
                      <w:sz w:val="21"/>
                      <w:szCs w:val="21"/>
                    </w:rPr>
                    <w:t>符合性</w:t>
                  </w:r>
                </w:p>
              </w:tc>
            </w:tr>
            <w:tr w:rsidR="003C4F46" w14:paraId="6BD8AB50" w14:textId="77777777">
              <w:trPr>
                <w:trHeight w:val="23"/>
                <w:jc w:val="center"/>
              </w:trPr>
              <w:tc>
                <w:tcPr>
                  <w:tcW w:w="3735" w:type="pct"/>
                  <w:vAlign w:val="center"/>
                </w:tcPr>
                <w:p w14:paraId="06CED634"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加强重点行业</w:t>
                  </w:r>
                  <w:r>
                    <w:rPr>
                      <w:rFonts w:cs="Times New Roman"/>
                      <w:sz w:val="21"/>
                      <w:szCs w:val="21"/>
                    </w:rPr>
                    <w:t>VOCs</w:t>
                  </w:r>
                  <w:r>
                    <w:rPr>
                      <w:rFonts w:cs="Times New Roman"/>
                      <w:sz w:val="21"/>
                      <w:szCs w:val="21"/>
                    </w:rPr>
                    <w:t>协同控制。深入实施《自治州重点行业挥发性有机物综合治理方案》，切实推进重点行业</w:t>
                  </w:r>
                  <w:r>
                    <w:rPr>
                      <w:rFonts w:cs="Times New Roman"/>
                      <w:sz w:val="21"/>
                      <w:szCs w:val="21"/>
                    </w:rPr>
                    <w:t>VOCs</w:t>
                  </w:r>
                  <w:r>
                    <w:rPr>
                      <w:rFonts w:cs="Times New Roman"/>
                      <w:sz w:val="21"/>
                      <w:szCs w:val="21"/>
                    </w:rPr>
                    <w:t>污染治理。重点推进石化、化工、包装印刷、工业涂装等重点行业以及机动车、油品储运销等交通源</w:t>
                  </w:r>
                  <w:r>
                    <w:rPr>
                      <w:rFonts w:cs="Times New Roman"/>
                      <w:sz w:val="21"/>
                      <w:szCs w:val="21"/>
                    </w:rPr>
                    <w:t>VOCs</w:t>
                  </w:r>
                  <w:r>
                    <w:rPr>
                      <w:rFonts w:cs="Times New Roman"/>
                      <w:sz w:val="21"/>
                      <w:szCs w:val="21"/>
                    </w:rPr>
                    <w:t>污染防治，加强芳香烃、烯烃、炔烃、醛类等活性强的</w:t>
                  </w:r>
                  <w:r>
                    <w:rPr>
                      <w:rFonts w:cs="Times New Roman"/>
                      <w:sz w:val="21"/>
                      <w:szCs w:val="21"/>
                    </w:rPr>
                    <w:t>VOCs</w:t>
                  </w:r>
                  <w:r>
                    <w:rPr>
                      <w:rFonts w:cs="Times New Roman"/>
                      <w:sz w:val="21"/>
                      <w:szCs w:val="21"/>
                    </w:rPr>
                    <w:t>排放控制，持续削减重点企业</w:t>
                  </w:r>
                  <w:r>
                    <w:rPr>
                      <w:rFonts w:cs="Times New Roman"/>
                      <w:sz w:val="21"/>
                      <w:szCs w:val="21"/>
                    </w:rPr>
                    <w:t>VOCs</w:t>
                  </w:r>
                  <w:r>
                    <w:rPr>
                      <w:rFonts w:cs="Times New Roman"/>
                      <w:sz w:val="21"/>
                      <w:szCs w:val="21"/>
                    </w:rPr>
                    <w:t>排放量。建立健全以改善环境空气质量为核心的</w:t>
                  </w:r>
                  <w:r>
                    <w:rPr>
                      <w:rFonts w:cs="Times New Roman"/>
                      <w:sz w:val="21"/>
                      <w:szCs w:val="21"/>
                    </w:rPr>
                    <w:t>VOCs</w:t>
                  </w:r>
                  <w:r>
                    <w:rPr>
                      <w:rFonts w:cs="Times New Roman"/>
                      <w:sz w:val="21"/>
                      <w:szCs w:val="21"/>
                    </w:rPr>
                    <w:t>污染防治管理体系，加强石化、煤化工、表面处理、印刷、油气储罐等重点排放行业的精细化管控，持续实施</w:t>
                  </w:r>
                  <w:r>
                    <w:rPr>
                      <w:rFonts w:cs="Times New Roman"/>
                      <w:sz w:val="21"/>
                      <w:szCs w:val="21"/>
                    </w:rPr>
                    <w:t>LARD</w:t>
                  </w:r>
                  <w:r>
                    <w:rPr>
                      <w:rFonts w:cs="Times New Roman"/>
                      <w:sz w:val="21"/>
                      <w:szCs w:val="21"/>
                    </w:rPr>
                    <w:t>治理。强化新增污染物排放控制，推进</w:t>
                  </w:r>
                  <w:r>
                    <w:rPr>
                      <w:rFonts w:cs="Times New Roman"/>
                      <w:sz w:val="21"/>
                      <w:szCs w:val="21"/>
                    </w:rPr>
                    <w:t>VOCs</w:t>
                  </w:r>
                  <w:r>
                    <w:rPr>
                      <w:rFonts w:cs="Times New Roman"/>
                      <w:sz w:val="21"/>
                      <w:szCs w:val="21"/>
                    </w:rPr>
                    <w:t>与</w:t>
                  </w:r>
                  <w:r>
                    <w:rPr>
                      <w:rFonts w:cs="Times New Roman"/>
                      <w:sz w:val="21"/>
                      <w:szCs w:val="21"/>
                    </w:rPr>
                    <w:t>NOx</w:t>
                  </w:r>
                  <w:r>
                    <w:rPr>
                      <w:rFonts w:cs="Times New Roman"/>
                      <w:sz w:val="21"/>
                      <w:szCs w:val="21"/>
                    </w:rPr>
                    <w:t>等的协同减排，改善环境空气质量。</w:t>
                  </w:r>
                </w:p>
              </w:tc>
              <w:tc>
                <w:tcPr>
                  <w:tcW w:w="1005" w:type="pct"/>
                  <w:vAlign w:val="center"/>
                </w:tcPr>
                <w:p w14:paraId="47FC3672" w14:textId="69A9B89A" w:rsidR="003C4F46" w:rsidRDefault="00C667C8">
                  <w:pPr>
                    <w:adjustRightInd w:val="0"/>
                    <w:snapToGrid w:val="0"/>
                    <w:spacing w:line="240" w:lineRule="auto"/>
                    <w:ind w:firstLineChars="0" w:firstLine="0"/>
                    <w:rPr>
                      <w:rFonts w:cs="Times New Roman"/>
                      <w:sz w:val="21"/>
                      <w:szCs w:val="21"/>
                    </w:rPr>
                  </w:pPr>
                  <w:r>
                    <w:rPr>
                      <w:rFonts w:cs="Times New Roman"/>
                      <w:sz w:val="21"/>
                      <w:szCs w:val="21"/>
                    </w:rPr>
                    <w:t>本项目为危险废物贮存项目，项目建成后将加强对</w:t>
                  </w:r>
                  <w:r>
                    <w:rPr>
                      <w:rFonts w:cs="Times New Roman"/>
                      <w:sz w:val="21"/>
                      <w:szCs w:val="21"/>
                    </w:rPr>
                    <w:t>VOCs</w:t>
                  </w:r>
                  <w:r>
                    <w:rPr>
                      <w:rFonts w:cs="Times New Roman"/>
                      <w:sz w:val="21"/>
                      <w:szCs w:val="21"/>
                    </w:rPr>
                    <w:t>综合治理，</w:t>
                  </w:r>
                  <w:r w:rsidRPr="00517934">
                    <w:rPr>
                      <w:rFonts w:cs="Times New Roman" w:hint="eastAsia"/>
                      <w:sz w:val="21"/>
                      <w:szCs w:val="21"/>
                    </w:rPr>
                    <w:t>贮存库废气经负压收集后，先经碱液喷淋塔预处理去除硫酸雾，再依托现有二级活性炭吸附装置处理，尾气通过</w:t>
                  </w:r>
                  <w:r w:rsidRPr="00517934">
                    <w:rPr>
                      <w:rFonts w:cs="Times New Roman" w:hint="eastAsia"/>
                      <w:sz w:val="21"/>
                      <w:szCs w:val="21"/>
                    </w:rPr>
                    <w:t>15m</w:t>
                  </w:r>
                  <w:r w:rsidRPr="00517934">
                    <w:rPr>
                      <w:rFonts w:cs="Times New Roman" w:hint="eastAsia"/>
                      <w:sz w:val="21"/>
                      <w:szCs w:val="21"/>
                    </w:rPr>
                    <w:t>高排气筒（</w:t>
                  </w:r>
                  <w:r w:rsidRPr="00517934">
                    <w:rPr>
                      <w:rFonts w:cs="Times New Roman" w:hint="eastAsia"/>
                      <w:sz w:val="21"/>
                      <w:szCs w:val="21"/>
                    </w:rPr>
                    <w:t>DA005</w:t>
                  </w:r>
                  <w:r w:rsidRPr="00517934">
                    <w:rPr>
                      <w:rFonts w:cs="Times New Roman" w:hint="eastAsia"/>
                      <w:sz w:val="21"/>
                      <w:szCs w:val="21"/>
                    </w:rPr>
                    <w:t>）排放</w:t>
                  </w:r>
                </w:p>
              </w:tc>
              <w:tc>
                <w:tcPr>
                  <w:tcW w:w="258" w:type="pct"/>
                  <w:vAlign w:val="center"/>
                </w:tcPr>
                <w:p w14:paraId="31C19E0A"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5C394AFC" w14:textId="77777777">
              <w:trPr>
                <w:trHeight w:val="23"/>
                <w:jc w:val="center"/>
              </w:trPr>
              <w:tc>
                <w:tcPr>
                  <w:tcW w:w="3735" w:type="pct"/>
                  <w:vAlign w:val="center"/>
                </w:tcPr>
                <w:p w14:paraId="7231196A" w14:textId="4EB70E23" w:rsidR="003C4F46" w:rsidRDefault="004B6A81">
                  <w:pPr>
                    <w:spacing w:line="240" w:lineRule="auto"/>
                    <w:ind w:firstLineChars="0" w:firstLine="0"/>
                    <w:textAlignment w:val="auto"/>
                    <w:rPr>
                      <w:rFonts w:cs="Times New Roman"/>
                      <w:sz w:val="21"/>
                      <w:szCs w:val="21"/>
                    </w:rPr>
                  </w:pPr>
                  <w:r>
                    <w:rPr>
                      <w:rFonts w:cs="Times New Roman"/>
                      <w:sz w:val="21"/>
                      <w:szCs w:val="21"/>
                    </w:rPr>
                    <w:t>加强环境噪声污染防控。加强噪声污染源监管，继续强化和深入推进交通运输、建筑施工、社会生活、工业企业、机场周边噪声污染防治，推进工业企业噪声纳入排污许可管理。优化重点区</w:t>
                  </w:r>
                  <w:r w:rsidR="007C29E4">
                    <w:rPr>
                      <w:rFonts w:cs="Times New Roman" w:hint="eastAsia"/>
                      <w:sz w:val="21"/>
                      <w:szCs w:val="21"/>
                    </w:rPr>
                    <w:t>域</w:t>
                  </w:r>
                  <w:r>
                    <w:rPr>
                      <w:rFonts w:cs="Times New Roman"/>
                      <w:sz w:val="21"/>
                      <w:szCs w:val="21"/>
                    </w:rPr>
                    <w:t>声环境质量监测点位，加强城市环境、道路交通、功能区噪声例行监测与评价，推动库尔勒市功能区声环境质量自动监测，强化声环境功能区管理，适时调整完善声环境功能区。继续强化噪声信访处置，畅通噪声污染投诉渠道，完善生态环境与相关部门的噪声污染投诉信息共享处理机制。</w:t>
                  </w:r>
                </w:p>
              </w:tc>
              <w:tc>
                <w:tcPr>
                  <w:tcW w:w="1005" w:type="pct"/>
                  <w:vAlign w:val="center"/>
                </w:tcPr>
                <w:p w14:paraId="60A8F35D" w14:textId="77777777" w:rsidR="003C4F46" w:rsidRDefault="004B6A81">
                  <w:pPr>
                    <w:adjustRightInd w:val="0"/>
                    <w:snapToGrid w:val="0"/>
                    <w:spacing w:line="240" w:lineRule="auto"/>
                    <w:ind w:firstLineChars="0" w:firstLine="0"/>
                    <w:rPr>
                      <w:rFonts w:cs="Times New Roman"/>
                      <w:sz w:val="21"/>
                      <w:szCs w:val="21"/>
                    </w:rPr>
                  </w:pPr>
                  <w:r>
                    <w:rPr>
                      <w:rFonts w:cs="Times New Roman" w:hint="eastAsia"/>
                      <w:sz w:val="21"/>
                      <w:szCs w:val="21"/>
                    </w:rPr>
                    <w:t>本项目为危险废物贮存项目，噪声较小，设备均设置在贮存库内</w:t>
                  </w:r>
                </w:p>
              </w:tc>
              <w:tc>
                <w:tcPr>
                  <w:tcW w:w="258" w:type="pct"/>
                  <w:vAlign w:val="center"/>
                </w:tcPr>
                <w:p w14:paraId="4C8D1A5D"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bl>
          <w:p w14:paraId="1CFE804A" w14:textId="77777777" w:rsidR="003C4F46" w:rsidRDefault="004B6A81">
            <w:pPr>
              <w:ind w:firstLineChars="0" w:firstLine="0"/>
              <w:textAlignment w:val="auto"/>
              <w:rPr>
                <w:rFonts w:cs="Times New Roman"/>
                <w:b/>
                <w:bCs/>
                <w:kern w:val="0"/>
                <w:szCs w:val="24"/>
              </w:rPr>
            </w:pPr>
            <w:r>
              <w:rPr>
                <w:rFonts w:cs="Times New Roman" w:hint="eastAsia"/>
                <w:b/>
                <w:bCs/>
                <w:kern w:val="0"/>
                <w:szCs w:val="24"/>
              </w:rPr>
              <w:t>1</w:t>
            </w:r>
            <w:r>
              <w:rPr>
                <w:rFonts w:cs="Times New Roman"/>
                <w:b/>
                <w:bCs/>
                <w:kern w:val="0"/>
                <w:szCs w:val="24"/>
              </w:rPr>
              <w:t>3</w:t>
            </w:r>
            <w:r>
              <w:rPr>
                <w:rFonts w:cs="Times New Roman" w:hint="eastAsia"/>
                <w:b/>
                <w:bCs/>
                <w:kern w:val="0"/>
                <w:szCs w:val="24"/>
              </w:rPr>
              <w:t>.</w:t>
            </w:r>
            <w:r>
              <w:rPr>
                <w:rFonts w:cs="Times New Roman" w:hint="eastAsia"/>
                <w:b/>
                <w:bCs/>
                <w:kern w:val="0"/>
                <w:szCs w:val="24"/>
              </w:rPr>
              <w:t>与《新疆维吾尔自治区小微企业危险废物收集试点工作方案》符合性分析</w:t>
            </w:r>
          </w:p>
          <w:p w14:paraId="6A8C4915" w14:textId="68163BD1" w:rsidR="003C4F46" w:rsidRDefault="004B6A81">
            <w:pPr>
              <w:autoSpaceDE w:val="0"/>
              <w:autoSpaceDN w:val="0"/>
              <w:adjustRightInd w:val="0"/>
              <w:snapToGrid w:val="0"/>
              <w:spacing w:line="240" w:lineRule="auto"/>
              <w:ind w:firstLineChars="0" w:firstLine="0"/>
              <w:jc w:val="center"/>
              <w:textAlignment w:val="auto"/>
              <w:rPr>
                <w:rFonts w:cs="Times New Roman"/>
                <w:b/>
                <w:color w:val="000000"/>
                <w:sz w:val="21"/>
              </w:rPr>
            </w:pPr>
            <w:r>
              <w:rPr>
                <w:rFonts w:cs="Times New Roman"/>
                <w:b/>
                <w:color w:val="000000"/>
                <w:sz w:val="21"/>
              </w:rPr>
              <w:t>表</w:t>
            </w:r>
            <w:r>
              <w:rPr>
                <w:rFonts w:cs="Times New Roman" w:hint="eastAsia"/>
                <w:b/>
                <w:color w:val="000000"/>
                <w:sz w:val="21"/>
              </w:rPr>
              <w:t>1-1</w:t>
            </w:r>
            <w:r w:rsidR="00EF1475">
              <w:rPr>
                <w:rFonts w:cs="Times New Roman"/>
                <w:b/>
                <w:color w:val="000000"/>
                <w:sz w:val="21"/>
              </w:rPr>
              <w:t>2</w:t>
            </w:r>
            <w:r>
              <w:rPr>
                <w:rFonts w:cs="Times New Roman"/>
                <w:b/>
                <w:color w:val="000000"/>
                <w:sz w:val="21"/>
              </w:rPr>
              <w:t xml:space="preserve">  </w:t>
            </w:r>
            <w:r>
              <w:rPr>
                <w:rFonts w:cs="Times New Roman"/>
                <w:b/>
                <w:color w:val="000000"/>
                <w:sz w:val="21"/>
              </w:rPr>
              <w:t>与《新疆维吾尔自治区小微企业危险废物收集试点工作方案》相符性分析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4814"/>
              <w:gridCol w:w="1767"/>
              <w:gridCol w:w="429"/>
            </w:tblGrid>
            <w:tr w:rsidR="003C4F46" w14:paraId="3799BA89" w14:textId="77777777">
              <w:trPr>
                <w:trHeight w:val="23"/>
                <w:jc w:val="center"/>
              </w:trPr>
              <w:tc>
                <w:tcPr>
                  <w:tcW w:w="3433" w:type="pct"/>
                  <w:vAlign w:val="center"/>
                </w:tcPr>
                <w:p w14:paraId="22DC9F4B"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文件</w:t>
                  </w:r>
                  <w:r>
                    <w:rPr>
                      <w:rFonts w:cs="Times New Roman"/>
                      <w:sz w:val="21"/>
                      <w:szCs w:val="21"/>
                    </w:rPr>
                    <w:t>要求</w:t>
                  </w:r>
                </w:p>
              </w:tc>
              <w:tc>
                <w:tcPr>
                  <w:tcW w:w="1259" w:type="pct"/>
                  <w:vAlign w:val="center"/>
                </w:tcPr>
                <w:p w14:paraId="04D7D2F9"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项目情况</w:t>
                  </w:r>
                </w:p>
              </w:tc>
              <w:tc>
                <w:tcPr>
                  <w:tcW w:w="306" w:type="pct"/>
                  <w:vAlign w:val="center"/>
                </w:tcPr>
                <w:p w14:paraId="66C53BF3"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符合性</w:t>
                  </w:r>
                </w:p>
              </w:tc>
            </w:tr>
            <w:tr w:rsidR="003C4F46" w14:paraId="2ED3E5B9" w14:textId="77777777">
              <w:trPr>
                <w:trHeight w:val="23"/>
                <w:jc w:val="center"/>
              </w:trPr>
              <w:tc>
                <w:tcPr>
                  <w:tcW w:w="3433" w:type="pct"/>
                  <w:vAlign w:val="center"/>
                </w:tcPr>
                <w:p w14:paraId="1F95EAC5"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危险废物（医疗废物除外）年产生总量</w:t>
                  </w:r>
                  <w:r>
                    <w:rPr>
                      <w:rFonts w:cs="Times New Roman" w:hint="eastAsia"/>
                      <w:sz w:val="21"/>
                      <w:szCs w:val="21"/>
                    </w:rPr>
                    <w:t>10</w:t>
                  </w:r>
                  <w:r>
                    <w:rPr>
                      <w:rFonts w:cs="Times New Roman" w:hint="eastAsia"/>
                      <w:sz w:val="21"/>
                      <w:szCs w:val="21"/>
                    </w:rPr>
                    <w:t>吨以下的小微企业，以及机关事业单位、科研院所、学校、各类检测机构、机动车维修机构等单位及社会源作为</w:t>
                  </w:r>
                  <w:r>
                    <w:rPr>
                      <w:rFonts w:cs="Times New Roman" w:hint="eastAsia"/>
                      <w:sz w:val="21"/>
                      <w:szCs w:val="21"/>
                    </w:rPr>
                    <w:lastRenderedPageBreak/>
                    <w:t>收集服务的重点；年产生量大于</w:t>
                  </w:r>
                  <w:r>
                    <w:rPr>
                      <w:rFonts w:cs="Times New Roman" w:hint="eastAsia"/>
                      <w:sz w:val="21"/>
                      <w:szCs w:val="21"/>
                    </w:rPr>
                    <w:t>10</w:t>
                  </w:r>
                  <w:r>
                    <w:rPr>
                      <w:rFonts w:cs="Times New Roman" w:hint="eastAsia"/>
                      <w:sz w:val="21"/>
                      <w:szCs w:val="21"/>
                    </w:rPr>
                    <w:t>吨的产废单位，其产生的少量废矿物油、废包装容器及沾染物、实验室废物、在线监测废液、废荧光灯管、废活性炭等，可纳入收集范围。</w:t>
                  </w:r>
                </w:p>
              </w:tc>
              <w:tc>
                <w:tcPr>
                  <w:tcW w:w="1259" w:type="pct"/>
                  <w:vAlign w:val="center"/>
                </w:tcPr>
                <w:p w14:paraId="555C489A"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lastRenderedPageBreak/>
                    <w:t>本项目危险废物回收类别包含废矿物油、废有机溶</w:t>
                  </w:r>
                  <w:r>
                    <w:rPr>
                      <w:rFonts w:cs="Times New Roman" w:hint="eastAsia"/>
                      <w:sz w:val="21"/>
                      <w:szCs w:val="21"/>
                    </w:rPr>
                    <w:lastRenderedPageBreak/>
                    <w:t>剂等（不包含医疗废物）</w:t>
                  </w:r>
                </w:p>
              </w:tc>
              <w:tc>
                <w:tcPr>
                  <w:tcW w:w="306" w:type="pct"/>
                  <w:vAlign w:val="center"/>
                </w:tcPr>
                <w:p w14:paraId="505A2F42"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lastRenderedPageBreak/>
                    <w:t>符合</w:t>
                  </w:r>
                </w:p>
              </w:tc>
            </w:tr>
            <w:tr w:rsidR="003C4F46" w14:paraId="68309846" w14:textId="77777777">
              <w:trPr>
                <w:trHeight w:val="23"/>
                <w:jc w:val="center"/>
              </w:trPr>
              <w:tc>
                <w:tcPr>
                  <w:tcW w:w="3433" w:type="pct"/>
                  <w:vAlign w:val="center"/>
                </w:tcPr>
                <w:p w14:paraId="1220AF85" w14:textId="77777777" w:rsidR="003C4F46" w:rsidRDefault="004B6A81">
                  <w:pPr>
                    <w:spacing w:line="240" w:lineRule="auto"/>
                    <w:ind w:firstLineChars="0" w:firstLine="0"/>
                    <w:textAlignment w:val="auto"/>
                    <w:rPr>
                      <w:rFonts w:cs="Times New Roman"/>
                      <w:sz w:val="21"/>
                      <w:szCs w:val="21"/>
                    </w:rPr>
                  </w:pPr>
                  <w:r>
                    <w:rPr>
                      <w:rFonts w:cs="Times New Roman"/>
                      <w:sz w:val="21"/>
                      <w:szCs w:val="21"/>
                    </w:rPr>
                    <w:t>收集总规模不大于</w:t>
                  </w:r>
                  <w:r>
                    <w:rPr>
                      <w:rFonts w:cs="Times New Roman"/>
                      <w:sz w:val="21"/>
                      <w:szCs w:val="21"/>
                    </w:rPr>
                    <w:t>5000</w:t>
                  </w:r>
                  <w:r>
                    <w:rPr>
                      <w:rFonts w:cs="Times New Roman"/>
                      <w:sz w:val="21"/>
                      <w:szCs w:val="21"/>
                    </w:rPr>
                    <w:t>吨</w:t>
                  </w:r>
                  <w:r>
                    <w:rPr>
                      <w:rFonts w:cs="Times New Roman"/>
                      <w:sz w:val="21"/>
                      <w:szCs w:val="21"/>
                    </w:rPr>
                    <w:t>/</w:t>
                  </w:r>
                  <w:r>
                    <w:rPr>
                      <w:rFonts w:cs="Times New Roman"/>
                      <w:sz w:val="21"/>
                      <w:szCs w:val="21"/>
                    </w:rPr>
                    <w:t>年</w:t>
                  </w:r>
                </w:p>
              </w:tc>
              <w:tc>
                <w:tcPr>
                  <w:tcW w:w="1259" w:type="pct"/>
                  <w:vAlign w:val="center"/>
                </w:tcPr>
                <w:p w14:paraId="0AFA3578"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本项目建成后年贮存危险废物合计</w:t>
                  </w:r>
                  <w:r>
                    <w:rPr>
                      <w:rFonts w:cs="Times New Roman" w:hint="eastAsia"/>
                      <w:sz w:val="21"/>
                      <w:szCs w:val="21"/>
                    </w:rPr>
                    <w:t>5000</w:t>
                  </w:r>
                  <w:r>
                    <w:rPr>
                      <w:rFonts w:cs="Times New Roman" w:hint="eastAsia"/>
                      <w:sz w:val="21"/>
                      <w:szCs w:val="21"/>
                    </w:rPr>
                    <w:t>吨</w:t>
                  </w:r>
                </w:p>
              </w:tc>
              <w:tc>
                <w:tcPr>
                  <w:tcW w:w="306" w:type="pct"/>
                  <w:vAlign w:val="center"/>
                </w:tcPr>
                <w:p w14:paraId="3BE2004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0E58E177" w14:textId="77777777">
              <w:trPr>
                <w:trHeight w:val="23"/>
                <w:jc w:val="center"/>
              </w:trPr>
              <w:tc>
                <w:tcPr>
                  <w:tcW w:w="3433" w:type="pct"/>
                  <w:vAlign w:val="center"/>
                </w:tcPr>
                <w:p w14:paraId="2B4EAD64"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要严格落实企业污染防治主体责任，认真执行危险废物收集、贮存、转移、利用处置等全过程管理制度，实行专人专岗。试点单位应合理制定收费标准，并根据实际开展危险废物管理延伸服务，为产废单位提供现场诊断、现场整理、管理咨询等“一站式”危险废物管理延伸服务，帮助产废单位建章立制，落实危险废物规范化管理各项规章制度</w:t>
                  </w:r>
                </w:p>
              </w:tc>
              <w:tc>
                <w:tcPr>
                  <w:tcW w:w="1259" w:type="pct"/>
                  <w:vAlign w:val="center"/>
                </w:tcPr>
                <w:p w14:paraId="045EA7C1"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严格落实企业污染防治主体责任，认真执行危险废物收集、贮存全过程管理制度，实行专人专岗</w:t>
                  </w:r>
                </w:p>
              </w:tc>
              <w:tc>
                <w:tcPr>
                  <w:tcW w:w="306" w:type="pct"/>
                  <w:vAlign w:val="center"/>
                </w:tcPr>
                <w:p w14:paraId="3E564319"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33B5DB28" w14:textId="77777777">
              <w:trPr>
                <w:trHeight w:val="23"/>
                <w:jc w:val="center"/>
              </w:trPr>
              <w:tc>
                <w:tcPr>
                  <w:tcW w:w="3433" w:type="pct"/>
                  <w:vAlign w:val="center"/>
                </w:tcPr>
                <w:p w14:paraId="02CE3B5F"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贮存设施要严格履行环评、安评、消防等相关职能部门审批及验收手续；要按照环评文件及批复内容、《危险废物贮存污染控制标准》等相关要求进行新建或依托危险废物经营单位利用产业集聚区或工业园区内现有企业中符合相关要求且足够容量的危险废物贮存场所；在出入口、设施内部、危险废物运输车辆通道等关键位置按照相关要求设置视频监控，并与“全区危险废物经营单位视频监控系统”联网，视频监控数据应能保存</w:t>
                  </w:r>
                  <w:r>
                    <w:rPr>
                      <w:rFonts w:cs="Times New Roman" w:hint="eastAsia"/>
                      <w:sz w:val="21"/>
                      <w:szCs w:val="21"/>
                    </w:rPr>
                    <w:t>3</w:t>
                  </w:r>
                  <w:r>
                    <w:rPr>
                      <w:rFonts w:cs="Times New Roman" w:hint="eastAsia"/>
                      <w:sz w:val="21"/>
                      <w:szCs w:val="21"/>
                    </w:rPr>
                    <w:t>个月以上；试点单位要采用信息化手段记录所收集险废物的种类、来源、数量、贮存和去向等信息，实现所收集危险废物的信息化追溯。</w:t>
                  </w:r>
                </w:p>
              </w:tc>
              <w:tc>
                <w:tcPr>
                  <w:tcW w:w="1259" w:type="pct"/>
                  <w:vAlign w:val="center"/>
                </w:tcPr>
                <w:p w14:paraId="3CC85446"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项目依法开展环境影响评价，并严格执行建设项目“三同时”环境管理制度。严格按照《危险废物贮存污染控制标准》等相关要求建设。建设单位将按要求建立台账制度，严格执行相关要求</w:t>
                  </w:r>
                </w:p>
              </w:tc>
              <w:tc>
                <w:tcPr>
                  <w:tcW w:w="306" w:type="pct"/>
                  <w:vAlign w:val="center"/>
                </w:tcPr>
                <w:p w14:paraId="6C55D413"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139A1F6D" w14:textId="77777777">
              <w:trPr>
                <w:trHeight w:val="23"/>
                <w:jc w:val="center"/>
              </w:trPr>
              <w:tc>
                <w:tcPr>
                  <w:tcW w:w="3433" w:type="pct"/>
                  <w:vAlign w:val="center"/>
                </w:tcPr>
                <w:p w14:paraId="62A569EB"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试点单位应按照规定的服务地域范围和收集废物类别，及时收集转运服务地域范围内小微企业产生的危险废物，并为小微企业提供危险废物管理方面的延伸服务，推动小微企业提升危险废物规范化环境管理水平；严禁收集在产废单位长期贮存、无明确利用处置途径的危险废物。</w:t>
                  </w:r>
                </w:p>
              </w:tc>
              <w:tc>
                <w:tcPr>
                  <w:tcW w:w="1259" w:type="pct"/>
                  <w:vAlign w:val="center"/>
                </w:tcPr>
                <w:p w14:paraId="7EDD34C8"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本项目危险废物回收类别包含废矿物油、废有机溶剂等（不包含医疗废物）</w:t>
                  </w:r>
                </w:p>
              </w:tc>
              <w:tc>
                <w:tcPr>
                  <w:tcW w:w="306" w:type="pct"/>
                  <w:vAlign w:val="center"/>
                </w:tcPr>
                <w:p w14:paraId="073EE9C0"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619DC7F4" w14:textId="77777777">
              <w:trPr>
                <w:trHeight w:val="23"/>
                <w:jc w:val="center"/>
              </w:trPr>
              <w:tc>
                <w:tcPr>
                  <w:tcW w:w="3433" w:type="pct"/>
                  <w:vAlign w:val="center"/>
                </w:tcPr>
                <w:p w14:paraId="1AB466AD"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应科学制定收集贮存方案，严格分类分区贮存；最大贮存量不超过有效库容的</w:t>
                  </w:r>
                  <w:r>
                    <w:rPr>
                      <w:rFonts w:cs="Times New Roman" w:hint="eastAsia"/>
                      <w:sz w:val="21"/>
                      <w:szCs w:val="21"/>
                    </w:rPr>
                    <w:t>50%</w:t>
                  </w:r>
                  <w:r>
                    <w:rPr>
                      <w:rFonts w:cs="Times New Roman" w:hint="eastAsia"/>
                      <w:sz w:val="21"/>
                      <w:szCs w:val="21"/>
                    </w:rPr>
                    <w:t>，最长贮存期限不超过半年，如有逾期未转移的，试点单位应暂停收集，待转移后方可继续收集；贮存设施及危险废物包装物应按照相关标准、规范设置警示标志和识别标志；对易爆、易燃及排出有毒气体的危险废物应进行预处理后进入贮存设施贮存，否则按易爆、易燃危险品贮存</w:t>
                  </w:r>
                </w:p>
              </w:tc>
              <w:tc>
                <w:tcPr>
                  <w:tcW w:w="1259" w:type="pct"/>
                  <w:vAlign w:val="center"/>
                </w:tcPr>
                <w:p w14:paraId="15D3B8AB"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项目按回收类别建设贮存库，严格落实分类分区贮存，并做到及时转运，规范设置警示标志和识别标志</w:t>
                  </w:r>
                </w:p>
              </w:tc>
              <w:tc>
                <w:tcPr>
                  <w:tcW w:w="306" w:type="pct"/>
                  <w:vAlign w:val="center"/>
                </w:tcPr>
                <w:p w14:paraId="766025F9"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符合</w:t>
                  </w:r>
                </w:p>
              </w:tc>
            </w:tr>
            <w:tr w:rsidR="003C4F46" w14:paraId="5CC323AF" w14:textId="77777777">
              <w:trPr>
                <w:trHeight w:val="23"/>
                <w:jc w:val="center"/>
              </w:trPr>
              <w:tc>
                <w:tcPr>
                  <w:tcW w:w="3433" w:type="pct"/>
                  <w:vAlign w:val="center"/>
                </w:tcPr>
                <w:p w14:paraId="7D0CB746"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单位应按相关规定将所收集的危险废物及时转运至危险废物利用处置单位，并定期跟踪每批次危险废</w:t>
                  </w:r>
                  <w:r>
                    <w:rPr>
                      <w:rFonts w:cs="Times New Roman" w:hint="eastAsia"/>
                      <w:sz w:val="21"/>
                      <w:szCs w:val="21"/>
                    </w:rPr>
                    <w:lastRenderedPageBreak/>
                    <w:t>物的利用处置情况，严禁将危险废物提供或者委托给无危险废物经营许可证的单位或者其他生产经营者</w:t>
                  </w:r>
                </w:p>
              </w:tc>
              <w:tc>
                <w:tcPr>
                  <w:tcW w:w="1259" w:type="pct"/>
                  <w:vAlign w:val="center"/>
                </w:tcPr>
                <w:p w14:paraId="6BDFFE40"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lastRenderedPageBreak/>
                    <w:t>记录所收集危险废物的种类、来</w:t>
                  </w:r>
                  <w:r>
                    <w:rPr>
                      <w:rFonts w:cs="Times New Roman" w:hint="eastAsia"/>
                      <w:sz w:val="21"/>
                      <w:szCs w:val="21"/>
                    </w:rPr>
                    <w:lastRenderedPageBreak/>
                    <w:t>源、数量、贮存和去向等信息，实现所收集危险废物的信息化追溯</w:t>
                  </w:r>
                </w:p>
              </w:tc>
              <w:tc>
                <w:tcPr>
                  <w:tcW w:w="306" w:type="pct"/>
                  <w:vAlign w:val="center"/>
                </w:tcPr>
                <w:p w14:paraId="0B29C6FA"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lastRenderedPageBreak/>
                    <w:t>符合</w:t>
                  </w:r>
                </w:p>
              </w:tc>
            </w:tr>
          </w:tbl>
          <w:p w14:paraId="453CD9A0" w14:textId="77777777" w:rsidR="003C4F46" w:rsidRDefault="004B6A81">
            <w:pPr>
              <w:spacing w:line="240" w:lineRule="auto"/>
              <w:ind w:firstLineChars="0" w:firstLine="0"/>
              <w:rPr>
                <w:b/>
                <w:bCs/>
                <w:color w:val="000000" w:themeColor="text1"/>
                <w:szCs w:val="21"/>
              </w:rPr>
            </w:pPr>
            <w:r>
              <w:rPr>
                <w:rFonts w:hint="eastAsia"/>
                <w:b/>
                <w:color w:val="000000" w:themeColor="text1"/>
                <w:szCs w:val="21"/>
              </w:rPr>
              <w:t>1</w:t>
            </w:r>
            <w:r>
              <w:rPr>
                <w:b/>
                <w:color w:val="000000" w:themeColor="text1"/>
                <w:szCs w:val="21"/>
              </w:rPr>
              <w:t>4.</w:t>
            </w:r>
            <w:r>
              <w:rPr>
                <w:rFonts w:hint="eastAsia"/>
                <w:b/>
                <w:color w:val="000000" w:themeColor="text1"/>
                <w:szCs w:val="21"/>
              </w:rPr>
              <w:t>与</w:t>
            </w:r>
            <w:r>
              <w:rPr>
                <w:rFonts w:cs="Times New Roman" w:hint="eastAsia"/>
                <w:b/>
                <w:bCs/>
                <w:szCs w:val="21"/>
              </w:rPr>
              <w:t>《中华人民共和国生态环境法典》符合性分析</w:t>
            </w:r>
          </w:p>
          <w:p w14:paraId="4A759BED" w14:textId="7C806A6F" w:rsidR="003C4F46" w:rsidRDefault="004B6A81">
            <w:pPr>
              <w:pStyle w:val="aff6"/>
              <w:spacing w:before="163"/>
              <w:rPr>
                <w:rFonts w:cs="Times New Roman"/>
                <w:color w:val="000000" w:themeColor="text1"/>
                <w:szCs w:val="24"/>
              </w:rPr>
            </w:pPr>
            <w:r>
              <w:rPr>
                <w:rFonts w:hint="eastAsia"/>
                <w:color w:val="000000" w:themeColor="text1"/>
              </w:rPr>
              <w:t>表</w:t>
            </w:r>
            <w:r>
              <w:rPr>
                <w:rFonts w:hint="eastAsia"/>
                <w:color w:val="000000" w:themeColor="text1"/>
              </w:rPr>
              <w:t>1</w:t>
            </w:r>
            <w:r>
              <w:rPr>
                <w:color w:val="000000" w:themeColor="text1"/>
              </w:rPr>
              <w:t>-1</w:t>
            </w:r>
            <w:r w:rsidR="00EF1475">
              <w:rPr>
                <w:color w:val="000000" w:themeColor="text1"/>
              </w:rPr>
              <w:t>3</w:t>
            </w:r>
            <w:r>
              <w:rPr>
                <w:color w:val="000000" w:themeColor="text1"/>
              </w:rPr>
              <w:t xml:space="preserve">  </w:t>
            </w:r>
            <w:r>
              <w:rPr>
                <w:rFonts w:hint="eastAsia"/>
                <w:color w:val="000000" w:themeColor="text1"/>
              </w:rPr>
              <w:t>《中华人民共和国生态环境法典》</w:t>
            </w:r>
            <w:r w:rsidR="007258DB" w:rsidRPr="007258DB">
              <w:rPr>
                <w:rFonts w:hint="eastAsia"/>
                <w:color w:val="000000" w:themeColor="text1"/>
              </w:rPr>
              <w:t>相关条款</w:t>
            </w:r>
            <w:r>
              <w:rPr>
                <w:rFonts w:hint="eastAsia"/>
                <w:color w:val="000000" w:themeColor="text1"/>
              </w:rPr>
              <w:t>符合性分析</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07"/>
              <w:gridCol w:w="3016"/>
              <w:gridCol w:w="491"/>
            </w:tblGrid>
            <w:tr w:rsidR="003C4F46" w14:paraId="026C3F26" w14:textId="77777777">
              <w:tc>
                <w:tcPr>
                  <w:tcW w:w="2500" w:type="pct"/>
                  <w:vAlign w:val="center"/>
                </w:tcPr>
                <w:p w14:paraId="1CEBB3E8"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要求</w:t>
                  </w:r>
                </w:p>
              </w:tc>
              <w:tc>
                <w:tcPr>
                  <w:tcW w:w="2150" w:type="pct"/>
                  <w:vAlign w:val="center"/>
                </w:tcPr>
                <w:p w14:paraId="196198D6"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本项目情况</w:t>
                  </w:r>
                </w:p>
              </w:tc>
              <w:tc>
                <w:tcPr>
                  <w:tcW w:w="350" w:type="pct"/>
                  <w:vAlign w:val="center"/>
                </w:tcPr>
                <w:p w14:paraId="5030FD24"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符合性</w:t>
                  </w:r>
                </w:p>
              </w:tc>
            </w:tr>
            <w:tr w:rsidR="003C4F46" w14:paraId="7ED19D7D" w14:textId="77777777">
              <w:tc>
                <w:tcPr>
                  <w:tcW w:w="5000" w:type="pct"/>
                  <w:gridSpan w:val="3"/>
                  <w:vAlign w:val="center"/>
                </w:tcPr>
                <w:p w14:paraId="0DBF4BF5"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大气污染防治</w:t>
                  </w:r>
                </w:p>
              </w:tc>
            </w:tr>
            <w:tr w:rsidR="003C4F46" w14:paraId="37D42638" w14:textId="77777777">
              <w:tc>
                <w:tcPr>
                  <w:tcW w:w="2500" w:type="pct"/>
                  <w:vAlign w:val="center"/>
                </w:tcPr>
                <w:p w14:paraId="4A93D10D"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第二百四十三条贮存煤炭、煤矸石、煤渣、煤灰、水泥、石灰、石膏、砂土、铁矿石等易产生扬尘的物料应当密闭；不能密闭的，应当设置不低于堆放物高度的严密围挡，并采取有效覆盖措施防治扬尘污染。</w:t>
                  </w:r>
                </w:p>
              </w:tc>
              <w:tc>
                <w:tcPr>
                  <w:tcW w:w="2150" w:type="pct"/>
                  <w:vAlign w:val="center"/>
                </w:tcPr>
                <w:p w14:paraId="23C7B751"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本项目为危险废物贮存库，不涉及煤炭、煤矸石等易产生扬尘的物料贮存</w:t>
                  </w:r>
                </w:p>
              </w:tc>
              <w:tc>
                <w:tcPr>
                  <w:tcW w:w="350" w:type="pct"/>
                  <w:vAlign w:val="center"/>
                </w:tcPr>
                <w:p w14:paraId="3FD05EDD"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2C7AA2AD" w14:textId="77777777">
              <w:tc>
                <w:tcPr>
                  <w:tcW w:w="2500" w:type="pct"/>
                  <w:vAlign w:val="center"/>
                </w:tcPr>
                <w:p w14:paraId="60CAF554"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第四百一十二条</w:t>
                  </w:r>
                  <w:r>
                    <w:rPr>
                      <w:rFonts w:cs="Times New Roman" w:hint="eastAsia"/>
                      <w:sz w:val="21"/>
                      <w:szCs w:val="24"/>
                    </w:rPr>
                    <w:t xml:space="preserve"> </w:t>
                  </w:r>
                  <w:r>
                    <w:rPr>
                      <w:rFonts w:cs="Times New Roman" w:hint="eastAsia"/>
                      <w:sz w:val="21"/>
                      <w:szCs w:val="24"/>
                    </w:rPr>
                    <w:t>生产、贮存、运输、使用、回收、处置、排放有毒有害物质的单位和个人，应当采取有效措施，防止有毒有害物质渗漏、流失、扬散，避免土壤受到污染。</w:t>
                  </w:r>
                </w:p>
              </w:tc>
              <w:tc>
                <w:tcPr>
                  <w:tcW w:w="2150" w:type="pct"/>
                  <w:vAlign w:val="center"/>
                </w:tcPr>
                <w:p w14:paraId="65328030"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本项目危险废物采用密封容器盛装，贮存库地面按《危险废物贮存污染控制标准》（</w:t>
                  </w:r>
                  <w:r>
                    <w:rPr>
                      <w:rFonts w:cs="Times New Roman" w:hint="eastAsia"/>
                      <w:sz w:val="21"/>
                      <w:szCs w:val="24"/>
                    </w:rPr>
                    <w:t>GB18597</w:t>
                  </w:r>
                  <w:r>
                    <w:rPr>
                      <w:rFonts w:cs="Times New Roman"/>
                      <w:sz w:val="21"/>
                      <w:szCs w:val="24"/>
                    </w:rPr>
                    <w:t>-2023</w:t>
                  </w:r>
                  <w:r>
                    <w:rPr>
                      <w:rFonts w:cs="Times New Roman" w:hint="eastAsia"/>
                      <w:sz w:val="21"/>
                      <w:szCs w:val="24"/>
                    </w:rPr>
                    <w:t>）进行防渗处理，可有效防止有毒有害物质渗漏、流失、扬散</w:t>
                  </w:r>
                </w:p>
              </w:tc>
              <w:tc>
                <w:tcPr>
                  <w:tcW w:w="350" w:type="pct"/>
                  <w:vAlign w:val="center"/>
                </w:tcPr>
                <w:p w14:paraId="5D6CA81F"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0B650A0E" w14:textId="77777777">
              <w:tc>
                <w:tcPr>
                  <w:tcW w:w="5000" w:type="pct"/>
                  <w:gridSpan w:val="3"/>
                  <w:vAlign w:val="center"/>
                </w:tcPr>
                <w:p w14:paraId="77BF9286"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工业固体废物污染防治</w:t>
                  </w:r>
                </w:p>
              </w:tc>
            </w:tr>
            <w:tr w:rsidR="003C4F46" w14:paraId="6B31E2D3" w14:textId="77777777">
              <w:tc>
                <w:tcPr>
                  <w:tcW w:w="2500" w:type="pct"/>
                  <w:vAlign w:val="center"/>
                </w:tcPr>
                <w:p w14:paraId="3E3F79CD"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第四百八十九条</w:t>
                  </w:r>
                  <w:r>
                    <w:rPr>
                      <w:rFonts w:cs="Times New Roman" w:hint="eastAsia"/>
                      <w:sz w:val="21"/>
                      <w:szCs w:val="24"/>
                    </w:rPr>
                    <w:t xml:space="preserve"> </w:t>
                  </w:r>
                  <w:r>
                    <w:rPr>
                      <w:rFonts w:cs="Times New Roman" w:hint="eastAsia"/>
                      <w:sz w:val="21"/>
                      <w:szCs w:val="24"/>
                    </w:rPr>
                    <w:t>产生工业固体废物的单位应当建立健全工业固体废物产生、收集、贮存、运输、利用、处置全过程的污染防治责任制度，建立工业固体废物管理台账，如实记录产生工业固体废物的种类、数量、流向、贮存、利用、处置等信息，实现工业固体废物可追溯、可查询，并采取防治工业固体废物污染的措施。</w:t>
                  </w:r>
                </w:p>
              </w:tc>
              <w:tc>
                <w:tcPr>
                  <w:tcW w:w="2150" w:type="pct"/>
                  <w:vAlign w:val="center"/>
                </w:tcPr>
                <w:p w14:paraId="24308896"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本项目建成后将建立健全危险废物全过程污染防治责任制度，建立危险废物管理台账，如实记录危险废物的种类、数量、流向、贮存等信息，实现可追溯、可查询</w:t>
                  </w:r>
                </w:p>
              </w:tc>
              <w:tc>
                <w:tcPr>
                  <w:tcW w:w="350" w:type="pct"/>
                  <w:vAlign w:val="center"/>
                </w:tcPr>
                <w:p w14:paraId="74F4B788"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5053EBDA" w14:textId="77777777">
              <w:tc>
                <w:tcPr>
                  <w:tcW w:w="2500" w:type="pct"/>
                  <w:vAlign w:val="center"/>
                </w:tcPr>
                <w:p w14:paraId="73D7B3C2"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第四百九十一条</w:t>
                  </w:r>
                  <w:r>
                    <w:rPr>
                      <w:rFonts w:cs="Times New Roman" w:hint="eastAsia"/>
                      <w:sz w:val="21"/>
                      <w:szCs w:val="24"/>
                    </w:rPr>
                    <w:t xml:space="preserve"> </w:t>
                  </w:r>
                  <w:r>
                    <w:rPr>
                      <w:rFonts w:cs="Times New Roman" w:hint="eastAsia"/>
                      <w:sz w:val="21"/>
                      <w:szCs w:val="24"/>
                    </w:rPr>
                    <w:t>实行排污许可管理的产生工业固体废物的单位的排污许可证中应当记载工业固体废物的贮存、利用、处置要求等信息。</w:t>
                  </w:r>
                </w:p>
              </w:tc>
              <w:tc>
                <w:tcPr>
                  <w:tcW w:w="2150" w:type="pct"/>
                  <w:vAlign w:val="center"/>
                </w:tcPr>
                <w:p w14:paraId="3518041A"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厂区现有工程已取得排污许可证（编号：</w:t>
                  </w:r>
                  <w:r>
                    <w:rPr>
                      <w:rFonts w:cs="Times New Roman" w:hint="eastAsia"/>
                      <w:sz w:val="21"/>
                      <w:szCs w:val="24"/>
                    </w:rPr>
                    <w:t>91652822673430240L001V</w:t>
                  </w:r>
                  <w:r>
                    <w:rPr>
                      <w:rFonts w:cs="Times New Roman" w:hint="eastAsia"/>
                      <w:sz w:val="21"/>
                      <w:szCs w:val="24"/>
                    </w:rPr>
                    <w:t>），管理类别为重点管理。本项目建成后，将按规定完成排污许可证的变更申报，在排污许可证中载明本项目危险废物贮存相关要求</w:t>
                  </w:r>
                </w:p>
              </w:tc>
              <w:tc>
                <w:tcPr>
                  <w:tcW w:w="350" w:type="pct"/>
                  <w:vAlign w:val="center"/>
                </w:tcPr>
                <w:p w14:paraId="75621F33"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4717A111" w14:textId="77777777">
              <w:trPr>
                <w:trHeight w:val="1741"/>
              </w:trPr>
              <w:tc>
                <w:tcPr>
                  <w:tcW w:w="2500" w:type="pct"/>
                  <w:vAlign w:val="center"/>
                </w:tcPr>
                <w:p w14:paraId="3E8BDBA5"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第四百九十四条</w:t>
                  </w:r>
                  <w:r>
                    <w:rPr>
                      <w:rFonts w:cs="Times New Roman" w:hint="eastAsia"/>
                      <w:sz w:val="21"/>
                      <w:szCs w:val="24"/>
                    </w:rPr>
                    <w:t xml:space="preserve"> </w:t>
                  </w:r>
                  <w:r>
                    <w:rPr>
                      <w:rFonts w:cs="Times New Roman" w:hint="eastAsia"/>
                      <w:sz w:val="21"/>
                      <w:szCs w:val="24"/>
                    </w:rPr>
                    <w:t>产生工业固体废物的单位应当根据经济、技术条件对工业固体废物加以利用；对暂时不利用或者不能利用的，应当按照国务院生态环境等有关部门的规定建设贮存设施、场所，安全分类存放，或者采取无害化处置措施。贮存工业固体废物应当采取符合国家生态环境保护</w:t>
                  </w:r>
                  <w:r>
                    <w:rPr>
                      <w:rFonts w:cs="Times New Roman" w:hint="eastAsia"/>
                      <w:sz w:val="21"/>
                      <w:szCs w:val="24"/>
                    </w:rPr>
                    <w:lastRenderedPageBreak/>
                    <w:t>标准的防护措施。</w:t>
                  </w:r>
                </w:p>
              </w:tc>
              <w:tc>
                <w:tcPr>
                  <w:tcW w:w="2150" w:type="pct"/>
                  <w:vAlign w:val="center"/>
                </w:tcPr>
                <w:p w14:paraId="16760D6E"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lastRenderedPageBreak/>
                    <w:t>本项目为危险废物贮存库，危险废物采用密封容器盛装，分类分区存放于符合《危险废物贮存污染控制标准》（</w:t>
                  </w:r>
                  <w:r>
                    <w:rPr>
                      <w:rFonts w:cs="Times New Roman" w:hint="eastAsia"/>
                      <w:sz w:val="21"/>
                      <w:szCs w:val="24"/>
                    </w:rPr>
                    <w:t>GB18597</w:t>
                  </w:r>
                  <w:r>
                    <w:rPr>
                      <w:rFonts w:cs="Times New Roman"/>
                      <w:sz w:val="21"/>
                      <w:szCs w:val="24"/>
                    </w:rPr>
                    <w:t>-2023</w:t>
                  </w:r>
                  <w:r>
                    <w:rPr>
                      <w:rFonts w:cs="Times New Roman" w:hint="eastAsia"/>
                      <w:sz w:val="21"/>
                      <w:szCs w:val="24"/>
                    </w:rPr>
                    <w:t>）的贮存库内，采取防风、防雨、防晒、防渗漏措施</w:t>
                  </w:r>
                </w:p>
              </w:tc>
              <w:tc>
                <w:tcPr>
                  <w:tcW w:w="350" w:type="pct"/>
                  <w:vAlign w:val="center"/>
                </w:tcPr>
                <w:p w14:paraId="49EDE930"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1AB567D1" w14:textId="77777777">
              <w:tc>
                <w:tcPr>
                  <w:tcW w:w="5000" w:type="pct"/>
                  <w:gridSpan w:val="3"/>
                  <w:vAlign w:val="center"/>
                </w:tcPr>
                <w:p w14:paraId="708ADFB7"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危险废物污染防治</w:t>
                  </w:r>
                </w:p>
              </w:tc>
            </w:tr>
            <w:tr w:rsidR="003C4F46" w14:paraId="7264303A" w14:textId="77777777">
              <w:tc>
                <w:tcPr>
                  <w:tcW w:w="2500" w:type="pct"/>
                  <w:vAlign w:val="center"/>
                </w:tcPr>
                <w:p w14:paraId="3C5C8BFA"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第五百三十一条</w:t>
                  </w:r>
                  <w:r>
                    <w:rPr>
                      <w:rFonts w:cs="Times New Roman" w:hint="eastAsia"/>
                      <w:sz w:val="21"/>
                      <w:szCs w:val="24"/>
                    </w:rPr>
                    <w:t xml:space="preserve"> </w:t>
                  </w:r>
                  <w:r>
                    <w:rPr>
                      <w:rFonts w:cs="Times New Roman" w:hint="eastAsia"/>
                      <w:sz w:val="21"/>
                      <w:szCs w:val="24"/>
                    </w:rPr>
                    <w:t>对危险废物的容器和包装物以及收集、贮存、运输、利用、处置危险废物的设施、场所，应当按照规定设置危险废物识别标志。</w:t>
                  </w:r>
                </w:p>
              </w:tc>
              <w:tc>
                <w:tcPr>
                  <w:tcW w:w="2150" w:type="pct"/>
                  <w:vAlign w:val="center"/>
                </w:tcPr>
                <w:p w14:paraId="4572C17F" w14:textId="36908506"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本项目危险废物贮存库及废油储罐将按照《危险废物识别标志设置技术规范》规定设置危险废物识别标志</w:t>
                  </w:r>
                </w:p>
              </w:tc>
              <w:tc>
                <w:tcPr>
                  <w:tcW w:w="350" w:type="pct"/>
                  <w:vAlign w:val="center"/>
                </w:tcPr>
                <w:p w14:paraId="5E761082"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5B842C72" w14:textId="77777777">
              <w:tc>
                <w:tcPr>
                  <w:tcW w:w="2500" w:type="pct"/>
                  <w:vAlign w:val="center"/>
                </w:tcPr>
                <w:p w14:paraId="089B1B95"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第五百三十二条</w:t>
                  </w:r>
                  <w:r>
                    <w:rPr>
                      <w:rFonts w:cs="Times New Roman" w:hint="eastAsia"/>
                      <w:sz w:val="21"/>
                      <w:szCs w:val="24"/>
                    </w:rPr>
                    <w:t xml:space="preserve"> </w:t>
                  </w:r>
                  <w:r>
                    <w:rPr>
                      <w:rFonts w:cs="Times New Roman" w:hint="eastAsia"/>
                      <w:sz w:val="21"/>
                      <w:szCs w:val="24"/>
                    </w:rPr>
                    <w:t>产生危险废物的单位，应当按照国家规定制定危险废物管理计划；建立危险废物管理台账，如实记录有关信息，并通过国家危险废物信息管理系统向所在地生态环境主管部门申报危险废物的种类、产生量、流向、贮存、利用、处置等有关资料。</w:t>
                  </w:r>
                </w:p>
              </w:tc>
              <w:tc>
                <w:tcPr>
                  <w:tcW w:w="2150" w:type="pct"/>
                  <w:vAlign w:val="center"/>
                </w:tcPr>
                <w:p w14:paraId="417DD601"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1"/>
                    </w:rPr>
                    <w:t>本项目建成后将按规定制定危险废物管理计划并备案，建立危险废物管理台账，通过国家危险废物信息管理系统如实申报危险废物的种类、数量、流向、贮存等信息</w:t>
                  </w:r>
                </w:p>
              </w:tc>
              <w:tc>
                <w:tcPr>
                  <w:tcW w:w="350" w:type="pct"/>
                  <w:vAlign w:val="center"/>
                </w:tcPr>
                <w:p w14:paraId="1387CB05"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795ECC04" w14:textId="77777777">
              <w:tc>
                <w:tcPr>
                  <w:tcW w:w="2500" w:type="pct"/>
                  <w:vAlign w:val="center"/>
                </w:tcPr>
                <w:p w14:paraId="78AA0301"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第五百三十三条</w:t>
                  </w:r>
                  <w:r>
                    <w:rPr>
                      <w:rFonts w:cs="Times New Roman" w:hint="eastAsia"/>
                      <w:sz w:val="21"/>
                      <w:szCs w:val="24"/>
                    </w:rPr>
                    <w:t xml:space="preserve"> </w:t>
                  </w:r>
                  <w:r>
                    <w:rPr>
                      <w:rFonts w:cs="Times New Roman" w:hint="eastAsia"/>
                      <w:sz w:val="21"/>
                      <w:szCs w:val="24"/>
                    </w:rPr>
                    <w:t>产生危险废物的单位，应当按照国家规定和生态环境保护标准的要求贮存、利用、处置危险废物。任何单位和个人不得擅自倾倒、堆放、丢弃、抛撒、遗撒或者焚烧危险废物</w:t>
                  </w:r>
                </w:p>
              </w:tc>
              <w:tc>
                <w:tcPr>
                  <w:tcW w:w="2150" w:type="pct"/>
                  <w:vAlign w:val="center"/>
                </w:tcPr>
                <w:p w14:paraId="2D42254A"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本项目危险废物全部采用密封容器盛装，分类分区贮存于符合《危险废物贮存污染控制标准》（</w:t>
                  </w:r>
                  <w:r>
                    <w:rPr>
                      <w:rFonts w:cs="Times New Roman" w:hint="eastAsia"/>
                      <w:sz w:val="21"/>
                      <w:szCs w:val="21"/>
                    </w:rPr>
                    <w:t>GB18597</w:t>
                  </w:r>
                  <w:r>
                    <w:rPr>
                      <w:rFonts w:cs="Times New Roman"/>
                      <w:sz w:val="21"/>
                      <w:szCs w:val="21"/>
                    </w:rPr>
                    <w:t>-2023</w:t>
                  </w:r>
                  <w:r>
                    <w:rPr>
                      <w:rFonts w:cs="Times New Roman" w:hint="eastAsia"/>
                      <w:sz w:val="21"/>
                      <w:szCs w:val="21"/>
                    </w:rPr>
                    <w:t>）的贮存库内，不涉及擅自倾倒、堆放、丢弃、抛撒、遗撒或焚烧</w:t>
                  </w:r>
                </w:p>
              </w:tc>
              <w:tc>
                <w:tcPr>
                  <w:tcW w:w="350" w:type="pct"/>
                  <w:vAlign w:val="center"/>
                </w:tcPr>
                <w:p w14:paraId="5D9D5F53"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620F5628" w14:textId="77777777">
              <w:tc>
                <w:tcPr>
                  <w:tcW w:w="2500" w:type="pct"/>
                  <w:vAlign w:val="center"/>
                </w:tcPr>
                <w:p w14:paraId="44C59FA0"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第五百三十六条</w:t>
                  </w:r>
                  <w:r>
                    <w:rPr>
                      <w:rFonts w:cs="Times New Roman" w:hint="eastAsia"/>
                      <w:sz w:val="21"/>
                      <w:szCs w:val="24"/>
                    </w:rPr>
                    <w:t xml:space="preserve"> </w:t>
                  </w:r>
                  <w:r>
                    <w:rPr>
                      <w:rFonts w:cs="Times New Roman" w:hint="eastAsia"/>
                      <w:sz w:val="21"/>
                      <w:szCs w:val="24"/>
                    </w:rPr>
                    <w:t>转移危险废物的，应当按照国家规定填写、运行危险废物电子或者纸质转移联单</w:t>
                  </w:r>
                </w:p>
              </w:tc>
              <w:tc>
                <w:tcPr>
                  <w:tcW w:w="2150" w:type="pct"/>
                  <w:vAlign w:val="center"/>
                </w:tcPr>
                <w:p w14:paraId="6C89A5CC"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本项目危险废物转移时，将按规定填写、运行危险废物转移联单</w:t>
                  </w:r>
                </w:p>
              </w:tc>
              <w:tc>
                <w:tcPr>
                  <w:tcW w:w="350" w:type="pct"/>
                  <w:vAlign w:val="center"/>
                </w:tcPr>
                <w:p w14:paraId="77AA79CB"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3B2F6248" w14:textId="77777777">
              <w:tc>
                <w:tcPr>
                  <w:tcW w:w="5000" w:type="pct"/>
                  <w:gridSpan w:val="3"/>
                  <w:vAlign w:val="center"/>
                </w:tcPr>
                <w:p w14:paraId="01692EA7"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噪声污染防治</w:t>
                  </w:r>
                </w:p>
              </w:tc>
            </w:tr>
            <w:tr w:rsidR="003C4F46" w14:paraId="352765EA" w14:textId="77777777">
              <w:tc>
                <w:tcPr>
                  <w:tcW w:w="2500" w:type="pct"/>
                  <w:vAlign w:val="center"/>
                </w:tcPr>
                <w:p w14:paraId="23DA450B"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第五百六十六条</w:t>
                  </w:r>
                  <w:r>
                    <w:rPr>
                      <w:rFonts w:cs="Times New Roman" w:hint="eastAsia"/>
                      <w:sz w:val="21"/>
                      <w:szCs w:val="24"/>
                    </w:rPr>
                    <w:t xml:space="preserve"> </w:t>
                  </w:r>
                  <w:r>
                    <w:rPr>
                      <w:rFonts w:cs="Times New Roman" w:hint="eastAsia"/>
                      <w:sz w:val="21"/>
                      <w:szCs w:val="24"/>
                    </w:rPr>
                    <w:t>在噪声敏感建筑物集中区域，禁止新建排放噪声的工业企业；改建、扩建工业企业的，应当采取有效措施防止工业噪声污染</w:t>
                  </w:r>
                </w:p>
              </w:tc>
              <w:tc>
                <w:tcPr>
                  <w:tcW w:w="2150" w:type="pct"/>
                  <w:vAlign w:val="center"/>
                </w:tcPr>
                <w:p w14:paraId="0797709F" w14:textId="236ADB51"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本项目位于</w:t>
                  </w:r>
                  <w:r w:rsidR="008C10CB" w:rsidRPr="008C10CB">
                    <w:rPr>
                      <w:rFonts w:cs="Times New Roman" w:hint="eastAsia"/>
                      <w:sz w:val="21"/>
                      <w:szCs w:val="24"/>
                    </w:rPr>
                    <w:t>轮台工业园区拉依苏石油化工区</w:t>
                  </w:r>
                  <w:r w:rsidR="008C10CB">
                    <w:rPr>
                      <w:rFonts w:cs="Times New Roman" w:hint="eastAsia"/>
                      <w:sz w:val="21"/>
                      <w:szCs w:val="24"/>
                    </w:rPr>
                    <w:t>内</w:t>
                  </w:r>
                  <w:r>
                    <w:rPr>
                      <w:rFonts w:cs="Times New Roman" w:hint="eastAsia"/>
                      <w:sz w:val="21"/>
                      <w:szCs w:val="24"/>
                    </w:rPr>
                    <w:t>，厂址周边无居民区等噪声敏感建筑物集中区域</w:t>
                  </w:r>
                </w:p>
              </w:tc>
              <w:tc>
                <w:tcPr>
                  <w:tcW w:w="350" w:type="pct"/>
                  <w:vAlign w:val="center"/>
                </w:tcPr>
                <w:p w14:paraId="57C82B06"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r w:rsidR="003C4F46" w14:paraId="19A14ABB" w14:textId="77777777">
              <w:tc>
                <w:tcPr>
                  <w:tcW w:w="2500" w:type="pct"/>
                  <w:vAlign w:val="center"/>
                </w:tcPr>
                <w:p w14:paraId="437D8897" w14:textId="77777777"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排放工业噪声的企业事业单位和其他生产经营者，应当采取有效措施，减少振动、降低噪声</w:t>
                  </w:r>
                </w:p>
              </w:tc>
              <w:tc>
                <w:tcPr>
                  <w:tcW w:w="2150" w:type="pct"/>
                  <w:vAlign w:val="center"/>
                </w:tcPr>
                <w:p w14:paraId="41EDE6BE" w14:textId="1D73D308" w:rsidR="003C4F46" w:rsidRDefault="004B6A81">
                  <w:pPr>
                    <w:adjustRightInd w:val="0"/>
                    <w:snapToGrid w:val="0"/>
                    <w:spacing w:line="240" w:lineRule="auto"/>
                    <w:ind w:firstLineChars="0" w:firstLine="0"/>
                    <w:textAlignment w:val="auto"/>
                    <w:rPr>
                      <w:rFonts w:cs="Times New Roman"/>
                      <w:sz w:val="21"/>
                      <w:szCs w:val="24"/>
                    </w:rPr>
                  </w:pPr>
                  <w:r>
                    <w:rPr>
                      <w:rFonts w:cs="Times New Roman" w:hint="eastAsia"/>
                      <w:sz w:val="21"/>
                      <w:szCs w:val="24"/>
                    </w:rPr>
                    <w:t>本项目运营期主要噪声源为风机等设备，选用低噪声设备，采取基础减振、贮存库隔声等措施，厂界噪声满足《工业企业厂界环境噪声排放标准》（</w:t>
                  </w:r>
                  <w:r>
                    <w:rPr>
                      <w:rFonts w:cs="Times New Roman" w:hint="eastAsia"/>
                      <w:sz w:val="21"/>
                      <w:szCs w:val="24"/>
                    </w:rPr>
                    <w:t>GB12348</w:t>
                  </w:r>
                  <w:r w:rsidR="007258DB">
                    <w:rPr>
                      <w:rFonts w:cs="Times New Roman"/>
                      <w:sz w:val="21"/>
                      <w:szCs w:val="24"/>
                    </w:rPr>
                    <w:t>-2008</w:t>
                  </w:r>
                  <w:r>
                    <w:rPr>
                      <w:rFonts w:cs="Times New Roman" w:hint="eastAsia"/>
                      <w:sz w:val="21"/>
                      <w:szCs w:val="24"/>
                    </w:rPr>
                    <w:t>）要求</w:t>
                  </w:r>
                </w:p>
              </w:tc>
              <w:tc>
                <w:tcPr>
                  <w:tcW w:w="350" w:type="pct"/>
                  <w:vAlign w:val="center"/>
                </w:tcPr>
                <w:p w14:paraId="5EB9D15A" w14:textId="77777777" w:rsidR="003C4F46" w:rsidRDefault="004B6A81">
                  <w:pPr>
                    <w:adjustRightInd w:val="0"/>
                    <w:snapToGrid w:val="0"/>
                    <w:spacing w:line="240" w:lineRule="auto"/>
                    <w:ind w:firstLineChars="0" w:firstLine="0"/>
                    <w:jc w:val="center"/>
                    <w:textAlignment w:val="auto"/>
                    <w:rPr>
                      <w:rFonts w:cs="Times New Roman"/>
                      <w:sz w:val="21"/>
                      <w:szCs w:val="24"/>
                    </w:rPr>
                  </w:pPr>
                  <w:r>
                    <w:rPr>
                      <w:rFonts w:cs="Times New Roman" w:hint="eastAsia"/>
                      <w:sz w:val="21"/>
                      <w:szCs w:val="24"/>
                    </w:rPr>
                    <w:t>符合</w:t>
                  </w:r>
                </w:p>
              </w:tc>
            </w:tr>
          </w:tbl>
          <w:bookmarkEnd w:id="10"/>
          <w:p w14:paraId="5BBCA406" w14:textId="77777777" w:rsidR="003C4F46" w:rsidRDefault="004B6A81">
            <w:pPr>
              <w:spacing w:line="240" w:lineRule="auto"/>
              <w:ind w:firstLineChars="0" w:firstLine="0"/>
              <w:rPr>
                <w:rFonts w:cs="Times New Roman"/>
                <w:b/>
                <w:bCs/>
                <w:szCs w:val="21"/>
              </w:rPr>
            </w:pPr>
            <w:r>
              <w:rPr>
                <w:rFonts w:hint="eastAsia"/>
                <w:b/>
                <w:color w:val="000000" w:themeColor="text1"/>
                <w:szCs w:val="21"/>
              </w:rPr>
              <w:t>1</w:t>
            </w:r>
            <w:r>
              <w:rPr>
                <w:b/>
                <w:color w:val="000000" w:themeColor="text1"/>
                <w:szCs w:val="21"/>
              </w:rPr>
              <w:t>5.</w:t>
            </w:r>
            <w:r>
              <w:rPr>
                <w:rFonts w:hint="eastAsia"/>
                <w:b/>
                <w:color w:val="000000" w:themeColor="text1"/>
                <w:szCs w:val="21"/>
              </w:rPr>
              <w:t>与</w:t>
            </w:r>
            <w:r>
              <w:rPr>
                <w:rFonts w:cs="Times New Roman" w:hint="eastAsia"/>
                <w:b/>
                <w:bCs/>
                <w:szCs w:val="21"/>
              </w:rPr>
              <w:t>《危险废物经营许可证管理办法》的符合性分析</w:t>
            </w:r>
          </w:p>
          <w:p w14:paraId="6EED6DF1" w14:textId="68B1F8EE" w:rsidR="003C4F46" w:rsidRDefault="004B6A81">
            <w:pPr>
              <w:pStyle w:val="aff6"/>
              <w:spacing w:before="163"/>
              <w:rPr>
                <w:rFonts w:cs="Times New Roman"/>
                <w:color w:val="000000" w:themeColor="text1"/>
                <w:szCs w:val="24"/>
              </w:rPr>
            </w:pPr>
            <w:r>
              <w:rPr>
                <w:rFonts w:hint="eastAsia"/>
                <w:color w:val="000000" w:themeColor="text1"/>
              </w:rPr>
              <w:t>表</w:t>
            </w:r>
            <w:r>
              <w:rPr>
                <w:rFonts w:hint="eastAsia"/>
                <w:color w:val="000000" w:themeColor="text1"/>
              </w:rPr>
              <w:t>1</w:t>
            </w:r>
            <w:r>
              <w:rPr>
                <w:color w:val="000000" w:themeColor="text1"/>
              </w:rPr>
              <w:t>-1</w:t>
            </w:r>
            <w:r w:rsidR="00EF1475">
              <w:rPr>
                <w:color w:val="000000" w:themeColor="text1"/>
              </w:rPr>
              <w:t>4</w:t>
            </w:r>
            <w:r>
              <w:rPr>
                <w:color w:val="000000" w:themeColor="text1"/>
              </w:rPr>
              <w:t xml:space="preserve">  </w:t>
            </w:r>
            <w:r>
              <w:rPr>
                <w:rFonts w:hint="eastAsia"/>
                <w:color w:val="000000" w:themeColor="text1"/>
                <w:szCs w:val="21"/>
              </w:rPr>
              <w:t>与</w:t>
            </w:r>
            <w:r>
              <w:rPr>
                <w:rFonts w:cs="Times New Roman" w:hint="eastAsia"/>
                <w:bCs/>
                <w:szCs w:val="21"/>
              </w:rPr>
              <w:t>《危险废物经营许可证管理办法》的符合性分析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3211"/>
              <w:gridCol w:w="2976"/>
              <w:gridCol w:w="823"/>
            </w:tblGrid>
            <w:tr w:rsidR="003C4F46" w14:paraId="1D66FF9B" w14:textId="77777777">
              <w:trPr>
                <w:trHeight w:val="23"/>
                <w:jc w:val="center"/>
              </w:trPr>
              <w:tc>
                <w:tcPr>
                  <w:tcW w:w="2290" w:type="pct"/>
                  <w:vAlign w:val="center"/>
                </w:tcPr>
                <w:p w14:paraId="259FA8BE"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具体要求</w:t>
                  </w:r>
                </w:p>
              </w:tc>
              <w:tc>
                <w:tcPr>
                  <w:tcW w:w="2123" w:type="pct"/>
                  <w:vAlign w:val="center"/>
                </w:tcPr>
                <w:p w14:paraId="791953F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项目情况</w:t>
                  </w:r>
                </w:p>
              </w:tc>
              <w:tc>
                <w:tcPr>
                  <w:tcW w:w="587" w:type="pct"/>
                  <w:vAlign w:val="center"/>
                </w:tcPr>
                <w:p w14:paraId="5BB72DDB"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符合性</w:t>
                  </w:r>
                </w:p>
              </w:tc>
            </w:tr>
            <w:tr w:rsidR="003C4F46" w14:paraId="06B93580" w14:textId="77777777">
              <w:trPr>
                <w:trHeight w:val="23"/>
                <w:jc w:val="center"/>
              </w:trPr>
              <w:tc>
                <w:tcPr>
                  <w:tcW w:w="2290" w:type="pct"/>
                  <w:vAlign w:val="center"/>
                </w:tcPr>
                <w:p w14:paraId="13689702" w14:textId="77777777" w:rsidR="003C4F46" w:rsidRDefault="004B6A81">
                  <w:pPr>
                    <w:spacing w:line="240" w:lineRule="auto"/>
                    <w:ind w:firstLineChars="0" w:firstLine="0"/>
                    <w:textAlignment w:val="auto"/>
                    <w:rPr>
                      <w:rFonts w:cs="Times New Roman"/>
                      <w:sz w:val="21"/>
                      <w:szCs w:val="21"/>
                    </w:rPr>
                  </w:pPr>
                  <w:r>
                    <w:rPr>
                      <w:rFonts w:cs="Times New Roman"/>
                      <w:color w:val="0F1115"/>
                      <w:sz w:val="21"/>
                      <w:szCs w:val="21"/>
                      <w:shd w:val="clear" w:color="auto" w:fill="FFFFFF"/>
                    </w:rPr>
                    <w:t>第十二条第二款</w:t>
                  </w:r>
                  <w:r>
                    <w:rPr>
                      <w:rFonts w:cs="Times New Roman"/>
                      <w:color w:val="0F1115"/>
                      <w:sz w:val="21"/>
                      <w:szCs w:val="21"/>
                      <w:shd w:val="clear" w:color="auto" w:fill="FFFFFF"/>
                    </w:rPr>
                    <w:t xml:space="preserve"> </w:t>
                  </w:r>
                  <w:r>
                    <w:rPr>
                      <w:rFonts w:cs="Times New Roman"/>
                      <w:color w:val="0F1115"/>
                      <w:sz w:val="21"/>
                      <w:szCs w:val="21"/>
                      <w:shd w:val="clear" w:color="auto" w:fill="FFFFFF"/>
                    </w:rPr>
                    <w:t>增加危险废物类别的，应当按照原申请程序重新申请领取危险废物经营许可证</w:t>
                  </w:r>
                </w:p>
              </w:tc>
              <w:tc>
                <w:tcPr>
                  <w:tcW w:w="2123" w:type="pct"/>
                  <w:vMerge w:val="restart"/>
                  <w:vAlign w:val="center"/>
                </w:tcPr>
                <w:p w14:paraId="2E75D5F5" w14:textId="41DEAC12" w:rsidR="003C4F46" w:rsidRPr="001B10CE" w:rsidRDefault="001B10CE">
                  <w:pPr>
                    <w:spacing w:line="240" w:lineRule="auto"/>
                    <w:ind w:firstLineChars="0" w:firstLine="0"/>
                    <w:textAlignment w:val="auto"/>
                    <w:rPr>
                      <w:rFonts w:cs="Times New Roman"/>
                      <w:color w:val="0F1115"/>
                      <w:sz w:val="21"/>
                      <w:szCs w:val="21"/>
                      <w:shd w:val="clear" w:color="auto" w:fill="FFFFFF"/>
                    </w:rPr>
                  </w:pPr>
                  <w:r w:rsidRPr="001B10CE">
                    <w:rPr>
                      <w:rFonts w:cs="Times New Roman" w:hint="eastAsia"/>
                      <w:color w:val="0F1115"/>
                      <w:sz w:val="21"/>
                      <w:szCs w:val="21"/>
                      <w:shd w:val="clear" w:color="auto" w:fill="FFFFFF"/>
                    </w:rPr>
                    <w:t>本次重新报批对危险废物收贮类别进行调整：</w:t>
                  </w:r>
                  <w:r w:rsidR="00C667C8" w:rsidRPr="00C667C8">
                    <w:rPr>
                      <w:rFonts w:cs="Times New Roman" w:hint="eastAsia"/>
                      <w:color w:val="0F1115"/>
                      <w:sz w:val="21"/>
                      <w:szCs w:val="21"/>
                      <w:shd w:val="clear" w:color="auto" w:fill="FFFFFF"/>
                    </w:rPr>
                    <w:t>原项目涉及</w:t>
                  </w:r>
                  <w:r w:rsidR="00C667C8" w:rsidRPr="00C667C8">
                    <w:rPr>
                      <w:rFonts w:cs="Times New Roman" w:hint="eastAsia"/>
                      <w:color w:val="0F1115"/>
                      <w:sz w:val="21"/>
                      <w:szCs w:val="21"/>
                      <w:shd w:val="clear" w:color="auto" w:fill="FFFFFF"/>
                    </w:rPr>
                    <w:t>13</w:t>
                  </w:r>
                  <w:r w:rsidR="00C667C8" w:rsidRPr="00C667C8">
                    <w:rPr>
                      <w:rFonts w:cs="Times New Roman" w:hint="eastAsia"/>
                      <w:color w:val="0F1115"/>
                      <w:sz w:val="21"/>
                      <w:szCs w:val="21"/>
                      <w:shd w:val="clear" w:color="auto" w:fill="FFFFFF"/>
                    </w:rPr>
                    <w:t>类</w:t>
                  </w:r>
                  <w:r w:rsidR="00C667C8" w:rsidRPr="00C667C8">
                    <w:rPr>
                      <w:rFonts w:cs="Times New Roman" w:hint="eastAsia"/>
                      <w:color w:val="0F1115"/>
                      <w:sz w:val="21"/>
                      <w:szCs w:val="21"/>
                      <w:shd w:val="clear" w:color="auto" w:fill="FFFFFF"/>
                    </w:rPr>
                    <w:t>37</w:t>
                  </w:r>
                  <w:r w:rsidR="00C667C8" w:rsidRPr="00C667C8">
                    <w:rPr>
                      <w:rFonts w:cs="Times New Roman" w:hint="eastAsia"/>
                      <w:color w:val="0F1115"/>
                      <w:sz w:val="21"/>
                      <w:szCs w:val="21"/>
                      <w:shd w:val="clear" w:color="auto" w:fill="FFFFFF"/>
                    </w:rPr>
                    <w:t>项废物代码，本次重新报批后调整为</w:t>
                  </w:r>
                  <w:r w:rsidR="00C667C8" w:rsidRPr="00C667C8">
                    <w:rPr>
                      <w:rFonts w:cs="Times New Roman" w:hint="eastAsia"/>
                      <w:color w:val="0F1115"/>
                      <w:sz w:val="21"/>
                      <w:szCs w:val="21"/>
                      <w:shd w:val="clear" w:color="auto" w:fill="FFFFFF"/>
                    </w:rPr>
                    <w:t>12</w:t>
                  </w:r>
                  <w:r w:rsidR="00C667C8" w:rsidRPr="00C667C8">
                    <w:rPr>
                      <w:rFonts w:cs="Times New Roman" w:hint="eastAsia"/>
                      <w:color w:val="0F1115"/>
                      <w:sz w:val="21"/>
                      <w:szCs w:val="21"/>
                      <w:shd w:val="clear" w:color="auto" w:fill="FFFFFF"/>
                    </w:rPr>
                    <w:t>类</w:t>
                  </w:r>
                  <w:r w:rsidR="00C667C8" w:rsidRPr="00C667C8">
                    <w:rPr>
                      <w:rFonts w:cs="Times New Roman" w:hint="eastAsia"/>
                      <w:color w:val="0F1115"/>
                      <w:sz w:val="21"/>
                      <w:szCs w:val="21"/>
                      <w:shd w:val="clear" w:color="auto" w:fill="FFFFFF"/>
                    </w:rPr>
                    <w:t>4</w:t>
                  </w:r>
                  <w:r w:rsidR="00E42974">
                    <w:rPr>
                      <w:rFonts w:cs="Times New Roman"/>
                      <w:color w:val="0F1115"/>
                      <w:sz w:val="21"/>
                      <w:szCs w:val="21"/>
                      <w:shd w:val="clear" w:color="auto" w:fill="FFFFFF"/>
                    </w:rPr>
                    <w:t>2</w:t>
                  </w:r>
                  <w:r w:rsidR="00C667C8" w:rsidRPr="00C667C8">
                    <w:rPr>
                      <w:rFonts w:cs="Times New Roman" w:hint="eastAsia"/>
                      <w:color w:val="0F1115"/>
                      <w:sz w:val="21"/>
                      <w:szCs w:val="21"/>
                      <w:shd w:val="clear" w:color="auto" w:fill="FFFFFF"/>
                    </w:rPr>
                    <w:t>项。其中新增</w:t>
                  </w:r>
                  <w:r w:rsidR="00C667C8" w:rsidRPr="00C667C8">
                    <w:rPr>
                      <w:rFonts w:cs="Times New Roman" w:hint="eastAsia"/>
                      <w:color w:val="0F1115"/>
                      <w:sz w:val="21"/>
                      <w:szCs w:val="21"/>
                      <w:shd w:val="clear" w:color="auto" w:fill="FFFFFF"/>
                    </w:rPr>
                    <w:t>HW09</w:t>
                  </w:r>
                  <w:r w:rsidR="00C667C8" w:rsidRPr="00C667C8">
                    <w:rPr>
                      <w:rFonts w:cs="Times New Roman" w:hint="eastAsia"/>
                      <w:color w:val="0F1115"/>
                      <w:sz w:val="21"/>
                      <w:szCs w:val="21"/>
                      <w:shd w:val="clear" w:color="auto" w:fill="FFFFFF"/>
                    </w:rPr>
                    <w:t>、</w:t>
                  </w:r>
                  <w:r w:rsidR="00C667C8" w:rsidRPr="00C667C8">
                    <w:rPr>
                      <w:rFonts w:cs="Times New Roman" w:hint="eastAsia"/>
                      <w:color w:val="0F1115"/>
                      <w:sz w:val="21"/>
                      <w:szCs w:val="21"/>
                      <w:shd w:val="clear" w:color="auto" w:fill="FFFFFF"/>
                    </w:rPr>
                    <w:t>HW35</w:t>
                  </w:r>
                  <w:r w:rsidR="00C667C8" w:rsidRPr="00C667C8">
                    <w:rPr>
                      <w:rFonts w:cs="Times New Roman" w:hint="eastAsia"/>
                      <w:color w:val="0F1115"/>
                      <w:sz w:val="21"/>
                      <w:szCs w:val="21"/>
                      <w:shd w:val="clear" w:color="auto" w:fill="FFFFFF"/>
                    </w:rPr>
                    <w:t>两类，剔除</w:t>
                  </w:r>
                  <w:r w:rsidR="00C667C8" w:rsidRPr="00C667C8">
                    <w:rPr>
                      <w:rFonts w:cs="Times New Roman" w:hint="eastAsia"/>
                      <w:color w:val="0F1115"/>
                      <w:sz w:val="21"/>
                      <w:szCs w:val="21"/>
                      <w:shd w:val="clear" w:color="auto" w:fill="FFFFFF"/>
                    </w:rPr>
                    <w:lastRenderedPageBreak/>
                    <w:t>HW03</w:t>
                  </w:r>
                  <w:r w:rsidR="00C667C8" w:rsidRPr="00C667C8">
                    <w:rPr>
                      <w:rFonts w:cs="Times New Roman" w:hint="eastAsia"/>
                      <w:color w:val="0F1115"/>
                      <w:sz w:val="21"/>
                      <w:szCs w:val="21"/>
                      <w:shd w:val="clear" w:color="auto" w:fill="FFFFFF"/>
                    </w:rPr>
                    <w:t>、</w:t>
                  </w:r>
                  <w:r w:rsidR="00C667C8" w:rsidRPr="00C667C8">
                    <w:rPr>
                      <w:rFonts w:cs="Times New Roman" w:hint="eastAsia"/>
                      <w:color w:val="0F1115"/>
                      <w:sz w:val="21"/>
                      <w:szCs w:val="21"/>
                      <w:shd w:val="clear" w:color="auto" w:fill="FFFFFF"/>
                    </w:rPr>
                    <w:t>HW04</w:t>
                  </w:r>
                  <w:r w:rsidR="00C667C8" w:rsidRPr="00C667C8">
                    <w:rPr>
                      <w:rFonts w:cs="Times New Roman" w:hint="eastAsia"/>
                      <w:color w:val="0F1115"/>
                      <w:sz w:val="21"/>
                      <w:szCs w:val="21"/>
                      <w:shd w:val="clear" w:color="auto" w:fill="FFFFFF"/>
                    </w:rPr>
                    <w:t>、</w:t>
                  </w:r>
                  <w:r w:rsidR="00C667C8" w:rsidRPr="00C667C8">
                    <w:rPr>
                      <w:rFonts w:cs="Times New Roman" w:hint="eastAsia"/>
                      <w:color w:val="0F1115"/>
                      <w:sz w:val="21"/>
                      <w:szCs w:val="21"/>
                      <w:shd w:val="clear" w:color="auto" w:fill="FFFFFF"/>
                    </w:rPr>
                    <w:t>HW05</w:t>
                  </w:r>
                  <w:r w:rsidR="00C667C8" w:rsidRPr="00C667C8">
                    <w:rPr>
                      <w:rFonts w:cs="Times New Roman" w:hint="eastAsia"/>
                      <w:color w:val="0F1115"/>
                      <w:sz w:val="21"/>
                      <w:szCs w:val="21"/>
                      <w:shd w:val="clear" w:color="auto" w:fill="FFFFFF"/>
                    </w:rPr>
                    <w:t>三类，其余类别及废物代码进行相应优化调整</w:t>
                  </w:r>
                  <w:r w:rsidR="004B6A81">
                    <w:rPr>
                      <w:rFonts w:cs="Times New Roman"/>
                      <w:color w:val="0F1115"/>
                      <w:sz w:val="21"/>
                      <w:szCs w:val="21"/>
                      <w:shd w:val="clear" w:color="auto" w:fill="FFFFFF"/>
                    </w:rPr>
                    <w:t>；</w:t>
                  </w:r>
                  <w:r w:rsidR="004B6A81">
                    <w:rPr>
                      <w:rFonts w:cs="Times New Roman"/>
                      <w:sz w:val="21"/>
                      <w:szCs w:val="21"/>
                    </w:rPr>
                    <w:t>新建</w:t>
                  </w:r>
                  <w:r w:rsidR="004B6A81">
                    <w:rPr>
                      <w:rFonts w:cs="Times New Roman"/>
                      <w:sz w:val="21"/>
                      <w:szCs w:val="21"/>
                    </w:rPr>
                    <w:t>4</w:t>
                  </w:r>
                  <w:r w:rsidR="004B6A81">
                    <w:rPr>
                      <w:rFonts w:cs="Times New Roman"/>
                      <w:sz w:val="21"/>
                      <w:szCs w:val="21"/>
                    </w:rPr>
                    <w:t>座</w:t>
                  </w:r>
                  <w:r w:rsidR="004B6A81">
                    <w:rPr>
                      <w:rFonts w:cs="Times New Roman"/>
                      <w:sz w:val="21"/>
                      <w:szCs w:val="21"/>
                    </w:rPr>
                    <w:t>600m³</w:t>
                  </w:r>
                  <w:r w:rsidR="004B6A81">
                    <w:rPr>
                      <w:rFonts w:cs="Times New Roman"/>
                      <w:sz w:val="21"/>
                      <w:szCs w:val="21"/>
                    </w:rPr>
                    <w:t>储罐，属于新建危险废物贮存设施。</w:t>
                  </w:r>
                  <w:r w:rsidR="004B6A81">
                    <w:rPr>
                      <w:rFonts w:ascii="Segoe UI" w:hAnsi="Segoe UI" w:cs="Segoe UI"/>
                      <w:color w:val="0F1115"/>
                      <w:sz w:val="21"/>
                      <w:szCs w:val="21"/>
                      <w:shd w:val="clear" w:color="auto" w:fill="FFFFFF"/>
                    </w:rPr>
                    <w:t>须重新申领</w:t>
                  </w:r>
                  <w:r w:rsidR="004B6A81">
                    <w:rPr>
                      <w:rFonts w:cs="Times New Roman" w:hint="eastAsia"/>
                      <w:sz w:val="21"/>
                      <w:szCs w:val="21"/>
                    </w:rPr>
                    <w:t>危险废物经营许可证。</w:t>
                  </w:r>
                </w:p>
                <w:p w14:paraId="799DF49D" w14:textId="77777777" w:rsidR="003C4F46" w:rsidRDefault="004B6A81">
                  <w:pPr>
                    <w:spacing w:line="240" w:lineRule="auto"/>
                    <w:ind w:firstLineChars="0" w:firstLine="0"/>
                    <w:rPr>
                      <w:rFonts w:cs="Times New Roman"/>
                      <w:sz w:val="21"/>
                      <w:szCs w:val="21"/>
                    </w:rPr>
                  </w:pPr>
                  <w:r>
                    <w:rPr>
                      <w:rFonts w:cs="Times New Roman"/>
                      <w:sz w:val="21"/>
                      <w:szCs w:val="21"/>
                    </w:rPr>
                    <w:t>本次重大变动重新报批取得环评批复后、项目建成投入运营前，须按规定重新申领（或变更）许可证；未取得许可证前不得投入运行。前提条件包括：取得重新报批环评批复、贮存设施及配套环保设施建成并具备验收条件、环境管理制度与专业技术人员配备到位、应急预案完成修订备案等</w:t>
                  </w:r>
                </w:p>
              </w:tc>
              <w:tc>
                <w:tcPr>
                  <w:tcW w:w="587" w:type="pct"/>
                  <w:vAlign w:val="center"/>
                </w:tcPr>
                <w:p w14:paraId="3BBE185B"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lastRenderedPageBreak/>
                    <w:t>符合</w:t>
                  </w:r>
                </w:p>
              </w:tc>
            </w:tr>
            <w:tr w:rsidR="003C4F46" w14:paraId="7697C36C" w14:textId="77777777">
              <w:trPr>
                <w:trHeight w:val="23"/>
                <w:jc w:val="center"/>
              </w:trPr>
              <w:tc>
                <w:tcPr>
                  <w:tcW w:w="2290" w:type="pct"/>
                  <w:vAlign w:val="center"/>
                </w:tcPr>
                <w:p w14:paraId="0A462C32" w14:textId="77777777" w:rsidR="003C4F46" w:rsidRDefault="004B6A81">
                  <w:pPr>
                    <w:spacing w:line="240" w:lineRule="auto"/>
                    <w:ind w:firstLineChars="0" w:firstLine="0"/>
                    <w:textAlignment w:val="auto"/>
                    <w:rPr>
                      <w:rFonts w:cs="Times New Roman"/>
                      <w:color w:val="0F1115"/>
                      <w:sz w:val="21"/>
                      <w:szCs w:val="21"/>
                      <w:shd w:val="clear" w:color="auto" w:fill="FFFFFF"/>
                    </w:rPr>
                  </w:pPr>
                  <w:r>
                    <w:rPr>
                      <w:rFonts w:cs="Times New Roman"/>
                      <w:color w:val="0F1115"/>
                      <w:sz w:val="21"/>
                      <w:szCs w:val="21"/>
                      <w:shd w:val="clear" w:color="auto" w:fill="FFFFFF"/>
                    </w:rPr>
                    <w:t>第十二条第三款</w:t>
                  </w:r>
                  <w:r>
                    <w:rPr>
                      <w:rFonts w:cs="Times New Roman"/>
                      <w:color w:val="0F1115"/>
                      <w:sz w:val="21"/>
                      <w:szCs w:val="21"/>
                      <w:shd w:val="clear" w:color="auto" w:fill="FFFFFF"/>
                    </w:rPr>
                    <w:t xml:space="preserve"> </w:t>
                  </w:r>
                  <w:r>
                    <w:rPr>
                      <w:rFonts w:cs="Times New Roman"/>
                      <w:color w:val="0F1115"/>
                      <w:sz w:val="21"/>
                      <w:szCs w:val="21"/>
                      <w:shd w:val="clear" w:color="auto" w:fill="FFFFFF"/>
                    </w:rPr>
                    <w:t>新建或者改建、扩建原有危险废物经营设施的，应</w:t>
                  </w:r>
                  <w:r>
                    <w:rPr>
                      <w:rFonts w:cs="Times New Roman"/>
                      <w:color w:val="0F1115"/>
                      <w:sz w:val="21"/>
                      <w:szCs w:val="21"/>
                      <w:shd w:val="clear" w:color="auto" w:fill="FFFFFF"/>
                    </w:rPr>
                    <w:lastRenderedPageBreak/>
                    <w:t>当按照原申请程序重新申请领取危险废物经营许可证</w:t>
                  </w:r>
                </w:p>
              </w:tc>
              <w:tc>
                <w:tcPr>
                  <w:tcW w:w="2123" w:type="pct"/>
                  <w:vMerge/>
                  <w:vAlign w:val="center"/>
                </w:tcPr>
                <w:p w14:paraId="411A3296" w14:textId="77777777" w:rsidR="003C4F46" w:rsidRDefault="003C4F46">
                  <w:pPr>
                    <w:spacing w:line="240" w:lineRule="auto"/>
                    <w:ind w:firstLine="420"/>
                    <w:rPr>
                      <w:rFonts w:cs="Times New Roman"/>
                      <w:sz w:val="21"/>
                      <w:szCs w:val="21"/>
                    </w:rPr>
                  </w:pPr>
                </w:p>
              </w:tc>
              <w:tc>
                <w:tcPr>
                  <w:tcW w:w="587" w:type="pct"/>
                  <w:vAlign w:val="center"/>
                </w:tcPr>
                <w:p w14:paraId="251375B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r w:rsidR="003C4F46" w14:paraId="4A911B63" w14:textId="77777777">
              <w:trPr>
                <w:trHeight w:val="23"/>
                <w:jc w:val="center"/>
              </w:trPr>
              <w:tc>
                <w:tcPr>
                  <w:tcW w:w="2290" w:type="pct"/>
                  <w:vAlign w:val="center"/>
                </w:tcPr>
                <w:p w14:paraId="3730ED30" w14:textId="77777777" w:rsidR="003C4F46" w:rsidRDefault="004B6A81">
                  <w:pPr>
                    <w:spacing w:line="240" w:lineRule="auto"/>
                    <w:ind w:firstLineChars="0" w:firstLine="0"/>
                    <w:textAlignment w:val="auto"/>
                    <w:rPr>
                      <w:rFonts w:cs="Times New Roman"/>
                      <w:sz w:val="21"/>
                      <w:szCs w:val="21"/>
                    </w:rPr>
                  </w:pPr>
                  <w:r>
                    <w:rPr>
                      <w:rFonts w:cs="Times New Roman"/>
                      <w:color w:val="0F1115"/>
                      <w:sz w:val="21"/>
                      <w:szCs w:val="21"/>
                      <w:shd w:val="clear" w:color="auto" w:fill="FFFFFF"/>
                    </w:rPr>
                    <w:t>第二条</w:t>
                  </w:r>
                  <w:r>
                    <w:rPr>
                      <w:rFonts w:cs="Times New Roman"/>
                      <w:color w:val="0F1115"/>
                      <w:sz w:val="21"/>
                      <w:szCs w:val="21"/>
                      <w:shd w:val="clear" w:color="auto" w:fill="FFFFFF"/>
                    </w:rPr>
                    <w:t xml:space="preserve"> </w:t>
                  </w:r>
                  <w:r>
                    <w:rPr>
                      <w:rFonts w:cs="Times New Roman"/>
                      <w:sz w:val="21"/>
                      <w:szCs w:val="21"/>
                    </w:rPr>
                    <w:t>在中华人民共和国境内从事危险废物收集、贮存、处置经营活动的单位，应当依照本办法的规定，领取危险废物经营许可证。</w:t>
                  </w:r>
                </w:p>
              </w:tc>
              <w:tc>
                <w:tcPr>
                  <w:tcW w:w="2123" w:type="pct"/>
                  <w:vMerge/>
                  <w:vAlign w:val="center"/>
                </w:tcPr>
                <w:p w14:paraId="6B081417" w14:textId="77777777" w:rsidR="003C4F46" w:rsidRDefault="003C4F46">
                  <w:pPr>
                    <w:spacing w:line="240" w:lineRule="auto"/>
                    <w:ind w:firstLineChars="0" w:firstLine="0"/>
                    <w:textAlignment w:val="auto"/>
                    <w:rPr>
                      <w:rFonts w:cs="Times New Roman"/>
                      <w:sz w:val="21"/>
                      <w:szCs w:val="21"/>
                    </w:rPr>
                  </w:pPr>
                </w:p>
              </w:tc>
              <w:tc>
                <w:tcPr>
                  <w:tcW w:w="587" w:type="pct"/>
                  <w:vAlign w:val="center"/>
                </w:tcPr>
                <w:p w14:paraId="2FF7A56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r w:rsidR="003C4F46" w14:paraId="5DBAD08E" w14:textId="77777777">
              <w:trPr>
                <w:trHeight w:val="23"/>
                <w:jc w:val="center"/>
              </w:trPr>
              <w:tc>
                <w:tcPr>
                  <w:tcW w:w="2290" w:type="pct"/>
                  <w:vAlign w:val="center"/>
                </w:tcPr>
                <w:p w14:paraId="3BD47CEE" w14:textId="77777777" w:rsidR="003C4F46" w:rsidRDefault="004B6A81">
                  <w:pPr>
                    <w:spacing w:line="240" w:lineRule="auto"/>
                    <w:ind w:firstLineChars="0" w:firstLine="0"/>
                    <w:textAlignment w:val="auto"/>
                    <w:rPr>
                      <w:rFonts w:cs="Times New Roman"/>
                      <w:sz w:val="21"/>
                      <w:szCs w:val="21"/>
                    </w:rPr>
                  </w:pPr>
                  <w:r>
                    <w:rPr>
                      <w:rFonts w:cs="Times New Roman"/>
                      <w:color w:val="0F1115"/>
                      <w:sz w:val="21"/>
                      <w:szCs w:val="21"/>
                      <w:shd w:val="clear" w:color="auto" w:fill="FFFFFF"/>
                    </w:rPr>
                    <w:t>第十五条</w:t>
                  </w:r>
                  <w:r>
                    <w:rPr>
                      <w:rFonts w:cs="Times New Roman"/>
                      <w:color w:val="0F1115"/>
                      <w:sz w:val="21"/>
                      <w:szCs w:val="21"/>
                      <w:shd w:val="clear" w:color="auto" w:fill="FFFFFF"/>
                    </w:rPr>
                    <w:t xml:space="preserve"> </w:t>
                  </w:r>
                  <w:r>
                    <w:rPr>
                      <w:rFonts w:cs="Times New Roman"/>
                      <w:color w:val="0F1115"/>
                      <w:sz w:val="21"/>
                      <w:szCs w:val="21"/>
                      <w:shd w:val="clear" w:color="auto" w:fill="FFFFFF"/>
                    </w:rPr>
                    <w:t>禁止无经营许可证或者不按照经营许可证规定从事危险废物收集、贮存、处置经营活动</w:t>
                  </w:r>
                </w:p>
              </w:tc>
              <w:tc>
                <w:tcPr>
                  <w:tcW w:w="2123" w:type="pct"/>
                  <w:vMerge/>
                  <w:vAlign w:val="center"/>
                </w:tcPr>
                <w:p w14:paraId="61C999BD" w14:textId="77777777" w:rsidR="003C4F46" w:rsidRDefault="003C4F46">
                  <w:pPr>
                    <w:spacing w:line="240" w:lineRule="auto"/>
                    <w:ind w:firstLineChars="0" w:firstLine="0"/>
                    <w:textAlignment w:val="auto"/>
                    <w:rPr>
                      <w:rFonts w:cs="Times New Roman"/>
                      <w:sz w:val="21"/>
                      <w:szCs w:val="21"/>
                    </w:rPr>
                  </w:pPr>
                </w:p>
              </w:tc>
              <w:tc>
                <w:tcPr>
                  <w:tcW w:w="587" w:type="pct"/>
                  <w:vAlign w:val="center"/>
                </w:tcPr>
                <w:p w14:paraId="0E1BDB5A"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bl>
          <w:p w14:paraId="62DFAEA7" w14:textId="77777777" w:rsidR="003C4F46" w:rsidRDefault="004B6A81">
            <w:pPr>
              <w:pStyle w:val="aff6"/>
              <w:spacing w:before="163"/>
              <w:jc w:val="both"/>
              <w:rPr>
                <w:rFonts w:cs="Times New Roman"/>
                <w:bCs/>
                <w:sz w:val="24"/>
                <w:szCs w:val="21"/>
              </w:rPr>
            </w:pPr>
            <w:r>
              <w:rPr>
                <w:rFonts w:cs="Times New Roman"/>
                <w:bCs/>
                <w:sz w:val="24"/>
                <w:szCs w:val="21"/>
              </w:rPr>
              <w:t>16.</w:t>
            </w:r>
            <w:r>
              <w:rPr>
                <w:rFonts w:cs="Times New Roman" w:hint="eastAsia"/>
                <w:bCs/>
                <w:sz w:val="24"/>
                <w:szCs w:val="21"/>
              </w:rPr>
              <w:t>与</w:t>
            </w:r>
            <w:r>
              <w:rPr>
                <w:rFonts w:cs="Times New Roman"/>
                <w:bCs/>
                <w:sz w:val="24"/>
                <w:szCs w:val="21"/>
              </w:rPr>
              <w:t>《固体废物污染防治</w:t>
            </w:r>
            <w:r>
              <w:rPr>
                <w:rFonts w:cs="Times New Roman"/>
                <w:bCs/>
                <w:sz w:val="24"/>
                <w:szCs w:val="21"/>
              </w:rPr>
              <w:t>“</w:t>
            </w:r>
            <w:r>
              <w:rPr>
                <w:rFonts w:cs="Times New Roman"/>
                <w:bCs/>
                <w:sz w:val="24"/>
                <w:szCs w:val="21"/>
              </w:rPr>
              <w:t>十五五</w:t>
            </w:r>
            <w:r>
              <w:rPr>
                <w:rFonts w:cs="Times New Roman"/>
                <w:bCs/>
                <w:sz w:val="24"/>
                <w:szCs w:val="21"/>
              </w:rPr>
              <w:t>”</w:t>
            </w:r>
            <w:r>
              <w:rPr>
                <w:rFonts w:cs="Times New Roman"/>
                <w:bCs/>
                <w:sz w:val="24"/>
                <w:szCs w:val="21"/>
              </w:rPr>
              <w:t>规划》</w:t>
            </w:r>
            <w:r>
              <w:rPr>
                <w:rFonts w:cs="Times New Roman" w:hint="eastAsia"/>
                <w:bCs/>
                <w:sz w:val="24"/>
                <w:szCs w:val="21"/>
              </w:rPr>
              <w:t>的</w:t>
            </w:r>
            <w:r>
              <w:rPr>
                <w:rFonts w:cs="Times New Roman"/>
                <w:bCs/>
                <w:sz w:val="24"/>
                <w:szCs w:val="21"/>
              </w:rPr>
              <w:t>符合性分析</w:t>
            </w:r>
          </w:p>
          <w:p w14:paraId="3A3C190E" w14:textId="507FD7FF" w:rsidR="003C4F46" w:rsidRDefault="004B6A81">
            <w:pPr>
              <w:pStyle w:val="aff6"/>
              <w:spacing w:before="163"/>
              <w:rPr>
                <w:rFonts w:cs="Times New Roman"/>
                <w:color w:val="000000" w:themeColor="text1"/>
                <w:szCs w:val="24"/>
              </w:rPr>
            </w:pPr>
            <w:r>
              <w:rPr>
                <w:rFonts w:hint="eastAsia"/>
                <w:color w:val="000000" w:themeColor="text1"/>
              </w:rPr>
              <w:t>表</w:t>
            </w:r>
            <w:r>
              <w:rPr>
                <w:rFonts w:hint="eastAsia"/>
                <w:color w:val="000000" w:themeColor="text1"/>
              </w:rPr>
              <w:t>1</w:t>
            </w:r>
            <w:r>
              <w:rPr>
                <w:color w:val="000000" w:themeColor="text1"/>
              </w:rPr>
              <w:t>-1</w:t>
            </w:r>
            <w:r w:rsidR="00EF1475">
              <w:rPr>
                <w:color w:val="000000" w:themeColor="text1"/>
              </w:rPr>
              <w:t>5</w:t>
            </w:r>
            <w:r>
              <w:rPr>
                <w:color w:val="000000" w:themeColor="text1"/>
              </w:rPr>
              <w:t xml:space="preserve">  </w:t>
            </w:r>
            <w:r>
              <w:rPr>
                <w:rFonts w:hint="eastAsia"/>
                <w:color w:val="000000" w:themeColor="text1"/>
                <w:szCs w:val="21"/>
              </w:rPr>
              <w:t>与</w:t>
            </w:r>
            <w:r>
              <w:rPr>
                <w:rFonts w:cs="Times New Roman" w:hint="eastAsia"/>
                <w:bCs/>
                <w:szCs w:val="21"/>
              </w:rPr>
              <w:t>《固体废物污染防治“十五五”规划》的符合性分析</w:t>
            </w:r>
          </w:p>
          <w:tbl>
            <w:tblPr>
              <w:tblW w:w="499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1" w:type="dxa"/>
                <w:right w:w="51" w:type="dxa"/>
              </w:tblCellMar>
              <w:tblLook w:val="04A0" w:firstRow="1" w:lastRow="0" w:firstColumn="1" w:lastColumn="0" w:noHBand="0" w:noVBand="1"/>
            </w:tblPr>
            <w:tblGrid>
              <w:gridCol w:w="3211"/>
              <w:gridCol w:w="2976"/>
              <w:gridCol w:w="823"/>
            </w:tblGrid>
            <w:tr w:rsidR="003C4F46" w14:paraId="7B0D9760" w14:textId="77777777">
              <w:trPr>
                <w:trHeight w:val="23"/>
                <w:jc w:val="center"/>
              </w:trPr>
              <w:tc>
                <w:tcPr>
                  <w:tcW w:w="2290" w:type="pct"/>
                  <w:vAlign w:val="center"/>
                </w:tcPr>
                <w:p w14:paraId="2E9A0681"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具体要求</w:t>
                  </w:r>
                </w:p>
              </w:tc>
              <w:tc>
                <w:tcPr>
                  <w:tcW w:w="2123" w:type="pct"/>
                  <w:vAlign w:val="center"/>
                </w:tcPr>
                <w:p w14:paraId="65F8433A"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项目情况</w:t>
                  </w:r>
                </w:p>
              </w:tc>
              <w:tc>
                <w:tcPr>
                  <w:tcW w:w="587" w:type="pct"/>
                  <w:vAlign w:val="center"/>
                </w:tcPr>
                <w:p w14:paraId="0037E30A"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符合性</w:t>
                  </w:r>
                </w:p>
              </w:tc>
            </w:tr>
            <w:tr w:rsidR="003C4F46" w14:paraId="432A8C51" w14:textId="77777777">
              <w:trPr>
                <w:trHeight w:val="23"/>
                <w:jc w:val="center"/>
              </w:trPr>
              <w:tc>
                <w:tcPr>
                  <w:tcW w:w="2290" w:type="pct"/>
                  <w:vAlign w:val="center"/>
                </w:tcPr>
                <w:p w14:paraId="5375262D" w14:textId="77777777" w:rsidR="003C4F46" w:rsidRDefault="004B6A81">
                  <w:pPr>
                    <w:spacing w:line="240" w:lineRule="auto"/>
                    <w:ind w:firstLineChars="0" w:firstLine="0"/>
                    <w:textAlignment w:val="auto"/>
                    <w:rPr>
                      <w:rFonts w:cs="Times New Roman"/>
                      <w:sz w:val="21"/>
                      <w:szCs w:val="21"/>
                    </w:rPr>
                  </w:pPr>
                  <w:r>
                    <w:rPr>
                      <w:rFonts w:cs="Times New Roman" w:hint="eastAsia"/>
                      <w:color w:val="0F1115"/>
                      <w:sz w:val="21"/>
                      <w:szCs w:val="21"/>
                      <w:shd w:val="clear" w:color="auto" w:fill="FFFFFF"/>
                    </w:rPr>
                    <w:t>推动企业开展数智监控设备升级改造，加快全国危险废物全过程环境管理能力建设，推进危险废物产生单位“五即”（即产生、即包装、即称重、即打码、即入库）规范化建设，强化危险废物“一码贯通”实时可追溯信息化监管，全面实现危险废物运输车辆轨迹实时追踪。完善支撑全过程信息化监管的危险废物管理制度，围绕危险废物信息化监管优化危险废物规范化评估模式</w:t>
                  </w:r>
                </w:p>
              </w:tc>
              <w:tc>
                <w:tcPr>
                  <w:tcW w:w="2123" w:type="pct"/>
                  <w:vAlign w:val="center"/>
                </w:tcPr>
                <w:p w14:paraId="50466E94" w14:textId="77777777" w:rsidR="003C4F46" w:rsidRDefault="004B6A81">
                  <w:pPr>
                    <w:spacing w:line="240" w:lineRule="auto"/>
                    <w:ind w:firstLineChars="0" w:firstLine="0"/>
                    <w:rPr>
                      <w:rFonts w:cs="Times New Roman"/>
                      <w:sz w:val="21"/>
                      <w:szCs w:val="21"/>
                    </w:rPr>
                  </w:pPr>
                  <w:r>
                    <w:rPr>
                      <w:rFonts w:cs="Times New Roman" w:hint="eastAsia"/>
                      <w:color w:val="0F1115"/>
                      <w:sz w:val="21"/>
                      <w:szCs w:val="21"/>
                      <w:shd w:val="clear" w:color="auto" w:fill="FFFFFF"/>
                    </w:rPr>
                    <w:t>本项目作为危险废物收集贮存单位，参照“五即”管理要求，对收集入库的危险废物实行逐批次称重、赋码，依托全国危险废物全过程环境管理信息系统，实现危险废物从收集、贮存到转移处置的全流程“一码贯通”信息化追溯管理。建设单位将按要求建立危险废物管理台账，如实记录危险废物的种类、数量、流向、贮存、处置等信息，确保台账数据与赋码信息一致</w:t>
                  </w:r>
                </w:p>
              </w:tc>
              <w:tc>
                <w:tcPr>
                  <w:tcW w:w="587" w:type="pct"/>
                  <w:vAlign w:val="center"/>
                </w:tcPr>
                <w:p w14:paraId="390D02A0"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r w:rsidR="003C4F46" w14:paraId="65BE143B" w14:textId="77777777">
              <w:trPr>
                <w:trHeight w:val="3683"/>
                <w:jc w:val="center"/>
              </w:trPr>
              <w:tc>
                <w:tcPr>
                  <w:tcW w:w="2290" w:type="pct"/>
                  <w:vAlign w:val="center"/>
                </w:tcPr>
                <w:p w14:paraId="5255D13F" w14:textId="77777777" w:rsidR="003C4F46" w:rsidRDefault="004B6A81">
                  <w:pPr>
                    <w:spacing w:line="240" w:lineRule="auto"/>
                    <w:ind w:firstLineChars="0" w:firstLine="0"/>
                    <w:textAlignment w:val="auto"/>
                    <w:rPr>
                      <w:rFonts w:cs="Times New Roman"/>
                      <w:color w:val="0F1115"/>
                      <w:sz w:val="21"/>
                      <w:szCs w:val="21"/>
                      <w:shd w:val="clear" w:color="auto" w:fill="FFFFFF"/>
                    </w:rPr>
                  </w:pPr>
                  <w:r>
                    <w:rPr>
                      <w:rFonts w:cs="Times New Roman" w:hint="eastAsia"/>
                      <w:color w:val="0F1115"/>
                      <w:sz w:val="21"/>
                      <w:szCs w:val="21"/>
                      <w:shd w:val="clear" w:color="auto" w:fill="FFFFFF"/>
                    </w:rPr>
                    <w:t>强化小微企业危险废物收集管理，优化服务对象和服务地域范围，推动收集单位提档升级。优化危险废物跨省转移管理，对符合要求的简化审批管理。加强危险废物利用处置设施统筹规划，建立环境影响评价与经营许可审批衔接机制，完善利用处置产能评估预警制度，综合利用标准、政策等手段化解能力结构性过剩问题。完善医疗废物收集处置体系，支持不具备集中处置条</w:t>
                  </w:r>
                  <w:r>
                    <w:rPr>
                      <w:rFonts w:cs="Times New Roman" w:hint="eastAsia"/>
                      <w:color w:val="0F1115"/>
                      <w:sz w:val="21"/>
                      <w:szCs w:val="21"/>
                      <w:shd w:val="clear" w:color="auto" w:fill="FFFFFF"/>
                    </w:rPr>
                    <w:lastRenderedPageBreak/>
                    <w:t>件的偏远地区探索就地处置方式</w:t>
                  </w:r>
                </w:p>
              </w:tc>
              <w:tc>
                <w:tcPr>
                  <w:tcW w:w="2123" w:type="pct"/>
                  <w:vAlign w:val="center"/>
                </w:tcPr>
                <w:p w14:paraId="41494537" w14:textId="77777777" w:rsidR="003C4F46" w:rsidRDefault="004B6A81">
                  <w:pPr>
                    <w:spacing w:line="240" w:lineRule="auto"/>
                    <w:ind w:firstLineChars="0" w:firstLine="0"/>
                    <w:rPr>
                      <w:rFonts w:cs="Times New Roman"/>
                      <w:sz w:val="21"/>
                      <w:szCs w:val="21"/>
                    </w:rPr>
                  </w:pPr>
                  <w:r>
                    <w:rPr>
                      <w:rFonts w:cs="Times New Roman" w:hint="eastAsia"/>
                      <w:sz w:val="21"/>
                      <w:szCs w:val="21"/>
                    </w:rPr>
                    <w:lastRenderedPageBreak/>
                    <w:t>本项目为小微企业危险废物集中收集贮存项目，面向巴州范围内的小微企业，以及机关事业单位、科研院所、学校、各类检测机构、机动车维修机构等单位及社会源，收集地域范围严格限定于巴州行政区域内。本项目收集的危险废物全部委托自治区内有资质的处置单位进行处置，不涉及跨省转移。本项目因重大变动依法重新报批环境影响评价</w:t>
                  </w:r>
                  <w:r>
                    <w:rPr>
                      <w:rFonts w:cs="Times New Roman" w:hint="eastAsia"/>
                      <w:sz w:val="21"/>
                      <w:szCs w:val="21"/>
                    </w:rPr>
                    <w:lastRenderedPageBreak/>
                    <w:t>文件，环评批复取得后、贮存设施建成并验收合格前，将按规定向原发证机关重新申请领取危险废物经营许可证，实现环评审批与经营许可的有效衔接</w:t>
                  </w:r>
                </w:p>
              </w:tc>
              <w:tc>
                <w:tcPr>
                  <w:tcW w:w="587" w:type="pct"/>
                  <w:vAlign w:val="center"/>
                </w:tcPr>
                <w:p w14:paraId="32F114F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lastRenderedPageBreak/>
                    <w:t>符合</w:t>
                  </w:r>
                </w:p>
              </w:tc>
            </w:tr>
            <w:tr w:rsidR="003C4F46" w14:paraId="3F79B536" w14:textId="77777777">
              <w:trPr>
                <w:trHeight w:val="1118"/>
                <w:jc w:val="center"/>
              </w:trPr>
              <w:tc>
                <w:tcPr>
                  <w:tcW w:w="2290" w:type="pct"/>
                  <w:vAlign w:val="center"/>
                </w:tcPr>
                <w:p w14:paraId="481B06BB" w14:textId="77777777" w:rsidR="003C4F46" w:rsidRDefault="004B6A81">
                  <w:pPr>
                    <w:spacing w:line="240" w:lineRule="auto"/>
                    <w:ind w:firstLineChars="0" w:firstLine="0"/>
                    <w:textAlignment w:val="auto"/>
                    <w:rPr>
                      <w:rFonts w:cs="Times New Roman"/>
                      <w:sz w:val="21"/>
                      <w:szCs w:val="21"/>
                    </w:rPr>
                  </w:pPr>
                  <w:r>
                    <w:rPr>
                      <w:rFonts w:cs="Times New Roman" w:hint="eastAsia"/>
                      <w:color w:val="0F1115"/>
                      <w:sz w:val="21"/>
                      <w:szCs w:val="21"/>
                      <w:shd w:val="clear" w:color="auto" w:fill="FFFFFF"/>
                    </w:rPr>
                    <w:t>严格限制通过利用、焚烧等处理方式可减量的危险废物直接填埋，最大限度减少填埋量。探索建立危险废物利用处置设施绩效分级管理体系，推进利用处置设施提标改造。加快推进能力建设，推动发挥国家和区域性危险废物环境风险防控技术中心、区域性特殊危险废物集中处置中心作用，强化环境监管与风险防控技术支撑。</w:t>
                  </w:r>
                </w:p>
              </w:tc>
              <w:tc>
                <w:tcPr>
                  <w:tcW w:w="2123" w:type="pct"/>
                  <w:vAlign w:val="center"/>
                </w:tcPr>
                <w:p w14:paraId="4FDE11F8"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本项目为危险废物收集贮存项目，不涉及填埋处置。收集贮存的危险废物达到一定数量后，委托具有危险废物处置资质的单位。本项目为收集贮存设施，不涉及利用处置环节，但建设单位将严格按照《危险废物贮存污染控制标准》（</w:t>
                  </w:r>
                  <w:r>
                    <w:rPr>
                      <w:rFonts w:cs="Times New Roman" w:hint="eastAsia"/>
                      <w:sz w:val="21"/>
                      <w:szCs w:val="21"/>
                    </w:rPr>
                    <w:t>GB18597-2023</w:t>
                  </w:r>
                  <w:r>
                    <w:rPr>
                      <w:rFonts w:cs="Times New Roman" w:hint="eastAsia"/>
                      <w:sz w:val="21"/>
                      <w:szCs w:val="21"/>
                    </w:rPr>
                    <w:t>）要求，持续提升贮存设施的规范化、标准化水平</w:t>
                  </w:r>
                </w:p>
              </w:tc>
              <w:tc>
                <w:tcPr>
                  <w:tcW w:w="587" w:type="pct"/>
                  <w:vAlign w:val="center"/>
                </w:tcPr>
                <w:p w14:paraId="15642F5D"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符合</w:t>
                  </w:r>
                </w:p>
              </w:tc>
            </w:tr>
          </w:tbl>
          <w:p w14:paraId="214D2933" w14:textId="77777777" w:rsidR="003C4F46" w:rsidRDefault="003C4F46">
            <w:pPr>
              <w:pStyle w:val="af6"/>
              <w:ind w:left="480" w:hanging="480"/>
            </w:pPr>
          </w:p>
        </w:tc>
      </w:tr>
    </w:tbl>
    <w:p w14:paraId="2A3B8276" w14:textId="77777777" w:rsidR="003C4F46" w:rsidRDefault="004B6A81">
      <w:pPr>
        <w:pStyle w:val="1"/>
        <w:rPr>
          <w:snapToGrid w:val="0"/>
          <w:color w:val="000000" w:themeColor="text1"/>
        </w:rPr>
      </w:pPr>
      <w:r>
        <w:rPr>
          <w:rFonts w:hint="eastAsia"/>
          <w:snapToGrid w:val="0"/>
          <w:color w:val="000000" w:themeColor="text1"/>
        </w:rPr>
        <w:lastRenderedPageBreak/>
        <w:t>二、建设项目工程分析</w:t>
      </w:r>
    </w:p>
    <w:tbl>
      <w:tblPr>
        <w:tblW w:w="9060" w:type="dxa"/>
        <w:tblInd w:w="1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7"/>
        <w:gridCol w:w="9336"/>
      </w:tblGrid>
      <w:tr w:rsidR="003C4F46" w14:paraId="387846D9" w14:textId="77777777">
        <w:trPr>
          <w:trHeight w:val="90"/>
        </w:trPr>
        <w:tc>
          <w:tcPr>
            <w:tcW w:w="457" w:type="dxa"/>
            <w:vAlign w:val="center"/>
          </w:tcPr>
          <w:p w14:paraId="4808A2DD" w14:textId="77777777" w:rsidR="003C4F46" w:rsidRDefault="004B6A81">
            <w:pPr>
              <w:widowControl/>
              <w:adjustRightInd w:val="0"/>
              <w:snapToGrid w:val="0"/>
              <w:spacing w:line="240" w:lineRule="auto"/>
              <w:ind w:firstLineChars="0" w:firstLine="0"/>
              <w:jc w:val="center"/>
              <w:rPr>
                <w:rFonts w:ascii="宋体" w:hAnsi="宋体" w:cs="宋体"/>
                <w:b/>
                <w:bCs/>
                <w:color w:val="000000" w:themeColor="text1"/>
                <w:kern w:val="0"/>
                <w:szCs w:val="24"/>
              </w:rPr>
            </w:pPr>
            <w:r>
              <w:rPr>
                <w:rFonts w:ascii="宋体" w:hAnsi="宋体" w:cs="宋体" w:hint="eastAsia"/>
                <w:b/>
                <w:bCs/>
                <w:color w:val="000000" w:themeColor="text1"/>
                <w:kern w:val="0"/>
                <w:szCs w:val="24"/>
              </w:rPr>
              <w:t>建设内容</w:t>
            </w:r>
          </w:p>
        </w:tc>
        <w:tc>
          <w:tcPr>
            <w:tcW w:w="8603" w:type="dxa"/>
          </w:tcPr>
          <w:p w14:paraId="0E5CC265" w14:textId="77777777" w:rsidR="003C4F46" w:rsidRDefault="004B6A81">
            <w:pPr>
              <w:pStyle w:val="2"/>
              <w:rPr>
                <w:color w:val="000000" w:themeColor="text1"/>
              </w:rPr>
            </w:pPr>
            <w:r>
              <w:rPr>
                <w:color w:val="000000" w:themeColor="text1"/>
              </w:rPr>
              <w:t>2.1</w:t>
            </w:r>
            <w:r>
              <w:rPr>
                <w:rFonts w:hint="eastAsia"/>
                <w:color w:val="000000" w:themeColor="text1"/>
              </w:rPr>
              <w:t>项目由来</w:t>
            </w:r>
          </w:p>
          <w:p w14:paraId="179A4275" w14:textId="77777777" w:rsidR="003C4F46" w:rsidRDefault="004B6A81">
            <w:pPr>
              <w:ind w:firstLine="480"/>
              <w:rPr>
                <w:rFonts w:cs="Times New Roman"/>
                <w:color w:val="000000" w:themeColor="text1"/>
                <w:szCs w:val="24"/>
              </w:rPr>
            </w:pPr>
            <w:bookmarkStart w:id="12" w:name="_Hlk238036246"/>
            <w:r>
              <w:rPr>
                <w:rFonts w:cs="Times New Roman"/>
                <w:color w:val="000000" w:themeColor="text1"/>
                <w:szCs w:val="24"/>
              </w:rPr>
              <w:t>新疆绿尔康环保科技有限公司于</w:t>
            </w:r>
            <w:r>
              <w:rPr>
                <w:rFonts w:cs="Times New Roman"/>
                <w:color w:val="000000" w:themeColor="text1"/>
                <w:szCs w:val="24"/>
              </w:rPr>
              <w:t>2023</w:t>
            </w:r>
            <w:r>
              <w:rPr>
                <w:rFonts w:cs="Times New Roman"/>
                <w:color w:val="000000" w:themeColor="text1"/>
                <w:szCs w:val="24"/>
              </w:rPr>
              <w:t>年</w:t>
            </w:r>
            <w:r>
              <w:rPr>
                <w:rFonts w:cs="Times New Roman"/>
                <w:color w:val="000000" w:themeColor="text1"/>
                <w:szCs w:val="24"/>
              </w:rPr>
              <w:t>7</w:t>
            </w:r>
            <w:r>
              <w:rPr>
                <w:rFonts w:cs="Times New Roman"/>
                <w:color w:val="000000" w:themeColor="text1"/>
                <w:szCs w:val="24"/>
              </w:rPr>
              <w:t>月编制了《小微企业危险废物集中收集贮存项目环境影响报告表》，并于</w:t>
            </w:r>
            <w:r>
              <w:rPr>
                <w:rFonts w:cs="Times New Roman"/>
                <w:color w:val="000000" w:themeColor="text1"/>
                <w:szCs w:val="24"/>
              </w:rPr>
              <w:t>2023</w:t>
            </w:r>
            <w:r>
              <w:rPr>
                <w:rFonts w:cs="Times New Roman"/>
                <w:color w:val="000000" w:themeColor="text1"/>
                <w:szCs w:val="24"/>
              </w:rPr>
              <w:t>年</w:t>
            </w:r>
            <w:r>
              <w:rPr>
                <w:rFonts w:cs="Times New Roman"/>
                <w:color w:val="000000" w:themeColor="text1"/>
                <w:szCs w:val="24"/>
              </w:rPr>
              <w:t>8</w:t>
            </w:r>
            <w:r>
              <w:rPr>
                <w:rFonts w:cs="Times New Roman"/>
                <w:color w:val="000000" w:themeColor="text1"/>
                <w:szCs w:val="24"/>
              </w:rPr>
              <w:t>月</w:t>
            </w:r>
            <w:r>
              <w:rPr>
                <w:rFonts w:cs="Times New Roman"/>
                <w:color w:val="000000" w:themeColor="text1"/>
                <w:szCs w:val="24"/>
              </w:rPr>
              <w:t>14</w:t>
            </w:r>
            <w:r>
              <w:rPr>
                <w:rFonts w:cs="Times New Roman"/>
                <w:color w:val="000000" w:themeColor="text1"/>
                <w:szCs w:val="24"/>
              </w:rPr>
              <w:t>日取得《关于新疆绿尔康环保科技有限公司小微企业危险废物集中收集贮存项目环境影响报告表的批复》（巴环评价函〔</w:t>
            </w:r>
            <w:r>
              <w:rPr>
                <w:rFonts w:cs="Times New Roman"/>
                <w:color w:val="000000" w:themeColor="text1"/>
                <w:szCs w:val="24"/>
              </w:rPr>
              <w:t>2023</w:t>
            </w:r>
            <w:r>
              <w:rPr>
                <w:rFonts w:cs="Times New Roman"/>
                <w:color w:val="000000" w:themeColor="text1"/>
                <w:szCs w:val="24"/>
              </w:rPr>
              <w:t>〕</w:t>
            </w:r>
            <w:r>
              <w:rPr>
                <w:rFonts w:cs="Times New Roman"/>
                <w:color w:val="000000" w:themeColor="text1"/>
                <w:szCs w:val="24"/>
              </w:rPr>
              <w:t>202</w:t>
            </w:r>
            <w:r>
              <w:rPr>
                <w:rFonts w:cs="Times New Roman"/>
                <w:color w:val="000000" w:themeColor="text1"/>
                <w:szCs w:val="24"/>
              </w:rPr>
              <w:t>号）。批复内容为：新建</w:t>
            </w:r>
            <w:r>
              <w:rPr>
                <w:rFonts w:cs="Times New Roman"/>
                <w:color w:val="000000" w:themeColor="text1"/>
                <w:szCs w:val="24"/>
              </w:rPr>
              <w:t>1#</w:t>
            </w:r>
            <w:r>
              <w:rPr>
                <w:rFonts w:cs="Times New Roman"/>
                <w:color w:val="000000" w:themeColor="text1"/>
                <w:szCs w:val="24"/>
              </w:rPr>
              <w:t>贮存库（建筑面积</w:t>
            </w:r>
            <w:r>
              <w:rPr>
                <w:rFonts w:cs="Times New Roman"/>
                <w:color w:val="000000" w:themeColor="text1"/>
                <w:szCs w:val="24"/>
              </w:rPr>
              <w:t>310m²</w:t>
            </w:r>
            <w:r>
              <w:rPr>
                <w:rFonts w:cs="Times New Roman"/>
                <w:color w:val="000000" w:themeColor="text1"/>
                <w:szCs w:val="24"/>
              </w:rPr>
              <w:t>），用于贮存</w:t>
            </w:r>
            <w:r>
              <w:rPr>
                <w:rFonts w:cs="Times New Roman"/>
                <w:color w:val="000000" w:themeColor="text1"/>
                <w:szCs w:val="24"/>
              </w:rPr>
              <w:t>HW03</w:t>
            </w:r>
            <w:r>
              <w:rPr>
                <w:rFonts w:cs="Times New Roman"/>
                <w:color w:val="000000" w:themeColor="text1"/>
                <w:szCs w:val="24"/>
              </w:rPr>
              <w:t>、</w:t>
            </w:r>
            <w:r>
              <w:rPr>
                <w:rFonts w:cs="Times New Roman"/>
                <w:color w:val="000000" w:themeColor="text1"/>
                <w:szCs w:val="24"/>
              </w:rPr>
              <w:t>HW04</w:t>
            </w:r>
            <w:r>
              <w:rPr>
                <w:rFonts w:cs="Times New Roman"/>
                <w:color w:val="000000" w:themeColor="text1"/>
                <w:szCs w:val="24"/>
              </w:rPr>
              <w:t>、</w:t>
            </w:r>
            <w:r>
              <w:rPr>
                <w:rFonts w:cs="Times New Roman"/>
                <w:color w:val="000000" w:themeColor="text1"/>
                <w:szCs w:val="24"/>
              </w:rPr>
              <w:t>HW08</w:t>
            </w:r>
            <w:r>
              <w:rPr>
                <w:rFonts w:cs="Times New Roman"/>
                <w:color w:val="000000" w:themeColor="text1"/>
                <w:szCs w:val="24"/>
              </w:rPr>
              <w:t>、</w:t>
            </w:r>
            <w:r>
              <w:rPr>
                <w:rFonts w:cs="Times New Roman"/>
                <w:color w:val="000000" w:themeColor="text1"/>
                <w:szCs w:val="24"/>
              </w:rPr>
              <w:t>HW49</w:t>
            </w:r>
            <w:r>
              <w:rPr>
                <w:rFonts w:cs="Times New Roman"/>
                <w:color w:val="000000" w:themeColor="text1"/>
                <w:szCs w:val="24"/>
              </w:rPr>
              <w:t>类危险废物；新建</w:t>
            </w:r>
            <w:r>
              <w:rPr>
                <w:rFonts w:cs="Times New Roman"/>
                <w:color w:val="000000" w:themeColor="text1"/>
                <w:szCs w:val="24"/>
              </w:rPr>
              <w:t>2#</w:t>
            </w:r>
            <w:r>
              <w:rPr>
                <w:rFonts w:cs="Times New Roman"/>
                <w:color w:val="000000" w:themeColor="text1"/>
                <w:szCs w:val="24"/>
              </w:rPr>
              <w:t>贮存库（建筑面积</w:t>
            </w:r>
            <w:r>
              <w:rPr>
                <w:rFonts w:cs="Times New Roman"/>
                <w:color w:val="000000" w:themeColor="text1"/>
                <w:szCs w:val="24"/>
              </w:rPr>
              <w:t>290m²</w:t>
            </w:r>
            <w:r>
              <w:rPr>
                <w:rFonts w:cs="Times New Roman"/>
                <w:color w:val="000000" w:themeColor="text1"/>
                <w:szCs w:val="24"/>
              </w:rPr>
              <w:t>），用于贮存</w:t>
            </w:r>
            <w:r>
              <w:rPr>
                <w:rFonts w:cs="Times New Roman"/>
                <w:color w:val="000000" w:themeColor="text1"/>
                <w:szCs w:val="24"/>
              </w:rPr>
              <w:t>HW05</w:t>
            </w:r>
            <w:r>
              <w:rPr>
                <w:rFonts w:cs="Times New Roman"/>
                <w:color w:val="000000" w:themeColor="text1"/>
                <w:szCs w:val="24"/>
              </w:rPr>
              <w:t>、</w:t>
            </w:r>
            <w:r>
              <w:rPr>
                <w:rFonts w:cs="Times New Roman"/>
                <w:color w:val="000000" w:themeColor="text1"/>
                <w:szCs w:val="24"/>
              </w:rPr>
              <w:t>HW06</w:t>
            </w:r>
            <w:r>
              <w:rPr>
                <w:rFonts w:cs="Times New Roman"/>
                <w:color w:val="000000" w:themeColor="text1"/>
                <w:szCs w:val="24"/>
              </w:rPr>
              <w:t>、</w:t>
            </w:r>
            <w:r>
              <w:rPr>
                <w:rFonts w:cs="Times New Roman"/>
                <w:color w:val="000000" w:themeColor="text1"/>
                <w:szCs w:val="24"/>
              </w:rPr>
              <w:t>HW12</w:t>
            </w:r>
            <w:r>
              <w:rPr>
                <w:rFonts w:cs="Times New Roman"/>
                <w:color w:val="000000" w:themeColor="text1"/>
                <w:szCs w:val="24"/>
              </w:rPr>
              <w:t>、</w:t>
            </w:r>
            <w:r>
              <w:rPr>
                <w:rFonts w:cs="Times New Roman"/>
                <w:color w:val="000000" w:themeColor="text1"/>
                <w:szCs w:val="24"/>
              </w:rPr>
              <w:t>HW13</w:t>
            </w:r>
            <w:r>
              <w:rPr>
                <w:rFonts w:cs="Times New Roman"/>
                <w:color w:val="000000" w:themeColor="text1"/>
                <w:szCs w:val="24"/>
              </w:rPr>
              <w:t>、</w:t>
            </w:r>
            <w:r>
              <w:rPr>
                <w:rFonts w:cs="Times New Roman"/>
                <w:color w:val="000000" w:themeColor="text1"/>
                <w:szCs w:val="24"/>
              </w:rPr>
              <w:t>HW16</w:t>
            </w:r>
            <w:r>
              <w:rPr>
                <w:rFonts w:cs="Times New Roman"/>
                <w:color w:val="000000" w:themeColor="text1"/>
                <w:szCs w:val="24"/>
              </w:rPr>
              <w:t>、</w:t>
            </w:r>
            <w:r>
              <w:rPr>
                <w:rFonts w:cs="Times New Roman"/>
                <w:color w:val="000000" w:themeColor="text1"/>
                <w:szCs w:val="24"/>
              </w:rPr>
              <w:t>HW29</w:t>
            </w:r>
            <w:r>
              <w:rPr>
                <w:rFonts w:cs="Times New Roman"/>
                <w:color w:val="000000" w:themeColor="text1"/>
                <w:szCs w:val="24"/>
              </w:rPr>
              <w:t>、</w:t>
            </w:r>
            <w:r>
              <w:rPr>
                <w:rFonts w:cs="Times New Roman"/>
                <w:color w:val="000000" w:themeColor="text1"/>
                <w:szCs w:val="24"/>
              </w:rPr>
              <w:t>HW31</w:t>
            </w:r>
            <w:r>
              <w:rPr>
                <w:rFonts w:cs="Times New Roman"/>
                <w:color w:val="000000" w:themeColor="text1"/>
                <w:szCs w:val="24"/>
              </w:rPr>
              <w:t>、</w:t>
            </w:r>
            <w:r>
              <w:rPr>
                <w:rFonts w:cs="Times New Roman"/>
                <w:color w:val="000000" w:themeColor="text1"/>
                <w:szCs w:val="24"/>
              </w:rPr>
              <w:t>HW36</w:t>
            </w:r>
            <w:r>
              <w:rPr>
                <w:rFonts w:cs="Times New Roman"/>
                <w:color w:val="000000" w:themeColor="text1"/>
                <w:szCs w:val="24"/>
              </w:rPr>
              <w:t>、</w:t>
            </w:r>
            <w:r>
              <w:rPr>
                <w:rFonts w:cs="Times New Roman"/>
                <w:color w:val="000000" w:themeColor="text1"/>
                <w:szCs w:val="24"/>
              </w:rPr>
              <w:t>HW50</w:t>
            </w:r>
            <w:r>
              <w:rPr>
                <w:rFonts w:cs="Times New Roman"/>
                <w:color w:val="000000" w:themeColor="text1"/>
                <w:szCs w:val="24"/>
              </w:rPr>
              <w:t>类危险废物。项目建成后年收贮危险废物共计</w:t>
            </w:r>
            <w:r>
              <w:rPr>
                <w:rFonts w:cs="Times New Roman"/>
                <w:color w:val="000000" w:themeColor="text1"/>
                <w:szCs w:val="24"/>
              </w:rPr>
              <w:t>5000</w:t>
            </w:r>
            <w:r>
              <w:rPr>
                <w:rFonts w:cs="Times New Roman"/>
                <w:color w:val="000000" w:themeColor="text1"/>
                <w:szCs w:val="24"/>
              </w:rPr>
              <w:t>吨，厂区最大贮存量</w:t>
            </w:r>
            <w:r>
              <w:rPr>
                <w:rFonts w:cs="Times New Roman"/>
                <w:color w:val="000000" w:themeColor="text1"/>
                <w:szCs w:val="24"/>
              </w:rPr>
              <w:t>237</w:t>
            </w:r>
            <w:r>
              <w:rPr>
                <w:rFonts w:cs="Times New Roman"/>
                <w:color w:val="000000" w:themeColor="text1"/>
                <w:szCs w:val="24"/>
              </w:rPr>
              <w:t>吨（其中</w:t>
            </w:r>
            <w:r>
              <w:rPr>
                <w:rFonts w:cs="Times New Roman"/>
                <w:color w:val="000000" w:themeColor="text1"/>
                <w:szCs w:val="24"/>
              </w:rPr>
              <w:t>HW08</w:t>
            </w:r>
            <w:r>
              <w:rPr>
                <w:rFonts w:cs="Times New Roman"/>
                <w:color w:val="000000" w:themeColor="text1"/>
                <w:szCs w:val="24"/>
              </w:rPr>
              <w:t>废矿物油最大贮存量</w:t>
            </w:r>
            <w:r>
              <w:rPr>
                <w:rFonts w:cs="Times New Roman"/>
                <w:color w:val="000000" w:themeColor="text1"/>
                <w:szCs w:val="24"/>
              </w:rPr>
              <w:t>150</w:t>
            </w:r>
            <w:r>
              <w:rPr>
                <w:rFonts w:cs="Times New Roman"/>
                <w:color w:val="000000" w:themeColor="text1"/>
                <w:szCs w:val="24"/>
              </w:rPr>
              <w:t>吨）。根据现场踏勘，</w:t>
            </w:r>
            <w:r>
              <w:rPr>
                <w:rFonts w:cs="Times New Roman"/>
                <w:color w:val="000000" w:themeColor="text1"/>
                <w:szCs w:val="24"/>
              </w:rPr>
              <w:t>1#</w:t>
            </w:r>
            <w:r>
              <w:rPr>
                <w:rFonts w:cs="Times New Roman"/>
                <w:color w:val="000000" w:themeColor="text1"/>
                <w:szCs w:val="24"/>
              </w:rPr>
              <w:t>贮存库及其配套环保设施已建设完成，目前尚未投入运行。</w:t>
            </w:r>
          </w:p>
          <w:p w14:paraId="13F44AF6" w14:textId="5A9D2370" w:rsidR="003C4F46" w:rsidRDefault="00675E68">
            <w:pPr>
              <w:ind w:firstLine="480"/>
              <w:rPr>
                <w:rFonts w:cs="Times New Roman"/>
                <w:color w:val="000000" w:themeColor="text1"/>
                <w:szCs w:val="24"/>
              </w:rPr>
            </w:pPr>
            <w:r w:rsidRPr="00675E68">
              <w:rPr>
                <w:rFonts w:cs="Times New Roman" w:hint="eastAsia"/>
                <w:color w:val="000000" w:themeColor="text1"/>
                <w:szCs w:val="24"/>
              </w:rPr>
              <w:t>因企业经营管理需要及生产计划调整，项目实际建设内容较原批复发生如下变动</w:t>
            </w:r>
            <w:r w:rsidR="004B6A81">
              <w:rPr>
                <w:rFonts w:cs="Times New Roman" w:hint="eastAsia"/>
                <w:color w:val="000000" w:themeColor="text1"/>
                <w:szCs w:val="24"/>
              </w:rPr>
              <w:t>：</w:t>
            </w:r>
          </w:p>
          <w:p w14:paraId="3F5D4A62" w14:textId="18690B6F" w:rsidR="00675E68" w:rsidRPr="008A3475" w:rsidRDefault="004B6A81" w:rsidP="00675E68">
            <w:pPr>
              <w:ind w:firstLine="480"/>
              <w:rPr>
                <w:rFonts w:cs="Times New Roman"/>
                <w:color w:val="000000" w:themeColor="text1"/>
                <w:szCs w:val="24"/>
              </w:rPr>
            </w:pPr>
            <w:r w:rsidRPr="008A3475">
              <w:rPr>
                <w:rFonts w:cs="Times New Roman"/>
                <w:color w:val="000000" w:themeColor="text1"/>
                <w:szCs w:val="24"/>
              </w:rPr>
              <w:t>（</w:t>
            </w:r>
            <w:r w:rsidRPr="008A3475">
              <w:rPr>
                <w:rFonts w:cs="Times New Roman"/>
                <w:color w:val="000000" w:themeColor="text1"/>
                <w:szCs w:val="24"/>
              </w:rPr>
              <w:t>1</w:t>
            </w:r>
            <w:r w:rsidRPr="008A3475">
              <w:rPr>
                <w:rFonts w:cs="Times New Roman"/>
                <w:color w:val="000000" w:themeColor="text1"/>
                <w:szCs w:val="24"/>
              </w:rPr>
              <w:t>）</w:t>
            </w:r>
            <w:r w:rsidR="00675E68" w:rsidRPr="008A3475">
              <w:rPr>
                <w:rFonts w:cs="Times New Roman"/>
                <w:color w:val="000000"/>
                <w:szCs w:val="32"/>
              </w:rPr>
              <w:t>建设单位变更：</w:t>
            </w:r>
            <w:r w:rsidR="008A3475" w:rsidRPr="008A3475">
              <w:rPr>
                <w:rFonts w:cs="Times New Roman" w:hint="eastAsia"/>
                <w:color w:val="0F1115"/>
                <w:shd w:val="clear" w:color="auto" w:fill="FFFFFF"/>
              </w:rPr>
              <w:t>由新疆绿尔康环保科技有限公司变更为轮台塔中石油化工有限公司。轮台塔中石油化工有限公司已完成对新疆绿尔康环保科技有限公司的整体收购，后续建设、运营及环境管理主体责任均由轮台塔中石油化工有限公司承担，详见附件</w:t>
            </w:r>
            <w:r w:rsidR="008A3475" w:rsidRPr="008A3475">
              <w:rPr>
                <w:rFonts w:cs="Times New Roman" w:hint="eastAsia"/>
                <w:color w:val="0F1115"/>
                <w:shd w:val="clear" w:color="auto" w:fill="FFFFFF"/>
              </w:rPr>
              <w:t>14</w:t>
            </w:r>
            <w:r w:rsidR="008A3475" w:rsidRPr="008A3475">
              <w:rPr>
                <w:rFonts w:cs="Times New Roman" w:hint="eastAsia"/>
                <w:color w:val="0F1115"/>
                <w:shd w:val="clear" w:color="auto" w:fill="FFFFFF"/>
              </w:rPr>
              <w:t>《关于小微企业危险废物集中收集贮存项目建设单位变更的情况说明》</w:t>
            </w:r>
            <w:r w:rsidR="00675E68" w:rsidRPr="008A3475">
              <w:rPr>
                <w:rFonts w:cs="Times New Roman"/>
                <w:color w:val="000000" w:themeColor="text1"/>
                <w:szCs w:val="24"/>
              </w:rPr>
              <w:t>。</w:t>
            </w:r>
          </w:p>
          <w:p w14:paraId="7911ADC8" w14:textId="77777777" w:rsidR="00675E68" w:rsidRDefault="00675E68" w:rsidP="00675E68">
            <w:pPr>
              <w:adjustRightInd w:val="0"/>
              <w:snapToGrid w:val="0"/>
              <w:ind w:firstLine="480"/>
              <w:rPr>
                <w:color w:val="000000"/>
                <w:szCs w:val="32"/>
              </w:rPr>
            </w:pPr>
            <w:r w:rsidRPr="009763DF">
              <w:rPr>
                <w:rFonts w:hint="eastAsia"/>
                <w:color w:val="000000"/>
                <w:szCs w:val="32"/>
              </w:rPr>
              <w:t>（</w:t>
            </w:r>
            <w:r w:rsidRPr="009763DF">
              <w:rPr>
                <w:rFonts w:hint="eastAsia"/>
                <w:color w:val="000000"/>
                <w:szCs w:val="32"/>
              </w:rPr>
              <w:t>2</w:t>
            </w:r>
            <w:r w:rsidRPr="009763DF">
              <w:rPr>
                <w:rFonts w:hint="eastAsia"/>
                <w:color w:val="000000"/>
                <w:szCs w:val="32"/>
              </w:rPr>
              <w:t>）贮存设施及贮存能力变动：</w:t>
            </w:r>
          </w:p>
          <w:p w14:paraId="02328054" w14:textId="2D57BA10" w:rsidR="00675E68" w:rsidRPr="00947107" w:rsidRDefault="00675E68" w:rsidP="00675E68">
            <w:pPr>
              <w:adjustRightInd w:val="0"/>
              <w:snapToGrid w:val="0"/>
              <w:ind w:firstLine="480"/>
              <w:rPr>
                <w:color w:val="000000"/>
                <w:szCs w:val="32"/>
              </w:rPr>
            </w:pPr>
            <w:r w:rsidRPr="009763DF">
              <w:rPr>
                <w:rFonts w:hint="eastAsia"/>
                <w:color w:val="000000"/>
                <w:szCs w:val="32"/>
              </w:rPr>
              <w:t>①</w:t>
            </w:r>
            <w:r w:rsidRPr="00675E68">
              <w:rPr>
                <w:rFonts w:cs="Times New Roman" w:hint="eastAsia"/>
                <w:color w:val="000000" w:themeColor="text1"/>
                <w:szCs w:val="24"/>
              </w:rPr>
              <w:t>原项目涉及</w:t>
            </w:r>
            <w:r w:rsidRPr="00675E68">
              <w:rPr>
                <w:rFonts w:cs="Times New Roman" w:hint="eastAsia"/>
                <w:color w:val="000000" w:themeColor="text1"/>
                <w:szCs w:val="24"/>
              </w:rPr>
              <w:t>13</w:t>
            </w:r>
            <w:r w:rsidRPr="00675E68">
              <w:rPr>
                <w:rFonts w:cs="Times New Roman" w:hint="eastAsia"/>
                <w:color w:val="000000" w:themeColor="text1"/>
                <w:szCs w:val="24"/>
              </w:rPr>
              <w:t>类</w:t>
            </w:r>
            <w:r w:rsidRPr="00675E68">
              <w:rPr>
                <w:rFonts w:cs="Times New Roman" w:hint="eastAsia"/>
                <w:color w:val="000000" w:themeColor="text1"/>
                <w:szCs w:val="24"/>
              </w:rPr>
              <w:t>37</w:t>
            </w:r>
            <w:r w:rsidRPr="00675E68">
              <w:rPr>
                <w:rFonts w:cs="Times New Roman" w:hint="eastAsia"/>
                <w:color w:val="000000" w:themeColor="text1"/>
                <w:szCs w:val="24"/>
              </w:rPr>
              <w:t>项废物代码，本次重新报批后调整为</w:t>
            </w:r>
            <w:r w:rsidRPr="00675E68">
              <w:rPr>
                <w:rFonts w:cs="Times New Roman" w:hint="eastAsia"/>
                <w:color w:val="000000" w:themeColor="text1"/>
                <w:szCs w:val="24"/>
              </w:rPr>
              <w:t>12</w:t>
            </w:r>
            <w:r w:rsidRPr="00675E68">
              <w:rPr>
                <w:rFonts w:cs="Times New Roman" w:hint="eastAsia"/>
                <w:color w:val="000000" w:themeColor="text1"/>
                <w:szCs w:val="24"/>
              </w:rPr>
              <w:t>类</w:t>
            </w:r>
            <w:r w:rsidRPr="00675E68">
              <w:rPr>
                <w:rFonts w:cs="Times New Roman" w:hint="eastAsia"/>
                <w:color w:val="000000" w:themeColor="text1"/>
                <w:szCs w:val="24"/>
              </w:rPr>
              <w:t>4</w:t>
            </w:r>
            <w:r w:rsidR="00E42974">
              <w:rPr>
                <w:rFonts w:cs="Times New Roman"/>
                <w:color w:val="000000" w:themeColor="text1"/>
                <w:szCs w:val="24"/>
              </w:rPr>
              <w:t>2</w:t>
            </w:r>
            <w:r w:rsidRPr="00675E68">
              <w:rPr>
                <w:rFonts w:cs="Times New Roman" w:hint="eastAsia"/>
                <w:color w:val="000000" w:themeColor="text1"/>
                <w:szCs w:val="24"/>
              </w:rPr>
              <w:t>项。其中新增</w:t>
            </w:r>
            <w:r w:rsidRPr="00675E68">
              <w:rPr>
                <w:rFonts w:cs="Times New Roman" w:hint="eastAsia"/>
                <w:color w:val="000000" w:themeColor="text1"/>
                <w:szCs w:val="24"/>
              </w:rPr>
              <w:t>HW09</w:t>
            </w:r>
            <w:r w:rsidRPr="00675E68">
              <w:rPr>
                <w:rFonts w:cs="Times New Roman" w:hint="eastAsia"/>
                <w:color w:val="000000" w:themeColor="text1"/>
                <w:szCs w:val="24"/>
              </w:rPr>
              <w:t>、</w:t>
            </w:r>
            <w:r w:rsidRPr="00675E68">
              <w:rPr>
                <w:rFonts w:cs="Times New Roman" w:hint="eastAsia"/>
                <w:color w:val="000000" w:themeColor="text1"/>
                <w:szCs w:val="24"/>
              </w:rPr>
              <w:t>HW35</w:t>
            </w:r>
            <w:r w:rsidRPr="00675E68">
              <w:rPr>
                <w:rFonts w:cs="Times New Roman" w:hint="eastAsia"/>
                <w:color w:val="000000" w:themeColor="text1"/>
                <w:szCs w:val="24"/>
              </w:rPr>
              <w:t>两类，剔除</w:t>
            </w:r>
            <w:r w:rsidRPr="00675E68">
              <w:rPr>
                <w:rFonts w:cs="Times New Roman" w:hint="eastAsia"/>
                <w:color w:val="000000" w:themeColor="text1"/>
                <w:szCs w:val="24"/>
              </w:rPr>
              <w:t>HW03</w:t>
            </w:r>
            <w:r w:rsidRPr="00675E68">
              <w:rPr>
                <w:rFonts w:cs="Times New Roman" w:hint="eastAsia"/>
                <w:color w:val="000000" w:themeColor="text1"/>
                <w:szCs w:val="24"/>
              </w:rPr>
              <w:t>、</w:t>
            </w:r>
            <w:r w:rsidRPr="00675E68">
              <w:rPr>
                <w:rFonts w:cs="Times New Roman" w:hint="eastAsia"/>
                <w:color w:val="000000" w:themeColor="text1"/>
                <w:szCs w:val="24"/>
              </w:rPr>
              <w:t>HW04</w:t>
            </w:r>
            <w:r w:rsidRPr="00675E68">
              <w:rPr>
                <w:rFonts w:cs="Times New Roman" w:hint="eastAsia"/>
                <w:color w:val="000000" w:themeColor="text1"/>
                <w:szCs w:val="24"/>
              </w:rPr>
              <w:t>、</w:t>
            </w:r>
            <w:r w:rsidRPr="00675E68">
              <w:rPr>
                <w:rFonts w:cs="Times New Roman" w:hint="eastAsia"/>
                <w:color w:val="000000" w:themeColor="text1"/>
                <w:szCs w:val="24"/>
              </w:rPr>
              <w:t>HW05</w:t>
            </w:r>
            <w:r w:rsidRPr="00675E68">
              <w:rPr>
                <w:rFonts w:cs="Times New Roman" w:hint="eastAsia"/>
                <w:color w:val="000000" w:themeColor="text1"/>
                <w:szCs w:val="24"/>
              </w:rPr>
              <w:t>三类，其余类别及废物代码进行相应优化调整</w:t>
            </w:r>
            <w:r w:rsidRPr="009763DF">
              <w:rPr>
                <w:rFonts w:hint="eastAsia"/>
                <w:color w:val="000000"/>
                <w:szCs w:val="32"/>
              </w:rPr>
              <w:t>。</w:t>
            </w:r>
          </w:p>
          <w:p w14:paraId="16838602" w14:textId="65E91D04" w:rsidR="00675E68" w:rsidRDefault="00675E68" w:rsidP="00675E68">
            <w:pPr>
              <w:adjustRightInd w:val="0"/>
              <w:snapToGrid w:val="0"/>
              <w:ind w:firstLine="480"/>
              <w:rPr>
                <w:color w:val="000000"/>
                <w:szCs w:val="32"/>
              </w:rPr>
            </w:pPr>
            <w:r>
              <w:rPr>
                <w:color w:val="000000"/>
                <w:szCs w:val="32"/>
              </w:rPr>
              <w:fldChar w:fldCharType="begin"/>
            </w:r>
            <w:r>
              <w:rPr>
                <w:color w:val="000000"/>
                <w:szCs w:val="32"/>
              </w:rPr>
              <w:instrText xml:space="preserve"> </w:instrText>
            </w:r>
            <w:r>
              <w:rPr>
                <w:rFonts w:hint="eastAsia"/>
                <w:color w:val="000000"/>
                <w:szCs w:val="32"/>
              </w:rPr>
              <w:instrText>= 2 \* GB3</w:instrText>
            </w:r>
            <w:r>
              <w:rPr>
                <w:color w:val="000000"/>
                <w:szCs w:val="32"/>
              </w:rPr>
              <w:instrText xml:space="preserve"> </w:instrText>
            </w:r>
            <w:r>
              <w:rPr>
                <w:color w:val="000000"/>
                <w:szCs w:val="32"/>
              </w:rPr>
              <w:fldChar w:fldCharType="separate"/>
            </w:r>
            <w:r>
              <w:rPr>
                <w:rFonts w:hint="eastAsia"/>
                <w:noProof/>
                <w:color w:val="000000"/>
                <w:szCs w:val="32"/>
              </w:rPr>
              <w:t>②</w:t>
            </w:r>
            <w:r>
              <w:rPr>
                <w:color w:val="000000"/>
                <w:szCs w:val="32"/>
              </w:rPr>
              <w:fldChar w:fldCharType="end"/>
            </w:r>
            <w:r w:rsidR="00584DB1" w:rsidRPr="00584DB1">
              <w:rPr>
                <w:rFonts w:hint="eastAsia"/>
                <w:color w:val="000000"/>
                <w:szCs w:val="32"/>
              </w:rPr>
              <w:t>保留</w:t>
            </w:r>
            <w:r w:rsidR="00584DB1" w:rsidRPr="00584DB1">
              <w:rPr>
                <w:rFonts w:hint="eastAsia"/>
                <w:color w:val="000000"/>
                <w:szCs w:val="32"/>
              </w:rPr>
              <w:t>1#</w:t>
            </w:r>
            <w:r w:rsidR="00584DB1" w:rsidRPr="00584DB1">
              <w:rPr>
                <w:rFonts w:hint="eastAsia"/>
                <w:color w:val="000000"/>
                <w:szCs w:val="32"/>
              </w:rPr>
              <w:t>贮存库，除</w:t>
            </w:r>
            <w:r w:rsidR="00584DB1" w:rsidRPr="00584DB1">
              <w:rPr>
                <w:rFonts w:hint="eastAsia"/>
                <w:color w:val="000000"/>
                <w:szCs w:val="32"/>
              </w:rPr>
              <w:t>HW08</w:t>
            </w:r>
            <w:r w:rsidR="00584DB1" w:rsidRPr="00584DB1">
              <w:rPr>
                <w:rFonts w:hint="eastAsia"/>
                <w:color w:val="000000"/>
                <w:szCs w:val="32"/>
              </w:rPr>
              <w:t>和</w:t>
            </w:r>
            <w:r w:rsidR="00584DB1" w:rsidRPr="00584DB1">
              <w:rPr>
                <w:rFonts w:hint="eastAsia"/>
                <w:color w:val="000000"/>
                <w:szCs w:val="32"/>
              </w:rPr>
              <w:t>HW09</w:t>
            </w:r>
            <w:r w:rsidR="00584DB1" w:rsidRPr="00584DB1">
              <w:rPr>
                <w:rFonts w:hint="eastAsia"/>
                <w:color w:val="000000"/>
                <w:szCs w:val="32"/>
              </w:rPr>
              <w:t>外，其他危险废物均在其中分区贮存。新增</w:t>
            </w:r>
            <w:r w:rsidR="00584DB1" w:rsidRPr="00584DB1">
              <w:rPr>
                <w:rFonts w:hint="eastAsia"/>
                <w:color w:val="000000"/>
                <w:szCs w:val="32"/>
              </w:rPr>
              <w:t>4</w:t>
            </w:r>
            <w:r w:rsidR="00584DB1" w:rsidRPr="00584DB1">
              <w:rPr>
                <w:rFonts w:hint="eastAsia"/>
                <w:color w:val="000000"/>
                <w:szCs w:val="32"/>
              </w:rPr>
              <w:t>座</w:t>
            </w:r>
            <w:r w:rsidR="00584DB1" w:rsidRPr="00584DB1">
              <w:rPr>
                <w:rFonts w:hint="eastAsia"/>
                <w:color w:val="000000"/>
                <w:szCs w:val="32"/>
              </w:rPr>
              <w:t>600m</w:t>
            </w:r>
            <w:r w:rsidR="00584DB1" w:rsidRPr="00584DB1">
              <w:rPr>
                <w:rFonts w:hint="eastAsia"/>
                <w:color w:val="000000"/>
                <w:szCs w:val="32"/>
              </w:rPr>
              <w:t>³储罐，其中</w:t>
            </w:r>
            <w:r w:rsidR="00584DB1" w:rsidRPr="00584DB1">
              <w:rPr>
                <w:rFonts w:hint="eastAsia"/>
                <w:color w:val="000000"/>
                <w:szCs w:val="32"/>
              </w:rPr>
              <w:t>3</w:t>
            </w:r>
            <w:r w:rsidR="00584DB1" w:rsidRPr="00584DB1">
              <w:rPr>
                <w:rFonts w:hint="eastAsia"/>
                <w:color w:val="000000"/>
                <w:szCs w:val="32"/>
              </w:rPr>
              <w:t>座用于贮存</w:t>
            </w:r>
            <w:r w:rsidR="00584DB1" w:rsidRPr="00584DB1">
              <w:rPr>
                <w:rFonts w:hint="eastAsia"/>
                <w:color w:val="000000"/>
                <w:szCs w:val="32"/>
              </w:rPr>
              <w:t>HW08</w:t>
            </w:r>
            <w:r w:rsidR="00584DB1" w:rsidRPr="00584DB1">
              <w:rPr>
                <w:rFonts w:hint="eastAsia"/>
                <w:color w:val="000000"/>
                <w:szCs w:val="32"/>
              </w:rPr>
              <w:t>，</w:t>
            </w:r>
            <w:r w:rsidR="00584DB1" w:rsidRPr="00584DB1">
              <w:rPr>
                <w:rFonts w:hint="eastAsia"/>
                <w:color w:val="000000"/>
                <w:szCs w:val="32"/>
              </w:rPr>
              <w:t>1</w:t>
            </w:r>
            <w:r w:rsidR="00584DB1" w:rsidRPr="00584DB1">
              <w:rPr>
                <w:rFonts w:hint="eastAsia"/>
                <w:color w:val="000000"/>
                <w:szCs w:val="32"/>
              </w:rPr>
              <w:t>座用于贮存</w:t>
            </w:r>
            <w:r w:rsidR="00584DB1" w:rsidRPr="00584DB1">
              <w:rPr>
                <w:rFonts w:hint="eastAsia"/>
                <w:color w:val="000000"/>
                <w:szCs w:val="32"/>
              </w:rPr>
              <w:t>HW09</w:t>
            </w:r>
            <w:r w:rsidR="00584DB1" w:rsidRPr="00584DB1">
              <w:rPr>
                <w:rFonts w:hint="eastAsia"/>
                <w:color w:val="000000"/>
                <w:szCs w:val="32"/>
              </w:rPr>
              <w:t>；</w:t>
            </w:r>
            <w:r w:rsidR="00584DB1" w:rsidRPr="00584DB1">
              <w:rPr>
                <w:rFonts w:hint="eastAsia"/>
                <w:color w:val="000000"/>
                <w:szCs w:val="32"/>
              </w:rPr>
              <w:t>HW08</w:t>
            </w:r>
            <w:r w:rsidR="00584DB1" w:rsidRPr="00584DB1">
              <w:rPr>
                <w:rFonts w:hint="eastAsia"/>
                <w:color w:val="000000"/>
                <w:szCs w:val="32"/>
              </w:rPr>
              <w:t>最大贮存量较原批复增加</w:t>
            </w:r>
            <w:r w:rsidR="00584DB1" w:rsidRPr="00584DB1">
              <w:rPr>
                <w:rFonts w:hint="eastAsia"/>
                <w:color w:val="000000"/>
                <w:szCs w:val="32"/>
              </w:rPr>
              <w:t>818%</w:t>
            </w:r>
            <w:r w:rsidRPr="00650440">
              <w:rPr>
                <w:rFonts w:hint="eastAsia"/>
                <w:color w:val="000000"/>
                <w:szCs w:val="32"/>
              </w:rPr>
              <w:t>。该</w:t>
            </w:r>
            <w:r w:rsidRPr="00650440">
              <w:rPr>
                <w:rFonts w:hint="eastAsia"/>
                <w:color w:val="000000"/>
                <w:szCs w:val="32"/>
              </w:rPr>
              <w:t>4</w:t>
            </w:r>
            <w:r w:rsidRPr="00650440">
              <w:rPr>
                <w:rFonts w:hint="eastAsia"/>
                <w:color w:val="000000"/>
                <w:szCs w:val="32"/>
              </w:rPr>
              <w:t>座</w:t>
            </w:r>
            <w:r w:rsidRPr="00650440">
              <w:rPr>
                <w:rFonts w:hint="eastAsia"/>
                <w:color w:val="000000"/>
                <w:szCs w:val="32"/>
              </w:rPr>
              <w:t>600m</w:t>
            </w:r>
            <w:r w:rsidRPr="00650440">
              <w:rPr>
                <w:rFonts w:hint="eastAsia"/>
                <w:color w:val="000000"/>
                <w:szCs w:val="32"/>
              </w:rPr>
              <w:t>³储罐为轮台塔中石油化工有限公司于</w:t>
            </w:r>
            <w:r w:rsidRPr="00650440">
              <w:rPr>
                <w:rFonts w:hint="eastAsia"/>
                <w:color w:val="000000"/>
                <w:szCs w:val="32"/>
              </w:rPr>
              <w:t>2018</w:t>
            </w:r>
            <w:r w:rsidRPr="00650440">
              <w:rPr>
                <w:rFonts w:hint="eastAsia"/>
                <w:color w:val="000000"/>
                <w:szCs w:val="32"/>
              </w:rPr>
              <w:t>年建设完成的设施，自建成后一直处于闲置状态</w:t>
            </w:r>
            <w:r w:rsidRPr="00B06540">
              <w:rPr>
                <w:color w:val="000000"/>
                <w:szCs w:val="32"/>
              </w:rPr>
              <w:t>。</w:t>
            </w:r>
          </w:p>
          <w:p w14:paraId="3137ECF0" w14:textId="467F238C" w:rsidR="003C4F46" w:rsidRPr="00675E68" w:rsidRDefault="004B6A81" w:rsidP="00675E68">
            <w:pPr>
              <w:adjustRightInd w:val="0"/>
              <w:snapToGrid w:val="0"/>
              <w:ind w:firstLine="480"/>
              <w:rPr>
                <w:color w:val="000000"/>
                <w:szCs w:val="32"/>
              </w:rPr>
            </w:pPr>
            <w:r>
              <w:rPr>
                <w:rFonts w:cs="Times New Roman" w:hint="eastAsia"/>
                <w:color w:val="000000" w:themeColor="text1"/>
                <w:szCs w:val="24"/>
              </w:rPr>
              <w:t>根据《中华人民共和国生态环境法典》及生态环境部《关于印发</w:t>
            </w:r>
            <w:r>
              <w:rPr>
                <w:rFonts w:cs="Times New Roman" w:hint="eastAsia"/>
                <w:color w:val="000000" w:themeColor="text1"/>
                <w:szCs w:val="24"/>
              </w:rPr>
              <w:t>&lt;</w:t>
            </w:r>
            <w:r>
              <w:rPr>
                <w:rFonts w:cs="Times New Roman" w:hint="eastAsia"/>
                <w:color w:val="000000" w:themeColor="text1"/>
                <w:szCs w:val="24"/>
              </w:rPr>
              <w:t>污染影响类建设项目重大变动清单（试行）</w:t>
            </w:r>
            <w:r>
              <w:rPr>
                <w:rFonts w:cs="Times New Roman" w:hint="eastAsia"/>
                <w:color w:val="000000" w:themeColor="text1"/>
                <w:szCs w:val="24"/>
              </w:rPr>
              <w:t>&gt;</w:t>
            </w:r>
            <w:r>
              <w:rPr>
                <w:rFonts w:cs="Times New Roman" w:hint="eastAsia"/>
                <w:color w:val="000000" w:themeColor="text1"/>
                <w:szCs w:val="24"/>
              </w:rPr>
              <w:t>的通知》（环办环评函〔</w:t>
            </w:r>
            <w:r>
              <w:rPr>
                <w:rFonts w:cs="Times New Roman" w:hint="eastAsia"/>
                <w:color w:val="000000" w:themeColor="text1"/>
                <w:szCs w:val="24"/>
              </w:rPr>
              <w:t>2020</w:t>
            </w:r>
            <w:r>
              <w:rPr>
                <w:rFonts w:cs="Times New Roman" w:hint="eastAsia"/>
                <w:color w:val="000000" w:themeColor="text1"/>
                <w:szCs w:val="24"/>
              </w:rPr>
              <w:t>〕</w:t>
            </w:r>
            <w:r>
              <w:rPr>
                <w:rFonts w:cs="Times New Roman" w:hint="eastAsia"/>
                <w:color w:val="000000" w:themeColor="text1"/>
                <w:szCs w:val="24"/>
              </w:rPr>
              <w:t>688</w:t>
            </w:r>
            <w:r>
              <w:rPr>
                <w:rFonts w:cs="Times New Roman" w:hint="eastAsia"/>
                <w:color w:val="000000" w:themeColor="text1"/>
                <w:szCs w:val="24"/>
              </w:rPr>
              <w:t>号）（具体变动情况见下表），本项目属于重大变动，建设单位应当重新报批生态环境影响评价文件。</w:t>
            </w:r>
          </w:p>
          <w:bookmarkEnd w:id="12"/>
          <w:p w14:paraId="4989702E" w14:textId="3FBB8702" w:rsidR="003C4F46" w:rsidRDefault="004B6A81">
            <w:pPr>
              <w:spacing w:line="240" w:lineRule="auto"/>
              <w:ind w:firstLine="422"/>
              <w:jc w:val="center"/>
              <w:rPr>
                <w:rFonts w:cs="Times New Roman"/>
                <w:b/>
                <w:bCs/>
                <w:color w:val="000000"/>
                <w:sz w:val="21"/>
                <w:szCs w:val="21"/>
              </w:rPr>
            </w:pPr>
            <w:r>
              <w:rPr>
                <w:rFonts w:cs="Times New Roman"/>
                <w:b/>
                <w:bCs/>
                <w:color w:val="000000"/>
                <w:sz w:val="21"/>
                <w:szCs w:val="21"/>
              </w:rPr>
              <w:t>表</w:t>
            </w:r>
            <w:r>
              <w:rPr>
                <w:rFonts w:cs="Times New Roman"/>
                <w:b/>
                <w:bCs/>
                <w:color w:val="000000"/>
                <w:sz w:val="21"/>
                <w:szCs w:val="21"/>
              </w:rPr>
              <w:t xml:space="preserve">2-1  </w:t>
            </w:r>
            <w:r>
              <w:rPr>
                <w:rFonts w:cs="Times New Roman" w:hint="eastAsia"/>
                <w:b/>
                <w:bCs/>
                <w:color w:val="000000"/>
                <w:sz w:val="21"/>
                <w:szCs w:val="21"/>
              </w:rPr>
              <w:t>项目变动情况与《污染影响类建设项目重大变动清单</w:t>
            </w:r>
            <w:r w:rsidR="00EB5E31">
              <w:rPr>
                <w:rFonts w:cs="Times New Roman" w:hint="eastAsia"/>
                <w:b/>
                <w:bCs/>
                <w:color w:val="000000"/>
                <w:sz w:val="21"/>
                <w:szCs w:val="21"/>
              </w:rPr>
              <w:t>（试行）</w:t>
            </w:r>
            <w:r>
              <w:rPr>
                <w:rFonts w:cs="Times New Roman" w:hint="eastAsia"/>
                <w:b/>
                <w:bCs/>
                <w:color w:val="000000"/>
                <w:sz w:val="21"/>
                <w:szCs w:val="21"/>
              </w:rPr>
              <w:t>》对比</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16"/>
              <w:gridCol w:w="2609"/>
              <w:gridCol w:w="2018"/>
              <w:gridCol w:w="2316"/>
              <w:gridCol w:w="1231"/>
            </w:tblGrid>
            <w:tr w:rsidR="003C4F46" w14:paraId="5B458276" w14:textId="77777777">
              <w:trPr>
                <w:trHeight w:val="90"/>
              </w:trPr>
              <w:tc>
                <w:tcPr>
                  <w:tcW w:w="504" w:type="pct"/>
                  <w:vAlign w:val="center"/>
                </w:tcPr>
                <w:p w14:paraId="38A16902"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类型</w:t>
                  </w:r>
                </w:p>
              </w:tc>
              <w:tc>
                <w:tcPr>
                  <w:tcW w:w="1435" w:type="pct"/>
                  <w:vAlign w:val="center"/>
                </w:tcPr>
                <w:p w14:paraId="23463277"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重大变动清单内容</w:t>
                  </w:r>
                </w:p>
              </w:tc>
              <w:tc>
                <w:tcPr>
                  <w:tcW w:w="1110" w:type="pct"/>
                  <w:vAlign w:val="center"/>
                </w:tcPr>
                <w:p w14:paraId="570AD6AC"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环评及批复要求</w:t>
                  </w:r>
                </w:p>
              </w:tc>
              <w:tc>
                <w:tcPr>
                  <w:tcW w:w="1274" w:type="pct"/>
                  <w:vAlign w:val="center"/>
                </w:tcPr>
                <w:p w14:paraId="55DA5D59"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本项目变动情况</w:t>
                  </w:r>
                </w:p>
              </w:tc>
              <w:tc>
                <w:tcPr>
                  <w:tcW w:w="677" w:type="pct"/>
                  <w:vAlign w:val="center"/>
                </w:tcPr>
                <w:p w14:paraId="353C0982"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是否属于重大变动</w:t>
                  </w:r>
                </w:p>
              </w:tc>
            </w:tr>
            <w:tr w:rsidR="003C4F46" w14:paraId="355FDD25" w14:textId="77777777">
              <w:trPr>
                <w:trHeight w:val="90"/>
              </w:trPr>
              <w:tc>
                <w:tcPr>
                  <w:tcW w:w="504" w:type="pct"/>
                  <w:vAlign w:val="center"/>
                </w:tcPr>
                <w:p w14:paraId="14AAD897"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lastRenderedPageBreak/>
                    <w:t>性质</w:t>
                  </w:r>
                </w:p>
              </w:tc>
              <w:tc>
                <w:tcPr>
                  <w:tcW w:w="1435" w:type="pct"/>
                  <w:vAlign w:val="center"/>
                </w:tcPr>
                <w:p w14:paraId="7943C5A9"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1.</w:t>
                  </w:r>
                  <w:r>
                    <w:rPr>
                      <w:rFonts w:cs="Times New Roman"/>
                      <w:color w:val="000000" w:themeColor="text1"/>
                      <w:sz w:val="21"/>
                      <w:szCs w:val="21"/>
                    </w:rPr>
                    <w:t>建设项目开发、使用功能发生变化的。</w:t>
                  </w:r>
                </w:p>
              </w:tc>
              <w:tc>
                <w:tcPr>
                  <w:tcW w:w="1110" w:type="pct"/>
                  <w:vAlign w:val="center"/>
                </w:tcPr>
                <w:p w14:paraId="3802D610" w14:textId="77777777"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t>本项目为危险废物收集、贮存项目</w:t>
                  </w:r>
                </w:p>
              </w:tc>
              <w:tc>
                <w:tcPr>
                  <w:tcW w:w="1274" w:type="pct"/>
                  <w:vAlign w:val="center"/>
                </w:tcPr>
                <w:p w14:paraId="5FDAEC6B" w14:textId="77777777"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t>本项目仍为危险废物收集、贮存项目</w:t>
                  </w:r>
                </w:p>
              </w:tc>
              <w:tc>
                <w:tcPr>
                  <w:tcW w:w="677" w:type="pct"/>
                  <w:vAlign w:val="center"/>
                </w:tcPr>
                <w:p w14:paraId="6CAC9F15"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否</w:t>
                  </w:r>
                </w:p>
              </w:tc>
            </w:tr>
            <w:tr w:rsidR="003C4F46" w14:paraId="49C7FFDB" w14:textId="77777777">
              <w:trPr>
                <w:trHeight w:val="362"/>
              </w:trPr>
              <w:tc>
                <w:tcPr>
                  <w:tcW w:w="504" w:type="pct"/>
                  <w:vMerge w:val="restart"/>
                  <w:vAlign w:val="center"/>
                </w:tcPr>
                <w:p w14:paraId="39B3994D"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规模</w:t>
                  </w:r>
                </w:p>
              </w:tc>
              <w:tc>
                <w:tcPr>
                  <w:tcW w:w="1435" w:type="pct"/>
                  <w:vAlign w:val="center"/>
                </w:tcPr>
                <w:p w14:paraId="3A0CF60A"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2.</w:t>
                  </w:r>
                  <w:r>
                    <w:rPr>
                      <w:rFonts w:cs="Times New Roman"/>
                      <w:color w:val="000000" w:themeColor="text1"/>
                      <w:sz w:val="21"/>
                      <w:szCs w:val="21"/>
                    </w:rPr>
                    <w:t>生产、处置或储存能力增大</w:t>
                  </w:r>
                  <w:r>
                    <w:rPr>
                      <w:rFonts w:cs="Times New Roman"/>
                      <w:color w:val="000000" w:themeColor="text1"/>
                      <w:sz w:val="21"/>
                      <w:szCs w:val="21"/>
                    </w:rPr>
                    <w:t>30%</w:t>
                  </w:r>
                  <w:r>
                    <w:rPr>
                      <w:rFonts w:cs="Times New Roman"/>
                      <w:color w:val="000000" w:themeColor="text1"/>
                      <w:sz w:val="21"/>
                      <w:szCs w:val="21"/>
                    </w:rPr>
                    <w:t>及以上的。</w:t>
                  </w:r>
                </w:p>
              </w:tc>
              <w:tc>
                <w:tcPr>
                  <w:tcW w:w="1110" w:type="pct"/>
                  <w:vAlign w:val="center"/>
                </w:tcPr>
                <w:p w14:paraId="1E47BA06" w14:textId="77777777"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t>HW08</w:t>
                  </w:r>
                  <w:r>
                    <w:rPr>
                      <w:rFonts w:cs="Times New Roman" w:hint="eastAsia"/>
                      <w:color w:val="000000" w:themeColor="text1"/>
                      <w:sz w:val="21"/>
                      <w:szCs w:val="21"/>
                    </w:rPr>
                    <w:t>废矿物油年收集贮存量</w:t>
                  </w:r>
                  <w:r>
                    <w:rPr>
                      <w:rFonts w:cs="Times New Roman" w:hint="eastAsia"/>
                      <w:color w:val="000000" w:themeColor="text1"/>
                      <w:sz w:val="21"/>
                      <w:szCs w:val="21"/>
                    </w:rPr>
                    <w:t>3000t</w:t>
                  </w:r>
                  <w:r>
                    <w:rPr>
                      <w:rFonts w:cs="Times New Roman" w:hint="eastAsia"/>
                      <w:color w:val="000000" w:themeColor="text1"/>
                      <w:sz w:val="21"/>
                      <w:szCs w:val="21"/>
                    </w:rPr>
                    <w:t>，最大贮存量</w:t>
                  </w:r>
                  <w:r>
                    <w:rPr>
                      <w:rFonts w:cs="Times New Roman" w:hint="eastAsia"/>
                      <w:color w:val="000000" w:themeColor="text1"/>
                      <w:sz w:val="21"/>
                      <w:szCs w:val="21"/>
                    </w:rPr>
                    <w:t>150t</w:t>
                  </w:r>
                  <w:r>
                    <w:rPr>
                      <w:rFonts w:cs="Times New Roman" w:hint="eastAsia"/>
                      <w:color w:val="000000" w:themeColor="text1"/>
                      <w:sz w:val="21"/>
                      <w:szCs w:val="21"/>
                    </w:rPr>
                    <w:t>（采用</w:t>
                  </w:r>
                  <w:r>
                    <w:rPr>
                      <w:rFonts w:cs="Times New Roman" w:hint="eastAsia"/>
                      <w:color w:val="000000" w:themeColor="text1"/>
                      <w:sz w:val="21"/>
                      <w:szCs w:val="21"/>
                    </w:rPr>
                    <w:t>1</w:t>
                  </w:r>
                  <w:r>
                    <w:rPr>
                      <w:rFonts w:cs="Times New Roman" w:hint="eastAsia"/>
                      <w:color w:val="000000" w:themeColor="text1"/>
                      <w:sz w:val="21"/>
                      <w:szCs w:val="21"/>
                    </w:rPr>
                    <w:t>个</w:t>
                  </w:r>
                  <w:r>
                    <w:rPr>
                      <w:rFonts w:cs="Times New Roman" w:hint="eastAsia"/>
                      <w:color w:val="000000" w:themeColor="text1"/>
                      <w:sz w:val="21"/>
                      <w:szCs w:val="21"/>
                    </w:rPr>
                    <w:t>40m</w:t>
                  </w:r>
                  <w:r>
                    <w:rPr>
                      <w:rFonts w:cs="Times New Roman" w:hint="eastAsia"/>
                      <w:color w:val="000000" w:themeColor="text1"/>
                      <w:sz w:val="21"/>
                      <w:szCs w:val="21"/>
                    </w:rPr>
                    <w:t>³储罐</w:t>
                  </w:r>
                  <w:r>
                    <w:rPr>
                      <w:rFonts w:cs="Times New Roman" w:hint="eastAsia"/>
                      <w:color w:val="000000" w:themeColor="text1"/>
                      <w:sz w:val="21"/>
                      <w:szCs w:val="21"/>
                    </w:rPr>
                    <w:t>+</w:t>
                  </w:r>
                  <w:r>
                    <w:rPr>
                      <w:rFonts w:cs="Times New Roman" w:hint="eastAsia"/>
                      <w:color w:val="000000" w:themeColor="text1"/>
                      <w:sz w:val="21"/>
                      <w:szCs w:val="21"/>
                    </w:rPr>
                    <w:t>桶装方式存放于</w:t>
                  </w:r>
                  <w:r>
                    <w:rPr>
                      <w:rFonts w:cs="Times New Roman" w:hint="eastAsia"/>
                      <w:color w:val="000000" w:themeColor="text1"/>
                      <w:sz w:val="21"/>
                      <w:szCs w:val="21"/>
                    </w:rPr>
                    <w:t>1#</w:t>
                  </w:r>
                  <w:r>
                    <w:rPr>
                      <w:rFonts w:cs="Times New Roman" w:hint="eastAsia"/>
                      <w:color w:val="000000" w:themeColor="text1"/>
                      <w:sz w:val="21"/>
                      <w:szCs w:val="21"/>
                    </w:rPr>
                    <w:t>贮存库内）</w:t>
                  </w:r>
                </w:p>
              </w:tc>
              <w:tc>
                <w:tcPr>
                  <w:tcW w:w="1274" w:type="pct"/>
                  <w:vAlign w:val="center"/>
                </w:tcPr>
                <w:p w14:paraId="40B82A3B" w14:textId="424218B1" w:rsidR="003C4F46" w:rsidRDefault="003E47EA">
                  <w:pPr>
                    <w:spacing w:line="240" w:lineRule="auto"/>
                    <w:ind w:firstLineChars="0" w:firstLine="0"/>
                    <w:rPr>
                      <w:rFonts w:cs="Times New Roman"/>
                      <w:color w:val="000000" w:themeColor="text1"/>
                      <w:sz w:val="21"/>
                      <w:szCs w:val="21"/>
                    </w:rPr>
                  </w:pPr>
                  <w:r w:rsidRPr="003E47EA">
                    <w:rPr>
                      <w:rFonts w:cs="Times New Roman" w:hint="eastAsia"/>
                      <w:color w:val="000000" w:themeColor="text1"/>
                      <w:sz w:val="21"/>
                      <w:szCs w:val="21"/>
                    </w:rPr>
                    <w:t>HW08</w:t>
                  </w:r>
                  <w:r w:rsidRPr="003E47EA">
                    <w:rPr>
                      <w:rFonts w:cs="Times New Roman" w:hint="eastAsia"/>
                      <w:color w:val="000000" w:themeColor="text1"/>
                      <w:sz w:val="21"/>
                      <w:szCs w:val="21"/>
                    </w:rPr>
                    <w:t>年收集量由</w:t>
                  </w:r>
                  <w:r w:rsidRPr="003E47EA">
                    <w:rPr>
                      <w:rFonts w:cs="Times New Roman" w:hint="eastAsia"/>
                      <w:color w:val="000000" w:themeColor="text1"/>
                      <w:sz w:val="21"/>
                      <w:szCs w:val="21"/>
                    </w:rPr>
                    <w:t>3000t/a</w:t>
                  </w:r>
                  <w:r w:rsidRPr="003E47EA">
                    <w:rPr>
                      <w:rFonts w:cs="Times New Roman" w:hint="eastAsia"/>
                      <w:color w:val="000000" w:themeColor="text1"/>
                      <w:sz w:val="21"/>
                      <w:szCs w:val="21"/>
                    </w:rPr>
                    <w:t>降为</w:t>
                  </w:r>
                  <w:r w:rsidRPr="003E47EA">
                    <w:rPr>
                      <w:rFonts w:cs="Times New Roman" w:hint="eastAsia"/>
                      <w:color w:val="000000" w:themeColor="text1"/>
                      <w:sz w:val="21"/>
                      <w:szCs w:val="21"/>
                    </w:rPr>
                    <w:t>2400t/a</w:t>
                  </w:r>
                  <w:r w:rsidRPr="003E47EA">
                    <w:rPr>
                      <w:rFonts w:cs="Times New Roman" w:hint="eastAsia"/>
                      <w:color w:val="000000" w:themeColor="text1"/>
                      <w:sz w:val="21"/>
                      <w:szCs w:val="21"/>
                    </w:rPr>
                    <w:t>；最大贮存量由</w:t>
                  </w:r>
                  <w:r w:rsidRPr="003E47EA">
                    <w:rPr>
                      <w:rFonts w:cs="Times New Roman" w:hint="eastAsia"/>
                      <w:color w:val="000000" w:themeColor="text1"/>
                      <w:sz w:val="21"/>
                      <w:szCs w:val="21"/>
                    </w:rPr>
                    <w:t>150t</w:t>
                  </w:r>
                  <w:r w:rsidRPr="003E47EA">
                    <w:rPr>
                      <w:rFonts w:cs="Times New Roman" w:hint="eastAsia"/>
                      <w:color w:val="000000" w:themeColor="text1"/>
                      <w:sz w:val="21"/>
                      <w:szCs w:val="21"/>
                    </w:rPr>
                    <w:t>增至</w:t>
                  </w:r>
                  <w:r w:rsidRPr="003E47EA">
                    <w:rPr>
                      <w:rFonts w:cs="Times New Roman" w:hint="eastAsia"/>
                      <w:color w:val="000000" w:themeColor="text1"/>
                      <w:sz w:val="21"/>
                      <w:szCs w:val="21"/>
                    </w:rPr>
                    <w:t>1377t</w:t>
                  </w:r>
                  <w:r w:rsidRPr="003E47EA">
                    <w:rPr>
                      <w:rFonts w:cs="Times New Roman" w:hint="eastAsia"/>
                      <w:color w:val="000000" w:themeColor="text1"/>
                      <w:sz w:val="21"/>
                      <w:szCs w:val="21"/>
                    </w:rPr>
                    <w:t>，最大贮存量增幅</w:t>
                  </w:r>
                  <w:r w:rsidRPr="003E47EA">
                    <w:rPr>
                      <w:rFonts w:cs="Times New Roman" w:hint="eastAsia"/>
                      <w:color w:val="000000" w:themeColor="text1"/>
                      <w:sz w:val="21"/>
                      <w:szCs w:val="21"/>
                    </w:rPr>
                    <w:t>818%</w:t>
                  </w:r>
                  <w:r w:rsidR="00E94EBD" w:rsidRPr="00E94EBD">
                    <w:rPr>
                      <w:rFonts w:cs="Times New Roman" w:hint="eastAsia"/>
                      <w:color w:val="000000" w:themeColor="text1"/>
                      <w:sz w:val="21"/>
                      <w:szCs w:val="21"/>
                    </w:rPr>
                    <w:t>，</w:t>
                  </w:r>
                  <w:r w:rsidR="007C07C8" w:rsidRPr="007C07C8">
                    <w:rPr>
                      <w:rFonts w:cs="Times New Roman" w:hint="eastAsia"/>
                      <w:color w:val="000000" w:themeColor="text1"/>
                      <w:sz w:val="21"/>
                      <w:szCs w:val="21"/>
                    </w:rPr>
                    <w:t>远超</w:t>
                  </w:r>
                  <w:r w:rsidR="007C07C8" w:rsidRPr="007C07C8">
                    <w:rPr>
                      <w:rFonts w:cs="Times New Roman" w:hint="eastAsia"/>
                      <w:color w:val="000000" w:themeColor="text1"/>
                      <w:sz w:val="21"/>
                      <w:szCs w:val="21"/>
                    </w:rPr>
                    <w:t>30%</w:t>
                  </w:r>
                  <w:r w:rsidR="007C07C8" w:rsidRPr="007C07C8">
                    <w:rPr>
                      <w:rFonts w:cs="Times New Roman" w:hint="eastAsia"/>
                      <w:color w:val="000000" w:themeColor="text1"/>
                      <w:sz w:val="21"/>
                      <w:szCs w:val="21"/>
                    </w:rPr>
                    <w:t>的重大变动限值</w:t>
                  </w:r>
                </w:p>
              </w:tc>
              <w:tc>
                <w:tcPr>
                  <w:tcW w:w="677" w:type="pct"/>
                  <w:vAlign w:val="center"/>
                </w:tcPr>
                <w:p w14:paraId="74390028"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是</w:t>
                  </w:r>
                </w:p>
              </w:tc>
            </w:tr>
            <w:tr w:rsidR="003C4F46" w14:paraId="4E0370BC" w14:textId="77777777">
              <w:trPr>
                <w:trHeight w:val="347"/>
              </w:trPr>
              <w:tc>
                <w:tcPr>
                  <w:tcW w:w="504" w:type="pct"/>
                  <w:vMerge/>
                  <w:vAlign w:val="center"/>
                </w:tcPr>
                <w:p w14:paraId="18AF622E"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1B564E96"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3.</w:t>
                  </w:r>
                  <w:r>
                    <w:rPr>
                      <w:rFonts w:cs="Times New Roman"/>
                      <w:color w:val="000000" w:themeColor="text1"/>
                      <w:sz w:val="21"/>
                      <w:szCs w:val="21"/>
                    </w:rPr>
                    <w:t>生产、处置或储存能力增大，导致废水第一类污染物排放量增加的。</w:t>
                  </w:r>
                </w:p>
              </w:tc>
              <w:tc>
                <w:tcPr>
                  <w:tcW w:w="1110" w:type="pct"/>
                  <w:vAlign w:val="center"/>
                </w:tcPr>
                <w:p w14:paraId="59119C18" w14:textId="77777777"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t>不涉及废水排放，无第一类污染物排放</w:t>
                  </w:r>
                </w:p>
              </w:tc>
              <w:tc>
                <w:tcPr>
                  <w:tcW w:w="1274" w:type="pct"/>
                  <w:vAlign w:val="center"/>
                </w:tcPr>
                <w:p w14:paraId="139E2920" w14:textId="7AACB9D9" w:rsidR="003C4F46" w:rsidRDefault="00CF799D">
                  <w:pPr>
                    <w:spacing w:line="240" w:lineRule="auto"/>
                    <w:ind w:firstLineChars="0" w:firstLine="0"/>
                    <w:rPr>
                      <w:rFonts w:cs="Times New Roman"/>
                      <w:color w:val="000000" w:themeColor="text1"/>
                      <w:sz w:val="21"/>
                      <w:szCs w:val="21"/>
                    </w:rPr>
                  </w:pPr>
                  <w:r w:rsidRPr="00CF799D">
                    <w:rPr>
                      <w:rFonts w:cs="Times New Roman" w:hint="eastAsia"/>
                      <w:color w:val="000000" w:themeColor="text1"/>
                      <w:sz w:val="21"/>
                      <w:szCs w:val="21"/>
                    </w:rPr>
                    <w:t>根据《污水综合排放标准》（</w:t>
                  </w:r>
                  <w:r w:rsidRPr="00CF799D">
                    <w:rPr>
                      <w:rFonts w:cs="Times New Roman" w:hint="eastAsia"/>
                      <w:color w:val="000000" w:themeColor="text1"/>
                      <w:sz w:val="21"/>
                      <w:szCs w:val="21"/>
                    </w:rPr>
                    <w:t>GB8978-1996</w:t>
                  </w:r>
                  <w:r w:rsidRPr="00CF799D">
                    <w:rPr>
                      <w:rFonts w:cs="Times New Roman" w:hint="eastAsia"/>
                      <w:color w:val="000000" w:themeColor="text1"/>
                      <w:sz w:val="21"/>
                      <w:szCs w:val="21"/>
                    </w:rPr>
                    <w:t>），第一类污染物包括总汞、总镉、总铬、六价铬、总砷、总铅、总镍等</w:t>
                  </w:r>
                  <w:r w:rsidRPr="00CF799D">
                    <w:rPr>
                      <w:rFonts w:cs="Times New Roman" w:hint="eastAsia"/>
                      <w:color w:val="000000" w:themeColor="text1"/>
                      <w:sz w:val="21"/>
                      <w:szCs w:val="21"/>
                    </w:rPr>
                    <w:t>13</w:t>
                  </w:r>
                  <w:r w:rsidRPr="00CF799D">
                    <w:rPr>
                      <w:rFonts w:cs="Times New Roman" w:hint="eastAsia"/>
                      <w:color w:val="000000" w:themeColor="text1"/>
                      <w:sz w:val="21"/>
                      <w:szCs w:val="21"/>
                    </w:rPr>
                    <w:t>项有毒污染物，本项目废水仅为喷淋废液和生活污水，不涉及上述污染物，且均排入园区污水处理厂，不新增废水排放口，未导致第一类污染物排放量增加，因此不属于重大变动</w:t>
                  </w:r>
                </w:p>
              </w:tc>
              <w:tc>
                <w:tcPr>
                  <w:tcW w:w="677" w:type="pct"/>
                  <w:vAlign w:val="center"/>
                </w:tcPr>
                <w:p w14:paraId="359C7363" w14:textId="77777777" w:rsidR="003C4F46" w:rsidRDefault="004B6A81">
                  <w:pPr>
                    <w:spacing w:line="240" w:lineRule="auto"/>
                    <w:ind w:firstLineChars="0" w:firstLine="0"/>
                    <w:jc w:val="center"/>
                    <w:rPr>
                      <w:rFonts w:cs="Times New Roman"/>
                      <w:color w:val="000000" w:themeColor="text1"/>
                      <w:sz w:val="21"/>
                      <w:szCs w:val="21"/>
                    </w:rPr>
                  </w:pPr>
                  <w:r>
                    <w:rPr>
                      <w:rFonts w:cs="Times New Roman" w:hint="eastAsia"/>
                      <w:color w:val="000000" w:themeColor="text1"/>
                      <w:sz w:val="21"/>
                      <w:szCs w:val="21"/>
                    </w:rPr>
                    <w:t>否</w:t>
                  </w:r>
                </w:p>
              </w:tc>
            </w:tr>
            <w:tr w:rsidR="003C4F46" w14:paraId="0A2635DB" w14:textId="77777777" w:rsidTr="00474CA7">
              <w:trPr>
                <w:trHeight w:val="5060"/>
              </w:trPr>
              <w:tc>
                <w:tcPr>
                  <w:tcW w:w="504" w:type="pct"/>
                  <w:vMerge/>
                  <w:vAlign w:val="center"/>
                </w:tcPr>
                <w:p w14:paraId="7508B8FB"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6AAD6978"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4.</w:t>
                  </w:r>
                  <w:r>
                    <w:rPr>
                      <w:rFonts w:cs="Times New Roman"/>
                      <w:color w:val="000000" w:themeColor="text1"/>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w:t>
                  </w:r>
                  <w:r>
                    <w:rPr>
                      <w:rFonts w:cs="Times New Roman"/>
                      <w:color w:val="000000" w:themeColor="text1"/>
                      <w:sz w:val="21"/>
                      <w:szCs w:val="21"/>
                    </w:rPr>
                    <w:t>10%</w:t>
                  </w:r>
                  <w:r>
                    <w:rPr>
                      <w:rFonts w:cs="Times New Roman"/>
                      <w:color w:val="000000" w:themeColor="text1"/>
                      <w:sz w:val="21"/>
                      <w:szCs w:val="21"/>
                    </w:rPr>
                    <w:t>及以上的。</w:t>
                  </w:r>
                </w:p>
              </w:tc>
              <w:tc>
                <w:tcPr>
                  <w:tcW w:w="1110" w:type="pct"/>
                  <w:vAlign w:val="center"/>
                </w:tcPr>
                <w:p w14:paraId="19B41D34" w14:textId="4BDAF08A" w:rsidR="003C4F46" w:rsidRPr="00DB5A72" w:rsidRDefault="004B6A81">
                  <w:pPr>
                    <w:spacing w:line="240" w:lineRule="auto"/>
                    <w:ind w:firstLineChars="0" w:firstLine="0"/>
                    <w:rPr>
                      <w:rFonts w:cs="Times New Roman"/>
                      <w:sz w:val="21"/>
                      <w:szCs w:val="21"/>
                    </w:rPr>
                  </w:pPr>
                  <w:r w:rsidRPr="00DB5A72">
                    <w:rPr>
                      <w:rFonts w:cs="Times New Roman" w:hint="eastAsia"/>
                      <w:sz w:val="21"/>
                      <w:szCs w:val="21"/>
                    </w:rPr>
                    <w:t>项目位于巴州轮台县，项目所在区域为环境空气质量不达标区，主要超标因子为</w:t>
                  </w:r>
                  <w:r w:rsidRPr="00DB5A72">
                    <w:rPr>
                      <w:rFonts w:cs="Times New Roman"/>
                      <w:sz w:val="21"/>
                      <w:szCs w:val="21"/>
                    </w:rPr>
                    <w:t>PM₁₀</w:t>
                  </w:r>
                  <w:r w:rsidRPr="00DB5A72">
                    <w:rPr>
                      <w:rFonts w:cs="Times New Roman" w:hint="eastAsia"/>
                      <w:sz w:val="21"/>
                      <w:szCs w:val="21"/>
                    </w:rPr>
                    <w:t>、</w:t>
                  </w:r>
                  <w:r w:rsidRPr="00DB5A72">
                    <w:rPr>
                      <w:rFonts w:cs="Times New Roman"/>
                      <w:sz w:val="21"/>
                      <w:szCs w:val="21"/>
                    </w:rPr>
                    <w:t>PM₂.₅</w:t>
                  </w:r>
                  <w:r w:rsidRPr="00DB5A72">
                    <w:rPr>
                      <w:rFonts w:cs="Times New Roman" w:hint="eastAsia"/>
                      <w:sz w:val="21"/>
                      <w:szCs w:val="21"/>
                    </w:rPr>
                    <w:t>。原环评阶段污染物排放量为：有组织非甲烷总烃</w:t>
                  </w:r>
                  <w:r w:rsidRPr="00DB5A72">
                    <w:rPr>
                      <w:rFonts w:cs="Times New Roman"/>
                      <w:sz w:val="21"/>
                      <w:szCs w:val="21"/>
                    </w:rPr>
                    <w:t>0.495t/a</w:t>
                  </w:r>
                  <w:r w:rsidRPr="00DB5A72">
                    <w:rPr>
                      <w:rFonts w:cs="Times New Roman" w:hint="eastAsia"/>
                      <w:sz w:val="21"/>
                      <w:szCs w:val="21"/>
                    </w:rPr>
                    <w:t>，无组织非甲烷总烃</w:t>
                  </w:r>
                  <w:r w:rsidRPr="00DB5A72">
                    <w:rPr>
                      <w:rFonts w:cs="Times New Roman"/>
                      <w:sz w:val="21"/>
                      <w:szCs w:val="21"/>
                    </w:rPr>
                    <w:t>0.0</w:t>
                  </w:r>
                  <w:r w:rsidR="00DB5A72" w:rsidRPr="00DB5A72">
                    <w:rPr>
                      <w:rFonts w:cs="Times New Roman"/>
                      <w:sz w:val="21"/>
                      <w:szCs w:val="21"/>
                    </w:rPr>
                    <w:t>786</w:t>
                  </w:r>
                  <w:r w:rsidRPr="00DB5A72">
                    <w:rPr>
                      <w:rFonts w:cs="Times New Roman"/>
                      <w:sz w:val="21"/>
                      <w:szCs w:val="21"/>
                    </w:rPr>
                    <w:t>t/a</w:t>
                  </w:r>
                  <w:r w:rsidRPr="00DB5A72">
                    <w:rPr>
                      <w:rFonts w:cs="Times New Roman" w:hint="eastAsia"/>
                      <w:sz w:val="21"/>
                      <w:szCs w:val="21"/>
                    </w:rPr>
                    <w:t>（参照原环评报告数据）</w:t>
                  </w:r>
                </w:p>
              </w:tc>
              <w:tc>
                <w:tcPr>
                  <w:tcW w:w="1274" w:type="pct"/>
                  <w:vAlign w:val="center"/>
                </w:tcPr>
                <w:p w14:paraId="2DD109FE" w14:textId="533A8C62" w:rsidR="003C4F46" w:rsidRPr="00DB5A72" w:rsidRDefault="004B6A81">
                  <w:pPr>
                    <w:spacing w:line="240" w:lineRule="auto"/>
                    <w:ind w:firstLineChars="0" w:firstLine="0"/>
                    <w:rPr>
                      <w:rFonts w:cs="Times New Roman"/>
                      <w:sz w:val="21"/>
                      <w:szCs w:val="21"/>
                    </w:rPr>
                  </w:pPr>
                  <w:r w:rsidRPr="00DB5A72">
                    <w:rPr>
                      <w:rFonts w:cs="Times New Roman" w:hint="eastAsia"/>
                      <w:sz w:val="21"/>
                      <w:szCs w:val="21"/>
                    </w:rPr>
                    <w:t>位于环境空气质量不达标区不变；本项目废矿物油</w:t>
                  </w:r>
                  <w:r w:rsidR="00C05FD4" w:rsidRPr="00C05FD4">
                    <w:rPr>
                      <w:rFonts w:cs="Times New Roman" w:hint="eastAsia"/>
                      <w:sz w:val="21"/>
                      <w:szCs w:val="21"/>
                    </w:rPr>
                    <w:t>最大贮存量增幅达</w:t>
                  </w:r>
                  <w:r w:rsidR="00C05FD4" w:rsidRPr="00C05FD4">
                    <w:rPr>
                      <w:rFonts w:cs="Times New Roman" w:hint="eastAsia"/>
                      <w:sz w:val="21"/>
                      <w:szCs w:val="21"/>
                    </w:rPr>
                    <w:t>818%</w:t>
                  </w:r>
                  <w:r w:rsidRPr="00DB5A72">
                    <w:rPr>
                      <w:rFonts w:cs="Times New Roman" w:hint="eastAsia"/>
                      <w:sz w:val="21"/>
                      <w:szCs w:val="21"/>
                    </w:rPr>
                    <w:t>，全厂有组织非甲烷总烃排放量增至</w:t>
                  </w:r>
                  <w:r w:rsidRPr="00DB5A72">
                    <w:rPr>
                      <w:rFonts w:cs="Times New Roman" w:hint="eastAsia"/>
                      <w:sz w:val="21"/>
                      <w:szCs w:val="21"/>
                    </w:rPr>
                    <w:t>0.9t/a</w:t>
                  </w:r>
                  <w:r w:rsidRPr="00DB5A72">
                    <w:rPr>
                      <w:rFonts w:cs="Times New Roman" w:hint="eastAsia"/>
                      <w:sz w:val="21"/>
                      <w:szCs w:val="21"/>
                    </w:rPr>
                    <w:t>，非甲烷总烃排放量由</w:t>
                  </w:r>
                  <w:r w:rsidRPr="00DB5A72">
                    <w:rPr>
                      <w:rFonts w:cs="Times New Roman" w:hint="eastAsia"/>
                      <w:sz w:val="21"/>
                      <w:szCs w:val="21"/>
                    </w:rPr>
                    <w:t>0.495t/a</w:t>
                  </w:r>
                  <w:r w:rsidRPr="00DB5A72">
                    <w:rPr>
                      <w:rFonts w:cs="Times New Roman" w:hint="eastAsia"/>
                      <w:sz w:val="21"/>
                      <w:szCs w:val="21"/>
                    </w:rPr>
                    <w:t>增至</w:t>
                  </w:r>
                  <w:r w:rsidRPr="00DB5A72">
                    <w:rPr>
                      <w:rFonts w:cs="Times New Roman" w:hint="eastAsia"/>
                      <w:sz w:val="21"/>
                      <w:szCs w:val="21"/>
                    </w:rPr>
                    <w:t>0.9t/a</w:t>
                  </w:r>
                  <w:r w:rsidRPr="00DB5A72">
                    <w:rPr>
                      <w:rFonts w:cs="Times New Roman" w:hint="eastAsia"/>
                      <w:sz w:val="21"/>
                      <w:szCs w:val="21"/>
                    </w:rPr>
                    <w:t>，增幅约</w:t>
                  </w:r>
                  <w:r w:rsidRPr="00DB5A72">
                    <w:rPr>
                      <w:rFonts w:cs="Times New Roman" w:hint="eastAsia"/>
                      <w:sz w:val="21"/>
                      <w:szCs w:val="21"/>
                    </w:rPr>
                    <w:t>8</w:t>
                  </w:r>
                  <w:r w:rsidR="00DB5A72">
                    <w:rPr>
                      <w:rFonts w:cs="Times New Roman"/>
                      <w:sz w:val="21"/>
                      <w:szCs w:val="21"/>
                    </w:rPr>
                    <w:t>2</w:t>
                  </w:r>
                  <w:r w:rsidRPr="00DB5A72">
                    <w:rPr>
                      <w:rFonts w:cs="Times New Roman" w:hint="eastAsia"/>
                      <w:sz w:val="21"/>
                      <w:szCs w:val="21"/>
                    </w:rPr>
                    <w:t>%</w:t>
                  </w:r>
                  <w:r w:rsidRPr="00DB5A72">
                    <w:rPr>
                      <w:rFonts w:cs="Times New Roman" w:hint="eastAsia"/>
                      <w:sz w:val="21"/>
                      <w:szCs w:val="21"/>
                    </w:rPr>
                    <w:t>，超过</w:t>
                  </w:r>
                  <w:r w:rsidRPr="00DB5A72">
                    <w:rPr>
                      <w:rFonts w:cs="Times New Roman" w:hint="eastAsia"/>
                      <w:sz w:val="21"/>
                      <w:szCs w:val="21"/>
                    </w:rPr>
                    <w:t>10%</w:t>
                  </w:r>
                  <w:r w:rsidRPr="00DB5A72">
                    <w:rPr>
                      <w:rFonts w:cs="Times New Roman" w:hint="eastAsia"/>
                      <w:sz w:val="21"/>
                      <w:szCs w:val="21"/>
                    </w:rPr>
                    <w:t>阈值</w:t>
                  </w:r>
                </w:p>
              </w:tc>
              <w:tc>
                <w:tcPr>
                  <w:tcW w:w="677" w:type="pct"/>
                  <w:vAlign w:val="center"/>
                </w:tcPr>
                <w:p w14:paraId="47790E4B"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是</w:t>
                  </w:r>
                </w:p>
              </w:tc>
            </w:tr>
            <w:tr w:rsidR="003C4F46" w14:paraId="57F82BC3" w14:textId="77777777">
              <w:trPr>
                <w:trHeight w:val="90"/>
              </w:trPr>
              <w:tc>
                <w:tcPr>
                  <w:tcW w:w="504" w:type="pct"/>
                  <w:vAlign w:val="center"/>
                </w:tcPr>
                <w:p w14:paraId="76ECC788"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地点</w:t>
                  </w:r>
                </w:p>
              </w:tc>
              <w:tc>
                <w:tcPr>
                  <w:tcW w:w="1435" w:type="pct"/>
                  <w:vAlign w:val="center"/>
                </w:tcPr>
                <w:p w14:paraId="74AF965A"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5.</w:t>
                  </w:r>
                  <w:r>
                    <w:rPr>
                      <w:rFonts w:cs="Times New Roman"/>
                      <w:color w:val="000000" w:themeColor="text1"/>
                      <w:sz w:val="21"/>
                      <w:szCs w:val="21"/>
                    </w:rPr>
                    <w:t>重新选址；在原厂址附近调整（包括总平面布置变化）导致环境防护距离范围变化且新增敏感点的。</w:t>
                  </w:r>
                </w:p>
              </w:tc>
              <w:tc>
                <w:tcPr>
                  <w:tcW w:w="1110" w:type="pct"/>
                  <w:vAlign w:val="center"/>
                </w:tcPr>
                <w:p w14:paraId="0F27F4E8" w14:textId="39D362FE" w:rsidR="003C4F46" w:rsidRPr="00154C6E" w:rsidRDefault="00154C6E" w:rsidP="008C10CB">
                  <w:pPr>
                    <w:spacing w:line="240" w:lineRule="auto"/>
                    <w:ind w:firstLineChars="0" w:firstLine="0"/>
                    <w:rPr>
                      <w:rFonts w:cs="Times New Roman"/>
                      <w:color w:val="000000" w:themeColor="text1"/>
                      <w:sz w:val="21"/>
                      <w:szCs w:val="21"/>
                    </w:rPr>
                  </w:pPr>
                  <w:r w:rsidRPr="00154C6E">
                    <w:rPr>
                      <w:rFonts w:cs="Times New Roman" w:hint="eastAsia"/>
                      <w:color w:val="000000" w:themeColor="text1"/>
                      <w:sz w:val="21"/>
                      <w:szCs w:val="21"/>
                    </w:rPr>
                    <w:t>位于轮台工业园区拉依苏石油化工区，轮台塔中石油化工有限公司现有厂区</w:t>
                  </w:r>
                  <w:r w:rsidRPr="00154C6E">
                    <w:rPr>
                      <w:rFonts w:cs="Times New Roman" w:hint="eastAsia"/>
                      <w:color w:val="000000" w:themeColor="text1"/>
                      <w:sz w:val="21"/>
                      <w:szCs w:val="21"/>
                    </w:rPr>
                    <w:lastRenderedPageBreak/>
                    <w:t>内</w:t>
                  </w:r>
                </w:p>
              </w:tc>
              <w:tc>
                <w:tcPr>
                  <w:tcW w:w="1274" w:type="pct"/>
                  <w:vAlign w:val="center"/>
                </w:tcPr>
                <w:p w14:paraId="0AEB25A7" w14:textId="77777777"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lastRenderedPageBreak/>
                    <w:t>仍位于同一厂区内，未重新选址；总平面布置方面，废矿物油贮存由</w:t>
                  </w:r>
                  <w:r>
                    <w:rPr>
                      <w:rFonts w:cs="Times New Roman" w:hint="eastAsia"/>
                      <w:color w:val="000000" w:themeColor="text1"/>
                      <w:sz w:val="21"/>
                      <w:szCs w:val="21"/>
                    </w:rPr>
                    <w:t>1#</w:t>
                  </w:r>
                  <w:r>
                    <w:rPr>
                      <w:rFonts w:cs="Times New Roman" w:hint="eastAsia"/>
                      <w:color w:val="000000" w:themeColor="text1"/>
                      <w:sz w:val="21"/>
                      <w:szCs w:val="21"/>
                    </w:rPr>
                    <w:t>贮存库内调整至厂区</w:t>
                  </w:r>
                  <w:r>
                    <w:rPr>
                      <w:rFonts w:cs="Times New Roman" w:hint="eastAsia"/>
                      <w:color w:val="000000" w:themeColor="text1"/>
                      <w:sz w:val="21"/>
                      <w:szCs w:val="21"/>
                    </w:rPr>
                    <w:lastRenderedPageBreak/>
                    <w:t>北侧罐区，属于厂区内部布局调整；厂界外</w:t>
                  </w:r>
                  <w:r>
                    <w:rPr>
                      <w:rFonts w:cs="Times New Roman" w:hint="eastAsia"/>
                      <w:color w:val="000000" w:themeColor="text1"/>
                      <w:sz w:val="21"/>
                      <w:szCs w:val="21"/>
                    </w:rPr>
                    <w:t>500m</w:t>
                  </w:r>
                  <w:r>
                    <w:rPr>
                      <w:rFonts w:cs="Times New Roman" w:hint="eastAsia"/>
                      <w:color w:val="000000" w:themeColor="text1"/>
                      <w:sz w:val="21"/>
                      <w:szCs w:val="21"/>
                    </w:rPr>
                    <w:t>范围内无居民区、学校、医院等大气环境敏感目标，防护距离范围未发生实质性变化，未新增敏感点</w:t>
                  </w:r>
                </w:p>
              </w:tc>
              <w:tc>
                <w:tcPr>
                  <w:tcW w:w="677" w:type="pct"/>
                  <w:vAlign w:val="center"/>
                </w:tcPr>
                <w:p w14:paraId="7A102213"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lastRenderedPageBreak/>
                    <w:t>否</w:t>
                  </w:r>
                </w:p>
              </w:tc>
            </w:tr>
            <w:tr w:rsidR="003C4F46" w14:paraId="2489694B" w14:textId="77777777" w:rsidTr="00C00F9E">
              <w:trPr>
                <w:trHeight w:val="1941"/>
              </w:trPr>
              <w:tc>
                <w:tcPr>
                  <w:tcW w:w="504" w:type="pct"/>
                  <w:vMerge w:val="restart"/>
                  <w:vAlign w:val="center"/>
                </w:tcPr>
                <w:p w14:paraId="66B3B13A"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生产工艺</w:t>
                  </w:r>
                </w:p>
              </w:tc>
              <w:tc>
                <w:tcPr>
                  <w:tcW w:w="1435" w:type="pct"/>
                  <w:vAlign w:val="center"/>
                </w:tcPr>
                <w:p w14:paraId="16A2F2A9"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6.</w:t>
                  </w:r>
                  <w:r>
                    <w:rPr>
                      <w:rFonts w:cs="Times New Roman"/>
                      <w:color w:val="000000" w:themeColor="text1"/>
                      <w:sz w:val="21"/>
                      <w:szCs w:val="21"/>
                    </w:rPr>
                    <w:t>新增产品品种或生产工艺（含主要生产装置、设备及配套设施）、主要原辅材料、燃料变化，导致以下情形之一：</w:t>
                  </w:r>
                </w:p>
                <w:p w14:paraId="04440927"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w:t>
                  </w:r>
                  <w:r>
                    <w:rPr>
                      <w:rFonts w:cs="Times New Roman"/>
                      <w:color w:val="000000" w:themeColor="text1"/>
                      <w:sz w:val="21"/>
                      <w:szCs w:val="21"/>
                    </w:rPr>
                    <w:t>1</w:t>
                  </w:r>
                  <w:r>
                    <w:rPr>
                      <w:rFonts w:cs="Times New Roman"/>
                      <w:color w:val="000000" w:themeColor="text1"/>
                      <w:sz w:val="21"/>
                      <w:szCs w:val="21"/>
                    </w:rPr>
                    <w:t>）新增排放污染物种类的（毒性、挥发性降低的除外）；</w:t>
                  </w:r>
                </w:p>
                <w:p w14:paraId="411FC2C8"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w:t>
                  </w:r>
                  <w:r>
                    <w:rPr>
                      <w:rFonts w:cs="Times New Roman"/>
                      <w:color w:val="000000" w:themeColor="text1"/>
                      <w:sz w:val="21"/>
                      <w:szCs w:val="21"/>
                    </w:rPr>
                    <w:t>2</w:t>
                  </w:r>
                  <w:r>
                    <w:rPr>
                      <w:rFonts w:cs="Times New Roman"/>
                      <w:color w:val="000000" w:themeColor="text1"/>
                      <w:sz w:val="21"/>
                      <w:szCs w:val="21"/>
                    </w:rPr>
                    <w:t>）位于环境质量不达标区的建设项目相应污染物排放量增加的；</w:t>
                  </w:r>
                </w:p>
                <w:p w14:paraId="7A805389"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w:t>
                  </w:r>
                  <w:r>
                    <w:rPr>
                      <w:rFonts w:cs="Times New Roman"/>
                      <w:color w:val="000000" w:themeColor="text1"/>
                      <w:sz w:val="21"/>
                      <w:szCs w:val="21"/>
                    </w:rPr>
                    <w:t>3</w:t>
                  </w:r>
                  <w:r>
                    <w:rPr>
                      <w:rFonts w:cs="Times New Roman"/>
                      <w:color w:val="000000" w:themeColor="text1"/>
                      <w:sz w:val="21"/>
                      <w:szCs w:val="21"/>
                    </w:rPr>
                    <w:t>）废水第一类污染物排放量增加的；</w:t>
                  </w:r>
                </w:p>
                <w:p w14:paraId="2811A9A7"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w:t>
                  </w:r>
                  <w:r>
                    <w:rPr>
                      <w:rFonts w:cs="Times New Roman"/>
                      <w:color w:val="000000" w:themeColor="text1"/>
                      <w:sz w:val="21"/>
                      <w:szCs w:val="21"/>
                    </w:rPr>
                    <w:t>4</w:t>
                  </w:r>
                  <w:r>
                    <w:rPr>
                      <w:rFonts w:cs="Times New Roman"/>
                      <w:color w:val="000000" w:themeColor="text1"/>
                      <w:sz w:val="21"/>
                      <w:szCs w:val="21"/>
                    </w:rPr>
                    <w:t>）其他污染物排放量增加</w:t>
                  </w:r>
                  <w:r>
                    <w:rPr>
                      <w:rFonts w:cs="Times New Roman"/>
                      <w:color w:val="000000" w:themeColor="text1"/>
                      <w:sz w:val="21"/>
                      <w:szCs w:val="21"/>
                    </w:rPr>
                    <w:t>10%</w:t>
                  </w:r>
                  <w:r>
                    <w:rPr>
                      <w:rFonts w:cs="Times New Roman"/>
                      <w:color w:val="000000" w:themeColor="text1"/>
                      <w:sz w:val="21"/>
                      <w:szCs w:val="21"/>
                    </w:rPr>
                    <w:t>及以上的。</w:t>
                  </w:r>
                </w:p>
              </w:tc>
              <w:tc>
                <w:tcPr>
                  <w:tcW w:w="1110" w:type="pct"/>
                  <w:vAlign w:val="center"/>
                </w:tcPr>
                <w:p w14:paraId="48A64150" w14:textId="556C6DFE"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主要原辅材料：危险废物</w:t>
                  </w:r>
                  <w:r>
                    <w:rPr>
                      <w:rFonts w:cs="Times New Roman"/>
                      <w:color w:val="000000" w:themeColor="text1"/>
                      <w:sz w:val="21"/>
                      <w:szCs w:val="21"/>
                    </w:rPr>
                    <w:t>13</w:t>
                  </w:r>
                  <w:r>
                    <w:rPr>
                      <w:rFonts w:cs="Times New Roman"/>
                      <w:color w:val="000000" w:themeColor="text1"/>
                      <w:sz w:val="21"/>
                      <w:szCs w:val="21"/>
                    </w:rPr>
                    <w:t>类</w:t>
                  </w:r>
                  <w:r>
                    <w:rPr>
                      <w:rFonts w:cs="Times New Roman"/>
                      <w:color w:val="000000" w:themeColor="text1"/>
                      <w:sz w:val="21"/>
                      <w:szCs w:val="21"/>
                    </w:rPr>
                    <w:t>3</w:t>
                  </w:r>
                  <w:r w:rsidR="00617154">
                    <w:rPr>
                      <w:rFonts w:cs="Times New Roman"/>
                      <w:color w:val="000000" w:themeColor="text1"/>
                      <w:sz w:val="21"/>
                      <w:szCs w:val="21"/>
                    </w:rPr>
                    <w:t>7</w:t>
                  </w:r>
                  <w:r>
                    <w:rPr>
                      <w:rFonts w:cs="Times New Roman"/>
                      <w:color w:val="000000" w:themeColor="text1"/>
                      <w:sz w:val="21"/>
                      <w:szCs w:val="21"/>
                    </w:rPr>
                    <w:t>小项（</w:t>
                  </w:r>
                  <w:r>
                    <w:rPr>
                      <w:rFonts w:cs="Times New Roman"/>
                      <w:color w:val="000000" w:themeColor="text1"/>
                      <w:sz w:val="21"/>
                      <w:szCs w:val="21"/>
                    </w:rPr>
                    <w:t>HW03</w:t>
                  </w:r>
                  <w:r>
                    <w:rPr>
                      <w:rFonts w:cs="Times New Roman"/>
                      <w:color w:val="000000" w:themeColor="text1"/>
                      <w:sz w:val="21"/>
                      <w:szCs w:val="21"/>
                    </w:rPr>
                    <w:t>、</w:t>
                  </w:r>
                  <w:r>
                    <w:rPr>
                      <w:rFonts w:cs="Times New Roman"/>
                      <w:color w:val="000000" w:themeColor="text1"/>
                      <w:sz w:val="21"/>
                      <w:szCs w:val="21"/>
                    </w:rPr>
                    <w:t>HW04</w:t>
                  </w:r>
                  <w:r>
                    <w:rPr>
                      <w:rFonts w:cs="Times New Roman"/>
                      <w:color w:val="000000" w:themeColor="text1"/>
                      <w:sz w:val="21"/>
                      <w:szCs w:val="21"/>
                    </w:rPr>
                    <w:t>、</w:t>
                  </w:r>
                  <w:r>
                    <w:rPr>
                      <w:rFonts w:cs="Times New Roman"/>
                      <w:color w:val="000000" w:themeColor="text1"/>
                      <w:sz w:val="21"/>
                      <w:szCs w:val="21"/>
                    </w:rPr>
                    <w:t>HW05</w:t>
                  </w:r>
                  <w:r>
                    <w:rPr>
                      <w:rFonts w:cs="Times New Roman"/>
                      <w:color w:val="000000" w:themeColor="text1"/>
                      <w:sz w:val="21"/>
                      <w:szCs w:val="21"/>
                    </w:rPr>
                    <w:t>、</w:t>
                  </w:r>
                  <w:r>
                    <w:rPr>
                      <w:rFonts w:cs="Times New Roman"/>
                      <w:color w:val="000000" w:themeColor="text1"/>
                      <w:sz w:val="21"/>
                      <w:szCs w:val="21"/>
                    </w:rPr>
                    <w:t>HW06</w:t>
                  </w:r>
                  <w:r>
                    <w:rPr>
                      <w:rFonts w:cs="Times New Roman"/>
                      <w:color w:val="000000" w:themeColor="text1"/>
                      <w:sz w:val="21"/>
                      <w:szCs w:val="21"/>
                    </w:rPr>
                    <w:t>、</w:t>
                  </w:r>
                  <w:r>
                    <w:rPr>
                      <w:rFonts w:cs="Times New Roman"/>
                      <w:color w:val="000000" w:themeColor="text1"/>
                      <w:sz w:val="21"/>
                      <w:szCs w:val="21"/>
                    </w:rPr>
                    <w:t>HW08</w:t>
                  </w:r>
                  <w:r>
                    <w:rPr>
                      <w:rFonts w:cs="Times New Roman"/>
                      <w:color w:val="000000" w:themeColor="text1"/>
                      <w:sz w:val="21"/>
                      <w:szCs w:val="21"/>
                    </w:rPr>
                    <w:t>、</w:t>
                  </w:r>
                  <w:r>
                    <w:rPr>
                      <w:rFonts w:cs="Times New Roman"/>
                      <w:color w:val="000000" w:themeColor="text1"/>
                      <w:sz w:val="21"/>
                      <w:szCs w:val="21"/>
                    </w:rPr>
                    <w:t>HW12</w:t>
                  </w:r>
                  <w:r>
                    <w:rPr>
                      <w:rFonts w:cs="Times New Roman"/>
                      <w:color w:val="000000" w:themeColor="text1"/>
                      <w:sz w:val="21"/>
                      <w:szCs w:val="21"/>
                    </w:rPr>
                    <w:t>、</w:t>
                  </w:r>
                  <w:r>
                    <w:rPr>
                      <w:rFonts w:cs="Times New Roman"/>
                      <w:color w:val="000000" w:themeColor="text1"/>
                      <w:sz w:val="21"/>
                      <w:szCs w:val="21"/>
                    </w:rPr>
                    <w:t>HW13</w:t>
                  </w:r>
                  <w:r>
                    <w:rPr>
                      <w:rFonts w:cs="Times New Roman"/>
                      <w:color w:val="000000" w:themeColor="text1"/>
                      <w:sz w:val="21"/>
                      <w:szCs w:val="21"/>
                    </w:rPr>
                    <w:t>、</w:t>
                  </w:r>
                  <w:r>
                    <w:rPr>
                      <w:rFonts w:cs="Times New Roman"/>
                      <w:color w:val="000000" w:themeColor="text1"/>
                      <w:sz w:val="21"/>
                      <w:szCs w:val="21"/>
                    </w:rPr>
                    <w:t>HW16</w:t>
                  </w:r>
                  <w:r>
                    <w:rPr>
                      <w:rFonts w:cs="Times New Roman"/>
                      <w:color w:val="000000" w:themeColor="text1"/>
                      <w:sz w:val="21"/>
                      <w:szCs w:val="21"/>
                    </w:rPr>
                    <w:t>、</w:t>
                  </w:r>
                  <w:r>
                    <w:rPr>
                      <w:rFonts w:cs="Times New Roman"/>
                      <w:color w:val="000000" w:themeColor="text1"/>
                      <w:sz w:val="21"/>
                      <w:szCs w:val="21"/>
                    </w:rPr>
                    <w:t>HW29</w:t>
                  </w:r>
                  <w:r>
                    <w:rPr>
                      <w:rFonts w:cs="Times New Roman"/>
                      <w:color w:val="000000" w:themeColor="text1"/>
                      <w:sz w:val="21"/>
                      <w:szCs w:val="21"/>
                    </w:rPr>
                    <w:t>、</w:t>
                  </w:r>
                  <w:r>
                    <w:rPr>
                      <w:rFonts w:cs="Times New Roman"/>
                      <w:color w:val="000000" w:themeColor="text1"/>
                      <w:sz w:val="21"/>
                      <w:szCs w:val="21"/>
                    </w:rPr>
                    <w:t>HW31</w:t>
                  </w:r>
                  <w:r>
                    <w:rPr>
                      <w:rFonts w:cs="Times New Roman"/>
                      <w:color w:val="000000" w:themeColor="text1"/>
                      <w:sz w:val="21"/>
                      <w:szCs w:val="21"/>
                    </w:rPr>
                    <w:t>、</w:t>
                  </w:r>
                  <w:r>
                    <w:rPr>
                      <w:rFonts w:cs="Times New Roman"/>
                      <w:color w:val="000000" w:themeColor="text1"/>
                      <w:sz w:val="21"/>
                      <w:szCs w:val="21"/>
                    </w:rPr>
                    <w:t>HW36</w:t>
                  </w:r>
                  <w:r>
                    <w:rPr>
                      <w:rFonts w:cs="Times New Roman"/>
                      <w:color w:val="000000" w:themeColor="text1"/>
                      <w:sz w:val="21"/>
                      <w:szCs w:val="21"/>
                    </w:rPr>
                    <w:t>、</w:t>
                  </w:r>
                  <w:r>
                    <w:rPr>
                      <w:rFonts w:cs="Times New Roman"/>
                      <w:color w:val="000000" w:themeColor="text1"/>
                      <w:sz w:val="21"/>
                      <w:szCs w:val="21"/>
                    </w:rPr>
                    <w:t>HW49</w:t>
                  </w:r>
                  <w:r>
                    <w:rPr>
                      <w:rFonts w:cs="Times New Roman"/>
                      <w:color w:val="000000" w:themeColor="text1"/>
                      <w:sz w:val="21"/>
                      <w:szCs w:val="21"/>
                    </w:rPr>
                    <w:t>、</w:t>
                  </w:r>
                  <w:r>
                    <w:rPr>
                      <w:rFonts w:cs="Times New Roman"/>
                      <w:color w:val="000000" w:themeColor="text1"/>
                      <w:sz w:val="21"/>
                      <w:szCs w:val="21"/>
                    </w:rPr>
                    <w:t>HW50</w:t>
                  </w:r>
                  <w:r>
                    <w:rPr>
                      <w:rFonts w:cs="Times New Roman"/>
                      <w:color w:val="000000" w:themeColor="text1"/>
                      <w:sz w:val="21"/>
                      <w:szCs w:val="21"/>
                    </w:rPr>
                    <w:t>）</w:t>
                  </w:r>
                </w:p>
                <w:p w14:paraId="2D246524"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生产工艺：危险废物收集</w:t>
                  </w:r>
                  <w:r>
                    <w:rPr>
                      <w:rFonts w:cs="Times New Roman"/>
                      <w:color w:val="000000" w:themeColor="text1"/>
                      <w:sz w:val="21"/>
                      <w:szCs w:val="21"/>
                    </w:rPr>
                    <w:t>→</w:t>
                  </w:r>
                  <w:r>
                    <w:rPr>
                      <w:rFonts w:cs="Times New Roman"/>
                      <w:color w:val="000000" w:themeColor="text1"/>
                      <w:sz w:val="21"/>
                      <w:szCs w:val="21"/>
                    </w:rPr>
                    <w:t>进场贮存</w:t>
                  </w:r>
                  <w:r>
                    <w:rPr>
                      <w:rFonts w:cs="Times New Roman"/>
                      <w:color w:val="000000" w:themeColor="text1"/>
                      <w:sz w:val="21"/>
                      <w:szCs w:val="21"/>
                    </w:rPr>
                    <w:t>→</w:t>
                  </w:r>
                  <w:r>
                    <w:rPr>
                      <w:rFonts w:cs="Times New Roman"/>
                      <w:color w:val="000000" w:themeColor="text1"/>
                      <w:sz w:val="21"/>
                      <w:szCs w:val="21"/>
                    </w:rPr>
                    <w:t>运出场外交由资质单位处置</w:t>
                  </w:r>
                </w:p>
                <w:p w14:paraId="6848F011" w14:textId="77777777" w:rsidR="003C4F46" w:rsidRDefault="004B6A81">
                  <w:pPr>
                    <w:spacing w:line="240" w:lineRule="auto"/>
                    <w:ind w:firstLineChars="0" w:firstLine="0"/>
                    <w:rPr>
                      <w:rFonts w:cs="Times New Roman"/>
                      <w:sz w:val="21"/>
                      <w:szCs w:val="21"/>
                    </w:rPr>
                  </w:pPr>
                  <w:r>
                    <w:rPr>
                      <w:rFonts w:cs="Times New Roman"/>
                      <w:color w:val="000000" w:themeColor="text1"/>
                      <w:sz w:val="21"/>
                      <w:szCs w:val="21"/>
                    </w:rPr>
                    <w:t>主要生产设施：</w:t>
                  </w:r>
                  <w:r>
                    <w:rPr>
                      <w:rFonts w:cs="Times New Roman"/>
                      <w:color w:val="000000" w:themeColor="text1"/>
                      <w:sz w:val="21"/>
                      <w:szCs w:val="21"/>
                    </w:rPr>
                    <w:t>1#</w:t>
                  </w:r>
                  <w:r>
                    <w:rPr>
                      <w:rFonts w:cs="Times New Roman"/>
                      <w:color w:val="000000" w:themeColor="text1"/>
                      <w:sz w:val="21"/>
                      <w:szCs w:val="21"/>
                    </w:rPr>
                    <w:t>贮存库（</w:t>
                  </w:r>
                  <w:r>
                    <w:rPr>
                      <w:rFonts w:cs="Times New Roman"/>
                      <w:color w:val="000000" w:themeColor="text1"/>
                      <w:sz w:val="21"/>
                      <w:szCs w:val="21"/>
                    </w:rPr>
                    <w:t>310m²</w:t>
                  </w:r>
                  <w:r>
                    <w:rPr>
                      <w:rFonts w:cs="Times New Roman"/>
                      <w:color w:val="000000" w:themeColor="text1"/>
                      <w:sz w:val="21"/>
                      <w:szCs w:val="21"/>
                    </w:rPr>
                    <w:t>）</w:t>
                  </w:r>
                  <w:r>
                    <w:rPr>
                      <w:rFonts w:cs="Times New Roman"/>
                      <w:color w:val="000000" w:themeColor="text1"/>
                      <w:sz w:val="21"/>
                      <w:szCs w:val="21"/>
                    </w:rPr>
                    <w:t>+2#</w:t>
                  </w:r>
                  <w:r>
                    <w:rPr>
                      <w:rFonts w:cs="Times New Roman"/>
                      <w:color w:val="000000" w:themeColor="text1"/>
                      <w:sz w:val="21"/>
                      <w:szCs w:val="21"/>
                    </w:rPr>
                    <w:t>贮存库（</w:t>
                  </w:r>
                  <w:r>
                    <w:rPr>
                      <w:rFonts w:cs="Times New Roman"/>
                      <w:color w:val="000000" w:themeColor="text1"/>
                      <w:sz w:val="21"/>
                      <w:szCs w:val="21"/>
                    </w:rPr>
                    <w:t>290m²</w:t>
                  </w:r>
                  <w:r>
                    <w:rPr>
                      <w:rFonts w:cs="Times New Roman"/>
                      <w:color w:val="000000" w:themeColor="text1"/>
                      <w:sz w:val="21"/>
                      <w:szCs w:val="21"/>
                    </w:rPr>
                    <w:t>）</w:t>
                  </w:r>
                  <w:r>
                    <w:rPr>
                      <w:rFonts w:cs="Times New Roman"/>
                      <w:color w:val="000000" w:themeColor="text1"/>
                      <w:sz w:val="21"/>
                      <w:szCs w:val="21"/>
                    </w:rPr>
                    <w:t>+1</w:t>
                  </w:r>
                  <w:r>
                    <w:rPr>
                      <w:rFonts w:cs="Times New Roman"/>
                      <w:color w:val="000000" w:themeColor="text1"/>
                      <w:sz w:val="21"/>
                      <w:szCs w:val="21"/>
                    </w:rPr>
                    <w:t>个</w:t>
                  </w:r>
                  <w:r>
                    <w:rPr>
                      <w:rFonts w:cs="Times New Roman"/>
                      <w:color w:val="000000" w:themeColor="text1"/>
                      <w:sz w:val="21"/>
                      <w:szCs w:val="21"/>
                    </w:rPr>
                    <w:t>40m³</w:t>
                  </w:r>
                  <w:r>
                    <w:rPr>
                      <w:rFonts w:cs="Times New Roman"/>
                      <w:color w:val="000000" w:themeColor="text1"/>
                      <w:sz w:val="21"/>
                      <w:szCs w:val="21"/>
                    </w:rPr>
                    <w:t>储罐</w:t>
                  </w:r>
                </w:p>
              </w:tc>
              <w:tc>
                <w:tcPr>
                  <w:tcW w:w="1274" w:type="pct"/>
                  <w:vAlign w:val="center"/>
                </w:tcPr>
                <w:p w14:paraId="512E9BC9" w14:textId="52BC1933"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t>主要原辅材料：</w:t>
                  </w:r>
                  <w:r w:rsidR="001B10CE" w:rsidRPr="001B10CE">
                    <w:rPr>
                      <w:rFonts w:cs="Times New Roman" w:hint="eastAsia"/>
                      <w:color w:val="000000" w:themeColor="text1"/>
                      <w:sz w:val="21"/>
                      <w:szCs w:val="21"/>
                    </w:rPr>
                    <w:t>本次重新报批对危险废物收贮类别进行调整</w:t>
                  </w:r>
                  <w:r w:rsidR="00DB5A72">
                    <w:rPr>
                      <w:rFonts w:cs="Times New Roman" w:hint="eastAsia"/>
                      <w:color w:val="000000" w:themeColor="text1"/>
                      <w:sz w:val="21"/>
                      <w:szCs w:val="21"/>
                    </w:rPr>
                    <w:t>，</w:t>
                  </w:r>
                  <w:r w:rsidR="00CF799D" w:rsidRPr="00CF799D">
                    <w:rPr>
                      <w:rFonts w:cs="Times New Roman" w:hint="eastAsia"/>
                      <w:color w:val="000000" w:themeColor="text1"/>
                      <w:sz w:val="21"/>
                      <w:szCs w:val="21"/>
                    </w:rPr>
                    <w:t>原项目涉及</w:t>
                  </w:r>
                  <w:r w:rsidR="00CF799D" w:rsidRPr="00CF799D">
                    <w:rPr>
                      <w:rFonts w:cs="Times New Roman" w:hint="eastAsia"/>
                      <w:color w:val="000000" w:themeColor="text1"/>
                      <w:sz w:val="21"/>
                      <w:szCs w:val="21"/>
                    </w:rPr>
                    <w:t>13</w:t>
                  </w:r>
                  <w:r w:rsidR="00CF799D" w:rsidRPr="00CF799D">
                    <w:rPr>
                      <w:rFonts w:cs="Times New Roman" w:hint="eastAsia"/>
                      <w:color w:val="000000" w:themeColor="text1"/>
                      <w:sz w:val="21"/>
                      <w:szCs w:val="21"/>
                    </w:rPr>
                    <w:t>类</w:t>
                  </w:r>
                  <w:r w:rsidR="00CF799D" w:rsidRPr="00CF799D">
                    <w:rPr>
                      <w:rFonts w:cs="Times New Roman" w:hint="eastAsia"/>
                      <w:color w:val="000000" w:themeColor="text1"/>
                      <w:sz w:val="21"/>
                      <w:szCs w:val="21"/>
                    </w:rPr>
                    <w:t>37</w:t>
                  </w:r>
                  <w:r w:rsidR="00CF799D" w:rsidRPr="00CF799D">
                    <w:rPr>
                      <w:rFonts w:cs="Times New Roman" w:hint="eastAsia"/>
                      <w:color w:val="000000" w:themeColor="text1"/>
                      <w:sz w:val="21"/>
                      <w:szCs w:val="21"/>
                    </w:rPr>
                    <w:t>项废物代码，本次重新报批后调整为</w:t>
                  </w:r>
                  <w:r w:rsidR="00CF799D" w:rsidRPr="00CF799D">
                    <w:rPr>
                      <w:rFonts w:cs="Times New Roman" w:hint="eastAsia"/>
                      <w:color w:val="000000" w:themeColor="text1"/>
                      <w:sz w:val="21"/>
                      <w:szCs w:val="21"/>
                    </w:rPr>
                    <w:t>12</w:t>
                  </w:r>
                  <w:r w:rsidR="00CF799D" w:rsidRPr="00CF799D">
                    <w:rPr>
                      <w:rFonts w:cs="Times New Roman" w:hint="eastAsia"/>
                      <w:color w:val="000000" w:themeColor="text1"/>
                      <w:sz w:val="21"/>
                      <w:szCs w:val="21"/>
                    </w:rPr>
                    <w:t>类</w:t>
                  </w:r>
                  <w:r w:rsidR="00CF799D" w:rsidRPr="00CF799D">
                    <w:rPr>
                      <w:rFonts w:cs="Times New Roman" w:hint="eastAsia"/>
                      <w:color w:val="000000" w:themeColor="text1"/>
                      <w:sz w:val="21"/>
                      <w:szCs w:val="21"/>
                    </w:rPr>
                    <w:t>4</w:t>
                  </w:r>
                  <w:r w:rsidR="00E42974">
                    <w:rPr>
                      <w:rFonts w:cs="Times New Roman"/>
                      <w:color w:val="000000" w:themeColor="text1"/>
                      <w:sz w:val="21"/>
                      <w:szCs w:val="21"/>
                    </w:rPr>
                    <w:t>2</w:t>
                  </w:r>
                  <w:r w:rsidR="00CF799D" w:rsidRPr="00CF799D">
                    <w:rPr>
                      <w:rFonts w:cs="Times New Roman" w:hint="eastAsia"/>
                      <w:color w:val="000000" w:themeColor="text1"/>
                      <w:sz w:val="21"/>
                      <w:szCs w:val="21"/>
                    </w:rPr>
                    <w:t>项。其中新增</w:t>
                  </w:r>
                  <w:r w:rsidR="00CF799D" w:rsidRPr="00CF799D">
                    <w:rPr>
                      <w:rFonts w:cs="Times New Roman" w:hint="eastAsia"/>
                      <w:color w:val="000000" w:themeColor="text1"/>
                      <w:sz w:val="21"/>
                      <w:szCs w:val="21"/>
                    </w:rPr>
                    <w:t>HW09</w:t>
                  </w:r>
                  <w:r w:rsidR="00CF799D" w:rsidRPr="00CF799D">
                    <w:rPr>
                      <w:rFonts w:cs="Times New Roman" w:hint="eastAsia"/>
                      <w:color w:val="000000" w:themeColor="text1"/>
                      <w:sz w:val="21"/>
                      <w:szCs w:val="21"/>
                    </w:rPr>
                    <w:t>、</w:t>
                  </w:r>
                  <w:r w:rsidR="00CF799D" w:rsidRPr="00CF799D">
                    <w:rPr>
                      <w:rFonts w:cs="Times New Roman" w:hint="eastAsia"/>
                      <w:color w:val="000000" w:themeColor="text1"/>
                      <w:sz w:val="21"/>
                      <w:szCs w:val="21"/>
                    </w:rPr>
                    <w:t>HW35</w:t>
                  </w:r>
                  <w:r w:rsidR="00CF799D" w:rsidRPr="00CF799D">
                    <w:rPr>
                      <w:rFonts w:cs="Times New Roman" w:hint="eastAsia"/>
                      <w:color w:val="000000" w:themeColor="text1"/>
                      <w:sz w:val="21"/>
                      <w:szCs w:val="21"/>
                    </w:rPr>
                    <w:t>两类，剔除</w:t>
                  </w:r>
                  <w:r w:rsidR="00CF799D" w:rsidRPr="00CF799D">
                    <w:rPr>
                      <w:rFonts w:cs="Times New Roman" w:hint="eastAsia"/>
                      <w:color w:val="000000" w:themeColor="text1"/>
                      <w:sz w:val="21"/>
                      <w:szCs w:val="21"/>
                    </w:rPr>
                    <w:t>HW03</w:t>
                  </w:r>
                  <w:r w:rsidR="00CF799D" w:rsidRPr="00CF799D">
                    <w:rPr>
                      <w:rFonts w:cs="Times New Roman" w:hint="eastAsia"/>
                      <w:color w:val="000000" w:themeColor="text1"/>
                      <w:sz w:val="21"/>
                      <w:szCs w:val="21"/>
                    </w:rPr>
                    <w:t>、</w:t>
                  </w:r>
                  <w:r w:rsidR="00CF799D" w:rsidRPr="00CF799D">
                    <w:rPr>
                      <w:rFonts w:cs="Times New Roman" w:hint="eastAsia"/>
                      <w:color w:val="000000" w:themeColor="text1"/>
                      <w:sz w:val="21"/>
                      <w:szCs w:val="21"/>
                    </w:rPr>
                    <w:t>HW04</w:t>
                  </w:r>
                  <w:r w:rsidR="00CF799D" w:rsidRPr="00CF799D">
                    <w:rPr>
                      <w:rFonts w:cs="Times New Roman" w:hint="eastAsia"/>
                      <w:color w:val="000000" w:themeColor="text1"/>
                      <w:sz w:val="21"/>
                      <w:szCs w:val="21"/>
                    </w:rPr>
                    <w:t>、</w:t>
                  </w:r>
                  <w:r w:rsidR="00CF799D" w:rsidRPr="00CF799D">
                    <w:rPr>
                      <w:rFonts w:cs="Times New Roman" w:hint="eastAsia"/>
                      <w:color w:val="000000" w:themeColor="text1"/>
                      <w:sz w:val="21"/>
                      <w:szCs w:val="21"/>
                    </w:rPr>
                    <w:t>HW05</w:t>
                  </w:r>
                  <w:r w:rsidR="00CF799D" w:rsidRPr="00CF799D">
                    <w:rPr>
                      <w:rFonts w:cs="Times New Roman" w:hint="eastAsia"/>
                      <w:color w:val="000000" w:themeColor="text1"/>
                      <w:sz w:val="21"/>
                      <w:szCs w:val="21"/>
                    </w:rPr>
                    <w:t>三类，其余类别及废物代码进行相应优化调整</w:t>
                  </w:r>
                  <w:r>
                    <w:rPr>
                      <w:rFonts w:cs="Times New Roman" w:hint="eastAsia"/>
                      <w:color w:val="000000" w:themeColor="text1"/>
                      <w:sz w:val="21"/>
                      <w:szCs w:val="21"/>
                    </w:rPr>
                    <w:t>；生产工艺未发生变化；</w:t>
                  </w:r>
                </w:p>
                <w:p w14:paraId="041B3F2C" w14:textId="589EF200" w:rsidR="003C4F46" w:rsidRDefault="004B6A81">
                  <w:pPr>
                    <w:spacing w:line="240" w:lineRule="auto"/>
                    <w:ind w:firstLineChars="0" w:firstLine="0"/>
                    <w:rPr>
                      <w:rFonts w:cs="Times New Roman"/>
                      <w:color w:val="000000" w:themeColor="text1"/>
                      <w:sz w:val="21"/>
                      <w:szCs w:val="21"/>
                    </w:rPr>
                  </w:pPr>
                  <w:r>
                    <w:rPr>
                      <w:rFonts w:cs="Times New Roman" w:hint="eastAsia"/>
                      <w:color w:val="000000" w:themeColor="text1"/>
                      <w:sz w:val="21"/>
                      <w:szCs w:val="21"/>
                    </w:rPr>
                    <w:t>主要生产设施：</w:t>
                  </w:r>
                  <w:r>
                    <w:rPr>
                      <w:rFonts w:cs="Times New Roman" w:hint="eastAsia"/>
                      <w:color w:val="000000" w:themeColor="text1"/>
                      <w:sz w:val="21"/>
                      <w:szCs w:val="21"/>
                    </w:rPr>
                    <w:t>2#</w:t>
                  </w:r>
                  <w:r>
                    <w:rPr>
                      <w:rFonts w:cs="Times New Roman" w:hint="eastAsia"/>
                      <w:color w:val="000000" w:themeColor="text1"/>
                      <w:sz w:val="21"/>
                      <w:szCs w:val="21"/>
                    </w:rPr>
                    <w:t>贮存库不再建设，新增</w:t>
                  </w:r>
                  <w:r>
                    <w:rPr>
                      <w:rFonts w:cs="Times New Roman" w:hint="eastAsia"/>
                      <w:color w:val="000000" w:themeColor="text1"/>
                      <w:sz w:val="21"/>
                      <w:szCs w:val="21"/>
                    </w:rPr>
                    <w:t>4</w:t>
                  </w:r>
                  <w:r>
                    <w:rPr>
                      <w:rFonts w:cs="Times New Roman" w:hint="eastAsia"/>
                      <w:color w:val="000000" w:themeColor="text1"/>
                      <w:sz w:val="21"/>
                      <w:szCs w:val="21"/>
                    </w:rPr>
                    <w:t>座</w:t>
                  </w:r>
                  <w:r>
                    <w:rPr>
                      <w:rFonts w:cs="Times New Roman" w:hint="eastAsia"/>
                      <w:color w:val="000000" w:themeColor="text1"/>
                      <w:sz w:val="21"/>
                      <w:szCs w:val="21"/>
                    </w:rPr>
                    <w:t>600m</w:t>
                  </w:r>
                  <w:r>
                    <w:rPr>
                      <w:rFonts w:cs="Times New Roman" w:hint="eastAsia"/>
                      <w:color w:val="000000" w:themeColor="text1"/>
                      <w:sz w:val="21"/>
                      <w:szCs w:val="21"/>
                    </w:rPr>
                    <w:t>³储罐；新增</w:t>
                  </w:r>
                  <w:r>
                    <w:rPr>
                      <w:rFonts w:cs="Times New Roman" w:hint="eastAsia"/>
                      <w:color w:val="000000" w:themeColor="text1"/>
                      <w:sz w:val="21"/>
                      <w:szCs w:val="21"/>
                    </w:rPr>
                    <w:t>HW09</w:t>
                  </w:r>
                  <w:r>
                    <w:rPr>
                      <w:rFonts w:cs="Times New Roman" w:hint="eastAsia"/>
                      <w:color w:val="000000" w:themeColor="text1"/>
                      <w:sz w:val="21"/>
                      <w:szCs w:val="21"/>
                    </w:rPr>
                    <w:t>类危险废物，新增排放污染物种类的风险</w:t>
                  </w:r>
                </w:p>
              </w:tc>
              <w:tc>
                <w:tcPr>
                  <w:tcW w:w="677" w:type="pct"/>
                  <w:vAlign w:val="center"/>
                </w:tcPr>
                <w:p w14:paraId="24532399"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是</w:t>
                  </w:r>
                </w:p>
              </w:tc>
            </w:tr>
            <w:tr w:rsidR="003C4F46" w14:paraId="79C54903" w14:textId="77777777">
              <w:trPr>
                <w:trHeight w:val="60"/>
              </w:trPr>
              <w:tc>
                <w:tcPr>
                  <w:tcW w:w="504" w:type="pct"/>
                  <w:vMerge/>
                  <w:vAlign w:val="center"/>
                </w:tcPr>
                <w:p w14:paraId="46992B60"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7D21E680"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7.</w:t>
                  </w:r>
                  <w:r>
                    <w:rPr>
                      <w:rFonts w:cs="Times New Roman"/>
                      <w:color w:val="000000" w:themeColor="text1"/>
                      <w:sz w:val="21"/>
                      <w:szCs w:val="21"/>
                    </w:rPr>
                    <w:t>物料运输、装卸、贮存方式变化，导致大气污染物无组织排放量增加</w:t>
                  </w:r>
                  <w:r>
                    <w:rPr>
                      <w:rFonts w:cs="Times New Roman"/>
                      <w:color w:val="000000" w:themeColor="text1"/>
                      <w:sz w:val="21"/>
                      <w:szCs w:val="21"/>
                    </w:rPr>
                    <w:t>10%</w:t>
                  </w:r>
                  <w:r>
                    <w:rPr>
                      <w:rFonts w:cs="Times New Roman"/>
                      <w:color w:val="000000" w:themeColor="text1"/>
                      <w:sz w:val="21"/>
                      <w:szCs w:val="21"/>
                    </w:rPr>
                    <w:t>及以上的。</w:t>
                  </w:r>
                </w:p>
              </w:tc>
              <w:tc>
                <w:tcPr>
                  <w:tcW w:w="1110" w:type="pct"/>
                  <w:vAlign w:val="center"/>
                </w:tcPr>
                <w:p w14:paraId="1894BA88" w14:textId="77777777" w:rsidR="003C4F46" w:rsidRDefault="004B6A81">
                  <w:pPr>
                    <w:spacing w:line="240" w:lineRule="auto"/>
                    <w:ind w:firstLineChars="0" w:firstLine="0"/>
                    <w:rPr>
                      <w:rFonts w:cs="Times New Roman"/>
                      <w:b/>
                      <w:bCs/>
                      <w:color w:val="000000" w:themeColor="text1"/>
                      <w:sz w:val="21"/>
                      <w:szCs w:val="21"/>
                    </w:rPr>
                  </w:pPr>
                  <w:r>
                    <w:rPr>
                      <w:rFonts w:cs="Times New Roman"/>
                      <w:color w:val="000000" w:themeColor="text1"/>
                      <w:sz w:val="21"/>
                      <w:szCs w:val="21"/>
                    </w:rPr>
                    <w:t>HW08</w:t>
                  </w:r>
                  <w:r>
                    <w:rPr>
                      <w:rFonts w:cs="Times New Roman"/>
                      <w:color w:val="000000" w:themeColor="text1"/>
                      <w:sz w:val="21"/>
                      <w:szCs w:val="21"/>
                    </w:rPr>
                    <w:t>废矿物油采用</w:t>
                  </w:r>
                  <w:r>
                    <w:rPr>
                      <w:rFonts w:cs="Times New Roman"/>
                      <w:color w:val="000000" w:themeColor="text1"/>
                      <w:sz w:val="21"/>
                      <w:szCs w:val="21"/>
                    </w:rPr>
                    <w:t>1</w:t>
                  </w:r>
                  <w:r>
                    <w:rPr>
                      <w:rFonts w:cs="Times New Roman"/>
                      <w:color w:val="000000" w:themeColor="text1"/>
                      <w:sz w:val="21"/>
                      <w:szCs w:val="21"/>
                    </w:rPr>
                    <w:t>个</w:t>
                  </w:r>
                  <w:r>
                    <w:rPr>
                      <w:rFonts w:cs="Times New Roman"/>
                      <w:color w:val="000000" w:themeColor="text1"/>
                      <w:sz w:val="21"/>
                      <w:szCs w:val="21"/>
                    </w:rPr>
                    <w:t>40m³</w:t>
                  </w:r>
                  <w:r>
                    <w:rPr>
                      <w:rFonts w:cs="Times New Roman"/>
                      <w:color w:val="000000" w:themeColor="text1"/>
                      <w:sz w:val="21"/>
                      <w:szCs w:val="21"/>
                    </w:rPr>
                    <w:t>储罐</w:t>
                  </w:r>
                  <w:r>
                    <w:rPr>
                      <w:rFonts w:cs="Times New Roman"/>
                      <w:color w:val="000000" w:themeColor="text1"/>
                      <w:sz w:val="21"/>
                      <w:szCs w:val="21"/>
                    </w:rPr>
                    <w:t>+</w:t>
                  </w:r>
                  <w:r>
                    <w:rPr>
                      <w:rFonts w:cs="Times New Roman"/>
                      <w:color w:val="000000" w:themeColor="text1"/>
                      <w:sz w:val="21"/>
                      <w:szCs w:val="21"/>
                    </w:rPr>
                    <w:t>桶装方式，贮存于</w:t>
                  </w:r>
                  <w:r>
                    <w:rPr>
                      <w:rFonts w:cs="Times New Roman"/>
                      <w:color w:val="000000" w:themeColor="text1"/>
                      <w:sz w:val="21"/>
                      <w:szCs w:val="21"/>
                    </w:rPr>
                    <w:t>1#</w:t>
                  </w:r>
                  <w:r>
                    <w:rPr>
                      <w:rFonts w:cs="Times New Roman"/>
                      <w:color w:val="000000" w:themeColor="text1"/>
                      <w:sz w:val="21"/>
                      <w:szCs w:val="21"/>
                    </w:rPr>
                    <w:t>贮存库内</w:t>
                  </w:r>
                </w:p>
              </w:tc>
              <w:tc>
                <w:tcPr>
                  <w:tcW w:w="1274" w:type="pct"/>
                  <w:vAlign w:val="center"/>
                </w:tcPr>
                <w:p w14:paraId="1CC4BAF7" w14:textId="14C94F27" w:rsidR="003C4F46" w:rsidRDefault="004B6A81">
                  <w:pPr>
                    <w:spacing w:line="240" w:lineRule="auto"/>
                    <w:ind w:firstLineChars="0" w:firstLine="0"/>
                    <w:rPr>
                      <w:rFonts w:cs="Times New Roman"/>
                      <w:b/>
                      <w:bCs/>
                      <w:color w:val="000000" w:themeColor="text1"/>
                      <w:sz w:val="21"/>
                      <w:szCs w:val="21"/>
                    </w:rPr>
                  </w:pPr>
                  <w:r>
                    <w:rPr>
                      <w:rFonts w:cs="Times New Roman"/>
                      <w:color w:val="000000" w:themeColor="text1"/>
                      <w:sz w:val="21"/>
                      <w:szCs w:val="21"/>
                    </w:rPr>
                    <w:t>HW08</w:t>
                  </w:r>
                  <w:r>
                    <w:rPr>
                      <w:rFonts w:cs="Times New Roman"/>
                      <w:color w:val="000000" w:themeColor="text1"/>
                      <w:sz w:val="21"/>
                      <w:szCs w:val="21"/>
                    </w:rPr>
                    <w:t>废矿物油贮存方式由</w:t>
                  </w:r>
                  <w:r w:rsidR="004C78D8">
                    <w:rPr>
                      <w:rFonts w:cs="Times New Roman" w:hint="eastAsia"/>
                      <w:color w:val="000000" w:themeColor="text1"/>
                      <w:sz w:val="21"/>
                      <w:szCs w:val="21"/>
                    </w:rPr>
                    <w:t>“</w:t>
                  </w:r>
                  <w:r>
                    <w:rPr>
                      <w:rFonts w:cs="Times New Roman"/>
                      <w:color w:val="000000" w:themeColor="text1"/>
                      <w:sz w:val="21"/>
                      <w:szCs w:val="21"/>
                    </w:rPr>
                    <w:t>库内储罐</w:t>
                  </w:r>
                  <w:r>
                    <w:rPr>
                      <w:rFonts w:cs="Times New Roman"/>
                      <w:color w:val="000000" w:themeColor="text1"/>
                      <w:sz w:val="21"/>
                      <w:szCs w:val="21"/>
                    </w:rPr>
                    <w:t>+</w:t>
                  </w:r>
                  <w:r>
                    <w:rPr>
                      <w:rFonts w:cs="Times New Roman"/>
                      <w:color w:val="000000" w:themeColor="text1"/>
                      <w:sz w:val="21"/>
                      <w:szCs w:val="21"/>
                    </w:rPr>
                    <w:t>桶装</w:t>
                  </w:r>
                  <w:r w:rsidR="004C78D8">
                    <w:rPr>
                      <w:rFonts w:cs="Times New Roman" w:hint="eastAsia"/>
                      <w:color w:val="000000" w:themeColor="text1"/>
                      <w:sz w:val="21"/>
                      <w:szCs w:val="21"/>
                    </w:rPr>
                    <w:t>”</w:t>
                  </w:r>
                  <w:r>
                    <w:rPr>
                      <w:rFonts w:cs="Times New Roman"/>
                      <w:color w:val="000000" w:themeColor="text1"/>
                      <w:sz w:val="21"/>
                      <w:szCs w:val="21"/>
                    </w:rPr>
                    <w:t>变更为</w:t>
                  </w:r>
                  <w:r w:rsidR="004C78D8">
                    <w:rPr>
                      <w:rFonts w:cs="Times New Roman" w:hint="eastAsia"/>
                      <w:color w:val="000000" w:themeColor="text1"/>
                      <w:sz w:val="21"/>
                      <w:szCs w:val="21"/>
                    </w:rPr>
                    <w:t>“</w:t>
                  </w:r>
                  <w:r w:rsidR="00CF799D">
                    <w:rPr>
                      <w:rFonts w:cs="Times New Roman"/>
                      <w:color w:val="000000" w:themeColor="text1"/>
                      <w:sz w:val="21"/>
                      <w:szCs w:val="21"/>
                    </w:rPr>
                    <w:t>3</w:t>
                  </w:r>
                  <w:r>
                    <w:rPr>
                      <w:rFonts w:cs="Times New Roman"/>
                      <w:color w:val="000000" w:themeColor="text1"/>
                      <w:sz w:val="21"/>
                      <w:szCs w:val="21"/>
                    </w:rPr>
                    <w:t>座</w:t>
                  </w:r>
                  <w:r>
                    <w:rPr>
                      <w:rFonts w:cs="Times New Roman"/>
                      <w:color w:val="000000" w:themeColor="text1"/>
                      <w:sz w:val="21"/>
                      <w:szCs w:val="21"/>
                    </w:rPr>
                    <w:t>600m³</w:t>
                  </w:r>
                  <w:r>
                    <w:rPr>
                      <w:rFonts w:cs="Times New Roman"/>
                      <w:color w:val="000000" w:themeColor="text1"/>
                      <w:sz w:val="21"/>
                      <w:szCs w:val="21"/>
                    </w:rPr>
                    <w:t>储罐贮存</w:t>
                  </w:r>
                  <w:r w:rsidR="004C78D8">
                    <w:rPr>
                      <w:rFonts w:cs="Times New Roman" w:hint="eastAsia"/>
                      <w:color w:val="000000" w:themeColor="text1"/>
                      <w:sz w:val="21"/>
                      <w:szCs w:val="21"/>
                    </w:rPr>
                    <w:t>”</w:t>
                  </w:r>
                  <w:r>
                    <w:rPr>
                      <w:rFonts w:cs="Times New Roman"/>
                      <w:color w:val="000000" w:themeColor="text1"/>
                      <w:sz w:val="21"/>
                      <w:szCs w:val="21"/>
                    </w:rPr>
                    <w:t>，属于贮存方式变化；为降低储罐呼吸废气排放，企业采取储罐外壁涂刷白色防腐涂料（降低温差变化）、设置带阻火器的呼吸阀挡板、采用气相连通系统、装车采取浸没式和密闭方式等控制措施，有效控制了无组织</w:t>
                  </w:r>
                  <w:r>
                    <w:rPr>
                      <w:rFonts w:cs="Times New Roman"/>
                      <w:color w:val="000000" w:themeColor="text1"/>
                      <w:sz w:val="21"/>
                      <w:szCs w:val="21"/>
                    </w:rPr>
                    <w:t>VOCs</w:t>
                  </w:r>
                  <w:r>
                    <w:rPr>
                      <w:rFonts w:cs="Times New Roman"/>
                      <w:color w:val="000000" w:themeColor="text1"/>
                      <w:sz w:val="21"/>
                      <w:szCs w:val="21"/>
                    </w:rPr>
                    <w:t>排放增量</w:t>
                  </w:r>
                </w:p>
              </w:tc>
              <w:tc>
                <w:tcPr>
                  <w:tcW w:w="677" w:type="pct"/>
                  <w:vAlign w:val="center"/>
                </w:tcPr>
                <w:p w14:paraId="42455B1D"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是</w:t>
                  </w:r>
                </w:p>
              </w:tc>
            </w:tr>
            <w:tr w:rsidR="003C4F46" w14:paraId="5658FA60" w14:textId="77777777">
              <w:trPr>
                <w:trHeight w:val="60"/>
              </w:trPr>
              <w:tc>
                <w:tcPr>
                  <w:tcW w:w="504" w:type="pct"/>
                  <w:vMerge w:val="restart"/>
                  <w:vAlign w:val="center"/>
                </w:tcPr>
                <w:p w14:paraId="208F045C"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t>环境保护措施</w:t>
                  </w:r>
                </w:p>
              </w:tc>
              <w:tc>
                <w:tcPr>
                  <w:tcW w:w="1435" w:type="pct"/>
                  <w:vAlign w:val="center"/>
                </w:tcPr>
                <w:p w14:paraId="29A6F219"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8.</w:t>
                  </w:r>
                  <w:r>
                    <w:rPr>
                      <w:rFonts w:cs="Times New Roman"/>
                      <w:color w:val="000000" w:themeColor="text1"/>
                      <w:sz w:val="21"/>
                      <w:szCs w:val="21"/>
                    </w:rPr>
                    <w:t>废气、废水污染防治措施变化，导致第</w:t>
                  </w:r>
                  <w:r>
                    <w:rPr>
                      <w:rFonts w:cs="Times New Roman"/>
                      <w:color w:val="000000" w:themeColor="text1"/>
                      <w:sz w:val="21"/>
                      <w:szCs w:val="21"/>
                    </w:rPr>
                    <w:t>6</w:t>
                  </w:r>
                  <w:r>
                    <w:rPr>
                      <w:rFonts w:cs="Times New Roman"/>
                      <w:color w:val="000000" w:themeColor="text1"/>
                      <w:sz w:val="21"/>
                      <w:szCs w:val="21"/>
                    </w:rPr>
                    <w:t>条中所列情形之一（废气无组织排</w:t>
                  </w:r>
                  <w:r>
                    <w:rPr>
                      <w:rFonts w:cs="Times New Roman"/>
                      <w:color w:val="000000" w:themeColor="text1"/>
                      <w:sz w:val="21"/>
                      <w:szCs w:val="21"/>
                    </w:rPr>
                    <w:lastRenderedPageBreak/>
                    <w:t>放改为有组织排放、污染防治措施强化或改进的除外）或大气污染物无组织排放量增加</w:t>
                  </w:r>
                  <w:r>
                    <w:rPr>
                      <w:rFonts w:cs="Times New Roman"/>
                      <w:color w:val="000000" w:themeColor="text1"/>
                      <w:sz w:val="21"/>
                      <w:szCs w:val="21"/>
                    </w:rPr>
                    <w:t>10%</w:t>
                  </w:r>
                  <w:r>
                    <w:rPr>
                      <w:rFonts w:cs="Times New Roman"/>
                      <w:color w:val="000000" w:themeColor="text1"/>
                      <w:sz w:val="21"/>
                      <w:szCs w:val="21"/>
                    </w:rPr>
                    <w:t>及以上的。</w:t>
                  </w:r>
                </w:p>
              </w:tc>
              <w:tc>
                <w:tcPr>
                  <w:tcW w:w="1110" w:type="pct"/>
                  <w:vAlign w:val="center"/>
                </w:tcPr>
                <w:p w14:paraId="04A27729" w14:textId="1A74A6ED" w:rsidR="003C4F46" w:rsidRDefault="004B6A81">
                  <w:pPr>
                    <w:spacing w:line="240" w:lineRule="auto"/>
                    <w:ind w:firstLineChars="0" w:firstLine="0"/>
                    <w:rPr>
                      <w:rFonts w:cs="Times New Roman"/>
                      <w:color w:val="000000" w:themeColor="text1"/>
                      <w:sz w:val="21"/>
                      <w:szCs w:val="21"/>
                    </w:rPr>
                  </w:pPr>
                  <w:r>
                    <w:rPr>
                      <w:rFonts w:cs="Times New Roman" w:hint="eastAsia"/>
                      <w:b/>
                      <w:bCs/>
                      <w:color w:val="000000" w:themeColor="text1"/>
                      <w:sz w:val="21"/>
                      <w:szCs w:val="21"/>
                    </w:rPr>
                    <w:lastRenderedPageBreak/>
                    <w:t>废气：</w:t>
                  </w:r>
                  <w:r>
                    <w:rPr>
                      <w:rFonts w:cs="Times New Roman" w:hint="eastAsia"/>
                      <w:color w:val="000000" w:themeColor="text1"/>
                      <w:sz w:val="21"/>
                      <w:szCs w:val="21"/>
                    </w:rPr>
                    <w:t>危险废物采用容器密封，贮存</w:t>
                  </w:r>
                  <w:r w:rsidR="00CF46A4" w:rsidRPr="00CF46A4">
                    <w:rPr>
                      <w:rFonts w:cs="Times New Roman" w:hint="eastAsia"/>
                      <w:color w:val="000000" w:themeColor="text1"/>
                      <w:sz w:val="21"/>
                      <w:szCs w:val="21"/>
                    </w:rPr>
                    <w:t>库</w:t>
                  </w:r>
                  <w:r>
                    <w:rPr>
                      <w:rFonts w:cs="Times New Roman" w:hint="eastAsia"/>
                      <w:color w:val="000000" w:themeColor="text1"/>
                      <w:sz w:val="21"/>
                      <w:szCs w:val="21"/>
                    </w:rPr>
                    <w:t>采用负压收集</w:t>
                  </w:r>
                  <w:r>
                    <w:rPr>
                      <w:rFonts w:cs="Times New Roman" w:hint="eastAsia"/>
                      <w:color w:val="000000" w:themeColor="text1"/>
                      <w:sz w:val="21"/>
                      <w:szCs w:val="21"/>
                    </w:rPr>
                    <w:t>+</w:t>
                  </w:r>
                  <w:r>
                    <w:rPr>
                      <w:rFonts w:cs="Times New Roman" w:hint="eastAsia"/>
                      <w:color w:val="000000" w:themeColor="text1"/>
                      <w:sz w:val="21"/>
                      <w:szCs w:val="21"/>
                    </w:rPr>
                    <w:t>一级活</w:t>
                  </w:r>
                  <w:r>
                    <w:rPr>
                      <w:rFonts w:cs="Times New Roman" w:hint="eastAsia"/>
                      <w:color w:val="000000" w:themeColor="text1"/>
                      <w:sz w:val="21"/>
                      <w:szCs w:val="21"/>
                    </w:rPr>
                    <w:lastRenderedPageBreak/>
                    <w:t>性炭吸附</w:t>
                  </w:r>
                  <w:r>
                    <w:rPr>
                      <w:rFonts w:cs="Times New Roman" w:hint="eastAsia"/>
                      <w:color w:val="000000" w:themeColor="text1"/>
                      <w:sz w:val="21"/>
                      <w:szCs w:val="21"/>
                    </w:rPr>
                    <w:t>+15m</w:t>
                  </w:r>
                  <w:r>
                    <w:rPr>
                      <w:rFonts w:cs="Times New Roman" w:hint="eastAsia"/>
                      <w:color w:val="000000" w:themeColor="text1"/>
                      <w:sz w:val="21"/>
                      <w:szCs w:val="21"/>
                    </w:rPr>
                    <w:t>排气筒排放</w:t>
                  </w:r>
                </w:p>
              </w:tc>
              <w:tc>
                <w:tcPr>
                  <w:tcW w:w="1274" w:type="pct"/>
                  <w:vAlign w:val="center"/>
                </w:tcPr>
                <w:p w14:paraId="67C21DB5" w14:textId="2FD831ED" w:rsidR="003C4F46" w:rsidRDefault="004B6A81">
                  <w:pPr>
                    <w:spacing w:line="240" w:lineRule="auto"/>
                    <w:ind w:firstLineChars="0" w:firstLine="0"/>
                    <w:rPr>
                      <w:rFonts w:cs="Times New Roman"/>
                      <w:color w:val="000000" w:themeColor="text1"/>
                      <w:sz w:val="21"/>
                      <w:szCs w:val="21"/>
                    </w:rPr>
                  </w:pPr>
                  <w:r>
                    <w:rPr>
                      <w:rFonts w:cs="Times New Roman" w:hint="eastAsia"/>
                      <w:b/>
                      <w:bCs/>
                      <w:color w:val="000000" w:themeColor="text1"/>
                      <w:sz w:val="21"/>
                      <w:szCs w:val="21"/>
                    </w:rPr>
                    <w:lastRenderedPageBreak/>
                    <w:t>废气：</w:t>
                  </w:r>
                  <w:r>
                    <w:rPr>
                      <w:rFonts w:cs="Times New Roman" w:hint="eastAsia"/>
                      <w:color w:val="000000" w:themeColor="text1"/>
                      <w:sz w:val="21"/>
                      <w:szCs w:val="21"/>
                    </w:rPr>
                    <w:t>危险废物采用密封容器盛装，贮存</w:t>
                  </w:r>
                  <w:r w:rsidR="00CF46A4" w:rsidRPr="00CF46A4">
                    <w:rPr>
                      <w:rFonts w:cs="Times New Roman" w:hint="eastAsia"/>
                      <w:color w:val="000000" w:themeColor="text1"/>
                      <w:sz w:val="21"/>
                      <w:szCs w:val="21"/>
                    </w:rPr>
                    <w:t>库</w:t>
                  </w:r>
                  <w:r>
                    <w:rPr>
                      <w:rFonts w:cs="Times New Roman" w:hint="eastAsia"/>
                      <w:color w:val="000000" w:themeColor="text1"/>
                      <w:sz w:val="21"/>
                      <w:szCs w:val="21"/>
                    </w:rPr>
                    <w:t>废气经负压收集</w:t>
                  </w:r>
                  <w:r>
                    <w:rPr>
                      <w:rFonts w:cs="Times New Roman" w:hint="eastAsia"/>
                      <w:color w:val="000000" w:themeColor="text1"/>
                      <w:sz w:val="21"/>
                      <w:szCs w:val="21"/>
                    </w:rPr>
                    <w:t>+</w:t>
                  </w:r>
                  <w:r>
                    <w:rPr>
                      <w:rFonts w:cs="Times New Roman" w:hint="eastAsia"/>
                      <w:color w:val="000000" w:themeColor="text1"/>
                      <w:sz w:val="21"/>
                      <w:szCs w:val="21"/>
                    </w:rPr>
                    <w:t>碱液喷</w:t>
                  </w:r>
                  <w:r>
                    <w:rPr>
                      <w:rFonts w:cs="Times New Roman" w:hint="eastAsia"/>
                      <w:color w:val="000000" w:themeColor="text1"/>
                      <w:sz w:val="21"/>
                      <w:szCs w:val="21"/>
                    </w:rPr>
                    <w:lastRenderedPageBreak/>
                    <w:t>淋</w:t>
                  </w:r>
                  <w:r>
                    <w:rPr>
                      <w:rFonts w:cs="Times New Roman" w:hint="eastAsia"/>
                      <w:color w:val="000000" w:themeColor="text1"/>
                      <w:sz w:val="21"/>
                      <w:szCs w:val="21"/>
                    </w:rPr>
                    <w:t>+</w:t>
                  </w:r>
                  <w:r>
                    <w:rPr>
                      <w:rFonts w:cs="Times New Roman" w:hint="eastAsia"/>
                      <w:color w:val="000000" w:themeColor="text1"/>
                      <w:sz w:val="21"/>
                      <w:szCs w:val="21"/>
                    </w:rPr>
                    <w:t>二级活性炭吸附</w:t>
                  </w:r>
                  <w:r>
                    <w:rPr>
                      <w:rFonts w:cs="Times New Roman" w:hint="eastAsia"/>
                      <w:color w:val="000000" w:themeColor="text1"/>
                      <w:sz w:val="21"/>
                      <w:szCs w:val="21"/>
                    </w:rPr>
                    <w:t>+15m</w:t>
                  </w:r>
                  <w:r>
                    <w:rPr>
                      <w:rFonts w:cs="Times New Roman" w:hint="eastAsia"/>
                      <w:color w:val="000000" w:themeColor="text1"/>
                      <w:sz w:val="21"/>
                      <w:szCs w:val="21"/>
                    </w:rPr>
                    <w:t>高排气筒排放。该废气处理设施与厂区“</w:t>
                  </w:r>
                  <w:r>
                    <w:rPr>
                      <w:rFonts w:cs="Times New Roman" w:hint="eastAsia"/>
                      <w:color w:val="000000" w:themeColor="text1"/>
                      <w:sz w:val="21"/>
                      <w:szCs w:val="21"/>
                    </w:rPr>
                    <w:t>2</w:t>
                  </w:r>
                  <w:r>
                    <w:rPr>
                      <w:rFonts w:cs="Times New Roman" w:hint="eastAsia"/>
                      <w:color w:val="000000" w:themeColor="text1"/>
                      <w:sz w:val="21"/>
                      <w:szCs w:val="21"/>
                    </w:rPr>
                    <w:t>万吨</w:t>
                  </w:r>
                  <w:r>
                    <w:rPr>
                      <w:rFonts w:cs="Times New Roman" w:hint="eastAsia"/>
                      <w:color w:val="000000" w:themeColor="text1"/>
                      <w:sz w:val="21"/>
                      <w:szCs w:val="21"/>
                    </w:rPr>
                    <w:t>/</w:t>
                  </w:r>
                  <w:r>
                    <w:rPr>
                      <w:rFonts w:cs="Times New Roman" w:hint="eastAsia"/>
                      <w:color w:val="000000" w:themeColor="text1"/>
                      <w:sz w:val="21"/>
                      <w:szCs w:val="21"/>
                    </w:rPr>
                    <w:t>年废包装桶及废机油滤芯再生利用扩建项目”生产车间共用。由一级活性炭变更为二级活性炭，属于污染防治措施强化</w:t>
                  </w:r>
                </w:p>
              </w:tc>
              <w:tc>
                <w:tcPr>
                  <w:tcW w:w="677" w:type="pct"/>
                  <w:vAlign w:val="center"/>
                </w:tcPr>
                <w:p w14:paraId="1CFAA357" w14:textId="77777777" w:rsidR="003C4F46" w:rsidRDefault="004B6A81">
                  <w:pPr>
                    <w:spacing w:line="240" w:lineRule="auto"/>
                    <w:ind w:firstLineChars="0" w:firstLine="0"/>
                    <w:jc w:val="center"/>
                    <w:rPr>
                      <w:rFonts w:cs="Times New Roman"/>
                      <w:color w:val="000000" w:themeColor="text1"/>
                      <w:sz w:val="21"/>
                      <w:szCs w:val="21"/>
                    </w:rPr>
                  </w:pPr>
                  <w:r>
                    <w:rPr>
                      <w:rFonts w:cs="Times New Roman"/>
                      <w:color w:val="000000" w:themeColor="text1"/>
                      <w:sz w:val="21"/>
                      <w:szCs w:val="21"/>
                    </w:rPr>
                    <w:lastRenderedPageBreak/>
                    <w:t>否</w:t>
                  </w:r>
                </w:p>
              </w:tc>
            </w:tr>
            <w:tr w:rsidR="003C4F46" w14:paraId="5043C77C" w14:textId="77777777">
              <w:trPr>
                <w:trHeight w:val="2123"/>
              </w:trPr>
              <w:tc>
                <w:tcPr>
                  <w:tcW w:w="504" w:type="pct"/>
                  <w:vMerge/>
                  <w:vAlign w:val="center"/>
                </w:tcPr>
                <w:p w14:paraId="2E8A1070"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01A5712F"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9.</w:t>
                  </w:r>
                  <w:r>
                    <w:rPr>
                      <w:rFonts w:cs="Times New Roman"/>
                      <w:color w:val="000000" w:themeColor="text1"/>
                      <w:sz w:val="21"/>
                      <w:szCs w:val="21"/>
                    </w:rPr>
                    <w:t>新增废水直接排放口；废水由间接排放改为直接排放；废水直接排放口位置变化，导致不利环境影响加重的。</w:t>
                  </w:r>
                </w:p>
              </w:tc>
              <w:tc>
                <w:tcPr>
                  <w:tcW w:w="1110" w:type="pct"/>
                  <w:vAlign w:val="center"/>
                </w:tcPr>
                <w:p w14:paraId="42F3B90B" w14:textId="7B913B6C"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本项目无生产废水；生活污水排入园区管网由园区污水处理</w:t>
                  </w:r>
                  <w:r w:rsidR="008806ED">
                    <w:rPr>
                      <w:rFonts w:cs="Times New Roman" w:hint="eastAsia"/>
                      <w:color w:val="000000" w:themeColor="text1"/>
                      <w:sz w:val="21"/>
                      <w:szCs w:val="21"/>
                    </w:rPr>
                    <w:t>厂</w:t>
                  </w:r>
                  <w:r>
                    <w:rPr>
                      <w:rFonts w:cs="Times New Roman"/>
                      <w:color w:val="000000" w:themeColor="text1"/>
                      <w:sz w:val="21"/>
                      <w:szCs w:val="21"/>
                    </w:rPr>
                    <w:t>处理；事故状态下的冲洗废水作危废交有资质单位处置，不外排</w:t>
                  </w:r>
                </w:p>
              </w:tc>
              <w:tc>
                <w:tcPr>
                  <w:tcW w:w="1274" w:type="pct"/>
                  <w:vAlign w:val="center"/>
                </w:tcPr>
                <w:p w14:paraId="1B0EB1D7" w14:textId="08BBA94E" w:rsidR="003C4F46" w:rsidRDefault="005A20AE">
                  <w:pPr>
                    <w:spacing w:line="240" w:lineRule="auto"/>
                    <w:ind w:firstLineChars="0" w:firstLine="0"/>
                    <w:rPr>
                      <w:rFonts w:cs="Times New Roman"/>
                      <w:color w:val="000000" w:themeColor="text1"/>
                      <w:sz w:val="21"/>
                      <w:szCs w:val="21"/>
                    </w:rPr>
                  </w:pPr>
                  <w:r w:rsidRPr="00A70388">
                    <w:rPr>
                      <w:rFonts w:cs="Times New Roman" w:hint="eastAsia"/>
                      <w:sz w:val="21"/>
                      <w:szCs w:val="21"/>
                    </w:rPr>
                    <w:t>碱液喷淋塔中的喷淋废液经中和后循环使用，反应饱和后定期排放至厂区</w:t>
                  </w:r>
                  <w:r>
                    <w:rPr>
                      <w:rFonts w:cs="Times New Roman" w:hint="eastAsia"/>
                      <w:sz w:val="21"/>
                      <w:szCs w:val="21"/>
                    </w:rPr>
                    <w:t>现有</w:t>
                  </w:r>
                  <w:r w:rsidRPr="00A70388">
                    <w:rPr>
                      <w:rFonts w:cs="Times New Roman" w:hint="eastAsia"/>
                      <w:sz w:val="21"/>
                      <w:szCs w:val="21"/>
                    </w:rPr>
                    <w:t>污水处理站处理，达标后排入</w:t>
                  </w:r>
                  <w:r w:rsidR="00C926EE" w:rsidRPr="00C926EE">
                    <w:rPr>
                      <w:rFonts w:cs="Times New Roman" w:hint="eastAsia"/>
                      <w:sz w:val="21"/>
                      <w:szCs w:val="21"/>
                    </w:rPr>
                    <w:t>轮台县拉依苏化工区污水处理厂</w:t>
                  </w:r>
                  <w:r w:rsidRPr="00A70388">
                    <w:rPr>
                      <w:rFonts w:cs="Times New Roman" w:hint="eastAsia"/>
                      <w:sz w:val="21"/>
                      <w:szCs w:val="21"/>
                    </w:rPr>
                    <w:t>进一步处理；生活污水排入园区管网，由园区污水处理</w:t>
                  </w:r>
                  <w:r w:rsidR="008806ED">
                    <w:rPr>
                      <w:rFonts w:cs="Times New Roman" w:hint="eastAsia"/>
                      <w:sz w:val="21"/>
                      <w:szCs w:val="21"/>
                    </w:rPr>
                    <w:t>厂</w:t>
                  </w:r>
                  <w:r w:rsidRPr="00A70388">
                    <w:rPr>
                      <w:rFonts w:cs="Times New Roman" w:hint="eastAsia"/>
                      <w:sz w:val="21"/>
                      <w:szCs w:val="21"/>
                    </w:rPr>
                    <w:t>处理；事故冲洗废水作为危险废物交有资质单位处置，不外排</w:t>
                  </w:r>
                  <w:r w:rsidR="004B6A81">
                    <w:rPr>
                      <w:rFonts w:cs="Times New Roman" w:hint="eastAsia"/>
                      <w:color w:val="000000" w:themeColor="text1"/>
                      <w:sz w:val="21"/>
                      <w:szCs w:val="21"/>
                    </w:rPr>
                    <w:t>，</w:t>
                  </w:r>
                  <w:r w:rsidRPr="005A20AE">
                    <w:rPr>
                      <w:rFonts w:cs="Times New Roman" w:hint="eastAsia"/>
                      <w:color w:val="000000" w:themeColor="text1"/>
                      <w:sz w:val="21"/>
                      <w:szCs w:val="21"/>
                    </w:rPr>
                    <w:t>不新增废水排放口，废水最终去向仍为园区污水处理厂，未发生变化；但因新增喷淋废水依托厂区污水处理站处理后排放，废水排放路径及处理方式较原环评发生变更，经分析，变更后全厂废水仍能达标排放，不加重对周边水环境的影响，不属于重大变动</w:t>
                  </w:r>
                </w:p>
              </w:tc>
              <w:tc>
                <w:tcPr>
                  <w:tcW w:w="677" w:type="pct"/>
                  <w:vAlign w:val="center"/>
                </w:tcPr>
                <w:p w14:paraId="1DC9580E" w14:textId="667995C2" w:rsidR="003C4F46" w:rsidRDefault="005A20AE">
                  <w:pPr>
                    <w:spacing w:line="240" w:lineRule="auto"/>
                    <w:ind w:firstLineChars="0" w:firstLine="0"/>
                    <w:jc w:val="center"/>
                    <w:rPr>
                      <w:rFonts w:cs="Times New Roman"/>
                      <w:color w:val="000000" w:themeColor="text1"/>
                      <w:sz w:val="21"/>
                      <w:szCs w:val="21"/>
                    </w:rPr>
                  </w:pPr>
                  <w:r>
                    <w:rPr>
                      <w:rFonts w:cs="Times New Roman" w:hint="eastAsia"/>
                      <w:color w:val="000000" w:themeColor="text1"/>
                      <w:sz w:val="21"/>
                      <w:szCs w:val="21"/>
                    </w:rPr>
                    <w:t>否</w:t>
                  </w:r>
                </w:p>
              </w:tc>
            </w:tr>
            <w:tr w:rsidR="003C4F46" w14:paraId="311F8055" w14:textId="77777777">
              <w:trPr>
                <w:trHeight w:val="1491"/>
              </w:trPr>
              <w:tc>
                <w:tcPr>
                  <w:tcW w:w="504" w:type="pct"/>
                  <w:vMerge/>
                  <w:vAlign w:val="center"/>
                </w:tcPr>
                <w:p w14:paraId="5348B4F1"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275253AD"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10.</w:t>
                  </w:r>
                  <w:r>
                    <w:rPr>
                      <w:rFonts w:cs="Times New Roman"/>
                      <w:color w:val="000000" w:themeColor="text1"/>
                      <w:sz w:val="21"/>
                      <w:szCs w:val="21"/>
                    </w:rPr>
                    <w:t>新增废气主要排放口（废气无组织排放改为有组织排放的除外）；主要排放口排气筒高度降低</w:t>
                  </w:r>
                  <w:r>
                    <w:rPr>
                      <w:rFonts w:cs="Times New Roman"/>
                      <w:color w:val="000000" w:themeColor="text1"/>
                      <w:sz w:val="21"/>
                      <w:szCs w:val="21"/>
                    </w:rPr>
                    <w:t>10%</w:t>
                  </w:r>
                  <w:r>
                    <w:rPr>
                      <w:rFonts w:cs="Times New Roman"/>
                      <w:color w:val="000000" w:themeColor="text1"/>
                      <w:sz w:val="21"/>
                      <w:szCs w:val="21"/>
                    </w:rPr>
                    <w:t>及以上的。</w:t>
                  </w:r>
                </w:p>
              </w:tc>
              <w:tc>
                <w:tcPr>
                  <w:tcW w:w="1110" w:type="pct"/>
                  <w:vAlign w:val="center"/>
                </w:tcPr>
                <w:p w14:paraId="1C60CA53"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废气经处理后通过</w:t>
                  </w:r>
                  <w:r>
                    <w:rPr>
                      <w:rFonts w:cs="Times New Roman" w:hint="eastAsia"/>
                      <w:color w:val="000000"/>
                      <w:sz w:val="21"/>
                      <w:szCs w:val="21"/>
                    </w:rPr>
                    <w:t>1</w:t>
                  </w:r>
                  <w:r>
                    <w:rPr>
                      <w:rFonts w:cs="Times New Roman" w:hint="eastAsia"/>
                      <w:color w:val="000000"/>
                      <w:sz w:val="21"/>
                      <w:szCs w:val="21"/>
                    </w:rPr>
                    <w:t>根</w:t>
                  </w:r>
                  <w:r>
                    <w:rPr>
                      <w:rFonts w:cs="Times New Roman" w:hint="eastAsia"/>
                      <w:color w:val="000000"/>
                      <w:sz w:val="21"/>
                      <w:szCs w:val="21"/>
                    </w:rPr>
                    <w:t>15m</w:t>
                  </w:r>
                  <w:r>
                    <w:rPr>
                      <w:rFonts w:cs="Times New Roman" w:hint="eastAsia"/>
                      <w:color w:val="000000"/>
                      <w:sz w:val="21"/>
                      <w:szCs w:val="21"/>
                    </w:rPr>
                    <w:t>高排气筒排放，排气筒为一般排放口</w:t>
                  </w:r>
                </w:p>
              </w:tc>
              <w:tc>
                <w:tcPr>
                  <w:tcW w:w="1274" w:type="pct"/>
                  <w:vAlign w:val="center"/>
                </w:tcPr>
                <w:p w14:paraId="483E87A7"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废气经处理后通过</w:t>
                  </w:r>
                  <w:r>
                    <w:rPr>
                      <w:rFonts w:cs="Times New Roman" w:hint="eastAsia"/>
                      <w:color w:val="000000"/>
                      <w:sz w:val="21"/>
                      <w:szCs w:val="21"/>
                    </w:rPr>
                    <w:t>1</w:t>
                  </w:r>
                  <w:r>
                    <w:rPr>
                      <w:rFonts w:cs="Times New Roman" w:hint="eastAsia"/>
                      <w:color w:val="000000"/>
                      <w:sz w:val="21"/>
                      <w:szCs w:val="21"/>
                    </w:rPr>
                    <w:t>根</w:t>
                  </w:r>
                  <w:r>
                    <w:rPr>
                      <w:rFonts w:cs="Times New Roman" w:hint="eastAsia"/>
                      <w:color w:val="000000"/>
                      <w:sz w:val="21"/>
                      <w:szCs w:val="21"/>
                    </w:rPr>
                    <w:t>15m</w:t>
                  </w:r>
                  <w:r>
                    <w:rPr>
                      <w:rFonts w:cs="Times New Roman" w:hint="eastAsia"/>
                      <w:color w:val="000000"/>
                      <w:sz w:val="21"/>
                      <w:szCs w:val="21"/>
                    </w:rPr>
                    <w:t>高排气筒（</w:t>
                  </w:r>
                  <w:r>
                    <w:rPr>
                      <w:rFonts w:cs="Times New Roman" w:hint="eastAsia"/>
                      <w:color w:val="000000"/>
                      <w:sz w:val="21"/>
                      <w:szCs w:val="21"/>
                    </w:rPr>
                    <w:t>DA005</w:t>
                  </w:r>
                  <w:r>
                    <w:rPr>
                      <w:rFonts w:cs="Times New Roman" w:hint="eastAsia"/>
                      <w:color w:val="000000"/>
                      <w:sz w:val="21"/>
                      <w:szCs w:val="21"/>
                    </w:rPr>
                    <w:t>）排放，未新增废气主要排放口</w:t>
                  </w:r>
                </w:p>
              </w:tc>
              <w:tc>
                <w:tcPr>
                  <w:tcW w:w="677" w:type="pct"/>
                  <w:vAlign w:val="center"/>
                </w:tcPr>
                <w:p w14:paraId="21E6DFAC" w14:textId="77777777" w:rsidR="003C4F46" w:rsidRDefault="004B6A81">
                  <w:pPr>
                    <w:spacing w:line="240" w:lineRule="auto"/>
                    <w:ind w:firstLineChars="0" w:firstLine="0"/>
                    <w:jc w:val="center"/>
                    <w:rPr>
                      <w:rFonts w:cs="Times New Roman"/>
                      <w:color w:val="000000" w:themeColor="text1"/>
                      <w:sz w:val="21"/>
                      <w:szCs w:val="21"/>
                    </w:rPr>
                  </w:pPr>
                  <w:r>
                    <w:rPr>
                      <w:rFonts w:cs="Times New Roman" w:hint="eastAsia"/>
                      <w:color w:val="000000" w:themeColor="text1"/>
                      <w:sz w:val="21"/>
                      <w:szCs w:val="21"/>
                    </w:rPr>
                    <w:t>否</w:t>
                  </w:r>
                </w:p>
              </w:tc>
            </w:tr>
            <w:tr w:rsidR="003C4F46" w14:paraId="5037994F" w14:textId="77777777" w:rsidTr="00CF799D">
              <w:trPr>
                <w:trHeight w:val="60"/>
              </w:trPr>
              <w:tc>
                <w:tcPr>
                  <w:tcW w:w="504" w:type="pct"/>
                  <w:vMerge/>
                  <w:vAlign w:val="center"/>
                </w:tcPr>
                <w:p w14:paraId="208B1539"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12B9E51B"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11.</w:t>
                  </w:r>
                  <w:r>
                    <w:rPr>
                      <w:rFonts w:cs="Times New Roman"/>
                      <w:color w:val="000000" w:themeColor="text1"/>
                      <w:sz w:val="21"/>
                      <w:szCs w:val="21"/>
                    </w:rPr>
                    <w:t>噪声、土壤或地下水污染防治措施变化，导致不利环境影响加重的。</w:t>
                  </w:r>
                </w:p>
              </w:tc>
              <w:tc>
                <w:tcPr>
                  <w:tcW w:w="1110" w:type="pct"/>
                  <w:vAlign w:val="center"/>
                </w:tcPr>
                <w:p w14:paraId="0096F589" w14:textId="77777777" w:rsidR="003C4F46" w:rsidRDefault="004B6A81">
                  <w:pPr>
                    <w:spacing w:line="240" w:lineRule="auto"/>
                    <w:ind w:firstLineChars="0" w:firstLine="0"/>
                    <w:rPr>
                      <w:rFonts w:cs="Times New Roman"/>
                      <w:color w:val="000000"/>
                      <w:sz w:val="21"/>
                      <w:szCs w:val="21"/>
                    </w:rPr>
                  </w:pPr>
                  <w:r>
                    <w:rPr>
                      <w:rFonts w:cs="Times New Roman"/>
                      <w:color w:val="000000"/>
                      <w:sz w:val="21"/>
                      <w:szCs w:val="21"/>
                    </w:rPr>
                    <w:t>噪声：隔声、减振、合理布局等降噪措施；</w:t>
                  </w:r>
                </w:p>
                <w:p w14:paraId="3A562924" w14:textId="61575A94" w:rsidR="003C4F46" w:rsidRDefault="004B6A81">
                  <w:pPr>
                    <w:spacing w:line="240" w:lineRule="auto"/>
                    <w:ind w:firstLineChars="0" w:firstLine="0"/>
                    <w:rPr>
                      <w:rFonts w:cs="Times New Roman"/>
                      <w:color w:val="000000"/>
                      <w:sz w:val="21"/>
                      <w:szCs w:val="21"/>
                    </w:rPr>
                  </w:pPr>
                  <w:r>
                    <w:rPr>
                      <w:rFonts w:cs="Times New Roman"/>
                      <w:color w:val="000000"/>
                      <w:sz w:val="21"/>
                      <w:szCs w:val="21"/>
                    </w:rPr>
                    <w:t>土壤及地下水：贮存</w:t>
                  </w:r>
                  <w:r w:rsidR="00CF46A4" w:rsidRPr="00CF46A4">
                    <w:rPr>
                      <w:rFonts w:cs="Times New Roman" w:hint="eastAsia"/>
                      <w:color w:val="000000" w:themeColor="text1"/>
                      <w:sz w:val="21"/>
                      <w:szCs w:val="21"/>
                    </w:rPr>
                    <w:t>库</w:t>
                  </w:r>
                  <w:r>
                    <w:rPr>
                      <w:rFonts w:cs="Times New Roman"/>
                      <w:color w:val="000000"/>
                      <w:sz w:val="21"/>
                      <w:szCs w:val="21"/>
                    </w:rPr>
                    <w:t>为重点防渗区，地</w:t>
                  </w:r>
                  <w:r>
                    <w:rPr>
                      <w:rFonts w:cs="Times New Roman"/>
                      <w:color w:val="000000"/>
                      <w:sz w:val="21"/>
                      <w:szCs w:val="21"/>
                    </w:rPr>
                    <w:lastRenderedPageBreak/>
                    <w:t>面采用</w:t>
                  </w:r>
                  <w:r w:rsidR="00CF799D">
                    <w:rPr>
                      <w:rFonts w:cs="Times New Roman" w:hint="eastAsia"/>
                      <w:color w:val="000000"/>
                      <w:sz w:val="21"/>
                      <w:szCs w:val="21"/>
                    </w:rPr>
                    <w:t>“</w:t>
                  </w:r>
                  <w:r>
                    <w:rPr>
                      <w:rFonts w:cs="Times New Roman"/>
                      <w:color w:val="000000"/>
                      <w:sz w:val="21"/>
                      <w:szCs w:val="21"/>
                    </w:rPr>
                    <w:t>混凝土</w:t>
                  </w:r>
                  <w:r>
                    <w:rPr>
                      <w:rFonts w:cs="Times New Roman"/>
                      <w:color w:val="000000"/>
                      <w:sz w:val="21"/>
                      <w:szCs w:val="21"/>
                    </w:rPr>
                    <w:t>+</w:t>
                  </w:r>
                  <w:r>
                    <w:rPr>
                      <w:rFonts w:cs="Times New Roman"/>
                      <w:color w:val="000000"/>
                      <w:sz w:val="21"/>
                      <w:szCs w:val="21"/>
                    </w:rPr>
                    <w:t>防渗膜</w:t>
                  </w:r>
                  <w:r w:rsidR="00CF799D">
                    <w:rPr>
                      <w:rFonts w:cs="Times New Roman" w:hint="eastAsia"/>
                      <w:color w:val="000000"/>
                      <w:sz w:val="21"/>
                      <w:szCs w:val="21"/>
                    </w:rPr>
                    <w:t>”</w:t>
                  </w:r>
                  <w:r>
                    <w:rPr>
                      <w:rFonts w:cs="Times New Roman"/>
                      <w:color w:val="000000"/>
                      <w:sz w:val="21"/>
                      <w:szCs w:val="21"/>
                    </w:rPr>
                    <w:t>双层复合防渗结构，渗透系数</w:t>
                  </w:r>
                  <w:r>
                    <w:rPr>
                      <w:rFonts w:cs="Times New Roman"/>
                      <w:color w:val="000000"/>
                      <w:sz w:val="21"/>
                      <w:szCs w:val="21"/>
                    </w:rPr>
                    <w:t>≤1.0×10⁻¹⁰cm/s</w:t>
                  </w:r>
                  <w:r>
                    <w:rPr>
                      <w:rFonts w:cs="Times New Roman"/>
                      <w:color w:val="000000"/>
                      <w:sz w:val="21"/>
                      <w:szCs w:val="21"/>
                    </w:rPr>
                    <w:t>，设置导流槽连接事故池</w:t>
                  </w:r>
                </w:p>
              </w:tc>
              <w:tc>
                <w:tcPr>
                  <w:tcW w:w="1274" w:type="pct"/>
                  <w:vAlign w:val="center"/>
                </w:tcPr>
                <w:p w14:paraId="16750F8A" w14:textId="77777777" w:rsidR="003C4F46" w:rsidRDefault="004B6A81">
                  <w:pPr>
                    <w:spacing w:line="240" w:lineRule="auto"/>
                    <w:ind w:firstLineChars="0" w:firstLine="0"/>
                    <w:rPr>
                      <w:rFonts w:cs="Times New Roman"/>
                      <w:color w:val="000000"/>
                      <w:sz w:val="21"/>
                      <w:szCs w:val="21"/>
                    </w:rPr>
                  </w:pPr>
                  <w:r>
                    <w:rPr>
                      <w:rFonts w:cs="Times New Roman"/>
                      <w:color w:val="000000"/>
                      <w:sz w:val="21"/>
                      <w:szCs w:val="21"/>
                    </w:rPr>
                    <w:lastRenderedPageBreak/>
                    <w:t>噪声：隔声、减振、合理布局等降噪措施；</w:t>
                  </w:r>
                </w:p>
                <w:p w14:paraId="23E1EEB0" w14:textId="79862C78"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土壤及地下水：贮存库及储罐区均按重点防渗区设计。</w:t>
                  </w:r>
                  <w:r>
                    <w:rPr>
                      <w:rFonts w:cs="Times New Roman"/>
                      <w:color w:val="000000"/>
                      <w:sz w:val="21"/>
                      <w:szCs w:val="21"/>
                    </w:rPr>
                    <w:t>地面采用</w:t>
                  </w:r>
                  <w:r w:rsidR="00CF799D">
                    <w:rPr>
                      <w:rFonts w:cs="Times New Roman" w:hint="eastAsia"/>
                      <w:color w:val="000000"/>
                      <w:sz w:val="21"/>
                      <w:szCs w:val="21"/>
                    </w:rPr>
                    <w:t>“</w:t>
                  </w:r>
                  <w:r>
                    <w:rPr>
                      <w:rFonts w:cs="Times New Roman"/>
                      <w:color w:val="000000"/>
                      <w:sz w:val="21"/>
                      <w:szCs w:val="21"/>
                    </w:rPr>
                    <w:t>混</w:t>
                  </w:r>
                  <w:r>
                    <w:rPr>
                      <w:rFonts w:cs="Times New Roman"/>
                      <w:color w:val="000000"/>
                      <w:sz w:val="21"/>
                      <w:szCs w:val="21"/>
                    </w:rPr>
                    <w:lastRenderedPageBreak/>
                    <w:t>凝土</w:t>
                  </w:r>
                  <w:r>
                    <w:rPr>
                      <w:rFonts w:cs="Times New Roman"/>
                      <w:color w:val="000000"/>
                      <w:sz w:val="21"/>
                      <w:szCs w:val="21"/>
                    </w:rPr>
                    <w:t>+</w:t>
                  </w:r>
                  <w:r>
                    <w:rPr>
                      <w:rFonts w:cs="Times New Roman"/>
                      <w:color w:val="000000"/>
                      <w:sz w:val="21"/>
                      <w:szCs w:val="21"/>
                    </w:rPr>
                    <w:t>防渗膜</w:t>
                  </w:r>
                  <w:r w:rsidR="00CF799D">
                    <w:rPr>
                      <w:rFonts w:cs="Times New Roman" w:hint="eastAsia"/>
                      <w:color w:val="000000"/>
                      <w:sz w:val="21"/>
                      <w:szCs w:val="21"/>
                    </w:rPr>
                    <w:t>”</w:t>
                  </w:r>
                  <w:r>
                    <w:rPr>
                      <w:rFonts w:cs="Times New Roman"/>
                      <w:color w:val="000000"/>
                      <w:sz w:val="21"/>
                      <w:szCs w:val="21"/>
                    </w:rPr>
                    <w:t>双层复合防渗结构，渗透系数</w:t>
                  </w:r>
                  <w:r>
                    <w:rPr>
                      <w:rFonts w:cs="Times New Roman"/>
                      <w:color w:val="000000"/>
                      <w:sz w:val="21"/>
                      <w:szCs w:val="21"/>
                    </w:rPr>
                    <w:t>≤1.0×10⁻¹⁰cm/s</w:t>
                  </w:r>
                  <w:r>
                    <w:rPr>
                      <w:rFonts w:cs="Times New Roman"/>
                      <w:color w:val="000000"/>
                      <w:sz w:val="21"/>
                      <w:szCs w:val="21"/>
                    </w:rPr>
                    <w:t>，设置导流槽连接事故池</w:t>
                  </w:r>
                </w:p>
              </w:tc>
              <w:tc>
                <w:tcPr>
                  <w:tcW w:w="677" w:type="pct"/>
                  <w:vAlign w:val="center"/>
                </w:tcPr>
                <w:p w14:paraId="2D8E8957" w14:textId="77777777" w:rsidR="003C4F46" w:rsidRDefault="004B6A81">
                  <w:pPr>
                    <w:spacing w:line="240" w:lineRule="auto"/>
                    <w:ind w:firstLineChars="0" w:firstLine="0"/>
                    <w:jc w:val="center"/>
                    <w:rPr>
                      <w:rFonts w:cs="Times New Roman"/>
                      <w:color w:val="000000" w:themeColor="text1"/>
                      <w:sz w:val="21"/>
                      <w:szCs w:val="21"/>
                    </w:rPr>
                  </w:pPr>
                  <w:r>
                    <w:rPr>
                      <w:rFonts w:cs="Times New Roman" w:hint="eastAsia"/>
                      <w:color w:val="000000" w:themeColor="text1"/>
                      <w:sz w:val="21"/>
                      <w:szCs w:val="21"/>
                    </w:rPr>
                    <w:lastRenderedPageBreak/>
                    <w:t>否</w:t>
                  </w:r>
                </w:p>
              </w:tc>
            </w:tr>
            <w:tr w:rsidR="003C4F46" w14:paraId="27E1C1B2" w14:textId="77777777" w:rsidTr="00DB5A72">
              <w:trPr>
                <w:trHeight w:val="56"/>
              </w:trPr>
              <w:tc>
                <w:tcPr>
                  <w:tcW w:w="504" w:type="pct"/>
                  <w:vMerge/>
                  <w:vAlign w:val="center"/>
                </w:tcPr>
                <w:p w14:paraId="00014937"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4C626A78"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12.</w:t>
                  </w:r>
                  <w:r>
                    <w:rPr>
                      <w:rFonts w:cs="Times New Roman"/>
                      <w:color w:val="000000" w:themeColor="text1"/>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1110" w:type="pct"/>
                  <w:vAlign w:val="center"/>
                </w:tcPr>
                <w:p w14:paraId="769B4CDE"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项目产生的危险废物（废活性炭、废含油抹布等），与本项目其他危废一同贮存于危废贮存库内，定期委托有资质单位处置；生活垃圾由环卫部门清运</w:t>
                  </w:r>
                </w:p>
              </w:tc>
              <w:tc>
                <w:tcPr>
                  <w:tcW w:w="1274" w:type="pct"/>
                  <w:vAlign w:val="center"/>
                </w:tcPr>
                <w:p w14:paraId="3EE0CF18"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项目产生的危险废物（废活性炭、废含油抹布及废劳保用品），与本项目其他危废一同贮存于</w:t>
                  </w:r>
                  <w:r>
                    <w:rPr>
                      <w:rFonts w:cs="Times New Roman" w:hint="eastAsia"/>
                      <w:color w:val="000000"/>
                      <w:sz w:val="21"/>
                      <w:szCs w:val="21"/>
                    </w:rPr>
                    <w:t>1#</w:t>
                  </w:r>
                  <w:r>
                    <w:rPr>
                      <w:rFonts w:cs="Times New Roman" w:hint="eastAsia"/>
                      <w:color w:val="000000"/>
                      <w:sz w:val="21"/>
                      <w:szCs w:val="21"/>
                    </w:rPr>
                    <w:t>贮存库内，定期委托有资质单位处置；生活垃圾由环卫部门清运</w:t>
                  </w:r>
                </w:p>
              </w:tc>
              <w:tc>
                <w:tcPr>
                  <w:tcW w:w="677" w:type="pct"/>
                  <w:vAlign w:val="center"/>
                </w:tcPr>
                <w:p w14:paraId="51759BAB" w14:textId="77777777" w:rsidR="003C4F46" w:rsidRDefault="004B6A81">
                  <w:pPr>
                    <w:spacing w:line="240" w:lineRule="auto"/>
                    <w:ind w:firstLineChars="0" w:firstLine="0"/>
                    <w:jc w:val="center"/>
                    <w:rPr>
                      <w:rFonts w:cs="Times New Roman"/>
                      <w:color w:val="000000" w:themeColor="text1"/>
                      <w:sz w:val="21"/>
                      <w:szCs w:val="21"/>
                    </w:rPr>
                  </w:pPr>
                  <w:r>
                    <w:rPr>
                      <w:rFonts w:cs="Times New Roman" w:hint="eastAsia"/>
                      <w:color w:val="000000" w:themeColor="text1"/>
                      <w:sz w:val="21"/>
                      <w:szCs w:val="21"/>
                    </w:rPr>
                    <w:t>否</w:t>
                  </w:r>
                </w:p>
              </w:tc>
            </w:tr>
            <w:tr w:rsidR="003C4F46" w14:paraId="511E7907" w14:textId="77777777">
              <w:trPr>
                <w:trHeight w:val="60"/>
              </w:trPr>
              <w:tc>
                <w:tcPr>
                  <w:tcW w:w="504" w:type="pct"/>
                  <w:vMerge/>
                  <w:vAlign w:val="center"/>
                </w:tcPr>
                <w:p w14:paraId="1AD08396" w14:textId="77777777" w:rsidR="003C4F46" w:rsidRDefault="003C4F46">
                  <w:pPr>
                    <w:spacing w:line="240" w:lineRule="auto"/>
                    <w:ind w:firstLineChars="0" w:firstLine="0"/>
                    <w:jc w:val="center"/>
                    <w:rPr>
                      <w:rFonts w:cs="Times New Roman"/>
                      <w:color w:val="000000" w:themeColor="text1"/>
                      <w:sz w:val="21"/>
                      <w:szCs w:val="21"/>
                    </w:rPr>
                  </w:pPr>
                </w:p>
              </w:tc>
              <w:tc>
                <w:tcPr>
                  <w:tcW w:w="1435" w:type="pct"/>
                  <w:vAlign w:val="center"/>
                </w:tcPr>
                <w:p w14:paraId="4C54D4A1" w14:textId="77777777" w:rsidR="003C4F46" w:rsidRDefault="004B6A81">
                  <w:pPr>
                    <w:spacing w:line="240" w:lineRule="auto"/>
                    <w:ind w:firstLineChars="0" w:firstLine="0"/>
                    <w:rPr>
                      <w:rFonts w:cs="Times New Roman"/>
                      <w:color w:val="000000" w:themeColor="text1"/>
                      <w:sz w:val="21"/>
                      <w:szCs w:val="21"/>
                    </w:rPr>
                  </w:pPr>
                  <w:r>
                    <w:rPr>
                      <w:rFonts w:cs="Times New Roman"/>
                      <w:color w:val="000000" w:themeColor="text1"/>
                      <w:sz w:val="21"/>
                      <w:szCs w:val="21"/>
                    </w:rPr>
                    <w:t>13.</w:t>
                  </w:r>
                  <w:r>
                    <w:rPr>
                      <w:rFonts w:cs="Times New Roman"/>
                      <w:color w:val="000000" w:themeColor="text1"/>
                      <w:sz w:val="21"/>
                      <w:szCs w:val="21"/>
                    </w:rPr>
                    <w:t>事故废水暂存能力或拦截设施变化，导致环境风险防范能力弱化或降低的。</w:t>
                  </w:r>
                </w:p>
              </w:tc>
              <w:tc>
                <w:tcPr>
                  <w:tcW w:w="1110" w:type="pct"/>
                  <w:vAlign w:val="center"/>
                </w:tcPr>
                <w:p w14:paraId="6D6DF4BC"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设置导流沟收集泄漏危险废物，应急事故池依托轮台塔中石油化工有限公司生产基地现有</w:t>
                  </w:r>
                  <w:r>
                    <w:rPr>
                      <w:rFonts w:cs="Times New Roman" w:hint="eastAsia"/>
                      <w:color w:val="000000"/>
                      <w:sz w:val="21"/>
                      <w:szCs w:val="21"/>
                    </w:rPr>
                    <w:t>800m</w:t>
                  </w:r>
                  <w:r>
                    <w:rPr>
                      <w:rFonts w:cs="Times New Roman" w:hint="eastAsia"/>
                      <w:color w:val="000000"/>
                      <w:sz w:val="21"/>
                      <w:szCs w:val="21"/>
                    </w:rPr>
                    <w:t>³事故池</w:t>
                  </w:r>
                </w:p>
              </w:tc>
              <w:tc>
                <w:tcPr>
                  <w:tcW w:w="1274" w:type="pct"/>
                  <w:vAlign w:val="center"/>
                </w:tcPr>
                <w:p w14:paraId="2E52BEBE" w14:textId="77777777" w:rsidR="003C4F46" w:rsidRDefault="004B6A81">
                  <w:pPr>
                    <w:spacing w:line="240" w:lineRule="auto"/>
                    <w:ind w:firstLineChars="0" w:firstLine="0"/>
                    <w:rPr>
                      <w:rFonts w:cs="Times New Roman"/>
                      <w:color w:val="000000"/>
                      <w:sz w:val="21"/>
                      <w:szCs w:val="21"/>
                    </w:rPr>
                  </w:pPr>
                  <w:r>
                    <w:rPr>
                      <w:rFonts w:cs="Times New Roman" w:hint="eastAsia"/>
                      <w:color w:val="000000"/>
                      <w:sz w:val="21"/>
                      <w:szCs w:val="21"/>
                    </w:rPr>
                    <w:t>设置导流沟收集泄漏危险废物，应急事故池仍依托厂区现有</w:t>
                  </w:r>
                  <w:r>
                    <w:rPr>
                      <w:rFonts w:cs="Times New Roman" w:hint="eastAsia"/>
                      <w:color w:val="000000"/>
                      <w:sz w:val="21"/>
                      <w:szCs w:val="21"/>
                    </w:rPr>
                    <w:t>800m</w:t>
                  </w:r>
                  <w:r>
                    <w:rPr>
                      <w:rFonts w:cs="Times New Roman" w:hint="eastAsia"/>
                      <w:color w:val="000000"/>
                      <w:sz w:val="21"/>
                      <w:szCs w:val="21"/>
                    </w:rPr>
                    <w:t>³事故池</w:t>
                  </w:r>
                </w:p>
              </w:tc>
              <w:tc>
                <w:tcPr>
                  <w:tcW w:w="677" w:type="pct"/>
                  <w:vAlign w:val="center"/>
                </w:tcPr>
                <w:p w14:paraId="376C4EF9" w14:textId="77777777" w:rsidR="003C4F46" w:rsidRDefault="004B6A81">
                  <w:pPr>
                    <w:spacing w:line="240" w:lineRule="auto"/>
                    <w:ind w:firstLineChars="0" w:firstLine="0"/>
                    <w:jc w:val="center"/>
                    <w:rPr>
                      <w:rFonts w:cs="Times New Roman"/>
                      <w:color w:val="000000" w:themeColor="text1"/>
                      <w:sz w:val="21"/>
                      <w:szCs w:val="21"/>
                    </w:rPr>
                  </w:pPr>
                  <w:r>
                    <w:rPr>
                      <w:rFonts w:cs="Times New Roman" w:hint="eastAsia"/>
                      <w:color w:val="000000" w:themeColor="text1"/>
                      <w:sz w:val="21"/>
                      <w:szCs w:val="21"/>
                    </w:rPr>
                    <w:t>否</w:t>
                  </w:r>
                </w:p>
              </w:tc>
            </w:tr>
          </w:tbl>
          <w:p w14:paraId="1915E1D4" w14:textId="77777777" w:rsidR="003C4F46" w:rsidRDefault="004B6A81">
            <w:pPr>
              <w:ind w:firstLine="480"/>
              <w:rPr>
                <w:color w:val="000000" w:themeColor="text1"/>
              </w:rPr>
            </w:pPr>
            <w:r>
              <w:rPr>
                <w:rFonts w:hint="eastAsia"/>
                <w:color w:val="000000" w:themeColor="text1"/>
              </w:rPr>
              <w:t>根据《建设项目环境影响评价分类管理名录》（</w:t>
            </w:r>
            <w:r>
              <w:rPr>
                <w:rFonts w:hint="eastAsia"/>
                <w:color w:val="000000" w:themeColor="text1"/>
              </w:rPr>
              <w:t>2021</w:t>
            </w:r>
            <w:r>
              <w:rPr>
                <w:rFonts w:hint="eastAsia"/>
                <w:color w:val="000000" w:themeColor="text1"/>
              </w:rPr>
              <w:t>年版），本项目属于“四十七、生态保护和环境治理业”中的“</w:t>
            </w:r>
            <w:r>
              <w:rPr>
                <w:rFonts w:hint="eastAsia"/>
                <w:color w:val="000000" w:themeColor="text1"/>
              </w:rPr>
              <w:t>101</w:t>
            </w:r>
            <w:r>
              <w:rPr>
                <w:rFonts w:hint="eastAsia"/>
                <w:color w:val="000000" w:themeColor="text1"/>
              </w:rPr>
              <w:t>危险废物（不含医疗废物）利用及处置中的”中的“其他”，应编制环境影响评价报告表。</w:t>
            </w:r>
          </w:p>
          <w:p w14:paraId="77854526" w14:textId="77777777" w:rsidR="003C4F46" w:rsidRDefault="004B6A81">
            <w:pPr>
              <w:spacing w:line="240" w:lineRule="auto"/>
              <w:ind w:firstLine="422"/>
              <w:jc w:val="center"/>
              <w:textAlignment w:val="auto"/>
              <w:rPr>
                <w:rFonts w:cs="Times New Roman"/>
                <w:b/>
                <w:bCs/>
                <w:color w:val="000000"/>
                <w:sz w:val="21"/>
                <w:szCs w:val="21"/>
              </w:rPr>
            </w:pPr>
            <w:r>
              <w:rPr>
                <w:rFonts w:cs="Times New Roman"/>
                <w:b/>
                <w:bCs/>
                <w:color w:val="000000"/>
                <w:sz w:val="21"/>
                <w:szCs w:val="21"/>
              </w:rPr>
              <w:t>表</w:t>
            </w:r>
            <w:r>
              <w:rPr>
                <w:rFonts w:cs="Times New Roman"/>
                <w:b/>
                <w:bCs/>
                <w:color w:val="000000"/>
                <w:sz w:val="21"/>
                <w:szCs w:val="21"/>
              </w:rPr>
              <w:t xml:space="preserve">2-2  </w:t>
            </w:r>
            <w:r>
              <w:rPr>
                <w:rFonts w:cs="Times New Roman"/>
                <w:b/>
                <w:bCs/>
                <w:color w:val="000000"/>
                <w:sz w:val="21"/>
                <w:szCs w:val="21"/>
              </w:rPr>
              <w:t>《建设项目环境影响评价分类管理名录》（</w:t>
            </w:r>
            <w:r>
              <w:rPr>
                <w:rFonts w:cs="Times New Roman"/>
                <w:b/>
                <w:bCs/>
                <w:color w:val="000000"/>
                <w:sz w:val="21"/>
                <w:szCs w:val="21"/>
              </w:rPr>
              <w:t>2021</w:t>
            </w:r>
            <w:r>
              <w:rPr>
                <w:rFonts w:cs="Times New Roman"/>
                <w:b/>
                <w:bCs/>
                <w:color w:val="000000"/>
                <w:sz w:val="21"/>
                <w:szCs w:val="21"/>
              </w:rPr>
              <w:t>版）（节选）</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54"/>
              <w:gridCol w:w="1716"/>
              <w:gridCol w:w="2931"/>
              <w:gridCol w:w="1387"/>
              <w:gridCol w:w="804"/>
              <w:gridCol w:w="1498"/>
            </w:tblGrid>
            <w:tr w:rsidR="003C4F46" w14:paraId="3570ECE0" w14:textId="77777777">
              <w:trPr>
                <w:trHeight w:val="553"/>
              </w:trPr>
              <w:tc>
                <w:tcPr>
                  <w:tcW w:w="1359" w:type="pct"/>
                  <w:gridSpan w:val="2"/>
                  <w:vAlign w:val="center"/>
                </w:tcPr>
                <w:p w14:paraId="4EBAB96A" w14:textId="77777777" w:rsidR="003C4F46" w:rsidRDefault="004B6A81">
                  <w:pPr>
                    <w:spacing w:line="240" w:lineRule="auto"/>
                    <w:ind w:firstLineChars="300" w:firstLine="630"/>
                    <w:jc w:val="center"/>
                    <w:textAlignment w:val="auto"/>
                    <w:rPr>
                      <w:rFonts w:cs="Times New Roman"/>
                      <w:color w:val="000000"/>
                      <w:sz w:val="21"/>
                      <w:szCs w:val="21"/>
                    </w:rPr>
                  </w:pPr>
                  <w:r>
                    <w:rPr>
                      <w:rFonts w:cs="Times New Roman"/>
                      <w:noProof/>
                      <w:sz w:val="21"/>
                      <w:szCs w:val="24"/>
                    </w:rPr>
                    <mc:AlternateContent>
                      <mc:Choice Requires="wps">
                        <w:drawing>
                          <wp:anchor distT="0" distB="0" distL="114300" distR="114300" simplePos="0" relativeHeight="251659264" behindDoc="0" locked="0" layoutInCell="1" allowOverlap="1" wp14:anchorId="64990C09" wp14:editId="5E6FACC7">
                            <wp:simplePos x="0" y="0"/>
                            <wp:positionH relativeFrom="column">
                              <wp:posOffset>-52070</wp:posOffset>
                            </wp:positionH>
                            <wp:positionV relativeFrom="paragraph">
                              <wp:posOffset>-13335</wp:posOffset>
                            </wp:positionV>
                            <wp:extent cx="1371600" cy="400050"/>
                            <wp:effectExtent l="0" t="0" r="19050" b="19050"/>
                            <wp:wrapNone/>
                            <wp:docPr id="15" name="直接连接符 15"/>
                            <wp:cNvGraphicFramePr/>
                            <a:graphic xmlns:a="http://schemas.openxmlformats.org/drawingml/2006/main">
                              <a:graphicData uri="http://schemas.microsoft.com/office/word/2010/wordprocessingShape">
                                <wps:wsp>
                                  <wps:cNvCnPr/>
                                  <wps:spPr>
                                    <a:xfrm>
                                      <a:off x="0" y="0"/>
                                      <a:ext cx="1371600" cy="400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margin-left:-4.1pt;margin-top:-1.05pt;height:31.5pt;width:108pt;z-index:251659264;mso-width-relative:page;mso-height-relative:page;" filled="f" stroked="t" coordsize="21600,21600" o:gfxdata="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YK0jDWAAAACAEAAA8AAAAAAAAAAQAgAAAAIgAAAGRycy9kb3ducmV2Lnht&#10;bFBLAQIUABQAAAAIAIdO4kDwvTto+wEAANoDAAAOAAAAAAAAAAEAIAAAACUBAABkcnMvZTJvRG9j&#10;LnhtbFBLBQYAAAAABgAGAFkBAACSBQAAAAA=&#10;">
                            <v:fill on="f" focussize="0,0"/>
                            <v:stroke weight="0.5pt" color="#000000" miterlimit="8" joinstyle="miter"/>
                            <v:imagedata o:title=""/>
                            <o:lock v:ext="edit" aspectratio="f"/>
                          </v:line>
                        </w:pict>
                      </mc:Fallback>
                    </mc:AlternateContent>
                  </w:r>
                  <w:r>
                    <w:rPr>
                      <w:rFonts w:cs="Times New Roman"/>
                      <w:color w:val="000000"/>
                      <w:sz w:val="21"/>
                      <w:szCs w:val="21"/>
                    </w:rPr>
                    <w:t>环评类别</w:t>
                  </w:r>
                </w:p>
                <w:p w14:paraId="6C680606" w14:textId="77777777" w:rsidR="003C4F46" w:rsidRDefault="004B6A81">
                  <w:pPr>
                    <w:spacing w:line="240" w:lineRule="auto"/>
                    <w:ind w:firstLineChars="0" w:firstLine="0"/>
                    <w:textAlignment w:val="auto"/>
                    <w:rPr>
                      <w:rFonts w:cs="Times New Roman"/>
                      <w:color w:val="000000"/>
                      <w:sz w:val="21"/>
                      <w:szCs w:val="21"/>
                    </w:rPr>
                  </w:pPr>
                  <w:r>
                    <w:rPr>
                      <w:rFonts w:cs="Times New Roman"/>
                      <w:color w:val="000000"/>
                      <w:sz w:val="21"/>
                      <w:szCs w:val="21"/>
                    </w:rPr>
                    <w:t>项目类别</w:t>
                  </w:r>
                </w:p>
              </w:tc>
              <w:tc>
                <w:tcPr>
                  <w:tcW w:w="1612" w:type="pct"/>
                  <w:vAlign w:val="center"/>
                </w:tcPr>
                <w:p w14:paraId="6DBC114F"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报告书</w:t>
                  </w:r>
                </w:p>
              </w:tc>
              <w:tc>
                <w:tcPr>
                  <w:tcW w:w="763" w:type="pct"/>
                  <w:shd w:val="clear" w:color="auto" w:fill="E7E6E6"/>
                  <w:vAlign w:val="center"/>
                </w:tcPr>
                <w:p w14:paraId="62F0EAB9"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报告表</w:t>
                  </w:r>
                </w:p>
              </w:tc>
              <w:tc>
                <w:tcPr>
                  <w:tcW w:w="442" w:type="pct"/>
                  <w:vAlign w:val="center"/>
                </w:tcPr>
                <w:p w14:paraId="4F69B21E"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登记表</w:t>
                  </w:r>
                </w:p>
              </w:tc>
              <w:tc>
                <w:tcPr>
                  <w:tcW w:w="824" w:type="pct"/>
                  <w:vAlign w:val="center"/>
                </w:tcPr>
                <w:p w14:paraId="24E30CDB"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本栏目环境敏感区含义</w:t>
                  </w:r>
                </w:p>
              </w:tc>
            </w:tr>
            <w:tr w:rsidR="003C4F46" w14:paraId="43C53CAA" w14:textId="77777777">
              <w:tc>
                <w:tcPr>
                  <w:tcW w:w="5000" w:type="pct"/>
                  <w:gridSpan w:val="6"/>
                  <w:vAlign w:val="center"/>
                </w:tcPr>
                <w:p w14:paraId="483C1382"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hint="eastAsia"/>
                      <w:color w:val="000000"/>
                      <w:sz w:val="21"/>
                      <w:szCs w:val="21"/>
                      <w:shd w:val="clear" w:color="auto" w:fill="E7E6E6"/>
                    </w:rPr>
                    <w:t>四十七、生态保护和环境治理业</w:t>
                  </w:r>
                </w:p>
              </w:tc>
            </w:tr>
            <w:tr w:rsidR="003C4F46" w14:paraId="5940B035" w14:textId="77777777">
              <w:trPr>
                <w:trHeight w:val="1077"/>
              </w:trPr>
              <w:tc>
                <w:tcPr>
                  <w:tcW w:w="415" w:type="pct"/>
                  <w:vAlign w:val="center"/>
                </w:tcPr>
                <w:p w14:paraId="00B528D1"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101</w:t>
                  </w:r>
                </w:p>
              </w:tc>
              <w:tc>
                <w:tcPr>
                  <w:tcW w:w="944" w:type="pct"/>
                  <w:vAlign w:val="center"/>
                </w:tcPr>
                <w:p w14:paraId="40EB9259"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hint="eastAsia"/>
                      <w:color w:val="000000"/>
                      <w:sz w:val="21"/>
                      <w:szCs w:val="21"/>
                    </w:rPr>
                    <w:t>危险废物（不含医疗废物）利用及处置</w:t>
                  </w:r>
                </w:p>
              </w:tc>
              <w:tc>
                <w:tcPr>
                  <w:tcW w:w="1612" w:type="pct"/>
                  <w:vAlign w:val="center"/>
                </w:tcPr>
                <w:p w14:paraId="285A318F" w14:textId="77777777" w:rsidR="003C4F46" w:rsidRDefault="004B6A81">
                  <w:pPr>
                    <w:spacing w:line="240" w:lineRule="auto"/>
                    <w:ind w:firstLineChars="0" w:firstLine="0"/>
                    <w:textAlignment w:val="auto"/>
                    <w:rPr>
                      <w:rFonts w:cs="Times New Roman"/>
                      <w:color w:val="000000"/>
                      <w:sz w:val="21"/>
                      <w:szCs w:val="21"/>
                    </w:rPr>
                  </w:pPr>
                  <w:r>
                    <w:rPr>
                      <w:rFonts w:cs="Times New Roman" w:hint="eastAsia"/>
                      <w:color w:val="000000"/>
                      <w:sz w:val="21"/>
                      <w:szCs w:val="21"/>
                    </w:rPr>
                    <w:t>危险废物利用及处置（产生单位内部回收再利用的除外；单纯收集、贮存的除外）</w:t>
                  </w:r>
                </w:p>
              </w:tc>
              <w:tc>
                <w:tcPr>
                  <w:tcW w:w="763" w:type="pct"/>
                  <w:shd w:val="clear" w:color="auto" w:fill="E7E6E6"/>
                  <w:vAlign w:val="center"/>
                </w:tcPr>
                <w:p w14:paraId="272BF5FF"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hint="eastAsia"/>
                      <w:color w:val="000000"/>
                      <w:sz w:val="21"/>
                      <w:szCs w:val="21"/>
                    </w:rPr>
                    <w:t>其他</w:t>
                  </w:r>
                </w:p>
              </w:tc>
              <w:tc>
                <w:tcPr>
                  <w:tcW w:w="442" w:type="pct"/>
                  <w:vAlign w:val="center"/>
                </w:tcPr>
                <w:p w14:paraId="5C88F035"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w:t>
                  </w:r>
                </w:p>
              </w:tc>
              <w:tc>
                <w:tcPr>
                  <w:tcW w:w="824" w:type="pct"/>
                  <w:vAlign w:val="center"/>
                </w:tcPr>
                <w:p w14:paraId="0C74006B" w14:textId="77777777" w:rsidR="003C4F46" w:rsidRDefault="004B6A81">
                  <w:pPr>
                    <w:spacing w:line="240" w:lineRule="auto"/>
                    <w:ind w:firstLineChars="0" w:firstLine="0"/>
                    <w:jc w:val="center"/>
                    <w:textAlignment w:val="auto"/>
                    <w:rPr>
                      <w:rFonts w:cs="Times New Roman"/>
                      <w:color w:val="000000"/>
                      <w:sz w:val="21"/>
                      <w:szCs w:val="21"/>
                    </w:rPr>
                  </w:pPr>
                  <w:r>
                    <w:rPr>
                      <w:rFonts w:cs="Times New Roman"/>
                      <w:color w:val="000000"/>
                      <w:sz w:val="21"/>
                      <w:szCs w:val="21"/>
                    </w:rPr>
                    <w:t>/</w:t>
                  </w:r>
                </w:p>
              </w:tc>
            </w:tr>
          </w:tbl>
          <w:p w14:paraId="21B4C8F5" w14:textId="77777777" w:rsidR="003C4F46" w:rsidRDefault="004B6A81">
            <w:pPr>
              <w:pStyle w:val="2"/>
              <w:rPr>
                <w:b w:val="0"/>
                <w:bCs w:val="0"/>
                <w:color w:val="000000" w:themeColor="text1"/>
              </w:rPr>
            </w:pPr>
            <w:r>
              <w:rPr>
                <w:rFonts w:cs="Times New Roman"/>
                <w:color w:val="000000" w:themeColor="text1"/>
                <w:kern w:val="0"/>
              </w:rPr>
              <w:t>2.2</w:t>
            </w:r>
            <w:r>
              <w:rPr>
                <w:rFonts w:hint="eastAsia"/>
                <w:color w:val="000000" w:themeColor="text1"/>
              </w:rPr>
              <w:t>项目组成及主要建设内容</w:t>
            </w:r>
          </w:p>
          <w:p w14:paraId="2F8E2177" w14:textId="77777777" w:rsidR="003C4F46" w:rsidRDefault="004B6A81">
            <w:pPr>
              <w:ind w:firstLine="480"/>
            </w:pPr>
            <w:r>
              <w:t>项目名称：</w:t>
            </w:r>
            <w:r>
              <w:rPr>
                <w:rFonts w:hint="eastAsia"/>
                <w:color w:val="000000"/>
              </w:rPr>
              <w:t>小微企业危险废物集中收集贮存项目（重新报批）；</w:t>
            </w:r>
          </w:p>
          <w:p w14:paraId="7AA6B07D" w14:textId="77777777" w:rsidR="003C4F46" w:rsidRDefault="004B6A81">
            <w:pPr>
              <w:ind w:firstLine="480"/>
            </w:pPr>
            <w:r>
              <w:t>建设单位：</w:t>
            </w:r>
            <w:r>
              <w:rPr>
                <w:rFonts w:hint="eastAsia"/>
              </w:rPr>
              <w:t>轮台塔中石油化工有限公司；</w:t>
            </w:r>
          </w:p>
          <w:p w14:paraId="67CD9894" w14:textId="77777777" w:rsidR="003C4F46" w:rsidRDefault="004B6A81">
            <w:pPr>
              <w:ind w:firstLine="480"/>
              <w:rPr>
                <w:color w:val="000000" w:themeColor="text1"/>
              </w:rPr>
            </w:pPr>
            <w:r>
              <w:rPr>
                <w:color w:val="000000" w:themeColor="text1"/>
              </w:rPr>
              <w:t>建设性质</w:t>
            </w:r>
            <w:r>
              <w:rPr>
                <w:rFonts w:hint="eastAsia"/>
                <w:color w:val="000000" w:themeColor="text1"/>
              </w:rPr>
              <w:t>：新建；</w:t>
            </w:r>
          </w:p>
          <w:p w14:paraId="556358A1" w14:textId="77777777" w:rsidR="003C4F46" w:rsidRDefault="004B6A81">
            <w:pPr>
              <w:ind w:firstLine="480"/>
              <w:rPr>
                <w:color w:val="000000" w:themeColor="text1"/>
              </w:rPr>
            </w:pPr>
            <w:r>
              <w:rPr>
                <w:color w:val="000000" w:themeColor="text1"/>
              </w:rPr>
              <w:t>项目总投资：</w:t>
            </w:r>
            <w:r>
              <w:rPr>
                <w:rFonts w:hint="eastAsia"/>
                <w:color w:val="000000" w:themeColor="text1"/>
              </w:rPr>
              <w:t>本项目总投资</w:t>
            </w:r>
            <w:r>
              <w:rPr>
                <w:rFonts w:cs="Times New Roman"/>
                <w:color w:val="000000" w:themeColor="text1"/>
                <w:szCs w:val="24"/>
              </w:rPr>
              <w:t>500</w:t>
            </w:r>
            <w:r>
              <w:rPr>
                <w:rFonts w:hint="eastAsia"/>
                <w:color w:val="000000" w:themeColor="text1"/>
              </w:rPr>
              <w:t>万元，其中环保投资</w:t>
            </w:r>
            <w:r>
              <w:rPr>
                <w:rFonts w:hint="eastAsia"/>
                <w:color w:val="000000" w:themeColor="text1"/>
              </w:rPr>
              <w:t>34</w:t>
            </w:r>
            <w:r>
              <w:rPr>
                <w:rFonts w:hint="eastAsia"/>
                <w:color w:val="000000" w:themeColor="text1"/>
              </w:rPr>
              <w:t>万元，占总投资</w:t>
            </w:r>
            <w:r>
              <w:rPr>
                <w:rFonts w:cs="Times New Roman" w:hint="eastAsia"/>
                <w:color w:val="000000" w:themeColor="text1"/>
                <w:szCs w:val="24"/>
              </w:rPr>
              <w:t>6.8</w:t>
            </w:r>
            <w:r>
              <w:rPr>
                <w:color w:val="000000" w:themeColor="text1"/>
              </w:rPr>
              <w:t>%</w:t>
            </w:r>
            <w:r>
              <w:rPr>
                <w:rFonts w:hint="eastAsia"/>
                <w:color w:val="000000" w:themeColor="text1"/>
              </w:rPr>
              <w:t>；</w:t>
            </w:r>
          </w:p>
          <w:p w14:paraId="5F4C03C9" w14:textId="026E4911" w:rsidR="003C4F46" w:rsidRDefault="004B6A81">
            <w:pPr>
              <w:ind w:firstLine="480"/>
              <w:rPr>
                <w:color w:val="000000"/>
              </w:rPr>
            </w:pPr>
            <w:r>
              <w:rPr>
                <w:rFonts w:cs="Times New Roman"/>
              </w:rPr>
              <w:t>建设地点：</w:t>
            </w:r>
          </w:p>
          <w:p w14:paraId="023A140F" w14:textId="77777777" w:rsidR="003C4F46" w:rsidRDefault="004B6A81">
            <w:pPr>
              <w:ind w:firstLine="480"/>
              <w:rPr>
                <w:rFonts w:cs="Times New Roman"/>
              </w:rPr>
            </w:pPr>
            <w:r>
              <w:rPr>
                <w:rFonts w:cs="Times New Roman"/>
              </w:rPr>
              <w:lastRenderedPageBreak/>
              <w:t>周边环境：</w:t>
            </w:r>
            <w:r>
              <w:rPr>
                <w:rFonts w:cs="Times New Roman" w:hint="eastAsia"/>
              </w:rPr>
              <w:t>项目区东侧约</w:t>
            </w:r>
            <w:r>
              <w:rPr>
                <w:rFonts w:cs="Times New Roman" w:hint="eastAsia"/>
              </w:rPr>
              <w:t>30m</w:t>
            </w:r>
            <w:r>
              <w:rPr>
                <w:rFonts w:cs="Times New Roman" w:hint="eastAsia"/>
              </w:rPr>
              <w:t>为巴州正源化工有限公司，西侧为新疆塔星沥青制造有限公司；北侧为空地，北侧约</w:t>
            </w:r>
            <w:r>
              <w:rPr>
                <w:rFonts w:cs="Times New Roman" w:hint="eastAsia"/>
              </w:rPr>
              <w:t>200m</w:t>
            </w:r>
            <w:r>
              <w:rPr>
                <w:rFonts w:cs="Times New Roman" w:hint="eastAsia"/>
              </w:rPr>
              <w:t>为铁路；南侧约</w:t>
            </w:r>
            <w:r>
              <w:rPr>
                <w:rFonts w:cs="Times New Roman" w:hint="eastAsia"/>
              </w:rPr>
              <w:t>50m</w:t>
            </w:r>
            <w:r>
              <w:rPr>
                <w:rFonts w:cs="Times New Roman" w:hint="eastAsia"/>
              </w:rPr>
              <w:t>为</w:t>
            </w:r>
            <w:r>
              <w:rPr>
                <w:rFonts w:cs="Times New Roman" w:hint="eastAsia"/>
              </w:rPr>
              <w:t>G314</w:t>
            </w:r>
            <w:r>
              <w:rPr>
                <w:rFonts w:cs="Times New Roman" w:hint="eastAsia"/>
              </w:rPr>
              <w:t>国道，约</w:t>
            </w:r>
            <w:r>
              <w:rPr>
                <w:rFonts w:cs="Times New Roman" w:hint="eastAsia"/>
              </w:rPr>
              <w:t>150m</w:t>
            </w:r>
            <w:r>
              <w:rPr>
                <w:rFonts w:cs="Times New Roman" w:hint="eastAsia"/>
              </w:rPr>
              <w:t>为新疆凯涟捷石化有限公司</w:t>
            </w:r>
            <w:r>
              <w:rPr>
                <w:rFonts w:cs="Times New Roman"/>
              </w:rPr>
              <w:t>。具体地理位置详见附图</w:t>
            </w:r>
            <w:r>
              <w:rPr>
                <w:rFonts w:cs="Times New Roman"/>
              </w:rPr>
              <w:t>1</w:t>
            </w:r>
            <w:r>
              <w:rPr>
                <w:rFonts w:cs="Times New Roman"/>
              </w:rPr>
              <w:t>《建设项目地理位置图》，项目周边环境详见附图</w:t>
            </w:r>
            <w:r>
              <w:rPr>
                <w:rFonts w:cs="Times New Roman"/>
              </w:rPr>
              <w:t>3</w:t>
            </w:r>
            <w:r>
              <w:rPr>
                <w:rFonts w:cs="Times New Roman"/>
              </w:rPr>
              <w:t>《建设项目周边关系图》；</w:t>
            </w:r>
          </w:p>
          <w:p w14:paraId="0920355B" w14:textId="77777777" w:rsidR="003C4F46" w:rsidRDefault="004B6A81">
            <w:pPr>
              <w:ind w:firstLine="480"/>
              <w:rPr>
                <w:color w:val="000000"/>
              </w:rPr>
            </w:pPr>
            <w:r>
              <w:rPr>
                <w:rFonts w:hint="eastAsia"/>
                <w:color w:val="000000"/>
              </w:rPr>
              <w:t>接收规模：年收集、贮存危险废物</w:t>
            </w:r>
            <w:r>
              <w:rPr>
                <w:color w:val="000000"/>
              </w:rPr>
              <w:t>5000</w:t>
            </w:r>
            <w:r>
              <w:rPr>
                <w:rFonts w:hint="eastAsia"/>
                <w:color w:val="000000"/>
              </w:rPr>
              <w:t>t</w:t>
            </w:r>
            <w:r>
              <w:rPr>
                <w:rFonts w:hint="eastAsia"/>
                <w:color w:val="000000"/>
              </w:rPr>
              <w:t>；</w:t>
            </w:r>
          </w:p>
          <w:p w14:paraId="33AB967D" w14:textId="03BBBC7C" w:rsidR="003C4F46" w:rsidRDefault="004B6A81">
            <w:pPr>
              <w:pStyle w:val="a5"/>
              <w:ind w:firstLine="480"/>
              <w:jc w:val="both"/>
              <w:rPr>
                <w:color w:val="000000" w:themeColor="text1"/>
              </w:rPr>
            </w:pPr>
            <w:r>
              <w:t>生产制度：</w:t>
            </w:r>
            <w:r>
              <w:rPr>
                <w:rFonts w:hint="eastAsia"/>
              </w:rPr>
              <w:t>本项目工作人员</w:t>
            </w:r>
            <w:r>
              <w:rPr>
                <w:rFonts w:hint="eastAsia"/>
              </w:rPr>
              <w:t>6</w:t>
            </w:r>
            <w:r>
              <w:rPr>
                <w:rFonts w:hint="eastAsia"/>
              </w:rPr>
              <w:t>人，全年工作时间为</w:t>
            </w:r>
            <w:r>
              <w:rPr>
                <w:rFonts w:hint="eastAsia"/>
              </w:rPr>
              <w:t>330</w:t>
            </w:r>
            <w:r>
              <w:rPr>
                <w:rFonts w:hint="eastAsia"/>
              </w:rPr>
              <w:t>天，</w:t>
            </w:r>
            <w:r>
              <w:t>24</w:t>
            </w:r>
            <w:r>
              <w:rPr>
                <w:rFonts w:hint="eastAsia"/>
              </w:rPr>
              <w:t>h</w:t>
            </w:r>
            <w:r>
              <w:rPr>
                <w:rFonts w:hint="eastAsia"/>
              </w:rPr>
              <w:t>工作制</w:t>
            </w:r>
            <w:r w:rsidR="005E73B1">
              <w:rPr>
                <w:rFonts w:hint="eastAsia"/>
              </w:rPr>
              <w:t>，</w:t>
            </w:r>
            <w:r w:rsidR="005E73B1" w:rsidRPr="005E73B1">
              <w:rPr>
                <w:rFonts w:hint="eastAsia"/>
              </w:rPr>
              <w:t>全年运行</w:t>
            </w:r>
            <w:r w:rsidR="005E73B1" w:rsidRPr="005E73B1">
              <w:rPr>
                <w:rFonts w:hint="eastAsia"/>
              </w:rPr>
              <w:t>7920h</w:t>
            </w:r>
            <w:r>
              <w:rPr>
                <w:rFonts w:hint="eastAsia"/>
                <w:color w:val="000000" w:themeColor="text1"/>
              </w:rPr>
              <w:t>。</w:t>
            </w:r>
          </w:p>
          <w:p w14:paraId="58B90D3F" w14:textId="77777777" w:rsidR="003C4F46" w:rsidRDefault="004B6A81">
            <w:pPr>
              <w:ind w:firstLineChars="0" w:firstLine="0"/>
              <w:rPr>
                <w:b/>
                <w:bCs/>
              </w:rPr>
            </w:pPr>
            <w:r>
              <w:rPr>
                <w:rFonts w:hint="eastAsia"/>
                <w:b/>
                <w:bCs/>
              </w:rPr>
              <w:t>2</w:t>
            </w:r>
            <w:r>
              <w:rPr>
                <w:b/>
                <w:bCs/>
              </w:rPr>
              <w:t>.3</w:t>
            </w:r>
            <w:r>
              <w:rPr>
                <w:rFonts w:hint="eastAsia"/>
                <w:b/>
                <w:bCs/>
              </w:rPr>
              <w:t>建设内容</w:t>
            </w:r>
          </w:p>
          <w:p w14:paraId="4E3DFE4B" w14:textId="77777777" w:rsidR="003C4F46" w:rsidRDefault="004B6A81">
            <w:pPr>
              <w:pStyle w:val="a5"/>
              <w:ind w:firstLine="480"/>
              <w:jc w:val="both"/>
              <w:rPr>
                <w:rFonts w:cs="Times New Roman"/>
                <w:bCs/>
                <w:szCs w:val="24"/>
              </w:rPr>
            </w:pPr>
            <w:r>
              <w:rPr>
                <w:rFonts w:cs="Times New Roman" w:hint="eastAsia"/>
                <w:szCs w:val="32"/>
              </w:rPr>
              <w:t>本次重新报批阶段，项目占地面积不新增。废矿物油贮存方式发生变更，并已建设</w:t>
            </w:r>
            <w:r>
              <w:rPr>
                <w:rFonts w:cs="Times New Roman" w:hint="eastAsia"/>
                <w:szCs w:val="32"/>
              </w:rPr>
              <w:t>4</w:t>
            </w:r>
            <w:r>
              <w:rPr>
                <w:rFonts w:cs="Times New Roman" w:hint="eastAsia"/>
                <w:szCs w:val="32"/>
              </w:rPr>
              <w:t>座</w:t>
            </w:r>
            <w:r>
              <w:rPr>
                <w:rFonts w:cs="Times New Roman" w:hint="eastAsia"/>
                <w:szCs w:val="32"/>
              </w:rPr>
              <w:t>600m</w:t>
            </w:r>
            <w:r>
              <w:rPr>
                <w:rFonts w:cs="Times New Roman" w:hint="eastAsia"/>
                <w:szCs w:val="32"/>
              </w:rPr>
              <w:t>³储罐。详见表</w:t>
            </w:r>
            <w:r>
              <w:rPr>
                <w:rFonts w:cs="Times New Roman" w:hint="eastAsia"/>
                <w:szCs w:val="32"/>
              </w:rPr>
              <w:t>2-</w:t>
            </w:r>
            <w:r>
              <w:rPr>
                <w:rFonts w:cs="Times New Roman"/>
                <w:szCs w:val="32"/>
              </w:rPr>
              <w:t>3</w:t>
            </w:r>
            <w:r>
              <w:rPr>
                <w:rFonts w:cs="Times New Roman" w:hint="eastAsia"/>
                <w:bCs/>
                <w:szCs w:val="24"/>
              </w:rPr>
              <w:t>。</w:t>
            </w:r>
          </w:p>
          <w:p w14:paraId="3B5161A8" w14:textId="77777777" w:rsidR="003C4F46" w:rsidRDefault="004B6A81">
            <w:pPr>
              <w:keepNext/>
              <w:adjustRightInd w:val="0"/>
              <w:snapToGrid w:val="0"/>
              <w:spacing w:beforeLines="50" w:before="163" w:line="240" w:lineRule="auto"/>
              <w:ind w:firstLine="422"/>
              <w:jc w:val="center"/>
              <w:rPr>
                <w:rFonts w:cs="Times New Roman"/>
                <w:b/>
                <w:sz w:val="21"/>
              </w:rPr>
            </w:pPr>
            <w:r>
              <w:rPr>
                <w:rFonts w:cs="Times New Roman" w:hint="eastAsia"/>
                <w:b/>
                <w:sz w:val="21"/>
              </w:rPr>
              <w:t>表</w:t>
            </w:r>
            <w:r>
              <w:rPr>
                <w:rFonts w:cs="Times New Roman" w:hint="eastAsia"/>
                <w:b/>
                <w:sz w:val="21"/>
              </w:rPr>
              <w:t>2</w:t>
            </w:r>
            <w:r>
              <w:rPr>
                <w:rFonts w:cs="Times New Roman"/>
                <w:b/>
                <w:sz w:val="21"/>
              </w:rPr>
              <w:t xml:space="preserve">-3  </w:t>
            </w:r>
            <w:r>
              <w:rPr>
                <w:rFonts w:cs="Times New Roman" w:hint="eastAsia"/>
                <w:b/>
                <w:sz w:val="21"/>
              </w:rPr>
              <w:t>本项目组成情况一览表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16"/>
              <w:gridCol w:w="1140"/>
              <w:gridCol w:w="2929"/>
              <w:gridCol w:w="2931"/>
              <w:gridCol w:w="1374"/>
            </w:tblGrid>
            <w:tr w:rsidR="003C4F46" w14:paraId="4AC6C8D1" w14:textId="77777777">
              <w:trPr>
                <w:trHeight w:val="340"/>
              </w:trPr>
              <w:tc>
                <w:tcPr>
                  <w:tcW w:w="394" w:type="pct"/>
                  <w:vAlign w:val="center"/>
                </w:tcPr>
                <w:p w14:paraId="3C1C3EC7"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bookmarkStart w:id="13" w:name="_Hlk97569549"/>
                  <w:r>
                    <w:rPr>
                      <w:rFonts w:cs="Times New Roman"/>
                      <w:color w:val="000000"/>
                      <w:sz w:val="21"/>
                      <w:szCs w:val="21"/>
                    </w:rPr>
                    <w:t>类别</w:t>
                  </w:r>
                </w:p>
              </w:tc>
              <w:tc>
                <w:tcPr>
                  <w:tcW w:w="627" w:type="pct"/>
                  <w:vAlign w:val="center"/>
                </w:tcPr>
                <w:p w14:paraId="22A11C7B"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建设内容</w:t>
                  </w:r>
                </w:p>
              </w:tc>
              <w:tc>
                <w:tcPr>
                  <w:tcW w:w="1611" w:type="pct"/>
                  <w:vAlign w:val="center"/>
                </w:tcPr>
                <w:p w14:paraId="19CE5967"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原环评及批复情况</w:t>
                  </w:r>
                </w:p>
              </w:tc>
              <w:tc>
                <w:tcPr>
                  <w:tcW w:w="1612" w:type="pct"/>
                  <w:vAlign w:val="center"/>
                </w:tcPr>
                <w:p w14:paraId="1C48792C"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实际已建成工程内容</w:t>
                  </w:r>
                </w:p>
              </w:tc>
              <w:tc>
                <w:tcPr>
                  <w:tcW w:w="756" w:type="pct"/>
                  <w:vAlign w:val="center"/>
                </w:tcPr>
                <w:p w14:paraId="235D3BAB"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变化情况</w:t>
                  </w:r>
                </w:p>
              </w:tc>
            </w:tr>
            <w:tr w:rsidR="003C4F46" w14:paraId="648FA601" w14:textId="77777777">
              <w:trPr>
                <w:trHeight w:val="813"/>
              </w:trPr>
              <w:tc>
                <w:tcPr>
                  <w:tcW w:w="394" w:type="pct"/>
                  <w:vMerge w:val="restart"/>
                  <w:vAlign w:val="center"/>
                </w:tcPr>
                <w:p w14:paraId="4712CE85"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color w:val="000000"/>
                      <w:sz w:val="21"/>
                      <w:szCs w:val="21"/>
                    </w:rPr>
                    <w:t>主体工程</w:t>
                  </w:r>
                </w:p>
              </w:tc>
              <w:tc>
                <w:tcPr>
                  <w:tcW w:w="627" w:type="pct"/>
                  <w:vAlign w:val="center"/>
                </w:tcPr>
                <w:p w14:paraId="3789A0EE" w14:textId="77777777" w:rsidR="003C4F46" w:rsidRDefault="004B6A81">
                  <w:pPr>
                    <w:adjustRightInd w:val="0"/>
                    <w:snapToGrid w:val="0"/>
                    <w:ind w:firstLineChars="0" w:firstLine="0"/>
                    <w:jc w:val="center"/>
                    <w:rPr>
                      <w:rFonts w:cs="Times New Roman"/>
                      <w:color w:val="000000"/>
                      <w:sz w:val="21"/>
                      <w:szCs w:val="21"/>
                    </w:rPr>
                  </w:pPr>
                  <w:r>
                    <w:rPr>
                      <w:rFonts w:cs="Times New Roman" w:hint="eastAsia"/>
                      <w:bCs/>
                      <w:sz w:val="21"/>
                      <w:szCs w:val="21"/>
                    </w:rPr>
                    <w:t>1#</w:t>
                  </w:r>
                  <w:r>
                    <w:rPr>
                      <w:rFonts w:cs="Times New Roman" w:hint="eastAsia"/>
                      <w:bCs/>
                      <w:sz w:val="21"/>
                      <w:szCs w:val="21"/>
                    </w:rPr>
                    <w:t>贮存库</w:t>
                  </w:r>
                </w:p>
              </w:tc>
              <w:tc>
                <w:tcPr>
                  <w:tcW w:w="1611" w:type="pct"/>
                  <w:vAlign w:val="center"/>
                </w:tcPr>
                <w:p w14:paraId="35EF916B" w14:textId="77777777" w:rsidR="003C4F46" w:rsidRDefault="004B6A81">
                  <w:pPr>
                    <w:adjustRightInd w:val="0"/>
                    <w:snapToGrid w:val="0"/>
                    <w:spacing w:line="240" w:lineRule="auto"/>
                    <w:ind w:firstLineChars="0" w:firstLine="0"/>
                    <w:contextualSpacing/>
                    <w:textAlignment w:val="auto"/>
                    <w:rPr>
                      <w:rFonts w:cs="Times New Roman"/>
                      <w:color w:val="000000"/>
                      <w:kern w:val="0"/>
                      <w:sz w:val="21"/>
                      <w:szCs w:val="21"/>
                    </w:rPr>
                  </w:pPr>
                  <w:r>
                    <w:rPr>
                      <w:rFonts w:cs="Times New Roman" w:hint="eastAsia"/>
                      <w:bCs/>
                      <w:sz w:val="21"/>
                      <w:szCs w:val="21"/>
                    </w:rPr>
                    <w:t>建筑面积</w:t>
                  </w:r>
                  <w:r>
                    <w:rPr>
                      <w:rFonts w:cs="Times New Roman" w:hint="eastAsia"/>
                      <w:bCs/>
                      <w:sz w:val="21"/>
                      <w:szCs w:val="21"/>
                    </w:rPr>
                    <w:t>310m</w:t>
                  </w:r>
                  <w:r>
                    <w:rPr>
                      <w:rFonts w:cs="Times New Roman" w:hint="eastAsia"/>
                      <w:bCs/>
                      <w:sz w:val="21"/>
                      <w:szCs w:val="21"/>
                      <w:vertAlign w:val="superscript"/>
                    </w:rPr>
                    <w:t>2</w:t>
                  </w:r>
                  <w:r>
                    <w:rPr>
                      <w:rFonts w:cs="Times New Roman" w:hint="eastAsia"/>
                      <w:bCs/>
                      <w:sz w:val="21"/>
                      <w:szCs w:val="21"/>
                    </w:rPr>
                    <w:t>，用于贮存</w:t>
                  </w:r>
                  <w:r>
                    <w:rPr>
                      <w:rFonts w:cs="Times New Roman" w:hint="eastAsia"/>
                      <w:bCs/>
                      <w:sz w:val="21"/>
                      <w:szCs w:val="21"/>
                    </w:rPr>
                    <w:t>HW03</w:t>
                  </w:r>
                  <w:r>
                    <w:rPr>
                      <w:rFonts w:cs="Times New Roman" w:hint="eastAsia"/>
                      <w:bCs/>
                      <w:sz w:val="21"/>
                      <w:szCs w:val="21"/>
                    </w:rPr>
                    <w:t>、</w:t>
                  </w:r>
                  <w:r>
                    <w:rPr>
                      <w:rFonts w:cs="Times New Roman" w:hint="eastAsia"/>
                      <w:bCs/>
                      <w:sz w:val="21"/>
                      <w:szCs w:val="21"/>
                    </w:rPr>
                    <w:t>HW04</w:t>
                  </w:r>
                  <w:r>
                    <w:rPr>
                      <w:rFonts w:cs="Times New Roman" w:hint="eastAsia"/>
                      <w:bCs/>
                      <w:sz w:val="21"/>
                      <w:szCs w:val="21"/>
                    </w:rPr>
                    <w:t>、</w:t>
                  </w:r>
                  <w:r>
                    <w:rPr>
                      <w:rFonts w:cs="Times New Roman" w:hint="eastAsia"/>
                      <w:bCs/>
                      <w:sz w:val="21"/>
                      <w:szCs w:val="21"/>
                    </w:rPr>
                    <w:t>HW08</w:t>
                  </w:r>
                  <w:r>
                    <w:rPr>
                      <w:rFonts w:cs="Times New Roman" w:hint="eastAsia"/>
                      <w:bCs/>
                      <w:sz w:val="21"/>
                      <w:szCs w:val="21"/>
                    </w:rPr>
                    <w:t>、</w:t>
                  </w:r>
                  <w:r>
                    <w:rPr>
                      <w:rFonts w:cs="Times New Roman" w:hint="eastAsia"/>
                      <w:bCs/>
                      <w:sz w:val="21"/>
                      <w:szCs w:val="21"/>
                    </w:rPr>
                    <w:t>HW49</w:t>
                  </w:r>
                  <w:r>
                    <w:rPr>
                      <w:rFonts w:cs="Times New Roman" w:hint="eastAsia"/>
                      <w:bCs/>
                      <w:sz w:val="21"/>
                      <w:szCs w:val="21"/>
                    </w:rPr>
                    <w:t>类危险废物，贮存库内建设隔墙，按危险废物类别分隔为</w:t>
                  </w:r>
                  <w:r>
                    <w:rPr>
                      <w:rFonts w:cs="Times New Roman" w:hint="eastAsia"/>
                      <w:bCs/>
                      <w:sz w:val="21"/>
                      <w:szCs w:val="21"/>
                    </w:rPr>
                    <w:t>4</w:t>
                  </w:r>
                  <w:r>
                    <w:rPr>
                      <w:rFonts w:cs="Times New Roman" w:hint="eastAsia"/>
                      <w:bCs/>
                      <w:sz w:val="21"/>
                      <w:szCs w:val="21"/>
                    </w:rPr>
                    <w:t>个区域</w:t>
                  </w:r>
                </w:p>
              </w:tc>
              <w:tc>
                <w:tcPr>
                  <w:tcW w:w="1612" w:type="pct"/>
                  <w:vAlign w:val="center"/>
                </w:tcPr>
                <w:p w14:paraId="42AA903C" w14:textId="081DAF30" w:rsidR="003C4F46" w:rsidRDefault="004B6A81">
                  <w:pPr>
                    <w:adjustRightInd w:val="0"/>
                    <w:snapToGrid w:val="0"/>
                    <w:spacing w:line="240" w:lineRule="auto"/>
                    <w:ind w:firstLineChars="0" w:firstLine="0"/>
                    <w:contextualSpacing/>
                    <w:textAlignment w:val="auto"/>
                    <w:rPr>
                      <w:rFonts w:cs="Times New Roman"/>
                      <w:sz w:val="21"/>
                      <w:szCs w:val="21"/>
                    </w:rPr>
                  </w:pPr>
                  <w:r>
                    <w:rPr>
                      <w:rFonts w:cs="Times New Roman" w:hint="eastAsia"/>
                      <w:bCs/>
                      <w:sz w:val="21"/>
                      <w:szCs w:val="21"/>
                    </w:rPr>
                    <w:t>建筑面积不变，收贮类别调整为</w:t>
                  </w:r>
                  <w:r w:rsidR="007C29E4">
                    <w:rPr>
                      <w:rFonts w:cs="Times New Roman" w:hint="eastAsia"/>
                      <w:bCs/>
                      <w:sz w:val="21"/>
                      <w:szCs w:val="21"/>
                    </w:rPr>
                    <w:t>，</w:t>
                  </w:r>
                  <w:r>
                    <w:rPr>
                      <w:rFonts w:cs="Times New Roman" w:hint="eastAsia"/>
                      <w:bCs/>
                      <w:sz w:val="21"/>
                      <w:szCs w:val="21"/>
                    </w:rPr>
                    <w:t>HW49</w:t>
                  </w:r>
                  <w:r>
                    <w:rPr>
                      <w:rFonts w:cs="Times New Roman" w:hint="eastAsia"/>
                      <w:bCs/>
                      <w:sz w:val="21"/>
                      <w:szCs w:val="21"/>
                    </w:rPr>
                    <w:t>、</w:t>
                  </w:r>
                  <w:r>
                    <w:rPr>
                      <w:rFonts w:cs="Times New Roman" w:hint="eastAsia"/>
                      <w:bCs/>
                      <w:sz w:val="21"/>
                      <w:szCs w:val="21"/>
                    </w:rPr>
                    <w:t>HW06</w:t>
                  </w:r>
                  <w:r>
                    <w:rPr>
                      <w:rFonts w:cs="Times New Roman" w:hint="eastAsia"/>
                      <w:bCs/>
                      <w:sz w:val="21"/>
                      <w:szCs w:val="21"/>
                    </w:rPr>
                    <w:t>、</w:t>
                  </w:r>
                  <w:r>
                    <w:rPr>
                      <w:rFonts w:cs="Times New Roman" w:hint="eastAsia"/>
                      <w:bCs/>
                      <w:sz w:val="21"/>
                      <w:szCs w:val="21"/>
                    </w:rPr>
                    <w:t>HW12</w:t>
                  </w:r>
                  <w:r>
                    <w:rPr>
                      <w:rFonts w:cs="Times New Roman" w:hint="eastAsia"/>
                      <w:bCs/>
                      <w:sz w:val="21"/>
                      <w:szCs w:val="21"/>
                    </w:rPr>
                    <w:t>、</w:t>
                  </w:r>
                  <w:r>
                    <w:rPr>
                      <w:rFonts w:cs="Times New Roman" w:hint="eastAsia"/>
                      <w:bCs/>
                      <w:sz w:val="21"/>
                      <w:szCs w:val="21"/>
                    </w:rPr>
                    <w:t>HW13</w:t>
                  </w:r>
                  <w:r>
                    <w:rPr>
                      <w:rFonts w:cs="Times New Roman" w:hint="eastAsia"/>
                      <w:bCs/>
                      <w:sz w:val="21"/>
                      <w:szCs w:val="21"/>
                    </w:rPr>
                    <w:t>、</w:t>
                  </w:r>
                  <w:r>
                    <w:rPr>
                      <w:rFonts w:cs="Times New Roman" w:hint="eastAsia"/>
                      <w:bCs/>
                      <w:sz w:val="21"/>
                      <w:szCs w:val="21"/>
                    </w:rPr>
                    <w:t>HW16</w:t>
                  </w:r>
                  <w:r>
                    <w:rPr>
                      <w:rFonts w:cs="Times New Roman" w:hint="eastAsia"/>
                      <w:bCs/>
                      <w:sz w:val="21"/>
                      <w:szCs w:val="21"/>
                    </w:rPr>
                    <w:t>、</w:t>
                  </w:r>
                  <w:r>
                    <w:rPr>
                      <w:rFonts w:cs="Times New Roman" w:hint="eastAsia"/>
                      <w:bCs/>
                      <w:sz w:val="21"/>
                      <w:szCs w:val="21"/>
                    </w:rPr>
                    <w:t>HW29</w:t>
                  </w:r>
                  <w:r>
                    <w:rPr>
                      <w:rFonts w:cs="Times New Roman" w:hint="eastAsia"/>
                      <w:bCs/>
                      <w:sz w:val="21"/>
                      <w:szCs w:val="21"/>
                    </w:rPr>
                    <w:t>、</w:t>
                  </w:r>
                  <w:r>
                    <w:rPr>
                      <w:rFonts w:cs="Times New Roman" w:hint="eastAsia"/>
                      <w:bCs/>
                      <w:sz w:val="21"/>
                      <w:szCs w:val="21"/>
                    </w:rPr>
                    <w:t>HW31</w:t>
                  </w:r>
                  <w:r>
                    <w:rPr>
                      <w:rFonts w:cs="Times New Roman" w:hint="eastAsia"/>
                      <w:bCs/>
                      <w:sz w:val="21"/>
                      <w:szCs w:val="21"/>
                    </w:rPr>
                    <w:t>、</w:t>
                  </w:r>
                  <w:r>
                    <w:rPr>
                      <w:rFonts w:cs="Times New Roman" w:hint="eastAsia"/>
                      <w:bCs/>
                      <w:sz w:val="21"/>
                      <w:szCs w:val="21"/>
                    </w:rPr>
                    <w:t>HW36</w:t>
                  </w:r>
                  <w:r>
                    <w:rPr>
                      <w:rFonts w:cs="Times New Roman" w:hint="eastAsia"/>
                      <w:bCs/>
                      <w:sz w:val="21"/>
                      <w:szCs w:val="21"/>
                    </w:rPr>
                    <w:t>、</w:t>
                  </w:r>
                  <w:r>
                    <w:rPr>
                      <w:rFonts w:cs="Times New Roman" w:hint="eastAsia"/>
                      <w:bCs/>
                      <w:sz w:val="21"/>
                      <w:szCs w:val="21"/>
                    </w:rPr>
                    <w:t>HW50</w:t>
                  </w:r>
                  <w:r>
                    <w:rPr>
                      <w:rFonts w:cs="Times New Roman" w:hint="eastAsia"/>
                      <w:bCs/>
                      <w:sz w:val="21"/>
                      <w:szCs w:val="21"/>
                    </w:rPr>
                    <w:t>、</w:t>
                  </w:r>
                  <w:r>
                    <w:rPr>
                      <w:rFonts w:cs="Times New Roman" w:hint="eastAsia"/>
                      <w:bCs/>
                      <w:sz w:val="21"/>
                      <w:szCs w:val="21"/>
                    </w:rPr>
                    <w:t>HW</w:t>
                  </w:r>
                  <w:r w:rsidR="00CF799D">
                    <w:rPr>
                      <w:rFonts w:cs="Times New Roman"/>
                      <w:bCs/>
                      <w:sz w:val="21"/>
                      <w:szCs w:val="21"/>
                    </w:rPr>
                    <w:t>35</w:t>
                  </w:r>
                  <w:r>
                    <w:rPr>
                      <w:rFonts w:cs="Times New Roman" w:hint="eastAsia"/>
                      <w:bCs/>
                      <w:sz w:val="21"/>
                      <w:szCs w:val="21"/>
                    </w:rPr>
                    <w:t>共</w:t>
                  </w:r>
                  <w:r>
                    <w:rPr>
                      <w:rFonts w:cs="Times New Roman" w:hint="eastAsia"/>
                      <w:bCs/>
                      <w:sz w:val="21"/>
                      <w:szCs w:val="21"/>
                    </w:rPr>
                    <w:t>1</w:t>
                  </w:r>
                  <w:r w:rsidR="003844D1">
                    <w:rPr>
                      <w:rFonts w:cs="Times New Roman"/>
                      <w:bCs/>
                      <w:sz w:val="21"/>
                      <w:szCs w:val="21"/>
                    </w:rPr>
                    <w:t>0</w:t>
                  </w:r>
                  <w:r>
                    <w:rPr>
                      <w:rFonts w:cs="Times New Roman" w:hint="eastAsia"/>
                      <w:bCs/>
                      <w:sz w:val="21"/>
                      <w:szCs w:val="21"/>
                    </w:rPr>
                    <w:t>类，</w:t>
                  </w:r>
                  <w:r w:rsidR="003844D1">
                    <w:rPr>
                      <w:rFonts w:cs="Times New Roman" w:hint="eastAsia"/>
                      <w:bCs/>
                      <w:sz w:val="21"/>
                      <w:szCs w:val="21"/>
                    </w:rPr>
                    <w:t>贮存库内建设隔墙，按危险废物类别分隔为</w:t>
                  </w:r>
                  <w:r w:rsidR="003844D1">
                    <w:rPr>
                      <w:rFonts w:cs="Times New Roman"/>
                      <w:bCs/>
                      <w:sz w:val="21"/>
                      <w:szCs w:val="21"/>
                    </w:rPr>
                    <w:t>10</w:t>
                  </w:r>
                  <w:r w:rsidR="003844D1">
                    <w:rPr>
                      <w:rFonts w:cs="Times New Roman" w:hint="eastAsia"/>
                      <w:bCs/>
                      <w:sz w:val="21"/>
                      <w:szCs w:val="21"/>
                    </w:rPr>
                    <w:t>个区域</w:t>
                  </w:r>
                </w:p>
              </w:tc>
              <w:tc>
                <w:tcPr>
                  <w:tcW w:w="756" w:type="pct"/>
                  <w:vAlign w:val="center"/>
                </w:tcPr>
                <w:p w14:paraId="246C29E3" w14:textId="7B4C0994" w:rsidR="003C4F46" w:rsidRDefault="004B6A81">
                  <w:pPr>
                    <w:adjustRightInd w:val="0"/>
                    <w:snapToGrid w:val="0"/>
                    <w:spacing w:line="240" w:lineRule="auto"/>
                    <w:ind w:firstLineChars="0" w:firstLine="0"/>
                    <w:contextualSpacing/>
                    <w:textAlignment w:val="auto"/>
                    <w:rPr>
                      <w:rFonts w:cs="Times New Roman"/>
                      <w:color w:val="000000"/>
                      <w:sz w:val="21"/>
                      <w:szCs w:val="21"/>
                    </w:rPr>
                  </w:pPr>
                  <w:r>
                    <w:rPr>
                      <w:rFonts w:cs="Times New Roman" w:hint="eastAsia"/>
                      <w:color w:val="000000"/>
                      <w:sz w:val="21"/>
                      <w:szCs w:val="21"/>
                    </w:rPr>
                    <w:t>储存危险废物种类由</w:t>
                  </w:r>
                  <w:r>
                    <w:rPr>
                      <w:rFonts w:cs="Times New Roman" w:hint="eastAsia"/>
                      <w:color w:val="000000"/>
                      <w:sz w:val="21"/>
                      <w:szCs w:val="21"/>
                    </w:rPr>
                    <w:t>4</w:t>
                  </w:r>
                  <w:r>
                    <w:rPr>
                      <w:rFonts w:cs="Times New Roman" w:hint="eastAsia"/>
                      <w:color w:val="000000"/>
                      <w:sz w:val="21"/>
                      <w:szCs w:val="21"/>
                    </w:rPr>
                    <w:t>类调整为</w:t>
                  </w:r>
                  <w:r>
                    <w:rPr>
                      <w:rFonts w:cs="Times New Roman" w:hint="eastAsia"/>
                      <w:color w:val="000000"/>
                      <w:sz w:val="21"/>
                      <w:szCs w:val="21"/>
                    </w:rPr>
                    <w:t>1</w:t>
                  </w:r>
                  <w:r w:rsidR="003844D1">
                    <w:rPr>
                      <w:rFonts w:cs="Times New Roman"/>
                      <w:color w:val="000000"/>
                      <w:sz w:val="21"/>
                      <w:szCs w:val="21"/>
                    </w:rPr>
                    <w:t>0</w:t>
                  </w:r>
                  <w:r>
                    <w:rPr>
                      <w:rFonts w:cs="Times New Roman" w:hint="eastAsia"/>
                      <w:color w:val="000000"/>
                      <w:sz w:val="21"/>
                      <w:szCs w:val="21"/>
                    </w:rPr>
                    <w:t>类；贮存库已建，分区由</w:t>
                  </w:r>
                  <w:r>
                    <w:rPr>
                      <w:rFonts w:cs="Times New Roman" w:hint="eastAsia"/>
                      <w:color w:val="000000"/>
                      <w:sz w:val="21"/>
                      <w:szCs w:val="21"/>
                    </w:rPr>
                    <w:t>4</w:t>
                  </w:r>
                  <w:r>
                    <w:rPr>
                      <w:rFonts w:cs="Times New Roman" w:hint="eastAsia"/>
                      <w:color w:val="000000"/>
                      <w:sz w:val="21"/>
                      <w:szCs w:val="21"/>
                    </w:rPr>
                    <w:t>个调整为</w:t>
                  </w:r>
                  <w:r>
                    <w:rPr>
                      <w:rFonts w:cs="Times New Roman" w:hint="eastAsia"/>
                      <w:color w:val="000000"/>
                      <w:sz w:val="21"/>
                      <w:szCs w:val="21"/>
                    </w:rPr>
                    <w:t>1</w:t>
                  </w:r>
                  <w:r w:rsidR="003844D1">
                    <w:rPr>
                      <w:rFonts w:cs="Times New Roman"/>
                      <w:color w:val="000000"/>
                      <w:sz w:val="21"/>
                      <w:szCs w:val="21"/>
                    </w:rPr>
                    <w:t>0</w:t>
                  </w:r>
                  <w:r>
                    <w:rPr>
                      <w:rFonts w:cs="Times New Roman" w:hint="eastAsia"/>
                      <w:color w:val="000000"/>
                      <w:sz w:val="21"/>
                      <w:szCs w:val="21"/>
                    </w:rPr>
                    <w:t>个</w:t>
                  </w:r>
                </w:p>
              </w:tc>
            </w:tr>
            <w:tr w:rsidR="003C4F46" w14:paraId="75F99EDF" w14:textId="77777777">
              <w:trPr>
                <w:trHeight w:val="427"/>
              </w:trPr>
              <w:tc>
                <w:tcPr>
                  <w:tcW w:w="394" w:type="pct"/>
                  <w:vMerge/>
                  <w:vAlign w:val="center"/>
                </w:tcPr>
                <w:p w14:paraId="75E06B92"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3D8BBFDE" w14:textId="77777777" w:rsidR="003C4F46" w:rsidRDefault="004B6A81">
                  <w:pPr>
                    <w:adjustRightInd w:val="0"/>
                    <w:snapToGrid w:val="0"/>
                    <w:ind w:firstLineChars="0" w:firstLine="0"/>
                    <w:jc w:val="center"/>
                    <w:rPr>
                      <w:rFonts w:cs="Times New Roman"/>
                      <w:color w:val="000000"/>
                      <w:kern w:val="0"/>
                      <w:sz w:val="21"/>
                      <w:szCs w:val="21"/>
                    </w:rPr>
                  </w:pPr>
                  <w:r>
                    <w:rPr>
                      <w:rFonts w:cs="Times New Roman" w:hint="eastAsia"/>
                      <w:bCs/>
                      <w:sz w:val="21"/>
                      <w:szCs w:val="21"/>
                    </w:rPr>
                    <w:t>2#</w:t>
                  </w:r>
                  <w:r>
                    <w:rPr>
                      <w:rFonts w:cs="Times New Roman" w:hint="eastAsia"/>
                      <w:bCs/>
                      <w:sz w:val="21"/>
                      <w:szCs w:val="21"/>
                    </w:rPr>
                    <w:t>贮存库</w:t>
                  </w:r>
                </w:p>
              </w:tc>
              <w:tc>
                <w:tcPr>
                  <w:tcW w:w="1611" w:type="pct"/>
                  <w:vAlign w:val="center"/>
                </w:tcPr>
                <w:p w14:paraId="354C7CFE" w14:textId="77777777" w:rsidR="003C4F46" w:rsidRDefault="004B6A81">
                  <w:pPr>
                    <w:adjustRightInd w:val="0"/>
                    <w:snapToGrid w:val="0"/>
                    <w:spacing w:line="240" w:lineRule="auto"/>
                    <w:ind w:firstLineChars="0" w:firstLine="0"/>
                    <w:contextualSpacing/>
                    <w:textAlignment w:val="auto"/>
                    <w:rPr>
                      <w:rFonts w:cs="Times New Roman"/>
                      <w:sz w:val="21"/>
                      <w:szCs w:val="21"/>
                    </w:rPr>
                  </w:pPr>
                  <w:r>
                    <w:rPr>
                      <w:rFonts w:cs="Times New Roman" w:hint="eastAsia"/>
                      <w:bCs/>
                      <w:sz w:val="21"/>
                      <w:szCs w:val="21"/>
                    </w:rPr>
                    <w:t>建筑面积</w:t>
                  </w:r>
                  <w:r>
                    <w:rPr>
                      <w:rFonts w:cs="Times New Roman" w:hint="eastAsia"/>
                      <w:bCs/>
                      <w:sz w:val="21"/>
                      <w:szCs w:val="21"/>
                    </w:rPr>
                    <w:t>290m</w:t>
                  </w:r>
                  <w:r>
                    <w:rPr>
                      <w:rFonts w:cs="Times New Roman" w:hint="eastAsia"/>
                      <w:bCs/>
                      <w:sz w:val="21"/>
                      <w:szCs w:val="21"/>
                      <w:vertAlign w:val="superscript"/>
                    </w:rPr>
                    <w:t>2</w:t>
                  </w:r>
                  <w:r>
                    <w:rPr>
                      <w:rFonts w:cs="Times New Roman" w:hint="eastAsia"/>
                      <w:bCs/>
                      <w:sz w:val="21"/>
                      <w:szCs w:val="21"/>
                    </w:rPr>
                    <w:t>，用于贮存</w:t>
                  </w:r>
                  <w:r>
                    <w:rPr>
                      <w:rFonts w:cs="Times New Roman" w:hint="eastAsia"/>
                      <w:bCs/>
                      <w:sz w:val="21"/>
                      <w:szCs w:val="21"/>
                    </w:rPr>
                    <w:t>HW05</w:t>
                  </w:r>
                  <w:r>
                    <w:rPr>
                      <w:rFonts w:cs="Times New Roman" w:hint="eastAsia"/>
                      <w:bCs/>
                      <w:sz w:val="21"/>
                      <w:szCs w:val="21"/>
                    </w:rPr>
                    <w:t>、</w:t>
                  </w:r>
                  <w:r>
                    <w:rPr>
                      <w:rFonts w:cs="Times New Roman" w:hint="eastAsia"/>
                      <w:bCs/>
                      <w:sz w:val="21"/>
                      <w:szCs w:val="21"/>
                    </w:rPr>
                    <w:t>HW06</w:t>
                  </w:r>
                  <w:r>
                    <w:rPr>
                      <w:rFonts w:cs="Times New Roman" w:hint="eastAsia"/>
                      <w:bCs/>
                      <w:sz w:val="21"/>
                      <w:szCs w:val="21"/>
                    </w:rPr>
                    <w:t>、</w:t>
                  </w:r>
                  <w:r>
                    <w:rPr>
                      <w:rFonts w:cs="Times New Roman" w:hint="eastAsia"/>
                      <w:bCs/>
                      <w:sz w:val="21"/>
                      <w:szCs w:val="21"/>
                    </w:rPr>
                    <w:t>HW12</w:t>
                  </w:r>
                  <w:r>
                    <w:rPr>
                      <w:rFonts w:cs="Times New Roman" w:hint="eastAsia"/>
                      <w:bCs/>
                      <w:sz w:val="21"/>
                      <w:szCs w:val="21"/>
                    </w:rPr>
                    <w:t>、</w:t>
                  </w:r>
                  <w:r>
                    <w:rPr>
                      <w:rFonts w:cs="Times New Roman" w:hint="eastAsia"/>
                      <w:bCs/>
                      <w:sz w:val="21"/>
                      <w:szCs w:val="21"/>
                    </w:rPr>
                    <w:t>HW13</w:t>
                  </w:r>
                  <w:r>
                    <w:rPr>
                      <w:rFonts w:cs="Times New Roman" w:hint="eastAsia"/>
                      <w:bCs/>
                      <w:sz w:val="21"/>
                      <w:szCs w:val="21"/>
                    </w:rPr>
                    <w:t>、</w:t>
                  </w:r>
                  <w:r>
                    <w:rPr>
                      <w:rFonts w:cs="Times New Roman" w:hint="eastAsia"/>
                      <w:bCs/>
                      <w:sz w:val="21"/>
                      <w:szCs w:val="21"/>
                    </w:rPr>
                    <w:t>HW16</w:t>
                  </w:r>
                  <w:r>
                    <w:rPr>
                      <w:rFonts w:cs="Times New Roman" w:hint="eastAsia"/>
                      <w:bCs/>
                      <w:sz w:val="21"/>
                      <w:szCs w:val="21"/>
                    </w:rPr>
                    <w:t>、</w:t>
                  </w:r>
                  <w:r>
                    <w:rPr>
                      <w:rFonts w:cs="Times New Roman" w:hint="eastAsia"/>
                      <w:bCs/>
                      <w:sz w:val="21"/>
                      <w:szCs w:val="21"/>
                    </w:rPr>
                    <w:t>HW29</w:t>
                  </w:r>
                  <w:r>
                    <w:rPr>
                      <w:rFonts w:cs="Times New Roman" w:hint="eastAsia"/>
                      <w:bCs/>
                      <w:sz w:val="21"/>
                      <w:szCs w:val="21"/>
                    </w:rPr>
                    <w:t>、</w:t>
                  </w:r>
                  <w:r>
                    <w:rPr>
                      <w:rFonts w:cs="Times New Roman" w:hint="eastAsia"/>
                      <w:bCs/>
                      <w:sz w:val="21"/>
                      <w:szCs w:val="21"/>
                    </w:rPr>
                    <w:t>HW31</w:t>
                  </w:r>
                  <w:r>
                    <w:rPr>
                      <w:rFonts w:cs="Times New Roman" w:hint="eastAsia"/>
                      <w:bCs/>
                      <w:sz w:val="21"/>
                      <w:szCs w:val="21"/>
                    </w:rPr>
                    <w:t>、</w:t>
                  </w:r>
                  <w:r>
                    <w:rPr>
                      <w:rFonts w:cs="Times New Roman" w:hint="eastAsia"/>
                      <w:bCs/>
                      <w:sz w:val="21"/>
                      <w:szCs w:val="21"/>
                    </w:rPr>
                    <w:t>HW36</w:t>
                  </w:r>
                  <w:r>
                    <w:rPr>
                      <w:rFonts w:cs="Times New Roman" w:hint="eastAsia"/>
                      <w:bCs/>
                      <w:sz w:val="21"/>
                      <w:szCs w:val="21"/>
                    </w:rPr>
                    <w:t>、</w:t>
                  </w:r>
                  <w:r>
                    <w:rPr>
                      <w:rFonts w:cs="Times New Roman" w:hint="eastAsia"/>
                      <w:bCs/>
                      <w:sz w:val="21"/>
                      <w:szCs w:val="21"/>
                    </w:rPr>
                    <w:t>HW50</w:t>
                  </w:r>
                  <w:r>
                    <w:rPr>
                      <w:rFonts w:cs="Times New Roman" w:hint="eastAsia"/>
                      <w:bCs/>
                      <w:sz w:val="21"/>
                      <w:szCs w:val="21"/>
                    </w:rPr>
                    <w:t>类危险废物，贮存库内建设隔墙，按危险废物类别分隔为</w:t>
                  </w:r>
                  <w:r>
                    <w:rPr>
                      <w:rFonts w:cs="Times New Roman" w:hint="eastAsia"/>
                      <w:bCs/>
                      <w:sz w:val="21"/>
                      <w:szCs w:val="21"/>
                    </w:rPr>
                    <w:t>9</w:t>
                  </w:r>
                  <w:r>
                    <w:rPr>
                      <w:rFonts w:cs="Times New Roman" w:hint="eastAsia"/>
                      <w:bCs/>
                      <w:sz w:val="21"/>
                      <w:szCs w:val="21"/>
                    </w:rPr>
                    <w:t>个区域</w:t>
                  </w:r>
                </w:p>
              </w:tc>
              <w:tc>
                <w:tcPr>
                  <w:tcW w:w="1612" w:type="pct"/>
                  <w:vAlign w:val="center"/>
                </w:tcPr>
                <w:p w14:paraId="5263F1D7" w14:textId="77777777" w:rsidR="003C4F46" w:rsidRDefault="004B6A81">
                  <w:pPr>
                    <w:adjustRightInd w:val="0"/>
                    <w:snapToGrid w:val="0"/>
                    <w:spacing w:line="240" w:lineRule="auto"/>
                    <w:ind w:firstLineChars="0" w:firstLine="0"/>
                    <w:contextualSpacing/>
                    <w:jc w:val="center"/>
                    <w:textAlignment w:val="auto"/>
                    <w:rPr>
                      <w:rFonts w:cs="Times New Roman"/>
                      <w:sz w:val="21"/>
                      <w:szCs w:val="21"/>
                    </w:rPr>
                  </w:pPr>
                  <w:r>
                    <w:rPr>
                      <w:rFonts w:cs="Times New Roman"/>
                      <w:sz w:val="21"/>
                      <w:szCs w:val="21"/>
                    </w:rPr>
                    <w:t>本次重新报批阶段不再建设</w:t>
                  </w:r>
                </w:p>
              </w:tc>
              <w:tc>
                <w:tcPr>
                  <w:tcW w:w="756" w:type="pct"/>
                  <w:vAlign w:val="center"/>
                </w:tcPr>
                <w:p w14:paraId="5F41AF94" w14:textId="77777777" w:rsidR="003C4F46" w:rsidRDefault="004B6A81">
                  <w:pPr>
                    <w:adjustRightInd w:val="0"/>
                    <w:snapToGrid w:val="0"/>
                    <w:spacing w:line="240" w:lineRule="auto"/>
                    <w:ind w:firstLineChars="0" w:firstLine="0"/>
                    <w:contextualSpacing/>
                    <w:textAlignment w:val="auto"/>
                    <w:rPr>
                      <w:color w:val="000000"/>
                      <w:sz w:val="21"/>
                      <w:szCs w:val="21"/>
                    </w:rPr>
                  </w:pPr>
                  <w:r>
                    <w:rPr>
                      <w:color w:val="000000"/>
                      <w:sz w:val="21"/>
                      <w:szCs w:val="21"/>
                    </w:rPr>
                    <w:t>原环评中的</w:t>
                  </w:r>
                  <w:r>
                    <w:rPr>
                      <w:color w:val="000000"/>
                      <w:sz w:val="21"/>
                      <w:szCs w:val="21"/>
                    </w:rPr>
                    <w:t>2#</w:t>
                  </w:r>
                  <w:r>
                    <w:rPr>
                      <w:color w:val="000000"/>
                      <w:sz w:val="21"/>
                      <w:szCs w:val="21"/>
                    </w:rPr>
                    <w:t>贮存库取消建设</w:t>
                  </w:r>
                </w:p>
              </w:tc>
            </w:tr>
            <w:tr w:rsidR="003C4F46" w14:paraId="4397B18E" w14:textId="77777777">
              <w:trPr>
                <w:trHeight w:val="835"/>
              </w:trPr>
              <w:tc>
                <w:tcPr>
                  <w:tcW w:w="394" w:type="pct"/>
                  <w:vMerge/>
                  <w:vAlign w:val="center"/>
                </w:tcPr>
                <w:p w14:paraId="0450D69D" w14:textId="77777777" w:rsidR="003C4F46" w:rsidRDefault="003C4F46">
                  <w:pPr>
                    <w:adjustRightInd w:val="0"/>
                    <w:snapToGrid w:val="0"/>
                    <w:spacing w:line="240" w:lineRule="auto"/>
                    <w:ind w:firstLineChars="0" w:firstLine="0"/>
                    <w:jc w:val="center"/>
                    <w:rPr>
                      <w:rFonts w:cs="Times New Roman"/>
                      <w:bCs/>
                      <w:sz w:val="21"/>
                      <w:szCs w:val="21"/>
                    </w:rPr>
                  </w:pPr>
                </w:p>
              </w:tc>
              <w:tc>
                <w:tcPr>
                  <w:tcW w:w="627" w:type="pct"/>
                  <w:vAlign w:val="center"/>
                </w:tcPr>
                <w:p w14:paraId="2C45F36B" w14:textId="190482C0" w:rsidR="003C4F46" w:rsidRDefault="004B6A81">
                  <w:pPr>
                    <w:adjustRightInd w:val="0"/>
                    <w:snapToGrid w:val="0"/>
                    <w:spacing w:line="240" w:lineRule="auto"/>
                    <w:ind w:firstLineChars="0" w:firstLine="0"/>
                    <w:jc w:val="center"/>
                    <w:rPr>
                      <w:rFonts w:cs="Times New Roman"/>
                      <w:bCs/>
                      <w:sz w:val="21"/>
                      <w:szCs w:val="21"/>
                    </w:rPr>
                  </w:pPr>
                  <w:r>
                    <w:rPr>
                      <w:rFonts w:cs="Times New Roman" w:hint="eastAsia"/>
                      <w:bCs/>
                      <w:sz w:val="21"/>
                      <w:szCs w:val="21"/>
                    </w:rPr>
                    <w:t>储罐</w:t>
                  </w:r>
                </w:p>
              </w:tc>
              <w:tc>
                <w:tcPr>
                  <w:tcW w:w="1611" w:type="pct"/>
                  <w:vAlign w:val="center"/>
                </w:tcPr>
                <w:p w14:paraId="1298140F" w14:textId="77777777" w:rsidR="003C4F46" w:rsidRDefault="004B6A81">
                  <w:pPr>
                    <w:adjustRightInd w:val="0"/>
                    <w:snapToGrid w:val="0"/>
                    <w:spacing w:line="240" w:lineRule="auto"/>
                    <w:ind w:firstLineChars="0" w:firstLine="0"/>
                    <w:jc w:val="center"/>
                    <w:rPr>
                      <w:rFonts w:cs="Times New Roman"/>
                      <w:bCs/>
                      <w:sz w:val="21"/>
                      <w:szCs w:val="21"/>
                    </w:rPr>
                  </w:pPr>
                  <w:r>
                    <w:rPr>
                      <w:rFonts w:cs="Times New Roman" w:hint="eastAsia"/>
                      <w:bCs/>
                      <w:sz w:val="21"/>
                      <w:szCs w:val="21"/>
                    </w:rPr>
                    <w:t>/</w:t>
                  </w:r>
                </w:p>
              </w:tc>
              <w:tc>
                <w:tcPr>
                  <w:tcW w:w="1612" w:type="pct"/>
                  <w:vAlign w:val="center"/>
                </w:tcPr>
                <w:p w14:paraId="6F464229" w14:textId="5142EB85" w:rsidR="003C4F46" w:rsidRDefault="00CF799D">
                  <w:pPr>
                    <w:adjustRightInd w:val="0"/>
                    <w:snapToGrid w:val="0"/>
                    <w:spacing w:line="240" w:lineRule="auto"/>
                    <w:ind w:firstLineChars="0" w:firstLine="0"/>
                    <w:rPr>
                      <w:rFonts w:cs="Times New Roman"/>
                      <w:bCs/>
                      <w:sz w:val="21"/>
                      <w:szCs w:val="21"/>
                    </w:rPr>
                  </w:pPr>
                  <w:r w:rsidRPr="00CF799D">
                    <w:rPr>
                      <w:rFonts w:cs="Times New Roman" w:hint="eastAsia"/>
                      <w:bCs/>
                      <w:sz w:val="21"/>
                      <w:szCs w:val="21"/>
                    </w:rPr>
                    <w:t>新增</w:t>
                  </w:r>
                  <w:r w:rsidRPr="00CF799D">
                    <w:rPr>
                      <w:rFonts w:cs="Times New Roman" w:hint="eastAsia"/>
                      <w:bCs/>
                      <w:sz w:val="21"/>
                      <w:szCs w:val="21"/>
                    </w:rPr>
                    <w:t>4</w:t>
                  </w:r>
                  <w:r w:rsidRPr="00CF799D">
                    <w:rPr>
                      <w:rFonts w:cs="Times New Roman" w:hint="eastAsia"/>
                      <w:bCs/>
                      <w:sz w:val="21"/>
                      <w:szCs w:val="21"/>
                    </w:rPr>
                    <w:t>座</w:t>
                  </w:r>
                  <w:r w:rsidRPr="00CF799D">
                    <w:rPr>
                      <w:rFonts w:cs="Times New Roman" w:hint="eastAsia"/>
                      <w:bCs/>
                      <w:sz w:val="21"/>
                      <w:szCs w:val="21"/>
                    </w:rPr>
                    <w:t>600m</w:t>
                  </w:r>
                  <w:r w:rsidRPr="00CF799D">
                    <w:rPr>
                      <w:rFonts w:cs="Times New Roman" w:hint="eastAsia"/>
                      <w:bCs/>
                      <w:sz w:val="21"/>
                      <w:szCs w:val="21"/>
                    </w:rPr>
                    <w:t>³立式碳钢</w:t>
                  </w:r>
                  <w:r w:rsidR="00691223" w:rsidRPr="00691223">
                    <w:rPr>
                      <w:rFonts w:cs="Times New Roman" w:hint="eastAsia"/>
                      <w:bCs/>
                      <w:sz w:val="21"/>
                      <w:szCs w:val="21"/>
                    </w:rPr>
                    <w:t>固定顶</w:t>
                  </w:r>
                  <w:r w:rsidRPr="00CF799D">
                    <w:rPr>
                      <w:rFonts w:cs="Times New Roman" w:hint="eastAsia"/>
                      <w:bCs/>
                      <w:sz w:val="21"/>
                      <w:szCs w:val="21"/>
                    </w:rPr>
                    <w:t>储罐，其中</w:t>
                  </w:r>
                  <w:r w:rsidRPr="00CF799D">
                    <w:rPr>
                      <w:rFonts w:cs="Times New Roman" w:hint="eastAsia"/>
                      <w:bCs/>
                      <w:sz w:val="21"/>
                      <w:szCs w:val="21"/>
                    </w:rPr>
                    <w:t>3</w:t>
                  </w:r>
                  <w:r w:rsidRPr="00CF799D">
                    <w:rPr>
                      <w:rFonts w:cs="Times New Roman" w:hint="eastAsia"/>
                      <w:bCs/>
                      <w:sz w:val="21"/>
                      <w:szCs w:val="21"/>
                    </w:rPr>
                    <w:t>座用于贮存</w:t>
                  </w:r>
                  <w:r w:rsidRPr="00CF799D">
                    <w:rPr>
                      <w:rFonts w:cs="Times New Roman" w:hint="eastAsia"/>
                      <w:bCs/>
                      <w:sz w:val="21"/>
                      <w:szCs w:val="21"/>
                    </w:rPr>
                    <w:t>HW08</w:t>
                  </w:r>
                  <w:r w:rsidRPr="00CF799D">
                    <w:rPr>
                      <w:rFonts w:cs="Times New Roman" w:hint="eastAsia"/>
                      <w:bCs/>
                      <w:sz w:val="21"/>
                      <w:szCs w:val="21"/>
                    </w:rPr>
                    <w:t>，</w:t>
                  </w:r>
                  <w:r w:rsidRPr="00CF799D">
                    <w:rPr>
                      <w:rFonts w:cs="Times New Roman" w:hint="eastAsia"/>
                      <w:bCs/>
                      <w:sz w:val="21"/>
                      <w:szCs w:val="21"/>
                    </w:rPr>
                    <w:t>1</w:t>
                  </w:r>
                  <w:r w:rsidRPr="00CF799D">
                    <w:rPr>
                      <w:rFonts w:cs="Times New Roman" w:hint="eastAsia"/>
                      <w:bCs/>
                      <w:sz w:val="21"/>
                      <w:szCs w:val="21"/>
                    </w:rPr>
                    <w:t>座用于贮存</w:t>
                  </w:r>
                  <w:r w:rsidRPr="00CF799D">
                    <w:rPr>
                      <w:rFonts w:cs="Times New Roman" w:hint="eastAsia"/>
                      <w:bCs/>
                      <w:sz w:val="21"/>
                      <w:szCs w:val="21"/>
                    </w:rPr>
                    <w:t>HW09</w:t>
                  </w:r>
                  <w:r w:rsidRPr="00CF799D">
                    <w:rPr>
                      <w:rFonts w:cs="Times New Roman" w:hint="eastAsia"/>
                      <w:bCs/>
                      <w:sz w:val="21"/>
                      <w:szCs w:val="21"/>
                    </w:rPr>
                    <w:t>，罐区四周设置围堰</w:t>
                  </w:r>
                </w:p>
              </w:tc>
              <w:tc>
                <w:tcPr>
                  <w:tcW w:w="756" w:type="pct"/>
                  <w:vAlign w:val="center"/>
                </w:tcPr>
                <w:p w14:paraId="7565205E" w14:textId="26D80CDA" w:rsidR="003C4F46" w:rsidRDefault="00CF799D">
                  <w:pPr>
                    <w:adjustRightInd w:val="0"/>
                    <w:snapToGrid w:val="0"/>
                    <w:spacing w:line="240" w:lineRule="auto"/>
                    <w:ind w:firstLineChars="0" w:firstLine="0"/>
                    <w:rPr>
                      <w:rFonts w:cs="Times New Roman"/>
                      <w:bCs/>
                      <w:sz w:val="21"/>
                      <w:szCs w:val="21"/>
                    </w:rPr>
                  </w:pPr>
                  <w:r w:rsidRPr="00CF799D">
                    <w:rPr>
                      <w:rFonts w:cs="Times New Roman" w:hint="eastAsia"/>
                      <w:bCs/>
                      <w:sz w:val="21"/>
                      <w:szCs w:val="21"/>
                    </w:rPr>
                    <w:t>新增</w:t>
                  </w:r>
                  <w:r w:rsidRPr="00CF799D">
                    <w:rPr>
                      <w:rFonts w:cs="Times New Roman" w:hint="eastAsia"/>
                      <w:bCs/>
                      <w:sz w:val="21"/>
                      <w:szCs w:val="21"/>
                    </w:rPr>
                    <w:t>HW09</w:t>
                  </w:r>
                  <w:r w:rsidRPr="00CF799D">
                    <w:rPr>
                      <w:rFonts w:cs="Times New Roman" w:hint="eastAsia"/>
                      <w:bCs/>
                      <w:sz w:val="21"/>
                      <w:szCs w:val="21"/>
                    </w:rPr>
                    <w:t>贮存类别，</w:t>
                  </w:r>
                  <w:r w:rsidRPr="00CF799D">
                    <w:rPr>
                      <w:rFonts w:cs="Times New Roman" w:hint="eastAsia"/>
                      <w:bCs/>
                      <w:sz w:val="21"/>
                      <w:szCs w:val="21"/>
                    </w:rPr>
                    <w:t>HW08</w:t>
                  </w:r>
                  <w:r w:rsidRPr="00CF799D">
                    <w:rPr>
                      <w:rFonts w:cs="Times New Roman" w:hint="eastAsia"/>
                      <w:bCs/>
                      <w:sz w:val="21"/>
                      <w:szCs w:val="21"/>
                    </w:rPr>
                    <w:t>贮存方式发生变更，储罐均已建设</w:t>
                  </w:r>
                </w:p>
              </w:tc>
            </w:tr>
            <w:tr w:rsidR="003C4F46" w14:paraId="01C5300F" w14:textId="77777777">
              <w:trPr>
                <w:trHeight w:val="289"/>
              </w:trPr>
              <w:tc>
                <w:tcPr>
                  <w:tcW w:w="394" w:type="pct"/>
                  <w:vMerge w:val="restart"/>
                  <w:vAlign w:val="center"/>
                </w:tcPr>
                <w:p w14:paraId="2D8374B8"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辅助工程</w:t>
                  </w:r>
                </w:p>
              </w:tc>
              <w:tc>
                <w:tcPr>
                  <w:tcW w:w="627" w:type="pct"/>
                  <w:vAlign w:val="center"/>
                </w:tcPr>
                <w:p w14:paraId="27219268" w14:textId="77777777" w:rsidR="003C4F46" w:rsidRDefault="004B6A81">
                  <w:pPr>
                    <w:adjustRightInd w:val="0"/>
                    <w:snapToGrid w:val="0"/>
                    <w:spacing w:line="240" w:lineRule="auto"/>
                    <w:ind w:firstLineChars="0" w:firstLine="0"/>
                    <w:jc w:val="center"/>
                    <w:rPr>
                      <w:rFonts w:cs="Times New Roman"/>
                      <w:bCs/>
                      <w:sz w:val="21"/>
                      <w:szCs w:val="21"/>
                    </w:rPr>
                  </w:pPr>
                  <w:r>
                    <w:rPr>
                      <w:rFonts w:cs="Times New Roman"/>
                      <w:bCs/>
                      <w:sz w:val="21"/>
                      <w:szCs w:val="21"/>
                    </w:rPr>
                    <w:t>货物装卸区及过道</w:t>
                  </w:r>
                </w:p>
              </w:tc>
              <w:tc>
                <w:tcPr>
                  <w:tcW w:w="1611" w:type="pct"/>
                  <w:vAlign w:val="center"/>
                </w:tcPr>
                <w:p w14:paraId="4DFA7845" w14:textId="77777777" w:rsidR="003C4F46" w:rsidRDefault="004B6A81">
                  <w:pPr>
                    <w:adjustRightInd w:val="0"/>
                    <w:snapToGrid w:val="0"/>
                    <w:spacing w:line="240" w:lineRule="auto"/>
                    <w:ind w:firstLineChars="0" w:firstLine="0"/>
                    <w:contextualSpacing/>
                    <w:textAlignment w:val="auto"/>
                    <w:rPr>
                      <w:rFonts w:cs="Times New Roman"/>
                      <w:bCs/>
                      <w:sz w:val="21"/>
                      <w:szCs w:val="21"/>
                    </w:rPr>
                  </w:pPr>
                  <w:r>
                    <w:rPr>
                      <w:rFonts w:cs="Times New Roman"/>
                      <w:bCs/>
                      <w:sz w:val="21"/>
                      <w:szCs w:val="21"/>
                    </w:rPr>
                    <w:t>装卸区设于仓库出入口内侧，收集废电池、废润滑油</w:t>
                  </w:r>
                  <w:r>
                    <w:rPr>
                      <w:rFonts w:cs="Times New Roman" w:hint="eastAsia"/>
                      <w:bCs/>
                      <w:sz w:val="21"/>
                      <w:szCs w:val="21"/>
                    </w:rPr>
                    <w:t>等</w:t>
                  </w:r>
                  <w:r>
                    <w:rPr>
                      <w:rFonts w:cs="Times New Roman"/>
                      <w:bCs/>
                      <w:sz w:val="21"/>
                      <w:szCs w:val="21"/>
                    </w:rPr>
                    <w:t>专车将</w:t>
                  </w:r>
                  <w:r>
                    <w:rPr>
                      <w:rFonts w:cs="Times New Roman" w:hint="eastAsia"/>
                      <w:bCs/>
                      <w:sz w:val="21"/>
                      <w:szCs w:val="21"/>
                    </w:rPr>
                    <w:t>危废</w:t>
                  </w:r>
                  <w:r>
                    <w:rPr>
                      <w:rFonts w:cs="Times New Roman"/>
                      <w:bCs/>
                      <w:sz w:val="21"/>
                      <w:szCs w:val="21"/>
                    </w:rPr>
                    <w:t>运输到厂区内装卸区，由叉车卸下，运往储存区储存</w:t>
                  </w:r>
                </w:p>
              </w:tc>
              <w:tc>
                <w:tcPr>
                  <w:tcW w:w="1612" w:type="pct"/>
                  <w:vAlign w:val="center"/>
                </w:tcPr>
                <w:p w14:paraId="1CE4DCC4" w14:textId="77777777" w:rsidR="003C4F46" w:rsidRDefault="004B6A81">
                  <w:pPr>
                    <w:adjustRightInd w:val="0"/>
                    <w:snapToGrid w:val="0"/>
                    <w:spacing w:line="240" w:lineRule="auto"/>
                    <w:ind w:firstLineChars="0" w:firstLine="0"/>
                    <w:contextualSpacing/>
                    <w:textAlignment w:val="auto"/>
                    <w:rPr>
                      <w:rFonts w:cs="Times New Roman"/>
                      <w:sz w:val="21"/>
                      <w:szCs w:val="21"/>
                    </w:rPr>
                  </w:pPr>
                  <w:r>
                    <w:rPr>
                      <w:rFonts w:cs="Times New Roman"/>
                      <w:bCs/>
                      <w:sz w:val="21"/>
                      <w:szCs w:val="21"/>
                    </w:rPr>
                    <w:t>装卸区设于仓库出入口内侧，收集废电池、废润滑油</w:t>
                  </w:r>
                  <w:r>
                    <w:rPr>
                      <w:rFonts w:cs="Times New Roman" w:hint="eastAsia"/>
                      <w:bCs/>
                      <w:sz w:val="21"/>
                      <w:szCs w:val="21"/>
                    </w:rPr>
                    <w:t>等</w:t>
                  </w:r>
                  <w:r>
                    <w:rPr>
                      <w:rFonts w:cs="Times New Roman"/>
                      <w:bCs/>
                      <w:sz w:val="21"/>
                      <w:szCs w:val="21"/>
                    </w:rPr>
                    <w:t>专车将</w:t>
                  </w:r>
                  <w:r>
                    <w:rPr>
                      <w:rFonts w:cs="Times New Roman" w:hint="eastAsia"/>
                      <w:bCs/>
                      <w:sz w:val="21"/>
                      <w:szCs w:val="21"/>
                    </w:rPr>
                    <w:t>危废</w:t>
                  </w:r>
                  <w:r>
                    <w:rPr>
                      <w:rFonts w:cs="Times New Roman"/>
                      <w:bCs/>
                      <w:sz w:val="21"/>
                      <w:szCs w:val="21"/>
                    </w:rPr>
                    <w:t>运输到厂区内装卸区，由叉车卸下，运往储存区储存</w:t>
                  </w:r>
                </w:p>
              </w:tc>
              <w:tc>
                <w:tcPr>
                  <w:tcW w:w="756" w:type="pct"/>
                  <w:vAlign w:val="center"/>
                </w:tcPr>
                <w:p w14:paraId="12F5FBAF" w14:textId="77777777" w:rsidR="003C4F46" w:rsidRDefault="004B6A81">
                  <w:pPr>
                    <w:adjustRightInd w:val="0"/>
                    <w:snapToGrid w:val="0"/>
                    <w:spacing w:line="240" w:lineRule="auto"/>
                    <w:ind w:firstLineChars="0" w:firstLine="0"/>
                    <w:contextualSpacing/>
                    <w:jc w:val="center"/>
                    <w:textAlignment w:val="auto"/>
                    <w:rPr>
                      <w:color w:val="000000"/>
                      <w:sz w:val="21"/>
                      <w:szCs w:val="21"/>
                    </w:rPr>
                  </w:pPr>
                  <w:r>
                    <w:rPr>
                      <w:rFonts w:hint="eastAsia"/>
                      <w:color w:val="000000"/>
                      <w:sz w:val="21"/>
                      <w:szCs w:val="21"/>
                    </w:rPr>
                    <w:t>未发生变化</w:t>
                  </w:r>
                </w:p>
              </w:tc>
            </w:tr>
            <w:tr w:rsidR="003C4F46" w14:paraId="238FCF0E" w14:textId="77777777">
              <w:trPr>
                <w:trHeight w:val="289"/>
              </w:trPr>
              <w:tc>
                <w:tcPr>
                  <w:tcW w:w="394" w:type="pct"/>
                  <w:vMerge/>
                  <w:vAlign w:val="center"/>
                </w:tcPr>
                <w:p w14:paraId="04D16DDE"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71709CE3" w14:textId="77777777" w:rsidR="003C4F46" w:rsidRDefault="004B6A81">
                  <w:pPr>
                    <w:adjustRightInd w:val="0"/>
                    <w:snapToGrid w:val="0"/>
                    <w:spacing w:line="240" w:lineRule="auto"/>
                    <w:ind w:firstLineChars="0" w:firstLine="0"/>
                    <w:jc w:val="center"/>
                    <w:rPr>
                      <w:rFonts w:cs="Times New Roman"/>
                      <w:bCs/>
                      <w:sz w:val="21"/>
                      <w:szCs w:val="21"/>
                    </w:rPr>
                  </w:pPr>
                  <w:r>
                    <w:rPr>
                      <w:rFonts w:cs="Times New Roman"/>
                      <w:bCs/>
                      <w:sz w:val="21"/>
                      <w:szCs w:val="21"/>
                    </w:rPr>
                    <w:t>办公</w:t>
                  </w:r>
                  <w:r>
                    <w:rPr>
                      <w:rFonts w:cs="Times New Roman" w:hint="eastAsia"/>
                      <w:bCs/>
                      <w:sz w:val="21"/>
                      <w:szCs w:val="21"/>
                    </w:rPr>
                    <w:t>生活区</w:t>
                  </w:r>
                </w:p>
              </w:tc>
              <w:tc>
                <w:tcPr>
                  <w:tcW w:w="1611" w:type="pct"/>
                  <w:vAlign w:val="center"/>
                </w:tcPr>
                <w:p w14:paraId="083FACFD"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依托现有办公室及宿舍楼，用于工作人员办公、值班</w:t>
                  </w:r>
                </w:p>
              </w:tc>
              <w:tc>
                <w:tcPr>
                  <w:tcW w:w="1612" w:type="pct"/>
                  <w:vAlign w:val="center"/>
                </w:tcPr>
                <w:p w14:paraId="0DDC2C45" w14:textId="77777777" w:rsidR="003C4F46" w:rsidRDefault="004B6A81">
                  <w:pPr>
                    <w:adjustRightInd w:val="0"/>
                    <w:snapToGrid w:val="0"/>
                    <w:spacing w:line="240" w:lineRule="auto"/>
                    <w:ind w:firstLineChars="0" w:firstLine="0"/>
                    <w:contextualSpacing/>
                    <w:jc w:val="center"/>
                    <w:textAlignment w:val="auto"/>
                    <w:rPr>
                      <w:rFonts w:cs="Times New Roman"/>
                      <w:sz w:val="21"/>
                      <w:szCs w:val="21"/>
                    </w:rPr>
                  </w:pPr>
                  <w:r>
                    <w:rPr>
                      <w:rFonts w:cs="Times New Roman" w:hint="eastAsia"/>
                      <w:bCs/>
                      <w:sz w:val="21"/>
                      <w:szCs w:val="21"/>
                    </w:rPr>
                    <w:t>依托现有办公室及宿舍楼，用于工作人员办公、值班</w:t>
                  </w:r>
                </w:p>
              </w:tc>
              <w:tc>
                <w:tcPr>
                  <w:tcW w:w="756" w:type="pct"/>
                  <w:vAlign w:val="center"/>
                </w:tcPr>
                <w:p w14:paraId="529B1C0C" w14:textId="77777777" w:rsidR="003C4F46" w:rsidRDefault="004B6A81">
                  <w:pPr>
                    <w:adjustRightInd w:val="0"/>
                    <w:snapToGrid w:val="0"/>
                    <w:spacing w:line="240" w:lineRule="auto"/>
                    <w:ind w:firstLineChars="0" w:firstLine="0"/>
                    <w:contextualSpacing/>
                    <w:jc w:val="center"/>
                    <w:textAlignment w:val="auto"/>
                    <w:rPr>
                      <w:color w:val="000000"/>
                      <w:sz w:val="21"/>
                      <w:szCs w:val="21"/>
                    </w:rPr>
                  </w:pPr>
                  <w:r>
                    <w:rPr>
                      <w:rFonts w:hint="eastAsia"/>
                      <w:color w:val="000000"/>
                      <w:sz w:val="21"/>
                      <w:szCs w:val="21"/>
                    </w:rPr>
                    <w:t>未发生变化</w:t>
                  </w:r>
                </w:p>
              </w:tc>
            </w:tr>
            <w:tr w:rsidR="003C4F46" w14:paraId="26C2589D" w14:textId="77777777">
              <w:trPr>
                <w:trHeight w:val="340"/>
              </w:trPr>
              <w:tc>
                <w:tcPr>
                  <w:tcW w:w="394" w:type="pct"/>
                  <w:vMerge w:val="restart"/>
                  <w:vAlign w:val="center"/>
                </w:tcPr>
                <w:p w14:paraId="5F0705A1"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color w:val="000000"/>
                      <w:sz w:val="21"/>
                      <w:szCs w:val="21"/>
                    </w:rPr>
                    <w:t>公用工程</w:t>
                  </w:r>
                </w:p>
              </w:tc>
              <w:tc>
                <w:tcPr>
                  <w:tcW w:w="627" w:type="pct"/>
                  <w:vAlign w:val="center"/>
                </w:tcPr>
                <w:p w14:paraId="2B6FDE83"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color w:val="000000"/>
                      <w:sz w:val="21"/>
                      <w:szCs w:val="21"/>
                    </w:rPr>
                    <w:t>供水</w:t>
                  </w:r>
                </w:p>
              </w:tc>
              <w:tc>
                <w:tcPr>
                  <w:tcW w:w="1611" w:type="pct"/>
                  <w:vAlign w:val="center"/>
                </w:tcPr>
                <w:p w14:paraId="7DB80614"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园区</w:t>
                  </w:r>
                  <w:r>
                    <w:rPr>
                      <w:rFonts w:cs="Times New Roman"/>
                      <w:bCs/>
                      <w:sz w:val="21"/>
                      <w:szCs w:val="21"/>
                    </w:rPr>
                    <w:t>供水管网</w:t>
                  </w:r>
                </w:p>
              </w:tc>
              <w:tc>
                <w:tcPr>
                  <w:tcW w:w="1612" w:type="pct"/>
                  <w:vAlign w:val="center"/>
                </w:tcPr>
                <w:p w14:paraId="17CE19D7"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园区</w:t>
                  </w:r>
                  <w:r>
                    <w:rPr>
                      <w:rFonts w:cs="Times New Roman"/>
                      <w:bCs/>
                      <w:sz w:val="21"/>
                      <w:szCs w:val="21"/>
                    </w:rPr>
                    <w:t>供水管网</w:t>
                  </w:r>
                </w:p>
              </w:tc>
              <w:tc>
                <w:tcPr>
                  <w:tcW w:w="756" w:type="pct"/>
                  <w:vAlign w:val="center"/>
                </w:tcPr>
                <w:p w14:paraId="58C20839" w14:textId="77777777" w:rsidR="003C4F46" w:rsidRDefault="004B6A81">
                  <w:pPr>
                    <w:adjustRightInd w:val="0"/>
                    <w:snapToGrid w:val="0"/>
                    <w:spacing w:line="240" w:lineRule="auto"/>
                    <w:ind w:firstLineChars="0" w:firstLine="0"/>
                    <w:contextualSpacing/>
                    <w:jc w:val="center"/>
                    <w:textAlignment w:val="auto"/>
                    <w:rPr>
                      <w:color w:val="000000"/>
                      <w:sz w:val="21"/>
                      <w:szCs w:val="21"/>
                    </w:rPr>
                  </w:pPr>
                  <w:r>
                    <w:rPr>
                      <w:rFonts w:hint="eastAsia"/>
                      <w:color w:val="000000"/>
                      <w:sz w:val="21"/>
                      <w:szCs w:val="21"/>
                    </w:rPr>
                    <w:t>未发生变化</w:t>
                  </w:r>
                </w:p>
              </w:tc>
            </w:tr>
            <w:tr w:rsidR="003C4F46" w14:paraId="0FC71ACA" w14:textId="77777777">
              <w:trPr>
                <w:trHeight w:val="357"/>
              </w:trPr>
              <w:tc>
                <w:tcPr>
                  <w:tcW w:w="394" w:type="pct"/>
                  <w:vMerge/>
                  <w:vAlign w:val="center"/>
                </w:tcPr>
                <w:p w14:paraId="08CE33B7"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69A29B31"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color w:val="000000"/>
                      <w:sz w:val="21"/>
                      <w:szCs w:val="21"/>
                    </w:rPr>
                    <w:t>供电</w:t>
                  </w:r>
                </w:p>
              </w:tc>
              <w:tc>
                <w:tcPr>
                  <w:tcW w:w="1611" w:type="pct"/>
                  <w:vAlign w:val="center"/>
                </w:tcPr>
                <w:p w14:paraId="1E288AFB"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国家</w:t>
                  </w:r>
                  <w:r>
                    <w:rPr>
                      <w:rFonts w:cs="Times New Roman"/>
                      <w:bCs/>
                      <w:sz w:val="21"/>
                      <w:szCs w:val="21"/>
                    </w:rPr>
                    <w:t>电网</w:t>
                  </w:r>
                  <w:r>
                    <w:rPr>
                      <w:rFonts w:cs="Times New Roman" w:hint="eastAsia"/>
                      <w:bCs/>
                      <w:sz w:val="21"/>
                      <w:szCs w:val="21"/>
                    </w:rPr>
                    <w:t>供电</w:t>
                  </w:r>
                </w:p>
              </w:tc>
              <w:tc>
                <w:tcPr>
                  <w:tcW w:w="1612" w:type="pct"/>
                  <w:vAlign w:val="center"/>
                </w:tcPr>
                <w:p w14:paraId="14689368"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国家</w:t>
                  </w:r>
                  <w:r>
                    <w:rPr>
                      <w:rFonts w:cs="Times New Roman"/>
                      <w:bCs/>
                      <w:sz w:val="21"/>
                      <w:szCs w:val="21"/>
                    </w:rPr>
                    <w:t>电网</w:t>
                  </w:r>
                  <w:r>
                    <w:rPr>
                      <w:rFonts w:cs="Times New Roman" w:hint="eastAsia"/>
                      <w:bCs/>
                      <w:sz w:val="21"/>
                      <w:szCs w:val="21"/>
                    </w:rPr>
                    <w:t>供电</w:t>
                  </w:r>
                </w:p>
              </w:tc>
              <w:tc>
                <w:tcPr>
                  <w:tcW w:w="756" w:type="pct"/>
                  <w:vAlign w:val="center"/>
                </w:tcPr>
                <w:p w14:paraId="0AEBB68E" w14:textId="77777777" w:rsidR="003C4F46" w:rsidRDefault="004B6A81">
                  <w:pPr>
                    <w:adjustRightInd w:val="0"/>
                    <w:snapToGrid w:val="0"/>
                    <w:spacing w:line="240" w:lineRule="auto"/>
                    <w:ind w:firstLineChars="0" w:firstLine="0"/>
                    <w:contextualSpacing/>
                    <w:jc w:val="center"/>
                    <w:textAlignment w:val="auto"/>
                    <w:rPr>
                      <w:color w:val="000000"/>
                      <w:sz w:val="21"/>
                      <w:szCs w:val="21"/>
                    </w:rPr>
                  </w:pPr>
                  <w:r>
                    <w:rPr>
                      <w:rFonts w:hint="eastAsia"/>
                      <w:color w:val="000000"/>
                      <w:sz w:val="21"/>
                      <w:szCs w:val="21"/>
                    </w:rPr>
                    <w:t>未发生变化</w:t>
                  </w:r>
                </w:p>
              </w:tc>
            </w:tr>
            <w:tr w:rsidR="003C4F46" w14:paraId="4ECEBE5C" w14:textId="77777777">
              <w:trPr>
                <w:trHeight w:val="340"/>
              </w:trPr>
              <w:tc>
                <w:tcPr>
                  <w:tcW w:w="394" w:type="pct"/>
                  <w:vMerge/>
                  <w:vAlign w:val="center"/>
                </w:tcPr>
                <w:p w14:paraId="645B6982"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21EB8DEC"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color w:val="000000"/>
                      <w:sz w:val="21"/>
                      <w:szCs w:val="21"/>
                    </w:rPr>
                    <w:t>供</w:t>
                  </w:r>
                  <w:r>
                    <w:rPr>
                      <w:rFonts w:cs="Times New Roman" w:hint="eastAsia"/>
                      <w:color w:val="000000"/>
                      <w:sz w:val="21"/>
                      <w:szCs w:val="21"/>
                    </w:rPr>
                    <w:t>暖</w:t>
                  </w:r>
                </w:p>
              </w:tc>
              <w:tc>
                <w:tcPr>
                  <w:tcW w:w="1611" w:type="pct"/>
                  <w:vAlign w:val="center"/>
                </w:tcPr>
                <w:p w14:paraId="64B06D93"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项目无生产供热，冬季人员供暖采用集中供热</w:t>
                  </w:r>
                </w:p>
              </w:tc>
              <w:tc>
                <w:tcPr>
                  <w:tcW w:w="1612" w:type="pct"/>
                  <w:vAlign w:val="center"/>
                </w:tcPr>
                <w:p w14:paraId="5F688E3F" w14:textId="77777777" w:rsidR="003C4F46" w:rsidRDefault="004B6A81">
                  <w:pPr>
                    <w:adjustRightInd w:val="0"/>
                    <w:snapToGrid w:val="0"/>
                    <w:spacing w:line="240" w:lineRule="auto"/>
                    <w:ind w:firstLineChars="0" w:firstLine="0"/>
                    <w:contextualSpacing/>
                    <w:jc w:val="center"/>
                    <w:textAlignment w:val="auto"/>
                    <w:rPr>
                      <w:rFonts w:cs="Times New Roman"/>
                      <w:bCs/>
                      <w:sz w:val="21"/>
                      <w:szCs w:val="21"/>
                    </w:rPr>
                  </w:pPr>
                  <w:r>
                    <w:rPr>
                      <w:rFonts w:cs="Times New Roman" w:hint="eastAsia"/>
                      <w:bCs/>
                      <w:sz w:val="21"/>
                      <w:szCs w:val="21"/>
                    </w:rPr>
                    <w:t>项目无生产供热，冬季人员供暖采用集中供热</w:t>
                  </w:r>
                </w:p>
              </w:tc>
              <w:tc>
                <w:tcPr>
                  <w:tcW w:w="756" w:type="pct"/>
                  <w:vAlign w:val="center"/>
                </w:tcPr>
                <w:p w14:paraId="4925EBAA" w14:textId="77777777" w:rsidR="003C4F46" w:rsidRDefault="004B6A81">
                  <w:pPr>
                    <w:adjustRightInd w:val="0"/>
                    <w:snapToGrid w:val="0"/>
                    <w:spacing w:line="240" w:lineRule="auto"/>
                    <w:ind w:firstLineChars="0" w:firstLine="0"/>
                    <w:contextualSpacing/>
                    <w:jc w:val="center"/>
                    <w:textAlignment w:val="auto"/>
                    <w:rPr>
                      <w:color w:val="000000"/>
                      <w:sz w:val="21"/>
                      <w:szCs w:val="21"/>
                    </w:rPr>
                  </w:pPr>
                  <w:r>
                    <w:rPr>
                      <w:rFonts w:hint="eastAsia"/>
                      <w:color w:val="000000"/>
                      <w:sz w:val="21"/>
                      <w:szCs w:val="21"/>
                    </w:rPr>
                    <w:t>未发生变化</w:t>
                  </w:r>
                </w:p>
              </w:tc>
            </w:tr>
            <w:tr w:rsidR="003C4F46" w14:paraId="06EE41D9" w14:textId="77777777">
              <w:trPr>
                <w:trHeight w:val="340"/>
              </w:trPr>
              <w:tc>
                <w:tcPr>
                  <w:tcW w:w="394" w:type="pct"/>
                  <w:vMerge/>
                  <w:vAlign w:val="center"/>
                </w:tcPr>
                <w:p w14:paraId="6C69B4F3"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2E4FACD7"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排水</w:t>
                  </w:r>
                </w:p>
              </w:tc>
              <w:tc>
                <w:tcPr>
                  <w:tcW w:w="1611" w:type="pct"/>
                  <w:vAlign w:val="center"/>
                </w:tcPr>
                <w:p w14:paraId="41A67093" w14:textId="10803D9B"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sz w:val="21"/>
                      <w:szCs w:val="21"/>
                    </w:rPr>
                    <w:t>本项目</w:t>
                  </w:r>
                  <w:r>
                    <w:rPr>
                      <w:rFonts w:cs="Times New Roman" w:hint="eastAsia"/>
                      <w:sz w:val="21"/>
                      <w:szCs w:val="21"/>
                    </w:rPr>
                    <w:t>无</w:t>
                  </w:r>
                  <w:r>
                    <w:rPr>
                      <w:rFonts w:cs="Times New Roman"/>
                      <w:sz w:val="21"/>
                      <w:szCs w:val="21"/>
                    </w:rPr>
                    <w:t>生产废水</w:t>
                  </w:r>
                  <w:r>
                    <w:rPr>
                      <w:rFonts w:cs="Times New Roman" w:hint="eastAsia"/>
                      <w:sz w:val="21"/>
                      <w:szCs w:val="21"/>
                    </w:rPr>
                    <w:t>，生活污水排入园区管网由园区污水处理</w:t>
                  </w:r>
                  <w:r w:rsidR="008806ED">
                    <w:rPr>
                      <w:rFonts w:cs="Times New Roman" w:hint="eastAsia"/>
                      <w:sz w:val="21"/>
                      <w:szCs w:val="21"/>
                    </w:rPr>
                    <w:t>厂</w:t>
                  </w:r>
                  <w:r>
                    <w:rPr>
                      <w:rFonts w:cs="Times New Roman" w:hint="eastAsia"/>
                      <w:sz w:val="21"/>
                      <w:szCs w:val="21"/>
                    </w:rPr>
                    <w:t>处理，</w:t>
                  </w:r>
                  <w:r>
                    <w:rPr>
                      <w:rFonts w:cs="Times New Roman"/>
                      <w:sz w:val="21"/>
                      <w:szCs w:val="21"/>
                    </w:rPr>
                    <w:t>事故状态下的冲洗废水作危废交有资质单位处置，不外排</w:t>
                  </w:r>
                </w:p>
              </w:tc>
              <w:tc>
                <w:tcPr>
                  <w:tcW w:w="1612" w:type="pct"/>
                  <w:vAlign w:val="center"/>
                </w:tcPr>
                <w:p w14:paraId="29398149" w14:textId="6EE13EAB" w:rsidR="003C4F46" w:rsidRDefault="00A70388">
                  <w:pPr>
                    <w:adjustRightInd w:val="0"/>
                    <w:snapToGrid w:val="0"/>
                    <w:spacing w:line="240" w:lineRule="auto"/>
                    <w:ind w:firstLineChars="0" w:firstLine="0"/>
                    <w:contextualSpacing/>
                    <w:textAlignment w:val="auto"/>
                    <w:rPr>
                      <w:rFonts w:cs="Times New Roman"/>
                      <w:color w:val="000000"/>
                      <w:sz w:val="21"/>
                      <w:szCs w:val="21"/>
                    </w:rPr>
                  </w:pPr>
                  <w:r w:rsidRPr="00A70388">
                    <w:rPr>
                      <w:rFonts w:cs="Times New Roman" w:hint="eastAsia"/>
                      <w:sz w:val="21"/>
                      <w:szCs w:val="21"/>
                    </w:rPr>
                    <w:t>碱液喷淋塔中的喷淋废液经中和后循环使用，反应饱和后定期排放至厂区</w:t>
                  </w:r>
                  <w:r>
                    <w:rPr>
                      <w:rFonts w:cs="Times New Roman" w:hint="eastAsia"/>
                      <w:sz w:val="21"/>
                      <w:szCs w:val="21"/>
                    </w:rPr>
                    <w:t>现有</w:t>
                  </w:r>
                  <w:r w:rsidRPr="00A70388">
                    <w:rPr>
                      <w:rFonts w:cs="Times New Roman" w:hint="eastAsia"/>
                      <w:sz w:val="21"/>
                      <w:szCs w:val="21"/>
                    </w:rPr>
                    <w:t>污水处理站处理，达标后排入</w:t>
                  </w:r>
                  <w:r w:rsidR="00C2139A">
                    <w:rPr>
                      <w:rFonts w:cs="Times New Roman" w:hint="eastAsia"/>
                      <w:sz w:val="21"/>
                      <w:szCs w:val="21"/>
                    </w:rPr>
                    <w:t>轮台县拉依苏化工</w:t>
                  </w:r>
                  <w:r w:rsidR="00AE0FB9">
                    <w:rPr>
                      <w:rFonts w:cs="Times New Roman" w:hint="eastAsia"/>
                      <w:sz w:val="21"/>
                      <w:szCs w:val="21"/>
                    </w:rPr>
                    <w:t>区</w:t>
                  </w:r>
                  <w:r w:rsidRPr="00A70388">
                    <w:rPr>
                      <w:rFonts w:cs="Times New Roman" w:hint="eastAsia"/>
                      <w:sz w:val="21"/>
                      <w:szCs w:val="21"/>
                    </w:rPr>
                    <w:t>污水处理厂进一步处理；生活污水排入园区管网，由园区污水处理</w:t>
                  </w:r>
                  <w:r w:rsidR="008806ED">
                    <w:rPr>
                      <w:rFonts w:cs="Times New Roman" w:hint="eastAsia"/>
                      <w:sz w:val="21"/>
                      <w:szCs w:val="21"/>
                    </w:rPr>
                    <w:t>厂</w:t>
                  </w:r>
                  <w:r w:rsidRPr="00A70388">
                    <w:rPr>
                      <w:rFonts w:cs="Times New Roman" w:hint="eastAsia"/>
                      <w:sz w:val="21"/>
                      <w:szCs w:val="21"/>
                    </w:rPr>
                    <w:t>处理；事故冲洗废水作为危险废物交有资质单位处置，不外排</w:t>
                  </w:r>
                </w:p>
              </w:tc>
              <w:tc>
                <w:tcPr>
                  <w:tcW w:w="756" w:type="pct"/>
                  <w:vAlign w:val="center"/>
                </w:tcPr>
                <w:p w14:paraId="1E2184BE" w14:textId="2AB3084F" w:rsidR="003C4F46" w:rsidRDefault="00A70388">
                  <w:pPr>
                    <w:adjustRightInd w:val="0"/>
                    <w:snapToGrid w:val="0"/>
                    <w:spacing w:line="240" w:lineRule="auto"/>
                    <w:ind w:firstLineChars="0" w:firstLine="0"/>
                    <w:contextualSpacing/>
                    <w:jc w:val="center"/>
                    <w:textAlignment w:val="auto"/>
                    <w:rPr>
                      <w:color w:val="000000"/>
                      <w:sz w:val="21"/>
                      <w:szCs w:val="21"/>
                    </w:rPr>
                  </w:pPr>
                  <w:r w:rsidRPr="00A70388">
                    <w:rPr>
                      <w:rFonts w:hint="eastAsia"/>
                      <w:color w:val="000000"/>
                      <w:sz w:val="21"/>
                      <w:szCs w:val="21"/>
                    </w:rPr>
                    <w:t>新增碱液喷淋废液</w:t>
                  </w:r>
                </w:p>
              </w:tc>
            </w:tr>
            <w:tr w:rsidR="003C4F46" w14:paraId="2FA6D9F6" w14:textId="77777777">
              <w:trPr>
                <w:trHeight w:val="93"/>
              </w:trPr>
              <w:tc>
                <w:tcPr>
                  <w:tcW w:w="394" w:type="pct"/>
                  <w:vMerge w:val="restart"/>
                  <w:vAlign w:val="center"/>
                </w:tcPr>
                <w:p w14:paraId="7D60C69E" w14:textId="77777777" w:rsidR="003C4F46" w:rsidRDefault="004B6A81">
                  <w:pPr>
                    <w:adjustRightInd w:val="0"/>
                    <w:snapToGrid w:val="0"/>
                    <w:spacing w:line="240" w:lineRule="auto"/>
                    <w:ind w:firstLineChars="0" w:firstLine="0"/>
                    <w:contextualSpacing/>
                    <w:jc w:val="center"/>
                    <w:textAlignment w:val="auto"/>
                    <w:rPr>
                      <w:rFonts w:cs="Times New Roman"/>
                      <w:color w:val="000000"/>
                      <w:sz w:val="21"/>
                      <w:szCs w:val="21"/>
                    </w:rPr>
                  </w:pPr>
                  <w:r>
                    <w:rPr>
                      <w:rFonts w:cs="Times New Roman" w:hint="eastAsia"/>
                      <w:color w:val="000000"/>
                      <w:sz w:val="21"/>
                      <w:szCs w:val="21"/>
                    </w:rPr>
                    <w:t>环保工程</w:t>
                  </w:r>
                </w:p>
              </w:tc>
              <w:tc>
                <w:tcPr>
                  <w:tcW w:w="627" w:type="pct"/>
                  <w:vMerge w:val="restart"/>
                  <w:vAlign w:val="center"/>
                </w:tcPr>
                <w:p w14:paraId="04B0A2B9"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hint="eastAsia"/>
                      <w:color w:val="000000" w:themeColor="text1"/>
                      <w:sz w:val="21"/>
                      <w:szCs w:val="21"/>
                    </w:rPr>
                    <w:t>废气治理</w:t>
                  </w:r>
                </w:p>
              </w:tc>
              <w:tc>
                <w:tcPr>
                  <w:tcW w:w="1611" w:type="pct"/>
                  <w:vAlign w:val="center"/>
                </w:tcPr>
                <w:p w14:paraId="075F487C" w14:textId="3E89F778"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bCs/>
                      <w:sz w:val="21"/>
                      <w:szCs w:val="21"/>
                    </w:rPr>
                    <w:t>危险废物采用容器密封，贮存</w:t>
                  </w:r>
                  <w:r w:rsidR="00CF46A4" w:rsidRPr="00CF46A4">
                    <w:rPr>
                      <w:rFonts w:cs="Times New Roman" w:hint="eastAsia"/>
                      <w:color w:val="000000" w:themeColor="text1"/>
                      <w:sz w:val="21"/>
                      <w:szCs w:val="21"/>
                    </w:rPr>
                    <w:t>库</w:t>
                  </w:r>
                  <w:r>
                    <w:rPr>
                      <w:rFonts w:cs="Times New Roman" w:hint="eastAsia"/>
                      <w:bCs/>
                      <w:sz w:val="21"/>
                      <w:szCs w:val="21"/>
                    </w:rPr>
                    <w:t>采用负压收集</w:t>
                  </w:r>
                  <w:r>
                    <w:rPr>
                      <w:rFonts w:cs="Times New Roman" w:hint="eastAsia"/>
                      <w:bCs/>
                      <w:sz w:val="21"/>
                      <w:szCs w:val="21"/>
                    </w:rPr>
                    <w:t>+</w:t>
                  </w:r>
                  <w:r>
                    <w:rPr>
                      <w:rFonts w:cs="Times New Roman" w:hint="eastAsia"/>
                      <w:bCs/>
                      <w:sz w:val="21"/>
                      <w:szCs w:val="21"/>
                    </w:rPr>
                    <w:t>活性炭吸附</w:t>
                  </w:r>
                  <w:r>
                    <w:rPr>
                      <w:rFonts w:cs="Times New Roman" w:hint="eastAsia"/>
                      <w:bCs/>
                      <w:sz w:val="21"/>
                      <w:szCs w:val="21"/>
                    </w:rPr>
                    <w:t>+15m</w:t>
                  </w:r>
                  <w:r>
                    <w:rPr>
                      <w:rFonts w:cs="Times New Roman" w:hint="eastAsia"/>
                      <w:bCs/>
                      <w:sz w:val="21"/>
                      <w:szCs w:val="21"/>
                    </w:rPr>
                    <w:t>排气筒</w:t>
                  </w:r>
                </w:p>
              </w:tc>
              <w:tc>
                <w:tcPr>
                  <w:tcW w:w="1612" w:type="pct"/>
                  <w:vAlign w:val="center"/>
                </w:tcPr>
                <w:p w14:paraId="6D6C7624" w14:textId="29344BDC"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sidRPr="005169AE">
                    <w:rPr>
                      <w:rFonts w:cs="Times New Roman" w:hint="eastAsia"/>
                      <w:color w:val="000000" w:themeColor="text1"/>
                      <w:sz w:val="21"/>
                      <w:szCs w:val="21"/>
                    </w:rPr>
                    <w:t>本项目危险废物采用密封容器盛装，贮存</w:t>
                  </w:r>
                  <w:r w:rsidR="005169AE" w:rsidRPr="005169AE">
                    <w:rPr>
                      <w:rFonts w:cs="Times New Roman" w:hint="eastAsia"/>
                      <w:color w:val="000000" w:themeColor="text1"/>
                      <w:sz w:val="21"/>
                      <w:szCs w:val="21"/>
                    </w:rPr>
                    <w:t>库</w:t>
                  </w:r>
                  <w:r w:rsidRPr="005169AE">
                    <w:rPr>
                      <w:rFonts w:cs="Times New Roman" w:hint="eastAsia"/>
                      <w:color w:val="000000" w:themeColor="text1"/>
                      <w:sz w:val="21"/>
                      <w:szCs w:val="21"/>
                    </w:rPr>
                    <w:t>废气经负压收集后，先经新建的碱液喷淋塔预处理去除硫酸雾，再依托轮台塔中石油化工有限公司现有二级活性炭吸附装置处理，尾气通过</w:t>
                  </w:r>
                  <w:r w:rsidRPr="005169AE">
                    <w:rPr>
                      <w:rFonts w:cs="Times New Roman" w:hint="eastAsia"/>
                      <w:color w:val="000000" w:themeColor="text1"/>
                      <w:sz w:val="21"/>
                      <w:szCs w:val="21"/>
                    </w:rPr>
                    <w:t>15m</w:t>
                  </w:r>
                  <w:r w:rsidRPr="005169AE">
                    <w:rPr>
                      <w:rFonts w:cs="Times New Roman" w:hint="eastAsia"/>
                      <w:color w:val="000000" w:themeColor="text1"/>
                      <w:sz w:val="21"/>
                      <w:szCs w:val="21"/>
                    </w:rPr>
                    <w:t>高排气筒（</w:t>
                  </w:r>
                  <w:r w:rsidRPr="005169AE">
                    <w:rPr>
                      <w:rFonts w:cs="Times New Roman" w:hint="eastAsia"/>
                      <w:color w:val="000000" w:themeColor="text1"/>
                      <w:sz w:val="21"/>
                      <w:szCs w:val="21"/>
                    </w:rPr>
                    <w:t>DA005</w:t>
                  </w:r>
                  <w:r w:rsidRPr="005169AE">
                    <w:rPr>
                      <w:rFonts w:cs="Times New Roman" w:hint="eastAsia"/>
                      <w:color w:val="000000" w:themeColor="text1"/>
                      <w:sz w:val="21"/>
                      <w:szCs w:val="21"/>
                    </w:rPr>
                    <w:t>）排放</w:t>
                  </w:r>
                </w:p>
              </w:tc>
              <w:tc>
                <w:tcPr>
                  <w:tcW w:w="756" w:type="pct"/>
                  <w:vAlign w:val="center"/>
                </w:tcPr>
                <w:p w14:paraId="74FD2CA6" w14:textId="77777777" w:rsidR="003C4F46" w:rsidRDefault="004B6A81">
                  <w:pPr>
                    <w:adjustRightInd w:val="0"/>
                    <w:snapToGrid w:val="0"/>
                    <w:spacing w:line="240" w:lineRule="auto"/>
                    <w:ind w:firstLineChars="0" w:firstLine="0"/>
                    <w:contextualSpacing/>
                    <w:textAlignment w:val="auto"/>
                    <w:rPr>
                      <w:color w:val="000000"/>
                      <w:sz w:val="21"/>
                      <w:szCs w:val="21"/>
                    </w:rPr>
                  </w:pPr>
                  <w:r>
                    <w:rPr>
                      <w:rFonts w:hint="eastAsia"/>
                      <w:color w:val="000000"/>
                      <w:sz w:val="21"/>
                      <w:szCs w:val="21"/>
                    </w:rPr>
                    <w:t>新增碱液喷淋塔（硫酸雾预处理）</w:t>
                  </w:r>
                </w:p>
              </w:tc>
            </w:tr>
            <w:tr w:rsidR="003C4F46" w14:paraId="7D7CAE55" w14:textId="77777777" w:rsidTr="00514147">
              <w:trPr>
                <w:trHeight w:val="1482"/>
              </w:trPr>
              <w:tc>
                <w:tcPr>
                  <w:tcW w:w="394" w:type="pct"/>
                  <w:vMerge/>
                  <w:vAlign w:val="center"/>
                </w:tcPr>
                <w:p w14:paraId="2F047D5F"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Merge/>
                  <w:vAlign w:val="center"/>
                </w:tcPr>
                <w:p w14:paraId="5A4A7888" w14:textId="77777777" w:rsidR="003C4F46" w:rsidRDefault="003C4F46">
                  <w:pPr>
                    <w:adjustRightInd w:val="0"/>
                    <w:snapToGrid w:val="0"/>
                    <w:spacing w:line="240" w:lineRule="auto"/>
                    <w:ind w:firstLineChars="0" w:firstLine="0"/>
                    <w:contextualSpacing/>
                    <w:jc w:val="center"/>
                    <w:textAlignment w:val="auto"/>
                    <w:rPr>
                      <w:rFonts w:cs="Times New Roman"/>
                      <w:color w:val="000000" w:themeColor="text1"/>
                      <w:sz w:val="21"/>
                      <w:szCs w:val="21"/>
                    </w:rPr>
                  </w:pPr>
                </w:p>
              </w:tc>
              <w:tc>
                <w:tcPr>
                  <w:tcW w:w="1611" w:type="pct"/>
                  <w:vAlign w:val="center"/>
                </w:tcPr>
                <w:p w14:paraId="75FEDD22"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hint="eastAsia"/>
                      <w:color w:val="000000" w:themeColor="text1"/>
                      <w:sz w:val="21"/>
                      <w:szCs w:val="21"/>
                    </w:rPr>
                    <w:t>/</w:t>
                  </w:r>
                </w:p>
              </w:tc>
              <w:tc>
                <w:tcPr>
                  <w:tcW w:w="1612" w:type="pct"/>
                  <w:vAlign w:val="center"/>
                </w:tcPr>
                <w:p w14:paraId="4D76587D"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color w:val="000000" w:themeColor="text1"/>
                      <w:sz w:val="21"/>
                      <w:szCs w:val="21"/>
                    </w:rPr>
                    <w:t>为降低罐内温差变化，储罐外壁涂刷白色防腐涂料。同时，为减少油气排放，储罐设置呼吸阀挡板，采用气相连通系统，并采取浸没式装车和密闭装车方式</w:t>
                  </w:r>
                </w:p>
              </w:tc>
              <w:tc>
                <w:tcPr>
                  <w:tcW w:w="756" w:type="pct"/>
                  <w:vAlign w:val="center"/>
                </w:tcPr>
                <w:p w14:paraId="502D860E" w14:textId="77777777" w:rsidR="003C4F46" w:rsidRDefault="004B6A81">
                  <w:pPr>
                    <w:adjustRightInd w:val="0"/>
                    <w:snapToGrid w:val="0"/>
                    <w:spacing w:line="240" w:lineRule="auto"/>
                    <w:ind w:firstLineChars="0" w:firstLine="0"/>
                    <w:contextualSpacing/>
                    <w:jc w:val="center"/>
                    <w:textAlignment w:val="auto"/>
                    <w:rPr>
                      <w:color w:val="000000"/>
                      <w:sz w:val="21"/>
                      <w:szCs w:val="21"/>
                    </w:rPr>
                  </w:pPr>
                  <w:r>
                    <w:rPr>
                      <w:rFonts w:hint="eastAsia"/>
                      <w:color w:val="000000"/>
                      <w:sz w:val="21"/>
                      <w:szCs w:val="21"/>
                    </w:rPr>
                    <w:t>储罐已建设</w:t>
                  </w:r>
                </w:p>
              </w:tc>
            </w:tr>
            <w:tr w:rsidR="003C4F46" w14:paraId="3D038268" w14:textId="77777777">
              <w:trPr>
                <w:trHeight w:val="340"/>
              </w:trPr>
              <w:tc>
                <w:tcPr>
                  <w:tcW w:w="394" w:type="pct"/>
                  <w:vMerge/>
                  <w:vAlign w:val="center"/>
                </w:tcPr>
                <w:p w14:paraId="3338FE9F"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2C8CEA76"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hint="eastAsia"/>
                      <w:color w:val="000000" w:themeColor="text1"/>
                      <w:sz w:val="21"/>
                      <w:szCs w:val="21"/>
                    </w:rPr>
                    <w:t>废水治理</w:t>
                  </w:r>
                </w:p>
              </w:tc>
              <w:tc>
                <w:tcPr>
                  <w:tcW w:w="1611" w:type="pct"/>
                  <w:vAlign w:val="center"/>
                </w:tcPr>
                <w:p w14:paraId="350B7C65" w14:textId="3BB7AD6A" w:rsidR="003C4F46" w:rsidRDefault="004B6A81">
                  <w:pPr>
                    <w:adjustRightInd w:val="0"/>
                    <w:snapToGrid w:val="0"/>
                    <w:spacing w:line="240" w:lineRule="auto"/>
                    <w:ind w:firstLineChars="0" w:firstLine="0"/>
                    <w:contextualSpacing/>
                    <w:textAlignment w:val="auto"/>
                  </w:pPr>
                  <w:r>
                    <w:rPr>
                      <w:rFonts w:cs="Times New Roman"/>
                      <w:sz w:val="21"/>
                      <w:szCs w:val="21"/>
                    </w:rPr>
                    <w:t>本项目</w:t>
                  </w:r>
                  <w:r>
                    <w:rPr>
                      <w:rFonts w:cs="Times New Roman" w:hint="eastAsia"/>
                      <w:sz w:val="21"/>
                      <w:szCs w:val="21"/>
                    </w:rPr>
                    <w:t>无</w:t>
                  </w:r>
                  <w:r>
                    <w:rPr>
                      <w:rFonts w:cs="Times New Roman"/>
                      <w:sz w:val="21"/>
                      <w:szCs w:val="21"/>
                    </w:rPr>
                    <w:t>生产废水</w:t>
                  </w:r>
                  <w:r>
                    <w:rPr>
                      <w:rFonts w:cs="Times New Roman" w:hint="eastAsia"/>
                      <w:sz w:val="21"/>
                      <w:szCs w:val="21"/>
                    </w:rPr>
                    <w:t>，生活污水排入园区管网由园区污水处理</w:t>
                  </w:r>
                  <w:r w:rsidR="008806ED">
                    <w:rPr>
                      <w:rFonts w:cs="Times New Roman" w:hint="eastAsia"/>
                      <w:sz w:val="21"/>
                      <w:szCs w:val="21"/>
                    </w:rPr>
                    <w:t>厂</w:t>
                  </w:r>
                  <w:r>
                    <w:rPr>
                      <w:rFonts w:cs="Times New Roman" w:hint="eastAsia"/>
                      <w:sz w:val="21"/>
                      <w:szCs w:val="21"/>
                    </w:rPr>
                    <w:t>处理，</w:t>
                  </w:r>
                  <w:r>
                    <w:rPr>
                      <w:rFonts w:cs="Times New Roman"/>
                      <w:sz w:val="21"/>
                      <w:szCs w:val="21"/>
                    </w:rPr>
                    <w:t>事故状态下的冲洗废水作危废交有资质单位处置，不外排</w:t>
                  </w:r>
                </w:p>
              </w:tc>
              <w:tc>
                <w:tcPr>
                  <w:tcW w:w="1612" w:type="pct"/>
                  <w:vAlign w:val="center"/>
                </w:tcPr>
                <w:p w14:paraId="14B00C21" w14:textId="1300050C" w:rsidR="003C4F46" w:rsidRDefault="005A20AE">
                  <w:pPr>
                    <w:adjustRightInd w:val="0"/>
                    <w:snapToGrid w:val="0"/>
                    <w:spacing w:line="240" w:lineRule="auto"/>
                    <w:ind w:firstLineChars="0" w:firstLine="0"/>
                    <w:contextualSpacing/>
                    <w:textAlignment w:val="auto"/>
                    <w:rPr>
                      <w:rFonts w:cs="Times New Roman"/>
                      <w:color w:val="000000" w:themeColor="text1"/>
                      <w:sz w:val="21"/>
                      <w:szCs w:val="21"/>
                    </w:rPr>
                  </w:pPr>
                  <w:r w:rsidRPr="00A70388">
                    <w:rPr>
                      <w:rFonts w:cs="Times New Roman" w:hint="eastAsia"/>
                      <w:sz w:val="21"/>
                      <w:szCs w:val="21"/>
                    </w:rPr>
                    <w:t>碱液喷淋塔中的喷淋废液经中和后循环使用，反应饱和后定期排放至厂区</w:t>
                  </w:r>
                  <w:r>
                    <w:rPr>
                      <w:rFonts w:cs="Times New Roman" w:hint="eastAsia"/>
                      <w:sz w:val="21"/>
                      <w:szCs w:val="21"/>
                    </w:rPr>
                    <w:t>现有</w:t>
                  </w:r>
                  <w:r w:rsidRPr="00A70388">
                    <w:rPr>
                      <w:rFonts w:cs="Times New Roman" w:hint="eastAsia"/>
                      <w:sz w:val="21"/>
                      <w:szCs w:val="21"/>
                    </w:rPr>
                    <w:t>污水处理站处理，达标后排入</w:t>
                  </w:r>
                  <w:r w:rsidR="00C2139A" w:rsidRPr="00C2139A">
                    <w:rPr>
                      <w:rFonts w:cs="Times New Roman" w:hint="eastAsia"/>
                      <w:sz w:val="21"/>
                      <w:szCs w:val="21"/>
                    </w:rPr>
                    <w:t>轮台县拉依苏化工区污水处理厂</w:t>
                  </w:r>
                  <w:r w:rsidR="006E4994">
                    <w:rPr>
                      <w:rFonts w:cs="Times New Roman" w:hint="eastAsia"/>
                      <w:sz w:val="21"/>
                      <w:szCs w:val="21"/>
                    </w:rPr>
                    <w:t>（</w:t>
                  </w:r>
                  <w:r w:rsidR="006E4994" w:rsidRPr="006E4994">
                    <w:rPr>
                      <w:rFonts w:cs="Times New Roman" w:hint="eastAsia"/>
                      <w:sz w:val="21"/>
                      <w:szCs w:val="21"/>
                    </w:rPr>
                    <w:t>轮台县长瑞鑫水务有限公司</w:t>
                  </w:r>
                  <w:r w:rsidR="006E4994">
                    <w:rPr>
                      <w:rFonts w:cs="Times New Roman" w:hint="eastAsia"/>
                      <w:sz w:val="21"/>
                      <w:szCs w:val="21"/>
                    </w:rPr>
                    <w:t>）</w:t>
                  </w:r>
                  <w:r w:rsidRPr="00A70388">
                    <w:rPr>
                      <w:rFonts w:cs="Times New Roman" w:hint="eastAsia"/>
                      <w:sz w:val="21"/>
                      <w:szCs w:val="21"/>
                    </w:rPr>
                    <w:t>进一步处理；生活污水排入园区管网，由园区污水处理</w:t>
                  </w:r>
                  <w:r w:rsidR="008806ED">
                    <w:rPr>
                      <w:rFonts w:cs="Times New Roman" w:hint="eastAsia"/>
                      <w:sz w:val="21"/>
                      <w:szCs w:val="21"/>
                    </w:rPr>
                    <w:t>厂</w:t>
                  </w:r>
                  <w:r w:rsidRPr="00A70388">
                    <w:rPr>
                      <w:rFonts w:cs="Times New Roman" w:hint="eastAsia"/>
                      <w:sz w:val="21"/>
                      <w:szCs w:val="21"/>
                    </w:rPr>
                    <w:t>处理；事故冲洗废水作为危险废物交有资质单位处置，不外排</w:t>
                  </w:r>
                </w:p>
              </w:tc>
              <w:tc>
                <w:tcPr>
                  <w:tcW w:w="756" w:type="pct"/>
                  <w:vAlign w:val="center"/>
                </w:tcPr>
                <w:p w14:paraId="40CE14DF" w14:textId="6EA61C46" w:rsidR="003C4F46" w:rsidRDefault="005A20AE">
                  <w:pPr>
                    <w:adjustRightInd w:val="0"/>
                    <w:snapToGrid w:val="0"/>
                    <w:spacing w:line="240" w:lineRule="auto"/>
                    <w:ind w:firstLineChars="0" w:firstLine="0"/>
                    <w:contextualSpacing/>
                    <w:jc w:val="center"/>
                    <w:textAlignment w:val="auto"/>
                    <w:rPr>
                      <w:rFonts w:cs="Times New Roman"/>
                      <w:color w:val="000000" w:themeColor="text1"/>
                      <w:kern w:val="0"/>
                      <w:sz w:val="21"/>
                      <w:szCs w:val="21"/>
                    </w:rPr>
                  </w:pPr>
                  <w:r w:rsidRPr="00A70388">
                    <w:rPr>
                      <w:rFonts w:hint="eastAsia"/>
                      <w:color w:val="000000"/>
                      <w:sz w:val="21"/>
                      <w:szCs w:val="21"/>
                    </w:rPr>
                    <w:t>新增碱液喷淋废液</w:t>
                  </w:r>
                </w:p>
              </w:tc>
            </w:tr>
            <w:tr w:rsidR="003C4F46" w14:paraId="78A5F840" w14:textId="77777777">
              <w:trPr>
                <w:trHeight w:val="340"/>
              </w:trPr>
              <w:tc>
                <w:tcPr>
                  <w:tcW w:w="394" w:type="pct"/>
                  <w:vMerge/>
                  <w:vAlign w:val="center"/>
                </w:tcPr>
                <w:p w14:paraId="4AAEAFFD"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Align w:val="center"/>
                </w:tcPr>
                <w:p w14:paraId="2AA25F71"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噪声治理</w:t>
                  </w:r>
                </w:p>
              </w:tc>
              <w:tc>
                <w:tcPr>
                  <w:tcW w:w="1611" w:type="pct"/>
                  <w:vAlign w:val="center"/>
                </w:tcPr>
                <w:p w14:paraId="3234466C"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color w:val="000000" w:themeColor="text1"/>
                      <w:sz w:val="21"/>
                      <w:szCs w:val="21"/>
                    </w:rPr>
                    <w:t>设备噪声主要采用隔音、减振、合理布局等降噪措施</w:t>
                  </w:r>
                </w:p>
              </w:tc>
              <w:tc>
                <w:tcPr>
                  <w:tcW w:w="1612" w:type="pct"/>
                  <w:vAlign w:val="center"/>
                </w:tcPr>
                <w:p w14:paraId="1A7E64F2"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color w:val="000000" w:themeColor="text1"/>
                      <w:sz w:val="21"/>
                      <w:szCs w:val="21"/>
                    </w:rPr>
                    <w:t>设备噪声主要采用隔音、减振、合理布局等降噪措施</w:t>
                  </w:r>
                </w:p>
              </w:tc>
              <w:tc>
                <w:tcPr>
                  <w:tcW w:w="756" w:type="pct"/>
                  <w:vAlign w:val="center"/>
                </w:tcPr>
                <w:p w14:paraId="7DF344DE"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hint="eastAsia"/>
                      <w:color w:val="000000"/>
                      <w:sz w:val="21"/>
                      <w:szCs w:val="21"/>
                    </w:rPr>
                    <w:t>未发生变化</w:t>
                  </w:r>
                </w:p>
              </w:tc>
            </w:tr>
            <w:tr w:rsidR="003C4F46" w14:paraId="45DC8E93" w14:textId="77777777">
              <w:trPr>
                <w:trHeight w:val="187"/>
              </w:trPr>
              <w:tc>
                <w:tcPr>
                  <w:tcW w:w="394" w:type="pct"/>
                  <w:vMerge/>
                  <w:vAlign w:val="center"/>
                </w:tcPr>
                <w:p w14:paraId="123195FB"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Merge w:val="restart"/>
                  <w:vAlign w:val="center"/>
                </w:tcPr>
                <w:p w14:paraId="135372DC"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hint="eastAsia"/>
                      <w:color w:val="000000" w:themeColor="text1"/>
                      <w:sz w:val="21"/>
                      <w:szCs w:val="21"/>
                    </w:rPr>
                    <w:t>固体废物治理</w:t>
                  </w:r>
                </w:p>
              </w:tc>
              <w:tc>
                <w:tcPr>
                  <w:tcW w:w="1611" w:type="pct"/>
                  <w:vAlign w:val="center"/>
                </w:tcPr>
                <w:p w14:paraId="036A3000" w14:textId="77777777" w:rsidR="003C4F46" w:rsidRDefault="004B6A81">
                  <w:pPr>
                    <w:adjustRightInd w:val="0"/>
                    <w:snapToGrid w:val="0"/>
                    <w:spacing w:line="240" w:lineRule="auto"/>
                    <w:ind w:firstLineChars="0" w:firstLine="0"/>
                    <w:contextualSpacing/>
                    <w:textAlignment w:val="auto"/>
                    <w:rPr>
                      <w:rFonts w:cs="Times New Roman"/>
                      <w:kern w:val="0"/>
                      <w:sz w:val="21"/>
                      <w:szCs w:val="21"/>
                    </w:rPr>
                  </w:pPr>
                  <w:r>
                    <w:rPr>
                      <w:rFonts w:cs="Times New Roman"/>
                      <w:kern w:val="0"/>
                      <w:sz w:val="21"/>
                      <w:szCs w:val="21"/>
                    </w:rPr>
                    <w:t>生活垃圾经垃圾桶收集后由当地环卫部门定期清运</w:t>
                  </w:r>
                </w:p>
              </w:tc>
              <w:tc>
                <w:tcPr>
                  <w:tcW w:w="1612" w:type="pct"/>
                  <w:vAlign w:val="center"/>
                </w:tcPr>
                <w:p w14:paraId="1BC02DD2"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kern w:val="0"/>
                      <w:sz w:val="21"/>
                      <w:szCs w:val="21"/>
                    </w:rPr>
                    <w:t>生活垃圾经垃圾桶收集后由当地环卫部门定期清运</w:t>
                  </w:r>
                </w:p>
              </w:tc>
              <w:tc>
                <w:tcPr>
                  <w:tcW w:w="756" w:type="pct"/>
                  <w:vAlign w:val="center"/>
                </w:tcPr>
                <w:p w14:paraId="36AA7F25"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hint="eastAsia"/>
                      <w:color w:val="000000"/>
                      <w:sz w:val="21"/>
                      <w:szCs w:val="21"/>
                    </w:rPr>
                    <w:t>未发生变化</w:t>
                  </w:r>
                </w:p>
              </w:tc>
            </w:tr>
            <w:tr w:rsidR="003C4F46" w14:paraId="3D4DE467" w14:textId="77777777">
              <w:trPr>
                <w:trHeight w:val="83"/>
              </w:trPr>
              <w:tc>
                <w:tcPr>
                  <w:tcW w:w="394" w:type="pct"/>
                  <w:vMerge/>
                  <w:vAlign w:val="center"/>
                </w:tcPr>
                <w:p w14:paraId="395678F7" w14:textId="77777777" w:rsidR="003C4F46" w:rsidRDefault="003C4F46">
                  <w:pPr>
                    <w:adjustRightInd w:val="0"/>
                    <w:snapToGrid w:val="0"/>
                    <w:spacing w:line="240" w:lineRule="auto"/>
                    <w:ind w:firstLineChars="0" w:firstLine="0"/>
                    <w:contextualSpacing/>
                    <w:jc w:val="center"/>
                    <w:textAlignment w:val="auto"/>
                    <w:rPr>
                      <w:rFonts w:cs="Times New Roman"/>
                      <w:color w:val="000000"/>
                      <w:sz w:val="21"/>
                      <w:szCs w:val="21"/>
                    </w:rPr>
                  </w:pPr>
                </w:p>
              </w:tc>
              <w:tc>
                <w:tcPr>
                  <w:tcW w:w="627" w:type="pct"/>
                  <w:vMerge/>
                  <w:vAlign w:val="center"/>
                </w:tcPr>
                <w:p w14:paraId="456B7439" w14:textId="77777777" w:rsidR="003C4F46" w:rsidRDefault="003C4F46">
                  <w:pPr>
                    <w:adjustRightInd w:val="0"/>
                    <w:snapToGrid w:val="0"/>
                    <w:spacing w:line="240" w:lineRule="auto"/>
                    <w:ind w:firstLineChars="0" w:firstLine="0"/>
                    <w:contextualSpacing/>
                    <w:jc w:val="center"/>
                    <w:textAlignment w:val="auto"/>
                    <w:rPr>
                      <w:rFonts w:cs="Times New Roman"/>
                      <w:color w:val="000000" w:themeColor="text1"/>
                      <w:sz w:val="21"/>
                      <w:szCs w:val="21"/>
                    </w:rPr>
                  </w:pPr>
                </w:p>
              </w:tc>
              <w:tc>
                <w:tcPr>
                  <w:tcW w:w="1611" w:type="pct"/>
                  <w:vAlign w:val="center"/>
                </w:tcPr>
                <w:p w14:paraId="4656760A"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color w:val="000000" w:themeColor="text1"/>
                      <w:sz w:val="21"/>
                      <w:szCs w:val="21"/>
                    </w:rPr>
                    <w:t>项目产生的危险废物，与本项目其他危废一同暂时贮存、委托处置</w:t>
                  </w:r>
                </w:p>
              </w:tc>
              <w:tc>
                <w:tcPr>
                  <w:tcW w:w="1612" w:type="pct"/>
                  <w:vAlign w:val="center"/>
                </w:tcPr>
                <w:p w14:paraId="7DFB3479"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color w:val="000000" w:themeColor="text1"/>
                      <w:sz w:val="21"/>
                      <w:szCs w:val="21"/>
                    </w:rPr>
                    <w:t>项目产生的危险废物，与本项目其他危废一同暂时贮存、委托处置</w:t>
                  </w:r>
                </w:p>
              </w:tc>
              <w:tc>
                <w:tcPr>
                  <w:tcW w:w="756" w:type="pct"/>
                  <w:vAlign w:val="center"/>
                </w:tcPr>
                <w:p w14:paraId="2918F3CE"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hint="eastAsia"/>
                      <w:color w:val="000000"/>
                      <w:sz w:val="21"/>
                      <w:szCs w:val="21"/>
                    </w:rPr>
                    <w:t>未发生变化</w:t>
                  </w:r>
                </w:p>
              </w:tc>
            </w:tr>
            <w:tr w:rsidR="003C4F46" w14:paraId="26514B7F" w14:textId="77777777" w:rsidTr="007A00B6">
              <w:trPr>
                <w:trHeight w:val="249"/>
              </w:trPr>
              <w:tc>
                <w:tcPr>
                  <w:tcW w:w="1021" w:type="pct"/>
                  <w:gridSpan w:val="2"/>
                  <w:vAlign w:val="center"/>
                </w:tcPr>
                <w:p w14:paraId="70401097"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hint="eastAsia"/>
                      <w:color w:val="000000" w:themeColor="text1"/>
                      <w:sz w:val="21"/>
                      <w:szCs w:val="21"/>
                    </w:rPr>
                    <w:t>环境风险防治</w:t>
                  </w:r>
                </w:p>
              </w:tc>
              <w:tc>
                <w:tcPr>
                  <w:tcW w:w="3223" w:type="pct"/>
                  <w:gridSpan w:val="2"/>
                  <w:vAlign w:val="center"/>
                </w:tcPr>
                <w:p w14:paraId="64C97481" w14:textId="73BE00D7" w:rsidR="003C4F46" w:rsidRPr="009C50D2" w:rsidRDefault="009C50D2">
                  <w:pPr>
                    <w:adjustRightInd w:val="0"/>
                    <w:snapToGrid w:val="0"/>
                    <w:spacing w:line="240" w:lineRule="auto"/>
                    <w:ind w:firstLineChars="0" w:firstLine="0"/>
                    <w:contextualSpacing/>
                    <w:textAlignment w:val="auto"/>
                    <w:rPr>
                      <w:rFonts w:cs="Times New Roman"/>
                      <w:kern w:val="0"/>
                      <w:sz w:val="21"/>
                      <w:szCs w:val="21"/>
                    </w:rPr>
                  </w:pPr>
                  <w:r w:rsidRPr="009C50D2">
                    <w:rPr>
                      <w:rFonts w:cs="Times New Roman" w:hint="eastAsia"/>
                      <w:kern w:val="0"/>
                      <w:sz w:val="21"/>
                      <w:szCs w:val="21"/>
                    </w:rPr>
                    <w:t>1#</w:t>
                  </w:r>
                  <w:r w:rsidRPr="009C50D2">
                    <w:rPr>
                      <w:rFonts w:cs="Times New Roman" w:hint="eastAsia"/>
                      <w:kern w:val="0"/>
                      <w:sz w:val="21"/>
                      <w:szCs w:val="21"/>
                    </w:rPr>
                    <w:t>贮存库内按危废类别分区设置导流槽，连接至收集池</w:t>
                  </w:r>
                  <w:r>
                    <w:rPr>
                      <w:rFonts w:cs="Times New Roman" w:hint="eastAsia"/>
                      <w:kern w:val="0"/>
                      <w:sz w:val="21"/>
                      <w:szCs w:val="21"/>
                    </w:rPr>
                    <w:t>；</w:t>
                  </w:r>
                  <w:r w:rsidRPr="009C50D2">
                    <w:rPr>
                      <w:rFonts w:cs="Times New Roman" w:hint="eastAsia"/>
                      <w:kern w:val="0"/>
                      <w:sz w:val="21"/>
                      <w:szCs w:val="21"/>
                    </w:rPr>
                    <w:t>储罐区设置围堰（防火堤），围堰有效容积为</w:t>
                  </w:r>
                  <w:r w:rsidRPr="009C50D2">
                    <w:rPr>
                      <w:rFonts w:cs="Times New Roman" w:hint="eastAsia"/>
                      <w:kern w:val="0"/>
                      <w:sz w:val="21"/>
                      <w:szCs w:val="21"/>
                    </w:rPr>
                    <w:t>2203.2m</w:t>
                  </w:r>
                  <w:r w:rsidRPr="009C50D2">
                    <w:rPr>
                      <w:rFonts w:cs="Times New Roman" w:hint="eastAsia"/>
                      <w:kern w:val="0"/>
                      <w:sz w:val="21"/>
                      <w:szCs w:val="21"/>
                    </w:rPr>
                    <w:t>³，大于最大单罐容积（</w:t>
                  </w:r>
                  <w:r w:rsidRPr="009C50D2">
                    <w:rPr>
                      <w:rFonts w:cs="Times New Roman" w:hint="eastAsia"/>
                      <w:kern w:val="0"/>
                      <w:sz w:val="21"/>
                      <w:szCs w:val="21"/>
                    </w:rPr>
                    <w:t>600m</w:t>
                  </w:r>
                  <w:r w:rsidRPr="009C50D2">
                    <w:rPr>
                      <w:rFonts w:cs="Times New Roman" w:hint="eastAsia"/>
                      <w:kern w:val="0"/>
                      <w:sz w:val="21"/>
                      <w:szCs w:val="21"/>
                    </w:rPr>
                    <w:t>³）；围堰内设导流槽，与厂区现有</w:t>
                  </w:r>
                  <w:r w:rsidRPr="009C50D2">
                    <w:rPr>
                      <w:rFonts w:cs="Times New Roman" w:hint="eastAsia"/>
                      <w:kern w:val="0"/>
                      <w:sz w:val="21"/>
                      <w:szCs w:val="21"/>
                    </w:rPr>
                    <w:t>800m</w:t>
                  </w:r>
                  <w:r w:rsidRPr="009C50D2">
                    <w:rPr>
                      <w:rFonts w:cs="Times New Roman" w:hint="eastAsia"/>
                      <w:kern w:val="0"/>
                      <w:sz w:val="21"/>
                      <w:szCs w:val="21"/>
                    </w:rPr>
                    <w:t>³事故池相连，泄漏物料经导流槽收集后进入事故池暂存</w:t>
                  </w:r>
                </w:p>
              </w:tc>
              <w:tc>
                <w:tcPr>
                  <w:tcW w:w="756" w:type="pct"/>
                  <w:vAlign w:val="center"/>
                </w:tcPr>
                <w:p w14:paraId="1F875840"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hint="eastAsia"/>
                      <w:color w:val="000000"/>
                      <w:sz w:val="21"/>
                      <w:szCs w:val="21"/>
                    </w:rPr>
                    <w:t>未发生变化</w:t>
                  </w:r>
                </w:p>
              </w:tc>
            </w:tr>
            <w:tr w:rsidR="003C4F46" w14:paraId="46470CB9" w14:textId="77777777" w:rsidTr="00474CA7">
              <w:trPr>
                <w:trHeight w:val="668"/>
              </w:trPr>
              <w:tc>
                <w:tcPr>
                  <w:tcW w:w="1021" w:type="pct"/>
                  <w:gridSpan w:val="2"/>
                  <w:vAlign w:val="center"/>
                </w:tcPr>
                <w:p w14:paraId="17C9FC1D"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分区防渗措施</w:t>
                  </w:r>
                </w:p>
              </w:tc>
              <w:tc>
                <w:tcPr>
                  <w:tcW w:w="3223" w:type="pct"/>
                  <w:gridSpan w:val="2"/>
                  <w:vAlign w:val="center"/>
                </w:tcPr>
                <w:p w14:paraId="3AD9A81F" w14:textId="44C86496" w:rsidR="003C4F46" w:rsidRDefault="004B6A81">
                  <w:pPr>
                    <w:adjustRightInd w:val="0"/>
                    <w:snapToGrid w:val="0"/>
                    <w:spacing w:line="240" w:lineRule="auto"/>
                    <w:ind w:firstLineChars="0" w:firstLine="0"/>
                    <w:contextualSpacing/>
                    <w:textAlignment w:val="auto"/>
                    <w:rPr>
                      <w:rFonts w:cs="Times New Roman"/>
                      <w:kern w:val="0"/>
                      <w:sz w:val="21"/>
                      <w:szCs w:val="21"/>
                    </w:rPr>
                  </w:pPr>
                  <w:r>
                    <w:rPr>
                      <w:rFonts w:cs="Times New Roman"/>
                      <w:kern w:val="0"/>
                      <w:sz w:val="21"/>
                      <w:szCs w:val="21"/>
                    </w:rPr>
                    <w:t>贮存</w:t>
                  </w:r>
                  <w:r w:rsidR="00CF46A4" w:rsidRPr="00CF46A4">
                    <w:rPr>
                      <w:rFonts w:cs="Times New Roman" w:hint="eastAsia"/>
                      <w:color w:val="000000" w:themeColor="text1"/>
                      <w:sz w:val="21"/>
                      <w:szCs w:val="21"/>
                    </w:rPr>
                    <w:t>库</w:t>
                  </w:r>
                  <w:r>
                    <w:rPr>
                      <w:rFonts w:cs="Times New Roman"/>
                      <w:kern w:val="0"/>
                      <w:sz w:val="21"/>
                      <w:szCs w:val="21"/>
                    </w:rPr>
                    <w:t>、储罐区进行重点防渗：底层为</w:t>
                  </w:r>
                  <w:r>
                    <w:rPr>
                      <w:rFonts w:cs="Times New Roman"/>
                      <w:kern w:val="0"/>
                      <w:sz w:val="21"/>
                      <w:szCs w:val="21"/>
                    </w:rPr>
                    <w:t>20cm</w:t>
                  </w:r>
                  <w:r>
                    <w:rPr>
                      <w:rFonts w:cs="Times New Roman"/>
                      <w:kern w:val="0"/>
                      <w:sz w:val="21"/>
                      <w:szCs w:val="21"/>
                    </w:rPr>
                    <w:t>厚的混凝土，上层为</w:t>
                  </w:r>
                  <w:r>
                    <w:rPr>
                      <w:rFonts w:cs="Times New Roman"/>
                      <w:kern w:val="0"/>
                      <w:sz w:val="21"/>
                      <w:szCs w:val="21"/>
                    </w:rPr>
                    <w:t>2mm</w:t>
                  </w:r>
                  <w:r>
                    <w:rPr>
                      <w:rFonts w:cs="Times New Roman"/>
                      <w:kern w:val="0"/>
                      <w:sz w:val="21"/>
                      <w:szCs w:val="21"/>
                    </w:rPr>
                    <w:t>厚环氧树脂地坪，场地渗透系数</w:t>
                  </w:r>
                  <w:r>
                    <w:rPr>
                      <w:rFonts w:cs="Times New Roman"/>
                      <w:kern w:val="0"/>
                      <w:sz w:val="21"/>
                      <w:szCs w:val="21"/>
                    </w:rPr>
                    <w:t>≤10</w:t>
                  </w:r>
                  <w:r>
                    <w:rPr>
                      <w:rFonts w:cs="Times New Roman"/>
                      <w:kern w:val="0"/>
                      <w:sz w:val="21"/>
                      <w:szCs w:val="21"/>
                      <w:vertAlign w:val="superscript"/>
                    </w:rPr>
                    <w:t>-10</w:t>
                  </w:r>
                  <w:r>
                    <w:rPr>
                      <w:rFonts w:cs="Times New Roman"/>
                      <w:kern w:val="0"/>
                      <w:sz w:val="21"/>
                      <w:szCs w:val="21"/>
                    </w:rPr>
                    <w:t>cm/s</w:t>
                  </w:r>
                </w:p>
              </w:tc>
              <w:tc>
                <w:tcPr>
                  <w:tcW w:w="756" w:type="pct"/>
                  <w:vAlign w:val="center"/>
                </w:tcPr>
                <w:p w14:paraId="4B1380F5" w14:textId="77777777" w:rsidR="003C4F46" w:rsidRDefault="004B6A81">
                  <w:pPr>
                    <w:adjustRightInd w:val="0"/>
                    <w:snapToGrid w:val="0"/>
                    <w:spacing w:line="240" w:lineRule="auto"/>
                    <w:ind w:firstLineChars="0" w:firstLine="0"/>
                    <w:contextualSpacing/>
                    <w:textAlignment w:val="auto"/>
                    <w:rPr>
                      <w:color w:val="000000"/>
                      <w:sz w:val="21"/>
                      <w:szCs w:val="21"/>
                    </w:rPr>
                  </w:pPr>
                  <w:r>
                    <w:rPr>
                      <w:color w:val="000000"/>
                      <w:sz w:val="21"/>
                      <w:szCs w:val="21"/>
                    </w:rPr>
                    <w:t>贮存库及储罐区均已做防渗处理</w:t>
                  </w:r>
                </w:p>
              </w:tc>
            </w:tr>
          </w:tbl>
          <w:p w14:paraId="2EBFE741" w14:textId="77777777" w:rsidR="003C4F46" w:rsidRDefault="004B6A81">
            <w:pPr>
              <w:pStyle w:val="2"/>
              <w:rPr>
                <w:color w:val="000000" w:themeColor="text1"/>
              </w:rPr>
            </w:pPr>
            <w:bookmarkStart w:id="14" w:name="_Hlk238039575"/>
            <w:bookmarkEnd w:id="13"/>
            <w:r>
              <w:rPr>
                <w:color w:val="000000" w:themeColor="text1"/>
              </w:rPr>
              <w:lastRenderedPageBreak/>
              <w:t>2.4</w:t>
            </w:r>
            <w:r>
              <w:rPr>
                <w:rFonts w:hint="eastAsia"/>
                <w:color w:val="000000" w:themeColor="text1"/>
              </w:rPr>
              <w:t>危险废物贮存类别及规模</w:t>
            </w:r>
          </w:p>
          <w:p w14:paraId="13177E7C" w14:textId="77777777" w:rsidR="003C4F46" w:rsidRDefault="004B6A81">
            <w:pPr>
              <w:ind w:firstLine="480"/>
              <w:rPr>
                <w:rFonts w:cs="Times New Roman"/>
                <w:bCs/>
                <w:szCs w:val="24"/>
              </w:rPr>
            </w:pPr>
            <w:r>
              <w:rPr>
                <w:rFonts w:cs="Times New Roman" w:hint="eastAsia"/>
              </w:rPr>
              <w:t>根据《国家危险废物名录（</w:t>
            </w:r>
            <w:r>
              <w:rPr>
                <w:rFonts w:cs="Times New Roman" w:hint="eastAsia"/>
              </w:rPr>
              <w:t>202</w:t>
            </w:r>
            <w:r>
              <w:rPr>
                <w:rFonts w:cs="Times New Roman"/>
              </w:rPr>
              <w:t>5</w:t>
            </w:r>
            <w:r>
              <w:rPr>
                <w:rFonts w:cs="Times New Roman" w:hint="eastAsia"/>
              </w:rPr>
              <w:t>年版）》，本项目危险废物收集和贮存的类别及规模见下表</w:t>
            </w:r>
            <w:r>
              <w:rPr>
                <w:rFonts w:cs="Times New Roman" w:hint="eastAsia"/>
              </w:rPr>
              <w:t>2-</w:t>
            </w:r>
            <w:r>
              <w:rPr>
                <w:rFonts w:cs="Times New Roman"/>
              </w:rPr>
              <w:t>4</w:t>
            </w:r>
            <w:r>
              <w:rPr>
                <w:rFonts w:cs="Times New Roman"/>
                <w:bCs/>
                <w:szCs w:val="24"/>
              </w:rPr>
              <w:t>。</w:t>
            </w:r>
          </w:p>
          <w:p w14:paraId="075C14AC" w14:textId="77777777" w:rsidR="003C4F46" w:rsidRDefault="004B6A81">
            <w:pPr>
              <w:keepNext/>
              <w:adjustRightInd w:val="0"/>
              <w:snapToGrid w:val="0"/>
              <w:spacing w:beforeLines="50" w:before="163" w:line="240" w:lineRule="auto"/>
              <w:ind w:firstLine="422"/>
              <w:jc w:val="center"/>
              <w:rPr>
                <w:rFonts w:cs="Times New Roman"/>
                <w:b/>
                <w:sz w:val="21"/>
              </w:rPr>
            </w:pPr>
            <w:r>
              <w:rPr>
                <w:rFonts w:cs="Times New Roman"/>
                <w:b/>
                <w:sz w:val="21"/>
              </w:rPr>
              <w:t>表</w:t>
            </w:r>
            <w:r>
              <w:rPr>
                <w:rFonts w:cs="Times New Roman" w:hint="eastAsia"/>
                <w:b/>
                <w:sz w:val="21"/>
              </w:rPr>
              <w:t>2-</w:t>
            </w:r>
            <w:r>
              <w:rPr>
                <w:rFonts w:cs="Times New Roman"/>
                <w:b/>
                <w:sz w:val="21"/>
              </w:rPr>
              <w:t xml:space="preserve">4  </w:t>
            </w:r>
            <w:r>
              <w:rPr>
                <w:rFonts w:cs="Times New Roman" w:hint="eastAsia"/>
                <w:b/>
                <w:sz w:val="21"/>
              </w:rPr>
              <w:t>危险废物贮存类别及规模</w:t>
            </w:r>
          </w:p>
          <w:tbl>
            <w:tblPr>
              <w:tblStyle w:val="aff"/>
              <w:tblW w:w="4995"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21"/>
              <w:gridCol w:w="779"/>
              <w:gridCol w:w="1364"/>
              <w:gridCol w:w="2855"/>
              <w:gridCol w:w="1201"/>
              <w:gridCol w:w="463"/>
              <w:gridCol w:w="806"/>
              <w:gridCol w:w="692"/>
            </w:tblGrid>
            <w:tr w:rsidR="003C4F46" w14:paraId="5AAE2FD2" w14:textId="77777777">
              <w:tc>
                <w:tcPr>
                  <w:tcW w:w="507" w:type="pct"/>
                  <w:tcBorders>
                    <w:tl2br w:val="nil"/>
                    <w:tr2bl w:val="nil"/>
                  </w:tcBorders>
                  <w:vAlign w:val="center"/>
                </w:tcPr>
                <w:p w14:paraId="7291B1B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类别</w:t>
                  </w:r>
                </w:p>
              </w:tc>
              <w:tc>
                <w:tcPr>
                  <w:tcW w:w="429" w:type="pct"/>
                  <w:tcBorders>
                    <w:tl2br w:val="nil"/>
                    <w:tr2bl w:val="nil"/>
                  </w:tcBorders>
                  <w:vAlign w:val="center"/>
                </w:tcPr>
                <w:p w14:paraId="5A5CCD1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行业</w:t>
                  </w:r>
                </w:p>
                <w:p w14:paraId="3535E4E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来源</w:t>
                  </w:r>
                </w:p>
              </w:tc>
              <w:tc>
                <w:tcPr>
                  <w:tcW w:w="751" w:type="pct"/>
                  <w:tcBorders>
                    <w:tl2br w:val="nil"/>
                    <w:tr2bl w:val="nil"/>
                  </w:tcBorders>
                  <w:vAlign w:val="center"/>
                </w:tcPr>
                <w:p w14:paraId="6F9BF03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代码</w:t>
                  </w:r>
                </w:p>
              </w:tc>
              <w:tc>
                <w:tcPr>
                  <w:tcW w:w="1572" w:type="pct"/>
                  <w:tcBorders>
                    <w:tl2br w:val="nil"/>
                    <w:tr2bl w:val="nil"/>
                  </w:tcBorders>
                  <w:vAlign w:val="center"/>
                </w:tcPr>
                <w:p w14:paraId="4C5BA74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危险废物</w:t>
                  </w:r>
                </w:p>
              </w:tc>
              <w:tc>
                <w:tcPr>
                  <w:tcW w:w="661" w:type="pct"/>
                  <w:tcBorders>
                    <w:tl2br w:val="nil"/>
                    <w:tr2bl w:val="nil"/>
                  </w:tcBorders>
                  <w:vAlign w:val="center"/>
                </w:tcPr>
                <w:p w14:paraId="732D304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废物</w:t>
                  </w:r>
                </w:p>
                <w:p w14:paraId="27A1D35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特性</w:t>
                  </w:r>
                </w:p>
              </w:tc>
              <w:tc>
                <w:tcPr>
                  <w:tcW w:w="255" w:type="pct"/>
                  <w:tcBorders>
                    <w:tl2br w:val="nil"/>
                    <w:tr2bl w:val="nil"/>
                  </w:tcBorders>
                  <w:vAlign w:val="center"/>
                </w:tcPr>
                <w:p w14:paraId="06353EE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状态</w:t>
                  </w:r>
                </w:p>
              </w:tc>
              <w:tc>
                <w:tcPr>
                  <w:tcW w:w="444" w:type="pct"/>
                  <w:tcBorders>
                    <w:tl2br w:val="nil"/>
                    <w:tr2bl w:val="nil"/>
                  </w:tcBorders>
                  <w:vAlign w:val="center"/>
                </w:tcPr>
                <w:p w14:paraId="0CE17899" w14:textId="5EC1145D" w:rsidR="003C4F46" w:rsidRDefault="003E47EA">
                  <w:pPr>
                    <w:adjustRightInd w:val="0"/>
                    <w:snapToGrid w:val="0"/>
                    <w:spacing w:line="240" w:lineRule="auto"/>
                    <w:ind w:firstLineChars="0" w:firstLine="0"/>
                    <w:jc w:val="center"/>
                    <w:textAlignment w:val="auto"/>
                    <w:rPr>
                      <w:rFonts w:cs="Times New Roman"/>
                      <w:bCs/>
                      <w:sz w:val="21"/>
                      <w:szCs w:val="21"/>
                    </w:rPr>
                  </w:pPr>
                  <w:r w:rsidRPr="003E47EA">
                    <w:rPr>
                      <w:rFonts w:cs="Times New Roman" w:hint="eastAsia"/>
                      <w:bCs/>
                      <w:sz w:val="21"/>
                      <w:szCs w:val="21"/>
                    </w:rPr>
                    <w:t>年收集</w:t>
                  </w:r>
                  <w:r w:rsidRPr="003E47EA">
                    <w:rPr>
                      <w:rFonts w:cs="Times New Roman" w:hint="eastAsia"/>
                      <w:bCs/>
                      <w:sz w:val="21"/>
                      <w:szCs w:val="21"/>
                    </w:rPr>
                    <w:t>/</w:t>
                  </w:r>
                  <w:r w:rsidRPr="003E47EA">
                    <w:rPr>
                      <w:rFonts w:cs="Times New Roman" w:hint="eastAsia"/>
                      <w:bCs/>
                      <w:sz w:val="21"/>
                      <w:szCs w:val="21"/>
                    </w:rPr>
                    <w:t>贮存量</w:t>
                  </w:r>
                  <w:r w:rsidRPr="003E47EA">
                    <w:rPr>
                      <w:rFonts w:cs="Times New Roman" w:hint="eastAsia"/>
                      <w:bCs/>
                      <w:sz w:val="21"/>
                      <w:szCs w:val="21"/>
                    </w:rPr>
                    <w:t>t/a</w:t>
                  </w:r>
                </w:p>
              </w:tc>
              <w:tc>
                <w:tcPr>
                  <w:tcW w:w="381" w:type="pct"/>
                  <w:tcBorders>
                    <w:tl2br w:val="nil"/>
                    <w:tr2bl w:val="nil"/>
                  </w:tcBorders>
                  <w:vAlign w:val="center"/>
                </w:tcPr>
                <w:p w14:paraId="40DC337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最大</w:t>
                  </w:r>
                  <w:r>
                    <w:rPr>
                      <w:rFonts w:cs="Times New Roman" w:hint="eastAsia"/>
                      <w:bCs/>
                      <w:sz w:val="21"/>
                      <w:szCs w:val="21"/>
                    </w:rPr>
                    <w:t>贮存</w:t>
                  </w:r>
                  <w:r>
                    <w:rPr>
                      <w:rFonts w:cs="Times New Roman"/>
                      <w:bCs/>
                      <w:sz w:val="21"/>
                      <w:szCs w:val="21"/>
                    </w:rPr>
                    <w:t>量</w:t>
                  </w:r>
                  <w:r>
                    <w:rPr>
                      <w:rFonts w:cs="Times New Roman"/>
                      <w:bCs/>
                      <w:sz w:val="21"/>
                      <w:szCs w:val="21"/>
                    </w:rPr>
                    <w:t>t</w:t>
                  </w:r>
                </w:p>
              </w:tc>
            </w:tr>
            <w:tr w:rsidR="003C4F46" w14:paraId="1BEB1349" w14:textId="77777777">
              <w:tc>
                <w:tcPr>
                  <w:tcW w:w="507" w:type="pct"/>
                  <w:vMerge w:val="restart"/>
                  <w:tcBorders>
                    <w:tl2br w:val="nil"/>
                    <w:tr2bl w:val="nil"/>
                  </w:tcBorders>
                  <w:vAlign w:val="center"/>
                </w:tcPr>
                <w:p w14:paraId="6986727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HW06</w:t>
                  </w:r>
                  <w:r>
                    <w:rPr>
                      <w:rFonts w:cs="Times New Roman" w:hint="eastAsia"/>
                      <w:bCs/>
                      <w:sz w:val="21"/>
                      <w:szCs w:val="21"/>
                    </w:rPr>
                    <w:t>废有机溶剂与含有机溶剂废物</w:t>
                  </w:r>
                </w:p>
              </w:tc>
              <w:tc>
                <w:tcPr>
                  <w:tcW w:w="429" w:type="pct"/>
                  <w:vMerge w:val="restart"/>
                  <w:tcBorders>
                    <w:tl2br w:val="nil"/>
                    <w:tr2bl w:val="nil"/>
                  </w:tcBorders>
                  <w:vAlign w:val="center"/>
                </w:tcPr>
                <w:p w14:paraId="65E1BB5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非特定行业</w:t>
                  </w:r>
                </w:p>
              </w:tc>
              <w:tc>
                <w:tcPr>
                  <w:tcW w:w="751" w:type="pct"/>
                  <w:tcBorders>
                    <w:tl2br w:val="nil"/>
                    <w:tr2bl w:val="nil"/>
                  </w:tcBorders>
                  <w:vAlign w:val="center"/>
                </w:tcPr>
                <w:p w14:paraId="1FDC9B00" w14:textId="77777777" w:rsidR="003C4F46" w:rsidRDefault="004B6A81">
                  <w:pPr>
                    <w:adjustRightInd w:val="0"/>
                    <w:snapToGrid w:val="0"/>
                    <w:spacing w:line="240" w:lineRule="auto"/>
                    <w:ind w:firstLineChars="0" w:firstLine="0"/>
                    <w:jc w:val="center"/>
                    <w:textAlignment w:val="auto"/>
                    <w:rPr>
                      <w:rFonts w:cs="Times New Roman"/>
                      <w:bCs/>
                      <w:sz w:val="21"/>
                      <w:szCs w:val="21"/>
                      <w:highlight w:val="yellow"/>
                    </w:rPr>
                  </w:pPr>
                  <w:r>
                    <w:rPr>
                      <w:rFonts w:cs="Times New Roman" w:hint="eastAsia"/>
                      <w:bCs/>
                      <w:sz w:val="21"/>
                      <w:szCs w:val="21"/>
                    </w:rPr>
                    <w:t>900-401-06</w:t>
                  </w:r>
                </w:p>
              </w:tc>
              <w:tc>
                <w:tcPr>
                  <w:tcW w:w="1572" w:type="pct"/>
                  <w:tcBorders>
                    <w:tl2br w:val="nil"/>
                    <w:tr2bl w:val="nil"/>
                  </w:tcBorders>
                  <w:vAlign w:val="center"/>
                </w:tcPr>
                <w:p w14:paraId="6D3310C9"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工业生产中作为清洗剂、萃取剂、溶剂或反应介质使用后废弃的四氯化碳、二氯甲烷、</w:t>
                  </w:r>
                  <w:r>
                    <w:rPr>
                      <w:rFonts w:cs="Times New Roman" w:hint="eastAsia"/>
                      <w:bCs/>
                      <w:sz w:val="21"/>
                      <w:szCs w:val="21"/>
                    </w:rPr>
                    <w:t>1,1-</w:t>
                  </w:r>
                  <w:r>
                    <w:rPr>
                      <w:rFonts w:cs="Times New Roman" w:hint="eastAsia"/>
                      <w:bCs/>
                      <w:sz w:val="21"/>
                      <w:szCs w:val="21"/>
                    </w:rPr>
                    <w:t>二氯乙烷、</w:t>
                  </w:r>
                  <w:r>
                    <w:rPr>
                      <w:rFonts w:cs="Times New Roman" w:hint="eastAsia"/>
                      <w:bCs/>
                      <w:sz w:val="21"/>
                      <w:szCs w:val="21"/>
                    </w:rPr>
                    <w:t>1,2-</w:t>
                  </w:r>
                  <w:r>
                    <w:rPr>
                      <w:rFonts w:cs="Times New Roman" w:hint="eastAsia"/>
                      <w:bCs/>
                      <w:sz w:val="21"/>
                      <w:szCs w:val="21"/>
                    </w:rPr>
                    <w:t>二氯乙烷、</w:t>
                  </w:r>
                  <w:r>
                    <w:rPr>
                      <w:rFonts w:cs="Times New Roman" w:hint="eastAsia"/>
                      <w:bCs/>
                      <w:sz w:val="21"/>
                      <w:szCs w:val="21"/>
                    </w:rPr>
                    <w:t>1,1,1-</w:t>
                  </w:r>
                  <w:r>
                    <w:rPr>
                      <w:rFonts w:cs="Times New Roman" w:hint="eastAsia"/>
                      <w:bCs/>
                      <w:sz w:val="21"/>
                      <w:szCs w:val="21"/>
                    </w:rPr>
                    <w:t>三氯乙烷、</w:t>
                  </w:r>
                  <w:r>
                    <w:rPr>
                      <w:rFonts w:cs="Times New Roman" w:hint="eastAsia"/>
                      <w:bCs/>
                      <w:sz w:val="21"/>
                      <w:szCs w:val="21"/>
                    </w:rPr>
                    <w:t>1,1,2-</w:t>
                  </w:r>
                  <w:r>
                    <w:rPr>
                      <w:rFonts w:cs="Times New Roman" w:hint="eastAsia"/>
                      <w:bCs/>
                      <w:sz w:val="21"/>
                      <w:szCs w:val="21"/>
                    </w:rPr>
                    <w:t>三氯乙烷、三氯乙烯、四氯乙烯，以及在使用前混合的含有一种或多种上述卤化溶剂的混合</w:t>
                  </w:r>
                  <w:r>
                    <w:rPr>
                      <w:rFonts w:cs="Times New Roman" w:hint="eastAsia"/>
                      <w:bCs/>
                      <w:sz w:val="21"/>
                      <w:szCs w:val="21"/>
                    </w:rPr>
                    <w:t>/</w:t>
                  </w:r>
                  <w:r>
                    <w:rPr>
                      <w:rFonts w:cs="Times New Roman" w:hint="eastAsia"/>
                      <w:bCs/>
                      <w:sz w:val="21"/>
                      <w:szCs w:val="21"/>
                    </w:rPr>
                    <w:t>调和溶剂</w:t>
                  </w:r>
                </w:p>
              </w:tc>
              <w:tc>
                <w:tcPr>
                  <w:tcW w:w="661" w:type="pct"/>
                  <w:tcBorders>
                    <w:tl2br w:val="nil"/>
                    <w:tr2bl w:val="nil"/>
                  </w:tcBorders>
                  <w:vAlign w:val="center"/>
                </w:tcPr>
                <w:p w14:paraId="5B17DB4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3D4491D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val="restart"/>
                  <w:tcBorders>
                    <w:tl2br w:val="nil"/>
                    <w:tr2bl w:val="nil"/>
                  </w:tcBorders>
                  <w:vAlign w:val="center"/>
                </w:tcPr>
                <w:p w14:paraId="0A9C4E9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100</w:t>
                  </w:r>
                </w:p>
              </w:tc>
              <w:tc>
                <w:tcPr>
                  <w:tcW w:w="381" w:type="pct"/>
                  <w:vMerge w:val="restart"/>
                  <w:tcBorders>
                    <w:tl2br w:val="nil"/>
                    <w:tr2bl w:val="nil"/>
                  </w:tcBorders>
                  <w:vAlign w:val="center"/>
                </w:tcPr>
                <w:p w14:paraId="297F83A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20</w:t>
                  </w:r>
                </w:p>
              </w:tc>
            </w:tr>
            <w:tr w:rsidR="003C4F46" w14:paraId="03356E7A" w14:textId="77777777">
              <w:tc>
                <w:tcPr>
                  <w:tcW w:w="507" w:type="pct"/>
                  <w:vMerge/>
                  <w:tcBorders>
                    <w:tl2br w:val="nil"/>
                    <w:tr2bl w:val="nil"/>
                  </w:tcBorders>
                  <w:vAlign w:val="center"/>
                </w:tcPr>
                <w:p w14:paraId="244F9B08"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1CFB4EA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700476B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900-402-06</w:t>
                  </w:r>
                </w:p>
              </w:tc>
              <w:tc>
                <w:tcPr>
                  <w:tcW w:w="1572" w:type="pct"/>
                  <w:tcBorders>
                    <w:tl2br w:val="nil"/>
                    <w:tr2bl w:val="nil"/>
                  </w:tcBorders>
                  <w:vAlign w:val="center"/>
                </w:tcPr>
                <w:p w14:paraId="764A35F8"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工业生产中作为清洗剂、萃取剂、溶剂或者反应介质使用后废弃的有机溶剂，包括苯、苯乙烯、丁醇、丙酮、正己烷、甲苯、邻二甲苯、间二甲苯、对二甲苯、</w:t>
                  </w:r>
                  <w:r>
                    <w:rPr>
                      <w:rFonts w:cs="Times New Roman" w:hint="eastAsia"/>
                      <w:bCs/>
                      <w:sz w:val="21"/>
                      <w:szCs w:val="21"/>
                    </w:rPr>
                    <w:t>1,2,4-</w:t>
                  </w:r>
                  <w:r>
                    <w:rPr>
                      <w:rFonts w:cs="Times New Roman" w:hint="eastAsia"/>
                      <w:bCs/>
                      <w:sz w:val="21"/>
                      <w:szCs w:val="21"/>
                    </w:rPr>
                    <w:t>三甲苯、乙苯、乙醇、异丙醇、乙醚、丙醚、乙酸甲酯、乙酸乙酯、乙酸丁酯、丙酸丁酯、苯酚，以及在使用前混合的含有一种或者多种上述溶剂的混合</w:t>
                  </w:r>
                  <w:r>
                    <w:rPr>
                      <w:rFonts w:cs="Times New Roman" w:hint="eastAsia"/>
                      <w:bCs/>
                      <w:sz w:val="21"/>
                      <w:szCs w:val="21"/>
                    </w:rPr>
                    <w:t>/</w:t>
                  </w:r>
                  <w:r>
                    <w:rPr>
                      <w:rFonts w:cs="Times New Roman" w:hint="eastAsia"/>
                      <w:bCs/>
                      <w:sz w:val="21"/>
                      <w:szCs w:val="21"/>
                    </w:rPr>
                    <w:t>调和溶剂</w:t>
                  </w:r>
                </w:p>
              </w:tc>
              <w:tc>
                <w:tcPr>
                  <w:tcW w:w="661" w:type="pct"/>
                  <w:tcBorders>
                    <w:tl2br w:val="nil"/>
                    <w:tr2bl w:val="nil"/>
                  </w:tcBorders>
                  <w:vAlign w:val="center"/>
                </w:tcPr>
                <w:p w14:paraId="18056B0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r>
                    <w:rPr>
                      <w:rFonts w:cs="Times New Roman" w:hint="eastAsia"/>
                      <w:bCs/>
                      <w:sz w:val="21"/>
                      <w:szCs w:val="21"/>
                    </w:rPr>
                    <w:t>，</w:t>
                  </w:r>
                  <w:r>
                    <w:rPr>
                      <w:rFonts w:cs="Times New Roman" w:hint="eastAsia"/>
                      <w:bCs/>
                      <w:sz w:val="21"/>
                      <w:szCs w:val="21"/>
                    </w:rPr>
                    <w:t>R</w:t>
                  </w:r>
                </w:p>
              </w:tc>
              <w:tc>
                <w:tcPr>
                  <w:tcW w:w="255" w:type="pct"/>
                  <w:tcBorders>
                    <w:tl2br w:val="nil"/>
                    <w:tr2bl w:val="nil"/>
                  </w:tcBorders>
                  <w:vAlign w:val="center"/>
                </w:tcPr>
                <w:p w14:paraId="22E694E0" w14:textId="659BFACD" w:rsidR="003C4F46" w:rsidRDefault="007C29E4">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02EA1FDC"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6AD4DD2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2CCB2B7" w14:textId="77777777">
              <w:tc>
                <w:tcPr>
                  <w:tcW w:w="507" w:type="pct"/>
                  <w:vMerge/>
                  <w:tcBorders>
                    <w:tl2br w:val="nil"/>
                    <w:tr2bl w:val="nil"/>
                  </w:tcBorders>
                  <w:vAlign w:val="center"/>
                </w:tcPr>
                <w:p w14:paraId="33DBFD30"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198CDD2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C0BF86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900-404-06</w:t>
                  </w:r>
                </w:p>
              </w:tc>
              <w:tc>
                <w:tcPr>
                  <w:tcW w:w="1572" w:type="pct"/>
                  <w:tcBorders>
                    <w:tl2br w:val="nil"/>
                    <w:tr2bl w:val="nil"/>
                  </w:tcBorders>
                  <w:vAlign w:val="center"/>
                </w:tcPr>
                <w:p w14:paraId="02466BB5"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工业生产中作为清洗剂、萃取剂、溶剂或反应介质使用后废弃的其他列入《危险化学品目录》的有机溶剂，以及在使用前混合的含有一种或多种上述溶剂的混合</w:t>
                  </w:r>
                  <w:r>
                    <w:rPr>
                      <w:rFonts w:cs="Times New Roman" w:hint="eastAsia"/>
                      <w:bCs/>
                      <w:sz w:val="21"/>
                      <w:szCs w:val="21"/>
                    </w:rPr>
                    <w:t>/</w:t>
                  </w:r>
                  <w:r>
                    <w:rPr>
                      <w:rFonts w:cs="Times New Roman" w:hint="eastAsia"/>
                      <w:bCs/>
                      <w:sz w:val="21"/>
                      <w:szCs w:val="21"/>
                    </w:rPr>
                    <w:t>调和溶剂</w:t>
                  </w:r>
                </w:p>
              </w:tc>
              <w:tc>
                <w:tcPr>
                  <w:tcW w:w="661" w:type="pct"/>
                  <w:tcBorders>
                    <w:tl2br w:val="nil"/>
                    <w:tr2bl w:val="nil"/>
                  </w:tcBorders>
                  <w:vAlign w:val="center"/>
                </w:tcPr>
                <w:p w14:paraId="629EA6C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r>
                    <w:rPr>
                      <w:rFonts w:cs="Times New Roman" w:hint="eastAsia"/>
                      <w:bCs/>
                      <w:sz w:val="21"/>
                      <w:szCs w:val="21"/>
                    </w:rPr>
                    <w:t>，</w:t>
                  </w:r>
                  <w:r>
                    <w:rPr>
                      <w:rFonts w:cs="Times New Roman" w:hint="eastAsia"/>
                      <w:bCs/>
                      <w:sz w:val="21"/>
                      <w:szCs w:val="21"/>
                    </w:rPr>
                    <w:t>R</w:t>
                  </w:r>
                </w:p>
              </w:tc>
              <w:tc>
                <w:tcPr>
                  <w:tcW w:w="255" w:type="pct"/>
                  <w:tcBorders>
                    <w:tl2br w:val="nil"/>
                    <w:tr2bl w:val="nil"/>
                  </w:tcBorders>
                  <w:vAlign w:val="center"/>
                </w:tcPr>
                <w:p w14:paraId="7B7086E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半固态</w:t>
                  </w:r>
                </w:p>
              </w:tc>
              <w:tc>
                <w:tcPr>
                  <w:tcW w:w="444" w:type="pct"/>
                  <w:vMerge/>
                  <w:tcBorders>
                    <w:tl2br w:val="nil"/>
                    <w:tr2bl w:val="nil"/>
                  </w:tcBorders>
                  <w:vAlign w:val="center"/>
                </w:tcPr>
                <w:p w14:paraId="26F3D9E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73FC581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E06FA60" w14:textId="77777777">
              <w:tc>
                <w:tcPr>
                  <w:tcW w:w="507" w:type="pct"/>
                  <w:vMerge w:val="restart"/>
                  <w:tcBorders>
                    <w:tl2br w:val="nil"/>
                    <w:tr2bl w:val="nil"/>
                  </w:tcBorders>
                  <w:vAlign w:val="center"/>
                </w:tcPr>
                <w:p w14:paraId="71F0E53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HW08</w:t>
                  </w:r>
                  <w:r>
                    <w:rPr>
                      <w:rFonts w:cs="Times New Roman"/>
                      <w:bCs/>
                      <w:sz w:val="21"/>
                      <w:szCs w:val="21"/>
                    </w:rPr>
                    <w:t>废矿物油与含矿物油废物</w:t>
                  </w:r>
                </w:p>
              </w:tc>
              <w:tc>
                <w:tcPr>
                  <w:tcW w:w="429" w:type="pct"/>
                  <w:vMerge w:val="restart"/>
                  <w:tcBorders>
                    <w:tl2br w:val="nil"/>
                    <w:tr2bl w:val="nil"/>
                  </w:tcBorders>
                  <w:vAlign w:val="center"/>
                </w:tcPr>
                <w:p w14:paraId="4196DE9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非特定行业</w:t>
                  </w:r>
                </w:p>
              </w:tc>
              <w:tc>
                <w:tcPr>
                  <w:tcW w:w="751" w:type="pct"/>
                  <w:tcBorders>
                    <w:tl2br w:val="nil"/>
                    <w:tr2bl w:val="nil"/>
                  </w:tcBorders>
                  <w:vAlign w:val="center"/>
                </w:tcPr>
                <w:p w14:paraId="53E68F9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900-199-08</w:t>
                  </w:r>
                </w:p>
              </w:tc>
              <w:tc>
                <w:tcPr>
                  <w:tcW w:w="1572" w:type="pct"/>
                  <w:tcBorders>
                    <w:tl2br w:val="nil"/>
                    <w:tr2bl w:val="nil"/>
                  </w:tcBorders>
                  <w:vAlign w:val="center"/>
                </w:tcPr>
                <w:p w14:paraId="4F1F5EEF"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内燃机、汽车、轮船等集中拆解过程产生的废矿物油及油泥</w:t>
                  </w:r>
                </w:p>
              </w:tc>
              <w:tc>
                <w:tcPr>
                  <w:tcW w:w="661" w:type="pct"/>
                  <w:tcBorders>
                    <w:tl2br w:val="nil"/>
                    <w:tr2bl w:val="nil"/>
                  </w:tcBorders>
                  <w:vAlign w:val="center"/>
                </w:tcPr>
                <w:p w14:paraId="0189D0D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1F1C9B2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半固态</w:t>
                  </w:r>
                </w:p>
              </w:tc>
              <w:tc>
                <w:tcPr>
                  <w:tcW w:w="444" w:type="pct"/>
                  <w:vMerge w:val="restart"/>
                  <w:tcBorders>
                    <w:tl2br w:val="nil"/>
                    <w:tr2bl w:val="nil"/>
                  </w:tcBorders>
                  <w:vAlign w:val="center"/>
                </w:tcPr>
                <w:p w14:paraId="2779B822" w14:textId="302685F4" w:rsidR="003C4F46" w:rsidRDefault="004A25CA">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2400</w:t>
                  </w:r>
                </w:p>
              </w:tc>
              <w:tc>
                <w:tcPr>
                  <w:tcW w:w="381" w:type="pct"/>
                  <w:vMerge w:val="restart"/>
                  <w:tcBorders>
                    <w:tl2br w:val="nil"/>
                    <w:tr2bl w:val="nil"/>
                  </w:tcBorders>
                  <w:vAlign w:val="center"/>
                </w:tcPr>
                <w:p w14:paraId="0399CAD5" w14:textId="4B87486F" w:rsidR="003C4F46"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1377</w:t>
                  </w:r>
                </w:p>
              </w:tc>
            </w:tr>
            <w:tr w:rsidR="003C4F46" w14:paraId="4D685A06" w14:textId="77777777">
              <w:tc>
                <w:tcPr>
                  <w:tcW w:w="507" w:type="pct"/>
                  <w:vMerge/>
                  <w:tcBorders>
                    <w:tl2br w:val="nil"/>
                    <w:tr2bl w:val="nil"/>
                  </w:tcBorders>
                  <w:vAlign w:val="center"/>
                </w:tcPr>
                <w:p w14:paraId="2CBFFE6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5C90203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2031CE6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900-214-08</w:t>
                  </w:r>
                </w:p>
              </w:tc>
              <w:tc>
                <w:tcPr>
                  <w:tcW w:w="1572" w:type="pct"/>
                  <w:tcBorders>
                    <w:tl2br w:val="nil"/>
                    <w:tr2bl w:val="nil"/>
                  </w:tcBorders>
                  <w:vAlign w:val="center"/>
                </w:tcPr>
                <w:p w14:paraId="31C82421"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车辆、轮船及其它机械维修过程中产生的废发动机油、制动器油、自动变速器油、齿轮油等废润滑油</w:t>
                  </w:r>
                </w:p>
              </w:tc>
              <w:tc>
                <w:tcPr>
                  <w:tcW w:w="661" w:type="pct"/>
                  <w:tcBorders>
                    <w:tl2br w:val="nil"/>
                    <w:tr2bl w:val="nil"/>
                  </w:tcBorders>
                  <w:vAlign w:val="center"/>
                </w:tcPr>
                <w:p w14:paraId="661ED03D"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4727B49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5947C51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3160109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60846076" w14:textId="77777777">
              <w:tc>
                <w:tcPr>
                  <w:tcW w:w="507" w:type="pct"/>
                  <w:vMerge/>
                  <w:tcBorders>
                    <w:tl2br w:val="nil"/>
                    <w:tr2bl w:val="nil"/>
                  </w:tcBorders>
                  <w:vAlign w:val="center"/>
                </w:tcPr>
                <w:p w14:paraId="37527FB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2FB03D2"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22CE75C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900-217-08</w:t>
                  </w:r>
                </w:p>
              </w:tc>
              <w:tc>
                <w:tcPr>
                  <w:tcW w:w="1572" w:type="pct"/>
                  <w:tcBorders>
                    <w:tl2br w:val="nil"/>
                    <w:tr2bl w:val="nil"/>
                  </w:tcBorders>
                  <w:vAlign w:val="center"/>
                </w:tcPr>
                <w:p w14:paraId="6589B2CD"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使用工业齿轮油进行机械设备润滑过程中产生的废润滑油</w:t>
                  </w:r>
                </w:p>
              </w:tc>
              <w:tc>
                <w:tcPr>
                  <w:tcW w:w="661" w:type="pct"/>
                  <w:tcBorders>
                    <w:tl2br w:val="nil"/>
                    <w:tr2bl w:val="nil"/>
                  </w:tcBorders>
                  <w:vAlign w:val="center"/>
                </w:tcPr>
                <w:p w14:paraId="6E9D5C4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25EB038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半固态</w:t>
                  </w:r>
                </w:p>
              </w:tc>
              <w:tc>
                <w:tcPr>
                  <w:tcW w:w="444" w:type="pct"/>
                  <w:vMerge/>
                  <w:tcBorders>
                    <w:tl2br w:val="nil"/>
                    <w:tr2bl w:val="nil"/>
                  </w:tcBorders>
                  <w:vAlign w:val="center"/>
                </w:tcPr>
                <w:p w14:paraId="43F2971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4C9A8F9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5204D911" w14:textId="77777777">
              <w:tc>
                <w:tcPr>
                  <w:tcW w:w="507" w:type="pct"/>
                  <w:vMerge/>
                  <w:tcBorders>
                    <w:tl2br w:val="nil"/>
                    <w:tr2bl w:val="nil"/>
                  </w:tcBorders>
                  <w:vAlign w:val="center"/>
                </w:tcPr>
                <w:p w14:paraId="51757452"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21FC4562"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65FE810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900-218-08</w:t>
                  </w:r>
                </w:p>
              </w:tc>
              <w:tc>
                <w:tcPr>
                  <w:tcW w:w="1572" w:type="pct"/>
                  <w:tcBorders>
                    <w:tl2br w:val="nil"/>
                    <w:tr2bl w:val="nil"/>
                  </w:tcBorders>
                  <w:vAlign w:val="center"/>
                </w:tcPr>
                <w:p w14:paraId="6FA93E90"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液压设备维护、更换和拆解过程中产生的废液压油</w:t>
                  </w:r>
                </w:p>
              </w:tc>
              <w:tc>
                <w:tcPr>
                  <w:tcW w:w="661" w:type="pct"/>
                  <w:tcBorders>
                    <w:tl2br w:val="nil"/>
                    <w:tr2bl w:val="nil"/>
                  </w:tcBorders>
                  <w:vAlign w:val="center"/>
                </w:tcPr>
                <w:p w14:paraId="4AD203A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75E3533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2CFC699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6A6C264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F4A2FE0" w14:textId="77777777">
              <w:tc>
                <w:tcPr>
                  <w:tcW w:w="507" w:type="pct"/>
                  <w:vMerge/>
                  <w:tcBorders>
                    <w:tl2br w:val="nil"/>
                    <w:tr2bl w:val="nil"/>
                  </w:tcBorders>
                  <w:vAlign w:val="center"/>
                </w:tcPr>
                <w:p w14:paraId="1F083D4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1A23163F"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F193FB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900-219-08</w:t>
                  </w:r>
                </w:p>
              </w:tc>
              <w:tc>
                <w:tcPr>
                  <w:tcW w:w="1572" w:type="pct"/>
                  <w:tcBorders>
                    <w:tl2br w:val="nil"/>
                    <w:tr2bl w:val="nil"/>
                  </w:tcBorders>
                  <w:vAlign w:val="center"/>
                </w:tcPr>
                <w:p w14:paraId="16AEE8C4"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冷冻压缩设备维护、更换和拆解过程中产生的废冷冻机油</w:t>
                  </w:r>
                </w:p>
              </w:tc>
              <w:tc>
                <w:tcPr>
                  <w:tcW w:w="661" w:type="pct"/>
                  <w:tcBorders>
                    <w:tl2br w:val="nil"/>
                    <w:tr2bl w:val="nil"/>
                  </w:tcBorders>
                  <w:vAlign w:val="center"/>
                </w:tcPr>
                <w:p w14:paraId="4F24560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40055EE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29169046"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61A9846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64B2B948" w14:textId="77777777">
              <w:tc>
                <w:tcPr>
                  <w:tcW w:w="507" w:type="pct"/>
                  <w:vMerge/>
                  <w:tcBorders>
                    <w:tl2br w:val="nil"/>
                    <w:tr2bl w:val="nil"/>
                  </w:tcBorders>
                  <w:vAlign w:val="center"/>
                </w:tcPr>
                <w:p w14:paraId="1C1B7BE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656CB9A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171B6E7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900-220-08</w:t>
                  </w:r>
                </w:p>
              </w:tc>
              <w:tc>
                <w:tcPr>
                  <w:tcW w:w="1572" w:type="pct"/>
                  <w:tcBorders>
                    <w:tl2br w:val="nil"/>
                    <w:tr2bl w:val="nil"/>
                  </w:tcBorders>
                  <w:vAlign w:val="center"/>
                </w:tcPr>
                <w:p w14:paraId="1268F464"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变压器维护、更换和拆解过程中产生的废变压器油</w:t>
                  </w:r>
                </w:p>
              </w:tc>
              <w:tc>
                <w:tcPr>
                  <w:tcW w:w="661" w:type="pct"/>
                  <w:tcBorders>
                    <w:tl2br w:val="nil"/>
                    <w:tr2bl w:val="nil"/>
                  </w:tcBorders>
                  <w:vAlign w:val="center"/>
                </w:tcPr>
                <w:p w14:paraId="5F74662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0F8017D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401EC6D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77BE904C"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1A982F49" w14:textId="77777777">
              <w:tc>
                <w:tcPr>
                  <w:tcW w:w="507" w:type="pct"/>
                  <w:vMerge/>
                  <w:tcBorders>
                    <w:tl2br w:val="nil"/>
                    <w:tr2bl w:val="nil"/>
                  </w:tcBorders>
                  <w:vAlign w:val="center"/>
                </w:tcPr>
                <w:p w14:paraId="377ADAC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F287D3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F581D7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900-221-08</w:t>
                  </w:r>
                </w:p>
              </w:tc>
              <w:tc>
                <w:tcPr>
                  <w:tcW w:w="1572" w:type="pct"/>
                  <w:tcBorders>
                    <w:tl2br w:val="nil"/>
                    <w:tr2bl w:val="nil"/>
                  </w:tcBorders>
                  <w:vAlign w:val="center"/>
                </w:tcPr>
                <w:p w14:paraId="026F3587"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废燃料油及燃料油储存过程中产生的油泥</w:t>
                  </w:r>
                </w:p>
              </w:tc>
              <w:tc>
                <w:tcPr>
                  <w:tcW w:w="661" w:type="pct"/>
                  <w:tcBorders>
                    <w:tl2br w:val="nil"/>
                    <w:tr2bl w:val="nil"/>
                  </w:tcBorders>
                  <w:vAlign w:val="center"/>
                </w:tcPr>
                <w:p w14:paraId="7F65209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65A0CCB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64DAD40F"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3A06312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5509AEE4" w14:textId="77777777">
              <w:tc>
                <w:tcPr>
                  <w:tcW w:w="507" w:type="pct"/>
                  <w:vMerge/>
                  <w:tcBorders>
                    <w:tl2br w:val="nil"/>
                    <w:tr2bl w:val="nil"/>
                  </w:tcBorders>
                  <w:vAlign w:val="center"/>
                </w:tcPr>
                <w:p w14:paraId="5B5ACB00"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452AA3C7"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0FD9EEE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900-249-08</w:t>
                  </w:r>
                </w:p>
              </w:tc>
              <w:tc>
                <w:tcPr>
                  <w:tcW w:w="1572" w:type="pct"/>
                  <w:tcBorders>
                    <w:tl2br w:val="nil"/>
                    <w:tr2bl w:val="nil"/>
                  </w:tcBorders>
                  <w:vAlign w:val="center"/>
                </w:tcPr>
                <w:p w14:paraId="36AEACB8"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其他生产、销售、使用过程中产生的废矿物油及沾染矿物油的废弃包装物</w:t>
                  </w:r>
                </w:p>
              </w:tc>
              <w:tc>
                <w:tcPr>
                  <w:tcW w:w="661" w:type="pct"/>
                  <w:tcBorders>
                    <w:tl2br w:val="nil"/>
                    <w:tr2bl w:val="nil"/>
                  </w:tcBorders>
                  <w:vAlign w:val="center"/>
                </w:tcPr>
                <w:p w14:paraId="6624ED6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31B46B1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717D806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76B33BC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6AE1DDDB" w14:textId="77777777">
              <w:tc>
                <w:tcPr>
                  <w:tcW w:w="507" w:type="pct"/>
                  <w:vMerge/>
                  <w:tcBorders>
                    <w:tl2br w:val="nil"/>
                    <w:tr2bl w:val="nil"/>
                  </w:tcBorders>
                  <w:vAlign w:val="center"/>
                </w:tcPr>
                <w:p w14:paraId="6F873A1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31CB84D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67B38D2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900-201-08</w:t>
                  </w:r>
                </w:p>
              </w:tc>
              <w:tc>
                <w:tcPr>
                  <w:tcW w:w="1572" w:type="pct"/>
                  <w:tcBorders>
                    <w:tl2br w:val="nil"/>
                    <w:tr2bl w:val="nil"/>
                  </w:tcBorders>
                  <w:vAlign w:val="center"/>
                </w:tcPr>
                <w:p w14:paraId="6E3B370F"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清洗金属零部件过程中产生的废弃的煤油、柴油、汽油及其他由石油和煤炼制生产的溶剂油</w:t>
                  </w:r>
                </w:p>
              </w:tc>
              <w:tc>
                <w:tcPr>
                  <w:tcW w:w="661" w:type="pct"/>
                  <w:tcBorders>
                    <w:tl2br w:val="nil"/>
                    <w:tr2bl w:val="nil"/>
                  </w:tcBorders>
                  <w:vAlign w:val="center"/>
                </w:tcPr>
                <w:p w14:paraId="70BC1A2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7B43628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6328406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1A3B2AB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59D8346F" w14:textId="77777777">
              <w:tc>
                <w:tcPr>
                  <w:tcW w:w="507" w:type="pct"/>
                  <w:vMerge/>
                  <w:tcBorders>
                    <w:tl2br w:val="nil"/>
                    <w:tr2bl w:val="nil"/>
                  </w:tcBorders>
                  <w:vAlign w:val="center"/>
                </w:tcPr>
                <w:p w14:paraId="760909A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53C51A12"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B8617D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900-210-08</w:t>
                  </w:r>
                </w:p>
              </w:tc>
              <w:tc>
                <w:tcPr>
                  <w:tcW w:w="1572" w:type="pct"/>
                  <w:tcBorders>
                    <w:tl2br w:val="nil"/>
                    <w:tr2bl w:val="nil"/>
                  </w:tcBorders>
                  <w:vAlign w:val="center"/>
                </w:tcPr>
                <w:p w14:paraId="724DF4F0"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含油废水处理中隔油、气浮、沉淀等处理过程中产生的浮油、浮渣和污泥（不包括废水生化处理污泥）</w:t>
                  </w:r>
                </w:p>
              </w:tc>
              <w:tc>
                <w:tcPr>
                  <w:tcW w:w="661" w:type="pct"/>
                  <w:tcBorders>
                    <w:tl2br w:val="nil"/>
                    <w:tr2bl w:val="nil"/>
                  </w:tcBorders>
                  <w:vAlign w:val="center"/>
                </w:tcPr>
                <w:p w14:paraId="33BA86D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15D4808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r>
                    <w:rPr>
                      <w:rFonts w:cs="Times New Roman" w:hint="eastAsia"/>
                      <w:bCs/>
                      <w:sz w:val="21"/>
                      <w:szCs w:val="21"/>
                    </w:rPr>
                    <w:t>/</w:t>
                  </w:r>
                  <w:r>
                    <w:rPr>
                      <w:rFonts w:cs="Times New Roman" w:hint="eastAsia"/>
                      <w:bCs/>
                      <w:sz w:val="21"/>
                      <w:szCs w:val="21"/>
                    </w:rPr>
                    <w:t>半固态</w:t>
                  </w:r>
                </w:p>
              </w:tc>
              <w:tc>
                <w:tcPr>
                  <w:tcW w:w="444" w:type="pct"/>
                  <w:vMerge/>
                  <w:tcBorders>
                    <w:tl2br w:val="nil"/>
                    <w:tr2bl w:val="nil"/>
                  </w:tcBorders>
                  <w:vAlign w:val="center"/>
                </w:tcPr>
                <w:p w14:paraId="1452EC3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4C3CF6E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6B3538D7" w14:textId="77777777">
              <w:tc>
                <w:tcPr>
                  <w:tcW w:w="507" w:type="pct"/>
                  <w:vMerge w:val="restart"/>
                  <w:tcBorders>
                    <w:tl2br w:val="nil"/>
                    <w:tr2bl w:val="nil"/>
                  </w:tcBorders>
                  <w:vAlign w:val="center"/>
                </w:tcPr>
                <w:p w14:paraId="56607B9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HW12</w:t>
                  </w:r>
                  <w:r>
                    <w:rPr>
                      <w:rFonts w:cs="Times New Roman"/>
                      <w:bCs/>
                      <w:sz w:val="21"/>
                      <w:szCs w:val="21"/>
                    </w:rPr>
                    <w:t>染料、涂料废物</w:t>
                  </w:r>
                </w:p>
              </w:tc>
              <w:tc>
                <w:tcPr>
                  <w:tcW w:w="429" w:type="pct"/>
                  <w:vMerge w:val="restart"/>
                  <w:tcBorders>
                    <w:tl2br w:val="nil"/>
                    <w:tr2bl w:val="nil"/>
                  </w:tcBorders>
                  <w:vAlign w:val="center"/>
                </w:tcPr>
                <w:p w14:paraId="4E720D9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涂料、油墨、颜料及类似产品制造</w:t>
                  </w:r>
                </w:p>
              </w:tc>
              <w:tc>
                <w:tcPr>
                  <w:tcW w:w="751" w:type="pct"/>
                  <w:tcBorders>
                    <w:tl2br w:val="nil"/>
                    <w:tr2bl w:val="nil"/>
                  </w:tcBorders>
                  <w:vAlign w:val="center"/>
                </w:tcPr>
                <w:p w14:paraId="088073D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264-010-12</w:t>
                  </w:r>
                </w:p>
              </w:tc>
              <w:tc>
                <w:tcPr>
                  <w:tcW w:w="1572" w:type="pct"/>
                  <w:tcBorders>
                    <w:tl2br w:val="nil"/>
                    <w:tr2bl w:val="nil"/>
                  </w:tcBorders>
                  <w:vAlign w:val="center"/>
                </w:tcPr>
                <w:p w14:paraId="42E896A2"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油墨生产、配制过程中产生的废蚀刻液</w:t>
                  </w:r>
                </w:p>
              </w:tc>
              <w:tc>
                <w:tcPr>
                  <w:tcW w:w="661" w:type="pct"/>
                  <w:tcBorders>
                    <w:tl2br w:val="nil"/>
                    <w:tr2bl w:val="nil"/>
                  </w:tcBorders>
                  <w:vAlign w:val="center"/>
                </w:tcPr>
                <w:p w14:paraId="6FE7A00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23F37BA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val="restart"/>
                  <w:tcBorders>
                    <w:tl2br w:val="nil"/>
                    <w:tr2bl w:val="nil"/>
                  </w:tcBorders>
                  <w:vAlign w:val="center"/>
                </w:tcPr>
                <w:p w14:paraId="4EDB44E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20</w:t>
                  </w:r>
                </w:p>
              </w:tc>
              <w:tc>
                <w:tcPr>
                  <w:tcW w:w="381" w:type="pct"/>
                  <w:vMerge w:val="restart"/>
                  <w:tcBorders>
                    <w:tl2br w:val="nil"/>
                    <w:tr2bl w:val="nil"/>
                  </w:tcBorders>
                  <w:vAlign w:val="center"/>
                </w:tcPr>
                <w:p w14:paraId="4CEE40B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w:t>
                  </w:r>
                </w:p>
              </w:tc>
            </w:tr>
            <w:tr w:rsidR="003C4F46" w14:paraId="085B9193" w14:textId="77777777">
              <w:tc>
                <w:tcPr>
                  <w:tcW w:w="507" w:type="pct"/>
                  <w:vMerge/>
                  <w:tcBorders>
                    <w:tl2br w:val="nil"/>
                    <w:tr2bl w:val="nil"/>
                  </w:tcBorders>
                  <w:vAlign w:val="center"/>
                </w:tcPr>
                <w:p w14:paraId="73D28F2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6FCBDA4F"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7A82F99D"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264-011-12</w:t>
                  </w:r>
                </w:p>
              </w:tc>
              <w:tc>
                <w:tcPr>
                  <w:tcW w:w="1572" w:type="pct"/>
                  <w:tcBorders>
                    <w:tl2br w:val="nil"/>
                    <w:tr2bl w:val="nil"/>
                  </w:tcBorders>
                  <w:vAlign w:val="center"/>
                </w:tcPr>
                <w:p w14:paraId="0DAEF20D"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染料、颜料及中间体生产过程中产生的废母液、残渣、废吸附剂和中间体</w:t>
                  </w:r>
                </w:p>
              </w:tc>
              <w:tc>
                <w:tcPr>
                  <w:tcW w:w="661" w:type="pct"/>
                  <w:tcBorders>
                    <w:tl2br w:val="nil"/>
                    <w:tr2bl w:val="nil"/>
                  </w:tcBorders>
                  <w:vAlign w:val="center"/>
                </w:tcPr>
                <w:p w14:paraId="0B88938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118F408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3FAA9F1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0FA6AD8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AADA253" w14:textId="77777777">
              <w:tc>
                <w:tcPr>
                  <w:tcW w:w="507" w:type="pct"/>
                  <w:vMerge/>
                  <w:tcBorders>
                    <w:tl2br w:val="nil"/>
                    <w:tr2bl w:val="nil"/>
                  </w:tcBorders>
                  <w:vAlign w:val="center"/>
                </w:tcPr>
                <w:p w14:paraId="3BEC681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762940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1BD5773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264-013-12</w:t>
                  </w:r>
                </w:p>
              </w:tc>
              <w:tc>
                <w:tcPr>
                  <w:tcW w:w="1572" w:type="pct"/>
                  <w:tcBorders>
                    <w:tl2br w:val="nil"/>
                    <w:tr2bl w:val="nil"/>
                  </w:tcBorders>
                  <w:vAlign w:val="center"/>
                </w:tcPr>
                <w:p w14:paraId="674AFB9A"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油漆、油墨生产、配制和使用过程中产生的含颜料、油墨的废有机溶剂</w:t>
                  </w:r>
                </w:p>
              </w:tc>
              <w:tc>
                <w:tcPr>
                  <w:tcW w:w="661" w:type="pct"/>
                  <w:tcBorders>
                    <w:tl2br w:val="nil"/>
                    <w:tr2bl w:val="nil"/>
                  </w:tcBorders>
                  <w:vAlign w:val="center"/>
                </w:tcPr>
                <w:p w14:paraId="42A32A7F"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08A2250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4F733DA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131228A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672E6B1" w14:textId="77777777">
              <w:tc>
                <w:tcPr>
                  <w:tcW w:w="507" w:type="pct"/>
                  <w:vMerge/>
                  <w:tcBorders>
                    <w:tl2br w:val="nil"/>
                    <w:tr2bl w:val="nil"/>
                  </w:tcBorders>
                  <w:vAlign w:val="center"/>
                </w:tcPr>
                <w:p w14:paraId="32390AF7"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val="restart"/>
                  <w:tcBorders>
                    <w:tl2br w:val="nil"/>
                    <w:tr2bl w:val="nil"/>
                  </w:tcBorders>
                  <w:vAlign w:val="center"/>
                </w:tcPr>
                <w:p w14:paraId="5166842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非特定行业</w:t>
                  </w:r>
                </w:p>
              </w:tc>
              <w:tc>
                <w:tcPr>
                  <w:tcW w:w="751" w:type="pct"/>
                  <w:tcBorders>
                    <w:tl2br w:val="nil"/>
                    <w:tr2bl w:val="nil"/>
                  </w:tcBorders>
                  <w:vAlign w:val="center"/>
                </w:tcPr>
                <w:p w14:paraId="64E82DD2"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900-251-12</w:t>
                  </w:r>
                </w:p>
              </w:tc>
              <w:tc>
                <w:tcPr>
                  <w:tcW w:w="1572" w:type="pct"/>
                  <w:tcBorders>
                    <w:tl2br w:val="nil"/>
                    <w:tr2bl w:val="nil"/>
                  </w:tcBorders>
                  <w:vAlign w:val="center"/>
                </w:tcPr>
                <w:p w14:paraId="3A32BBD6"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使用油漆（不包括水性漆）、有机溶剂进行阻挡层涂敷过程中产生的废物</w:t>
                  </w:r>
                </w:p>
              </w:tc>
              <w:tc>
                <w:tcPr>
                  <w:tcW w:w="661" w:type="pct"/>
                  <w:tcBorders>
                    <w:tl2br w:val="nil"/>
                    <w:tr2bl w:val="nil"/>
                  </w:tcBorders>
                  <w:vAlign w:val="center"/>
                </w:tcPr>
                <w:p w14:paraId="475CE5D2"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51E9846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06893877"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5947E6E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06F609F6" w14:textId="77777777">
              <w:tc>
                <w:tcPr>
                  <w:tcW w:w="507" w:type="pct"/>
                  <w:vMerge/>
                  <w:tcBorders>
                    <w:tl2br w:val="nil"/>
                    <w:tr2bl w:val="nil"/>
                  </w:tcBorders>
                  <w:vAlign w:val="center"/>
                </w:tcPr>
                <w:p w14:paraId="7108F0E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F0F07F6"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7EB1692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900-252-12</w:t>
                  </w:r>
                </w:p>
              </w:tc>
              <w:tc>
                <w:tcPr>
                  <w:tcW w:w="1572" w:type="pct"/>
                  <w:tcBorders>
                    <w:tl2br w:val="nil"/>
                    <w:tr2bl w:val="nil"/>
                  </w:tcBorders>
                  <w:vAlign w:val="center"/>
                </w:tcPr>
                <w:p w14:paraId="771C79C0" w14:textId="72864324"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使用油漆（不包括水性漆）、有机溶剂进行喷漆、上漆过程中产生的废物</w:t>
                  </w:r>
                  <w:r w:rsidR="00514147" w:rsidRPr="00514147">
                    <w:rPr>
                      <w:rFonts w:cs="Times New Roman" w:hint="eastAsia"/>
                      <w:bCs/>
                      <w:sz w:val="21"/>
                      <w:szCs w:val="21"/>
                    </w:rPr>
                    <w:t>以及喷涂工位和管道清理过程产生的落地漆渣</w:t>
                  </w:r>
                </w:p>
              </w:tc>
              <w:tc>
                <w:tcPr>
                  <w:tcW w:w="661" w:type="pct"/>
                  <w:tcBorders>
                    <w:tl2br w:val="nil"/>
                    <w:tr2bl w:val="nil"/>
                  </w:tcBorders>
                  <w:vAlign w:val="center"/>
                </w:tcPr>
                <w:p w14:paraId="1A77A09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7A5821E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2219C0D0"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5106A508"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6ECFF09" w14:textId="77777777">
              <w:tc>
                <w:tcPr>
                  <w:tcW w:w="507" w:type="pct"/>
                  <w:vMerge/>
                  <w:tcBorders>
                    <w:tl2br w:val="nil"/>
                    <w:tr2bl w:val="nil"/>
                  </w:tcBorders>
                  <w:vAlign w:val="center"/>
                </w:tcPr>
                <w:p w14:paraId="27E8E4F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2CA5370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593C796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900-253-12</w:t>
                  </w:r>
                </w:p>
              </w:tc>
              <w:tc>
                <w:tcPr>
                  <w:tcW w:w="1572" w:type="pct"/>
                  <w:tcBorders>
                    <w:tl2br w:val="nil"/>
                    <w:tr2bl w:val="nil"/>
                  </w:tcBorders>
                  <w:vAlign w:val="center"/>
                </w:tcPr>
                <w:p w14:paraId="000971C8"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使用油墨和有机溶剂进行丝网印刷过程中产生的废物</w:t>
                  </w:r>
                </w:p>
              </w:tc>
              <w:tc>
                <w:tcPr>
                  <w:tcW w:w="661" w:type="pct"/>
                  <w:tcBorders>
                    <w:tl2br w:val="nil"/>
                    <w:tr2bl w:val="nil"/>
                  </w:tcBorders>
                  <w:vAlign w:val="center"/>
                </w:tcPr>
                <w:p w14:paraId="055EBC9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I</w:t>
                  </w:r>
                </w:p>
              </w:tc>
              <w:tc>
                <w:tcPr>
                  <w:tcW w:w="255" w:type="pct"/>
                  <w:tcBorders>
                    <w:tl2br w:val="nil"/>
                    <w:tr2bl w:val="nil"/>
                  </w:tcBorders>
                  <w:vAlign w:val="center"/>
                </w:tcPr>
                <w:p w14:paraId="1E75591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半固态</w:t>
                  </w:r>
                </w:p>
              </w:tc>
              <w:tc>
                <w:tcPr>
                  <w:tcW w:w="444" w:type="pct"/>
                  <w:vMerge/>
                  <w:tcBorders>
                    <w:tl2br w:val="nil"/>
                    <w:tr2bl w:val="nil"/>
                  </w:tcBorders>
                  <w:vAlign w:val="center"/>
                </w:tcPr>
                <w:p w14:paraId="16E7173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3A71B30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41C7A966" w14:textId="77777777">
              <w:tc>
                <w:tcPr>
                  <w:tcW w:w="507" w:type="pct"/>
                  <w:vMerge/>
                  <w:tcBorders>
                    <w:tl2br w:val="nil"/>
                    <w:tr2bl w:val="nil"/>
                  </w:tcBorders>
                  <w:vAlign w:val="center"/>
                </w:tcPr>
                <w:p w14:paraId="3D00D5A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6411829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0ECCD98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900-299-12</w:t>
                  </w:r>
                </w:p>
              </w:tc>
              <w:tc>
                <w:tcPr>
                  <w:tcW w:w="1572" w:type="pct"/>
                  <w:tcBorders>
                    <w:tl2br w:val="nil"/>
                    <w:tr2bl w:val="nil"/>
                  </w:tcBorders>
                  <w:vAlign w:val="center"/>
                </w:tcPr>
                <w:p w14:paraId="63C168EE"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生产、销售及使用过程中产生的失效、变质、不合格、淘汰、伪劣的油墨、染料、颜料、油漆（不包括水性漆）</w:t>
                  </w:r>
                </w:p>
              </w:tc>
              <w:tc>
                <w:tcPr>
                  <w:tcW w:w="661" w:type="pct"/>
                  <w:tcBorders>
                    <w:tl2br w:val="nil"/>
                    <w:tr2bl w:val="nil"/>
                  </w:tcBorders>
                  <w:vAlign w:val="center"/>
                </w:tcPr>
                <w:p w14:paraId="0DE3535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65012B7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半固态</w:t>
                  </w:r>
                </w:p>
              </w:tc>
              <w:tc>
                <w:tcPr>
                  <w:tcW w:w="444" w:type="pct"/>
                  <w:vMerge/>
                  <w:tcBorders>
                    <w:tl2br w:val="nil"/>
                    <w:tr2bl w:val="nil"/>
                  </w:tcBorders>
                  <w:vAlign w:val="center"/>
                </w:tcPr>
                <w:p w14:paraId="78EE300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64B6542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1044EFCA" w14:textId="77777777">
              <w:trPr>
                <w:trHeight w:val="1635"/>
              </w:trPr>
              <w:tc>
                <w:tcPr>
                  <w:tcW w:w="507" w:type="pct"/>
                  <w:vMerge w:val="restart"/>
                  <w:tcBorders>
                    <w:tl2br w:val="nil"/>
                    <w:tr2bl w:val="nil"/>
                  </w:tcBorders>
                  <w:vAlign w:val="center"/>
                </w:tcPr>
                <w:p w14:paraId="23BA753D"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HW13</w:t>
                  </w:r>
                  <w:r>
                    <w:rPr>
                      <w:rFonts w:cs="Times New Roman"/>
                      <w:bCs/>
                      <w:sz w:val="21"/>
                      <w:szCs w:val="21"/>
                    </w:rPr>
                    <w:t>有机树脂类废物</w:t>
                  </w:r>
                </w:p>
              </w:tc>
              <w:tc>
                <w:tcPr>
                  <w:tcW w:w="429" w:type="pct"/>
                  <w:tcBorders>
                    <w:tl2br w:val="nil"/>
                    <w:tr2bl w:val="nil"/>
                  </w:tcBorders>
                  <w:vAlign w:val="center"/>
                </w:tcPr>
                <w:p w14:paraId="43306E1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合成材料制造</w:t>
                  </w:r>
                </w:p>
              </w:tc>
              <w:tc>
                <w:tcPr>
                  <w:tcW w:w="751" w:type="pct"/>
                  <w:tcBorders>
                    <w:tl2br w:val="nil"/>
                    <w:tr2bl w:val="nil"/>
                  </w:tcBorders>
                  <w:vAlign w:val="center"/>
                </w:tcPr>
                <w:p w14:paraId="33FB51E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265-101-13</w:t>
                  </w:r>
                </w:p>
              </w:tc>
              <w:tc>
                <w:tcPr>
                  <w:tcW w:w="1572" w:type="pct"/>
                  <w:tcBorders>
                    <w:tl2br w:val="nil"/>
                    <w:tr2bl w:val="nil"/>
                  </w:tcBorders>
                  <w:vAlign w:val="center"/>
                </w:tcPr>
                <w:p w14:paraId="4B81C895"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树脂、合成乳胶、增塑剂、胶水</w:t>
                  </w:r>
                  <w:r>
                    <w:rPr>
                      <w:rFonts w:cs="Times New Roman" w:hint="eastAsia"/>
                      <w:bCs/>
                      <w:sz w:val="21"/>
                      <w:szCs w:val="21"/>
                    </w:rPr>
                    <w:t>/</w:t>
                  </w:r>
                  <w:r>
                    <w:rPr>
                      <w:rFonts w:cs="Times New Roman" w:hint="eastAsia"/>
                      <w:bCs/>
                      <w:sz w:val="21"/>
                      <w:szCs w:val="21"/>
                    </w:rPr>
                    <w:t>胶合剂合成过程产生的不合格产品（不包括热塑型树脂生产过程中聚合产物经脱除单体、低聚物、溶剂及其他助剂后产生的废料，以及热固型树脂固化后的固化体）</w:t>
                  </w:r>
                </w:p>
              </w:tc>
              <w:tc>
                <w:tcPr>
                  <w:tcW w:w="661" w:type="pct"/>
                  <w:tcBorders>
                    <w:tl2br w:val="nil"/>
                    <w:tr2bl w:val="nil"/>
                  </w:tcBorders>
                  <w:vAlign w:val="center"/>
                </w:tcPr>
                <w:p w14:paraId="4CF8E8C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0406DC4F"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半固态</w:t>
                  </w:r>
                </w:p>
              </w:tc>
              <w:tc>
                <w:tcPr>
                  <w:tcW w:w="444" w:type="pct"/>
                  <w:vMerge w:val="restart"/>
                  <w:tcBorders>
                    <w:tl2br w:val="nil"/>
                    <w:tr2bl w:val="nil"/>
                  </w:tcBorders>
                  <w:vAlign w:val="center"/>
                </w:tcPr>
                <w:p w14:paraId="163E772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50</w:t>
                  </w:r>
                </w:p>
              </w:tc>
              <w:tc>
                <w:tcPr>
                  <w:tcW w:w="381" w:type="pct"/>
                  <w:vMerge w:val="restart"/>
                  <w:tcBorders>
                    <w:tl2br w:val="nil"/>
                    <w:tr2bl w:val="nil"/>
                  </w:tcBorders>
                  <w:vAlign w:val="center"/>
                </w:tcPr>
                <w:p w14:paraId="756DCC5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5</w:t>
                  </w:r>
                </w:p>
              </w:tc>
            </w:tr>
            <w:tr w:rsidR="003C4F46" w14:paraId="732B7B71" w14:textId="77777777">
              <w:tc>
                <w:tcPr>
                  <w:tcW w:w="507" w:type="pct"/>
                  <w:vMerge/>
                  <w:tcBorders>
                    <w:tl2br w:val="nil"/>
                    <w:tr2bl w:val="nil"/>
                  </w:tcBorders>
                  <w:vAlign w:val="center"/>
                </w:tcPr>
                <w:p w14:paraId="3FAFC54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tcBorders>
                    <w:tl2br w:val="nil"/>
                    <w:tr2bl w:val="nil"/>
                  </w:tcBorders>
                  <w:vAlign w:val="center"/>
                </w:tcPr>
                <w:p w14:paraId="552F93F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非特定行业</w:t>
                  </w:r>
                </w:p>
              </w:tc>
              <w:tc>
                <w:tcPr>
                  <w:tcW w:w="751" w:type="pct"/>
                  <w:tcBorders>
                    <w:tl2br w:val="nil"/>
                    <w:tr2bl w:val="nil"/>
                  </w:tcBorders>
                  <w:vAlign w:val="center"/>
                </w:tcPr>
                <w:p w14:paraId="1D4CA23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900-015-13</w:t>
                  </w:r>
                </w:p>
              </w:tc>
              <w:tc>
                <w:tcPr>
                  <w:tcW w:w="1572" w:type="pct"/>
                  <w:tcBorders>
                    <w:tl2br w:val="nil"/>
                    <w:tr2bl w:val="nil"/>
                  </w:tcBorders>
                  <w:vAlign w:val="center"/>
                </w:tcPr>
                <w:p w14:paraId="1FF8850E"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湿法冶金、表面处理和制药行业重金属、抗生素提取、分离过程产生的废弃离子交换树脂，以及工业废水处理过程产生的废弃离子交换树脂</w:t>
                  </w:r>
                </w:p>
              </w:tc>
              <w:tc>
                <w:tcPr>
                  <w:tcW w:w="661" w:type="pct"/>
                  <w:tcBorders>
                    <w:tl2br w:val="nil"/>
                    <w:tr2bl w:val="nil"/>
                  </w:tcBorders>
                  <w:vAlign w:val="center"/>
                </w:tcPr>
                <w:p w14:paraId="1C1538D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75323FE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23CAA32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2FE1594C"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5009558A" w14:textId="77777777">
              <w:tc>
                <w:tcPr>
                  <w:tcW w:w="507" w:type="pct"/>
                  <w:vMerge w:val="restart"/>
                  <w:tcBorders>
                    <w:tl2br w:val="nil"/>
                    <w:tr2bl w:val="nil"/>
                  </w:tcBorders>
                  <w:vAlign w:val="center"/>
                </w:tcPr>
                <w:p w14:paraId="662B9F2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HW16</w:t>
                  </w:r>
                  <w:r>
                    <w:rPr>
                      <w:rFonts w:cs="Times New Roman"/>
                      <w:bCs/>
                      <w:sz w:val="21"/>
                      <w:szCs w:val="21"/>
                    </w:rPr>
                    <w:t>感光材料废物</w:t>
                  </w:r>
                </w:p>
              </w:tc>
              <w:tc>
                <w:tcPr>
                  <w:tcW w:w="429" w:type="pct"/>
                  <w:vMerge w:val="restart"/>
                  <w:tcBorders>
                    <w:tl2br w:val="nil"/>
                    <w:tr2bl w:val="nil"/>
                  </w:tcBorders>
                  <w:vAlign w:val="center"/>
                </w:tcPr>
                <w:p w14:paraId="328573CF"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印刷</w:t>
                  </w:r>
                </w:p>
              </w:tc>
              <w:tc>
                <w:tcPr>
                  <w:tcW w:w="751" w:type="pct"/>
                  <w:tcBorders>
                    <w:tl2br w:val="nil"/>
                    <w:tr2bl w:val="nil"/>
                  </w:tcBorders>
                  <w:vAlign w:val="center"/>
                </w:tcPr>
                <w:p w14:paraId="44B8A17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231-001-16</w:t>
                  </w:r>
                </w:p>
              </w:tc>
              <w:tc>
                <w:tcPr>
                  <w:tcW w:w="1572" w:type="pct"/>
                  <w:tcBorders>
                    <w:tl2br w:val="nil"/>
                    <w:tr2bl w:val="nil"/>
                  </w:tcBorders>
                  <w:vAlign w:val="center"/>
                </w:tcPr>
                <w:p w14:paraId="7A174731"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使用显影剂进行胶卷显影，使用定影剂进行胶卷定影，以及使用铁氰化钾、硫代硫酸盐进行影像减薄（漂白）产生的废显（定）影剂、胶片和废像纸</w:t>
                  </w:r>
                </w:p>
              </w:tc>
              <w:tc>
                <w:tcPr>
                  <w:tcW w:w="661" w:type="pct"/>
                  <w:tcBorders>
                    <w:tl2br w:val="nil"/>
                    <w:tr2bl w:val="nil"/>
                  </w:tcBorders>
                  <w:vAlign w:val="center"/>
                </w:tcPr>
                <w:p w14:paraId="6A13116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788F2D6C" w14:textId="77777777" w:rsidR="003C4F46" w:rsidRDefault="004B6A81">
                  <w:pPr>
                    <w:widowControl/>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液态</w:t>
                  </w:r>
                  <w:r>
                    <w:rPr>
                      <w:rFonts w:cs="Times New Roman" w:hint="eastAsia"/>
                      <w:color w:val="000000"/>
                      <w:kern w:val="0"/>
                      <w:sz w:val="21"/>
                      <w:szCs w:val="21"/>
                      <w:lang w:bidi="ar"/>
                    </w:rPr>
                    <w:t>/</w:t>
                  </w:r>
                  <w:r>
                    <w:rPr>
                      <w:rFonts w:cs="Times New Roman" w:hint="eastAsia"/>
                      <w:color w:val="000000"/>
                      <w:kern w:val="0"/>
                      <w:sz w:val="21"/>
                      <w:szCs w:val="21"/>
                      <w:lang w:bidi="ar"/>
                    </w:rPr>
                    <w:t>固态</w:t>
                  </w:r>
                </w:p>
              </w:tc>
              <w:tc>
                <w:tcPr>
                  <w:tcW w:w="444" w:type="pct"/>
                  <w:vMerge w:val="restart"/>
                  <w:tcBorders>
                    <w:tl2br w:val="nil"/>
                    <w:tr2bl w:val="nil"/>
                  </w:tcBorders>
                  <w:vAlign w:val="center"/>
                </w:tcPr>
                <w:p w14:paraId="27CE915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20</w:t>
                  </w:r>
                </w:p>
              </w:tc>
              <w:tc>
                <w:tcPr>
                  <w:tcW w:w="381" w:type="pct"/>
                  <w:vMerge w:val="restart"/>
                  <w:tcBorders>
                    <w:tl2br w:val="nil"/>
                    <w:tr2bl w:val="nil"/>
                  </w:tcBorders>
                  <w:vAlign w:val="center"/>
                </w:tcPr>
                <w:p w14:paraId="3AAB131F"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w:t>
                  </w:r>
                </w:p>
              </w:tc>
            </w:tr>
            <w:tr w:rsidR="003C4F46" w14:paraId="23331A4F" w14:textId="77777777">
              <w:tc>
                <w:tcPr>
                  <w:tcW w:w="507" w:type="pct"/>
                  <w:vMerge/>
                  <w:tcBorders>
                    <w:tl2br w:val="nil"/>
                    <w:tr2bl w:val="nil"/>
                  </w:tcBorders>
                  <w:vAlign w:val="center"/>
                </w:tcPr>
                <w:p w14:paraId="112381B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1A337F7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4AD4D4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231-002-16</w:t>
                  </w:r>
                </w:p>
              </w:tc>
              <w:tc>
                <w:tcPr>
                  <w:tcW w:w="1572" w:type="pct"/>
                  <w:tcBorders>
                    <w:tl2br w:val="nil"/>
                    <w:tr2bl w:val="nil"/>
                  </w:tcBorders>
                  <w:vAlign w:val="center"/>
                </w:tcPr>
                <w:p w14:paraId="477B3360"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使用显影剂进行印刷显影、抗蚀图形显影，以及凸版印刷产生的废显（定）影剂、胶片和废像纸</w:t>
                  </w:r>
                </w:p>
              </w:tc>
              <w:tc>
                <w:tcPr>
                  <w:tcW w:w="661" w:type="pct"/>
                  <w:tcBorders>
                    <w:tl2br w:val="nil"/>
                    <w:tr2bl w:val="nil"/>
                  </w:tcBorders>
                  <w:vAlign w:val="center"/>
                </w:tcPr>
                <w:p w14:paraId="5C6ED0C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224B3EA7" w14:textId="77777777" w:rsidR="003C4F46" w:rsidRDefault="004B6A81">
                  <w:pPr>
                    <w:widowControl/>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液态</w:t>
                  </w:r>
                  <w:r>
                    <w:rPr>
                      <w:rFonts w:cs="Times New Roman" w:hint="eastAsia"/>
                      <w:color w:val="000000"/>
                      <w:kern w:val="0"/>
                      <w:sz w:val="21"/>
                      <w:szCs w:val="21"/>
                      <w:lang w:bidi="ar"/>
                    </w:rPr>
                    <w:t>/</w:t>
                  </w:r>
                  <w:r>
                    <w:rPr>
                      <w:rFonts w:cs="Times New Roman" w:hint="eastAsia"/>
                      <w:color w:val="000000"/>
                      <w:kern w:val="0"/>
                      <w:sz w:val="21"/>
                      <w:szCs w:val="21"/>
                      <w:lang w:bidi="ar"/>
                    </w:rPr>
                    <w:t>固态</w:t>
                  </w:r>
                </w:p>
              </w:tc>
              <w:tc>
                <w:tcPr>
                  <w:tcW w:w="444" w:type="pct"/>
                  <w:vMerge/>
                  <w:tcBorders>
                    <w:tl2br w:val="nil"/>
                    <w:tr2bl w:val="nil"/>
                  </w:tcBorders>
                  <w:vAlign w:val="center"/>
                </w:tcPr>
                <w:p w14:paraId="3BAF4B8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4EF1897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23EC9014" w14:textId="77777777">
              <w:tc>
                <w:tcPr>
                  <w:tcW w:w="507" w:type="pct"/>
                  <w:vMerge w:val="restart"/>
                  <w:tcBorders>
                    <w:tl2br w:val="nil"/>
                    <w:tr2bl w:val="nil"/>
                  </w:tcBorders>
                  <w:vAlign w:val="center"/>
                </w:tcPr>
                <w:p w14:paraId="7A85032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HW29</w:t>
                  </w:r>
                  <w:r>
                    <w:rPr>
                      <w:rFonts w:cs="Times New Roman"/>
                      <w:bCs/>
                      <w:sz w:val="21"/>
                      <w:szCs w:val="21"/>
                    </w:rPr>
                    <w:t>含汞废物</w:t>
                  </w:r>
                </w:p>
              </w:tc>
              <w:tc>
                <w:tcPr>
                  <w:tcW w:w="429" w:type="pct"/>
                  <w:vMerge w:val="restart"/>
                  <w:tcBorders>
                    <w:tl2br w:val="nil"/>
                    <w:tr2bl w:val="nil"/>
                  </w:tcBorders>
                  <w:vAlign w:val="center"/>
                </w:tcPr>
                <w:p w14:paraId="5BD66FF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非特定行业</w:t>
                  </w:r>
                </w:p>
              </w:tc>
              <w:tc>
                <w:tcPr>
                  <w:tcW w:w="751" w:type="pct"/>
                  <w:tcBorders>
                    <w:tl2br w:val="nil"/>
                    <w:tr2bl w:val="nil"/>
                  </w:tcBorders>
                  <w:vAlign w:val="center"/>
                </w:tcPr>
                <w:p w14:paraId="4C933D1D"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900-023-29</w:t>
                  </w:r>
                </w:p>
              </w:tc>
              <w:tc>
                <w:tcPr>
                  <w:tcW w:w="1572" w:type="pct"/>
                  <w:tcBorders>
                    <w:tl2br w:val="nil"/>
                    <w:tr2bl w:val="nil"/>
                  </w:tcBorders>
                  <w:vAlign w:val="center"/>
                </w:tcPr>
                <w:p w14:paraId="479C5335"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生产、销售及使用过程中产生的废含汞荧光灯管及其他废含汞电光源，及废弃含汞电光源处理处置过程中产生的废荧光粉、废活性炭和废水处理污泥</w:t>
                  </w:r>
                </w:p>
              </w:tc>
              <w:tc>
                <w:tcPr>
                  <w:tcW w:w="661" w:type="pct"/>
                  <w:tcBorders>
                    <w:tl2br w:val="nil"/>
                    <w:tr2bl w:val="nil"/>
                  </w:tcBorders>
                  <w:vAlign w:val="center"/>
                </w:tcPr>
                <w:p w14:paraId="5330F1A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17B3152B" w14:textId="77777777" w:rsidR="003C4F46" w:rsidRDefault="004B6A81">
                  <w:pPr>
                    <w:widowControl/>
                    <w:adjustRightInd w:val="0"/>
                    <w:snapToGrid w:val="0"/>
                    <w:spacing w:line="240" w:lineRule="auto"/>
                    <w:ind w:firstLineChars="0" w:firstLine="0"/>
                    <w:jc w:val="center"/>
                    <w:textAlignment w:val="auto"/>
                    <w:rPr>
                      <w:rFonts w:cs="Times New Roman"/>
                      <w:bCs/>
                      <w:sz w:val="21"/>
                      <w:szCs w:val="21"/>
                    </w:rPr>
                  </w:pPr>
                  <w:r>
                    <w:rPr>
                      <w:rFonts w:cs="Times New Roman" w:hint="eastAsia"/>
                      <w:color w:val="000000"/>
                      <w:kern w:val="0"/>
                      <w:sz w:val="21"/>
                      <w:szCs w:val="21"/>
                      <w:lang w:bidi="ar"/>
                    </w:rPr>
                    <w:t>半固态</w:t>
                  </w:r>
                </w:p>
              </w:tc>
              <w:tc>
                <w:tcPr>
                  <w:tcW w:w="444" w:type="pct"/>
                  <w:vMerge w:val="restart"/>
                  <w:tcBorders>
                    <w:tl2br w:val="nil"/>
                    <w:tr2bl w:val="nil"/>
                  </w:tcBorders>
                  <w:vAlign w:val="center"/>
                </w:tcPr>
                <w:p w14:paraId="4C3FDE6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20</w:t>
                  </w:r>
                </w:p>
              </w:tc>
              <w:tc>
                <w:tcPr>
                  <w:tcW w:w="381" w:type="pct"/>
                  <w:vMerge w:val="restart"/>
                  <w:tcBorders>
                    <w:tl2br w:val="nil"/>
                    <w:tr2bl w:val="nil"/>
                  </w:tcBorders>
                  <w:vAlign w:val="center"/>
                </w:tcPr>
                <w:p w14:paraId="4942D4D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w:t>
                  </w:r>
                </w:p>
              </w:tc>
            </w:tr>
            <w:tr w:rsidR="003C4F46" w14:paraId="7FD86A7F" w14:textId="77777777">
              <w:tc>
                <w:tcPr>
                  <w:tcW w:w="507" w:type="pct"/>
                  <w:vMerge/>
                  <w:tcBorders>
                    <w:tl2br w:val="nil"/>
                    <w:tr2bl w:val="nil"/>
                  </w:tcBorders>
                  <w:vAlign w:val="center"/>
                </w:tcPr>
                <w:p w14:paraId="456023C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1449ABA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694B63D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900-024-29</w:t>
                  </w:r>
                </w:p>
              </w:tc>
              <w:tc>
                <w:tcPr>
                  <w:tcW w:w="1572" w:type="pct"/>
                  <w:tcBorders>
                    <w:tl2br w:val="nil"/>
                    <w:tr2bl w:val="nil"/>
                  </w:tcBorders>
                  <w:vAlign w:val="center"/>
                </w:tcPr>
                <w:p w14:paraId="0C41E2BC" w14:textId="2A5FA7FF"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生产、销售及使用过程中产生的废含汞温度计、废含汞血压计、废含汞真空表、废含汞压力计、废氧化汞电池和废汞开关</w:t>
                  </w:r>
                  <w:r w:rsidR="009631EE" w:rsidRPr="009631EE">
                    <w:rPr>
                      <w:rFonts w:cs="Times New Roman" w:hint="eastAsia"/>
                      <w:bCs/>
                      <w:sz w:val="21"/>
                      <w:szCs w:val="21"/>
                    </w:rPr>
                    <w:t>，以及《关于汞的水俣公约》管控的其他废含汞非电子测量仪器</w:t>
                  </w:r>
                </w:p>
              </w:tc>
              <w:tc>
                <w:tcPr>
                  <w:tcW w:w="661" w:type="pct"/>
                  <w:tcBorders>
                    <w:tl2br w:val="nil"/>
                    <w:tr2bl w:val="nil"/>
                  </w:tcBorders>
                  <w:vAlign w:val="center"/>
                </w:tcPr>
                <w:p w14:paraId="56A3FF8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6C8F48A4" w14:textId="77777777" w:rsidR="003C4F46" w:rsidRDefault="004B6A81">
                  <w:pPr>
                    <w:widowControl/>
                    <w:adjustRightInd w:val="0"/>
                    <w:snapToGrid w:val="0"/>
                    <w:spacing w:line="240" w:lineRule="auto"/>
                    <w:ind w:firstLineChars="0" w:firstLine="0"/>
                    <w:jc w:val="center"/>
                    <w:textAlignment w:val="auto"/>
                    <w:rPr>
                      <w:rFonts w:cs="Times New Roman"/>
                      <w:bCs/>
                      <w:sz w:val="21"/>
                      <w:szCs w:val="21"/>
                    </w:rPr>
                  </w:pPr>
                  <w:r>
                    <w:rPr>
                      <w:rFonts w:cs="Times New Roman" w:hint="eastAsia"/>
                      <w:color w:val="000000"/>
                      <w:kern w:val="0"/>
                      <w:sz w:val="21"/>
                      <w:szCs w:val="21"/>
                      <w:lang w:bidi="ar"/>
                    </w:rPr>
                    <w:t>固态</w:t>
                  </w:r>
                </w:p>
              </w:tc>
              <w:tc>
                <w:tcPr>
                  <w:tcW w:w="444" w:type="pct"/>
                  <w:vMerge/>
                  <w:tcBorders>
                    <w:tl2br w:val="nil"/>
                    <w:tr2bl w:val="nil"/>
                  </w:tcBorders>
                  <w:vAlign w:val="center"/>
                </w:tcPr>
                <w:p w14:paraId="4FE2B0E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46A9EC3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747A5F2F" w14:textId="77777777">
              <w:tc>
                <w:tcPr>
                  <w:tcW w:w="507" w:type="pct"/>
                  <w:tcBorders>
                    <w:tl2br w:val="nil"/>
                    <w:tr2bl w:val="nil"/>
                  </w:tcBorders>
                  <w:vAlign w:val="center"/>
                </w:tcPr>
                <w:p w14:paraId="2C7A8CE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HW31</w:t>
                  </w:r>
                  <w:r>
                    <w:rPr>
                      <w:rFonts w:cs="Times New Roman"/>
                      <w:bCs/>
                      <w:sz w:val="21"/>
                      <w:szCs w:val="21"/>
                    </w:rPr>
                    <w:t>含铅废物</w:t>
                  </w:r>
                </w:p>
              </w:tc>
              <w:tc>
                <w:tcPr>
                  <w:tcW w:w="429" w:type="pct"/>
                  <w:tcBorders>
                    <w:tl2br w:val="nil"/>
                    <w:tr2bl w:val="nil"/>
                  </w:tcBorders>
                  <w:vAlign w:val="center"/>
                </w:tcPr>
                <w:p w14:paraId="747BB8F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非特定行业</w:t>
                  </w:r>
                </w:p>
              </w:tc>
              <w:tc>
                <w:tcPr>
                  <w:tcW w:w="751" w:type="pct"/>
                  <w:tcBorders>
                    <w:tl2br w:val="nil"/>
                    <w:tr2bl w:val="nil"/>
                  </w:tcBorders>
                  <w:vAlign w:val="center"/>
                </w:tcPr>
                <w:p w14:paraId="4973565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900-052-31</w:t>
                  </w:r>
                </w:p>
              </w:tc>
              <w:tc>
                <w:tcPr>
                  <w:tcW w:w="1572" w:type="pct"/>
                  <w:tcBorders>
                    <w:tl2br w:val="nil"/>
                    <w:tr2bl w:val="nil"/>
                  </w:tcBorders>
                  <w:vAlign w:val="center"/>
                </w:tcPr>
                <w:p w14:paraId="68C3F815"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废铅蓄电池及废铅蓄电池拆解过程中产生的废铅板、废铅膏和酸液</w:t>
                  </w:r>
                </w:p>
              </w:tc>
              <w:tc>
                <w:tcPr>
                  <w:tcW w:w="661" w:type="pct"/>
                  <w:tcBorders>
                    <w:tl2br w:val="nil"/>
                    <w:tr2bl w:val="nil"/>
                  </w:tcBorders>
                  <w:vAlign w:val="center"/>
                </w:tcPr>
                <w:p w14:paraId="41112B7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r>
                    <w:rPr>
                      <w:rFonts w:cs="Times New Roman" w:hint="eastAsia"/>
                      <w:bCs/>
                      <w:sz w:val="21"/>
                      <w:szCs w:val="21"/>
                    </w:rPr>
                    <w:t>，</w:t>
                  </w:r>
                  <w:r>
                    <w:rPr>
                      <w:rFonts w:cs="Times New Roman" w:hint="eastAsia"/>
                      <w:bCs/>
                      <w:sz w:val="21"/>
                      <w:szCs w:val="21"/>
                    </w:rPr>
                    <w:t>C</w:t>
                  </w:r>
                </w:p>
              </w:tc>
              <w:tc>
                <w:tcPr>
                  <w:tcW w:w="255" w:type="pct"/>
                  <w:tcBorders>
                    <w:tl2br w:val="nil"/>
                    <w:tr2bl w:val="nil"/>
                  </w:tcBorders>
                  <w:vAlign w:val="center"/>
                </w:tcPr>
                <w:p w14:paraId="4ABDA5B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color w:val="000000"/>
                      <w:kern w:val="0"/>
                      <w:sz w:val="21"/>
                      <w:szCs w:val="21"/>
                      <w:lang w:bidi="ar"/>
                    </w:rPr>
                    <w:t>液态</w:t>
                  </w:r>
                  <w:r>
                    <w:rPr>
                      <w:rFonts w:cs="Times New Roman" w:hint="eastAsia"/>
                      <w:color w:val="000000"/>
                      <w:kern w:val="0"/>
                      <w:sz w:val="21"/>
                      <w:szCs w:val="21"/>
                      <w:lang w:bidi="ar"/>
                    </w:rPr>
                    <w:t>/</w:t>
                  </w:r>
                  <w:r>
                    <w:rPr>
                      <w:rFonts w:cs="Times New Roman" w:hint="eastAsia"/>
                      <w:color w:val="000000"/>
                      <w:kern w:val="0"/>
                      <w:sz w:val="21"/>
                      <w:szCs w:val="21"/>
                      <w:lang w:bidi="ar"/>
                    </w:rPr>
                    <w:t>固态</w:t>
                  </w:r>
                </w:p>
              </w:tc>
              <w:tc>
                <w:tcPr>
                  <w:tcW w:w="444" w:type="pct"/>
                  <w:tcBorders>
                    <w:tl2br w:val="nil"/>
                    <w:tr2bl w:val="nil"/>
                  </w:tcBorders>
                  <w:vAlign w:val="center"/>
                </w:tcPr>
                <w:p w14:paraId="688C02E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16</w:t>
                  </w:r>
                  <w:r>
                    <w:rPr>
                      <w:rFonts w:cs="Times New Roman"/>
                      <w:bCs/>
                      <w:sz w:val="21"/>
                      <w:szCs w:val="21"/>
                    </w:rPr>
                    <w:t>00</w:t>
                  </w:r>
                </w:p>
              </w:tc>
              <w:tc>
                <w:tcPr>
                  <w:tcW w:w="381" w:type="pct"/>
                  <w:tcBorders>
                    <w:tl2br w:val="nil"/>
                    <w:tr2bl w:val="nil"/>
                  </w:tcBorders>
                  <w:vAlign w:val="center"/>
                </w:tcPr>
                <w:p w14:paraId="5E58171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30</w:t>
                  </w:r>
                </w:p>
              </w:tc>
            </w:tr>
            <w:tr w:rsidR="003C4F46" w14:paraId="46E2C025" w14:textId="77777777">
              <w:tc>
                <w:tcPr>
                  <w:tcW w:w="507" w:type="pct"/>
                  <w:vMerge w:val="restart"/>
                  <w:tcBorders>
                    <w:tl2br w:val="nil"/>
                    <w:tr2bl w:val="nil"/>
                  </w:tcBorders>
                  <w:vAlign w:val="center"/>
                </w:tcPr>
                <w:p w14:paraId="15A2971F"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HW36</w:t>
                  </w:r>
                  <w:r>
                    <w:rPr>
                      <w:rFonts w:cs="Times New Roman"/>
                      <w:bCs/>
                      <w:sz w:val="21"/>
                      <w:szCs w:val="21"/>
                    </w:rPr>
                    <w:t>石棉废物</w:t>
                  </w:r>
                </w:p>
              </w:tc>
              <w:tc>
                <w:tcPr>
                  <w:tcW w:w="429" w:type="pct"/>
                  <w:vMerge w:val="restart"/>
                  <w:tcBorders>
                    <w:tl2br w:val="nil"/>
                    <w:tr2bl w:val="nil"/>
                  </w:tcBorders>
                  <w:vAlign w:val="center"/>
                </w:tcPr>
                <w:p w14:paraId="198C3C4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非特定行业</w:t>
                  </w:r>
                </w:p>
              </w:tc>
              <w:tc>
                <w:tcPr>
                  <w:tcW w:w="751" w:type="pct"/>
                  <w:tcBorders>
                    <w:tl2br w:val="nil"/>
                    <w:tr2bl w:val="nil"/>
                  </w:tcBorders>
                  <w:vAlign w:val="center"/>
                </w:tcPr>
                <w:p w14:paraId="33F15C9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900-030-36</w:t>
                  </w:r>
                </w:p>
              </w:tc>
              <w:tc>
                <w:tcPr>
                  <w:tcW w:w="1572" w:type="pct"/>
                  <w:tcBorders>
                    <w:tl2br w:val="nil"/>
                    <w:tr2bl w:val="nil"/>
                  </w:tcBorders>
                  <w:vAlign w:val="center"/>
                </w:tcPr>
                <w:p w14:paraId="4D79DCCE"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其他生产过程中产生的石棉废物</w:t>
                  </w:r>
                </w:p>
              </w:tc>
              <w:tc>
                <w:tcPr>
                  <w:tcW w:w="661" w:type="pct"/>
                  <w:tcBorders>
                    <w:tl2br w:val="nil"/>
                    <w:tr2bl w:val="nil"/>
                  </w:tcBorders>
                  <w:vAlign w:val="center"/>
                </w:tcPr>
                <w:p w14:paraId="57189D6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665B7F1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val="restart"/>
                  <w:tcBorders>
                    <w:tl2br w:val="nil"/>
                    <w:tr2bl w:val="nil"/>
                  </w:tcBorders>
                  <w:vAlign w:val="center"/>
                </w:tcPr>
                <w:p w14:paraId="5F26724F" w14:textId="6514D603" w:rsidR="003C4F46" w:rsidRDefault="003844D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w:t>
                  </w:r>
                </w:p>
              </w:tc>
              <w:tc>
                <w:tcPr>
                  <w:tcW w:w="381" w:type="pct"/>
                  <w:vMerge w:val="restart"/>
                  <w:tcBorders>
                    <w:tl2br w:val="nil"/>
                    <w:tr2bl w:val="nil"/>
                  </w:tcBorders>
                  <w:vAlign w:val="center"/>
                </w:tcPr>
                <w:p w14:paraId="60FC374F" w14:textId="51FA7A62" w:rsidR="003C4F46" w:rsidRDefault="003844D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6</w:t>
                  </w:r>
                </w:p>
              </w:tc>
            </w:tr>
            <w:tr w:rsidR="003C4F46" w14:paraId="753550D9" w14:textId="77777777">
              <w:tc>
                <w:tcPr>
                  <w:tcW w:w="507" w:type="pct"/>
                  <w:vMerge/>
                  <w:tcBorders>
                    <w:tl2br w:val="nil"/>
                    <w:tr2bl w:val="nil"/>
                  </w:tcBorders>
                  <w:vAlign w:val="center"/>
                </w:tcPr>
                <w:p w14:paraId="03F21B3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A0BDE28"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34568D0F"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900-031-36</w:t>
                  </w:r>
                </w:p>
              </w:tc>
              <w:tc>
                <w:tcPr>
                  <w:tcW w:w="1572" w:type="pct"/>
                  <w:tcBorders>
                    <w:tl2br w:val="nil"/>
                    <w:tr2bl w:val="nil"/>
                  </w:tcBorders>
                  <w:vAlign w:val="center"/>
                </w:tcPr>
                <w:p w14:paraId="776E3AE8" w14:textId="7E0B2F74" w:rsidR="003C4F46" w:rsidRDefault="009631EE">
                  <w:pPr>
                    <w:adjustRightInd w:val="0"/>
                    <w:snapToGrid w:val="0"/>
                    <w:spacing w:line="240" w:lineRule="auto"/>
                    <w:ind w:firstLineChars="0" w:firstLine="0"/>
                    <w:textAlignment w:val="auto"/>
                    <w:rPr>
                      <w:rFonts w:cs="Times New Roman"/>
                      <w:bCs/>
                      <w:sz w:val="21"/>
                      <w:szCs w:val="21"/>
                    </w:rPr>
                  </w:pPr>
                  <w:r w:rsidRPr="009631EE">
                    <w:rPr>
                      <w:rFonts w:cs="Times New Roman" w:hint="eastAsia"/>
                      <w:bCs/>
                      <w:sz w:val="21"/>
                      <w:szCs w:val="21"/>
                    </w:rPr>
                    <w:t>废石棉建材、废石棉绝缘材料</w:t>
                  </w:r>
                </w:p>
              </w:tc>
              <w:tc>
                <w:tcPr>
                  <w:tcW w:w="661" w:type="pct"/>
                  <w:tcBorders>
                    <w:tl2br w:val="nil"/>
                    <w:tr2bl w:val="nil"/>
                  </w:tcBorders>
                  <w:vAlign w:val="center"/>
                </w:tcPr>
                <w:p w14:paraId="5AD6DAE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7F98BD3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21A0A787"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2B479BE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7F2D4E81" w14:textId="77777777" w:rsidTr="003844D1">
              <w:trPr>
                <w:trHeight w:val="935"/>
              </w:trPr>
              <w:tc>
                <w:tcPr>
                  <w:tcW w:w="507" w:type="pct"/>
                  <w:vMerge/>
                  <w:tcBorders>
                    <w:tl2br w:val="nil"/>
                    <w:tr2bl w:val="nil"/>
                  </w:tcBorders>
                  <w:vAlign w:val="center"/>
                </w:tcPr>
                <w:p w14:paraId="196B83C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4CAC29C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03CAF2F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900-032-36</w:t>
                  </w:r>
                </w:p>
              </w:tc>
              <w:tc>
                <w:tcPr>
                  <w:tcW w:w="1572" w:type="pct"/>
                  <w:tcBorders>
                    <w:tl2br w:val="nil"/>
                    <w:tr2bl w:val="nil"/>
                  </w:tcBorders>
                  <w:vAlign w:val="center"/>
                </w:tcPr>
                <w:p w14:paraId="1BD78808"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含有隔膜、热绝缘体等石棉材料的设施保养拆换及车辆制动器衬片的更换产生的石棉废物</w:t>
                  </w:r>
                </w:p>
              </w:tc>
              <w:tc>
                <w:tcPr>
                  <w:tcW w:w="661" w:type="pct"/>
                  <w:tcBorders>
                    <w:tl2br w:val="nil"/>
                    <w:tr2bl w:val="nil"/>
                  </w:tcBorders>
                  <w:vAlign w:val="center"/>
                </w:tcPr>
                <w:p w14:paraId="368A6B6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7746453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5DDA858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234091F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2300A16" w14:textId="77777777">
              <w:tc>
                <w:tcPr>
                  <w:tcW w:w="507" w:type="pct"/>
                  <w:vMerge w:val="restart"/>
                  <w:tcBorders>
                    <w:tl2br w:val="nil"/>
                    <w:tr2bl w:val="nil"/>
                  </w:tcBorders>
                  <w:vAlign w:val="center"/>
                </w:tcPr>
                <w:p w14:paraId="0829A28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HW49</w:t>
                  </w:r>
                  <w:r>
                    <w:rPr>
                      <w:rFonts w:cs="Times New Roman"/>
                      <w:bCs/>
                      <w:sz w:val="21"/>
                      <w:szCs w:val="21"/>
                    </w:rPr>
                    <w:t>其他废物</w:t>
                  </w:r>
                </w:p>
              </w:tc>
              <w:tc>
                <w:tcPr>
                  <w:tcW w:w="429" w:type="pct"/>
                  <w:vMerge w:val="restart"/>
                  <w:tcBorders>
                    <w:tl2br w:val="nil"/>
                    <w:tr2bl w:val="nil"/>
                  </w:tcBorders>
                  <w:vAlign w:val="center"/>
                </w:tcPr>
                <w:p w14:paraId="404CCBA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非特定行业</w:t>
                  </w:r>
                </w:p>
              </w:tc>
              <w:tc>
                <w:tcPr>
                  <w:tcW w:w="751" w:type="pct"/>
                  <w:tcBorders>
                    <w:tl2br w:val="nil"/>
                    <w:tr2bl w:val="nil"/>
                  </w:tcBorders>
                  <w:vAlign w:val="center"/>
                </w:tcPr>
                <w:p w14:paraId="5D2E228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900-039-49</w:t>
                  </w:r>
                </w:p>
              </w:tc>
              <w:tc>
                <w:tcPr>
                  <w:tcW w:w="1572" w:type="pct"/>
                  <w:tcBorders>
                    <w:tl2br w:val="nil"/>
                    <w:tr2bl w:val="nil"/>
                  </w:tcBorders>
                  <w:vAlign w:val="center"/>
                </w:tcPr>
                <w:p w14:paraId="4DF08DB5"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烟气、</w:t>
                  </w:r>
                  <w:r>
                    <w:rPr>
                      <w:rFonts w:cs="Times New Roman" w:hint="eastAsia"/>
                      <w:bCs/>
                      <w:sz w:val="21"/>
                      <w:szCs w:val="21"/>
                    </w:rPr>
                    <w:t>VOCs</w:t>
                  </w:r>
                  <w:r>
                    <w:rPr>
                      <w:rFonts w:cs="Times New Roman" w:hint="eastAsia"/>
                      <w:bCs/>
                      <w:sz w:val="21"/>
                      <w:szCs w:val="21"/>
                    </w:rPr>
                    <w:t>治理过程（不包括餐饮行业油烟治理过程）产生的废活性炭，化学原料和化学制品脱色（不包括有机合成食品添加剂脱色）、除杂净化过程产生的废活性炭（不包括</w:t>
                  </w:r>
                  <w:r>
                    <w:rPr>
                      <w:rFonts w:cs="Times New Roman" w:hint="eastAsia"/>
                      <w:bCs/>
                      <w:sz w:val="21"/>
                      <w:szCs w:val="21"/>
                    </w:rPr>
                    <w:t>900-405-06</w:t>
                  </w:r>
                  <w:r>
                    <w:rPr>
                      <w:rFonts w:cs="Times New Roman" w:hint="eastAsia"/>
                      <w:bCs/>
                      <w:sz w:val="21"/>
                      <w:szCs w:val="21"/>
                    </w:rPr>
                    <w:t>、</w:t>
                  </w:r>
                  <w:r>
                    <w:rPr>
                      <w:rFonts w:cs="Times New Roman" w:hint="eastAsia"/>
                      <w:bCs/>
                      <w:sz w:val="21"/>
                      <w:szCs w:val="21"/>
                    </w:rPr>
                    <w:t>772-005-18</w:t>
                  </w:r>
                  <w:r>
                    <w:rPr>
                      <w:rFonts w:cs="Times New Roman" w:hint="eastAsia"/>
                      <w:bCs/>
                      <w:sz w:val="21"/>
                      <w:szCs w:val="21"/>
                    </w:rPr>
                    <w:t>、</w:t>
                  </w:r>
                  <w:r>
                    <w:rPr>
                      <w:rFonts w:cs="Times New Roman" w:hint="eastAsia"/>
                      <w:bCs/>
                      <w:sz w:val="21"/>
                      <w:szCs w:val="21"/>
                    </w:rPr>
                    <w:t>61-053-29</w:t>
                  </w:r>
                  <w:r>
                    <w:rPr>
                      <w:rFonts w:cs="Times New Roman" w:hint="eastAsia"/>
                      <w:bCs/>
                      <w:sz w:val="21"/>
                      <w:szCs w:val="21"/>
                    </w:rPr>
                    <w:t>、</w:t>
                  </w:r>
                  <w:r>
                    <w:rPr>
                      <w:rFonts w:cs="Times New Roman" w:hint="eastAsia"/>
                      <w:bCs/>
                      <w:sz w:val="21"/>
                      <w:szCs w:val="21"/>
                    </w:rPr>
                    <w:t>265-002-29</w:t>
                  </w:r>
                  <w:r>
                    <w:rPr>
                      <w:rFonts w:cs="Times New Roman" w:hint="eastAsia"/>
                      <w:bCs/>
                      <w:sz w:val="21"/>
                      <w:szCs w:val="21"/>
                    </w:rPr>
                    <w:t>、</w:t>
                  </w:r>
                  <w:r>
                    <w:rPr>
                      <w:rFonts w:cs="Times New Roman" w:hint="eastAsia"/>
                      <w:bCs/>
                      <w:sz w:val="21"/>
                      <w:szCs w:val="21"/>
                    </w:rPr>
                    <w:t>384-003-29</w:t>
                  </w:r>
                  <w:r>
                    <w:rPr>
                      <w:rFonts w:cs="Times New Roman" w:hint="eastAsia"/>
                      <w:bCs/>
                      <w:sz w:val="21"/>
                      <w:szCs w:val="21"/>
                    </w:rPr>
                    <w:t>、</w:t>
                  </w:r>
                  <w:r>
                    <w:rPr>
                      <w:rFonts w:cs="Times New Roman" w:hint="eastAsia"/>
                      <w:bCs/>
                      <w:sz w:val="21"/>
                      <w:szCs w:val="21"/>
                    </w:rPr>
                    <w:t>387-001-29</w:t>
                  </w:r>
                  <w:r>
                    <w:rPr>
                      <w:rFonts w:cs="Times New Roman" w:hint="eastAsia"/>
                      <w:bCs/>
                      <w:sz w:val="21"/>
                      <w:szCs w:val="21"/>
                    </w:rPr>
                    <w:t>类废物）</w:t>
                  </w:r>
                </w:p>
              </w:tc>
              <w:tc>
                <w:tcPr>
                  <w:tcW w:w="661" w:type="pct"/>
                  <w:tcBorders>
                    <w:tl2br w:val="nil"/>
                    <w:tr2bl w:val="nil"/>
                  </w:tcBorders>
                  <w:vAlign w:val="center"/>
                </w:tcPr>
                <w:p w14:paraId="207936B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6534DBC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val="restart"/>
                  <w:tcBorders>
                    <w:tl2br w:val="nil"/>
                    <w:tr2bl w:val="nil"/>
                  </w:tcBorders>
                  <w:vAlign w:val="center"/>
                </w:tcPr>
                <w:p w14:paraId="37E03E34" w14:textId="35A011ED"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1</w:t>
                  </w:r>
                  <w:r w:rsidR="001D7E39">
                    <w:rPr>
                      <w:rFonts w:cs="Times New Roman"/>
                      <w:bCs/>
                      <w:sz w:val="21"/>
                      <w:szCs w:val="21"/>
                    </w:rPr>
                    <w:t>10</w:t>
                  </w:r>
                </w:p>
              </w:tc>
              <w:tc>
                <w:tcPr>
                  <w:tcW w:w="381" w:type="pct"/>
                  <w:vMerge w:val="restart"/>
                  <w:tcBorders>
                    <w:tl2br w:val="nil"/>
                    <w:tr2bl w:val="nil"/>
                  </w:tcBorders>
                  <w:vAlign w:val="center"/>
                </w:tcPr>
                <w:p w14:paraId="30BF33B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w:t>
                  </w:r>
                  <w:r>
                    <w:rPr>
                      <w:rFonts w:cs="Times New Roman"/>
                      <w:bCs/>
                      <w:sz w:val="21"/>
                      <w:szCs w:val="21"/>
                    </w:rPr>
                    <w:t>5</w:t>
                  </w:r>
                </w:p>
              </w:tc>
            </w:tr>
            <w:tr w:rsidR="003C4F46" w14:paraId="3CB50B46" w14:textId="77777777">
              <w:tc>
                <w:tcPr>
                  <w:tcW w:w="507" w:type="pct"/>
                  <w:vMerge/>
                  <w:tcBorders>
                    <w:tl2br w:val="nil"/>
                    <w:tr2bl w:val="nil"/>
                  </w:tcBorders>
                  <w:vAlign w:val="center"/>
                </w:tcPr>
                <w:p w14:paraId="77FFCB9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2B31C196"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2EDC62A6"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900-041-49</w:t>
                  </w:r>
                </w:p>
              </w:tc>
              <w:tc>
                <w:tcPr>
                  <w:tcW w:w="1572" w:type="pct"/>
                  <w:tcBorders>
                    <w:tl2br w:val="nil"/>
                    <w:tr2bl w:val="nil"/>
                  </w:tcBorders>
                  <w:vAlign w:val="center"/>
                </w:tcPr>
                <w:p w14:paraId="57C134E6"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含有或沾染毒性、感染性危险废物的废弃包装物、容器、过滤吸附介质</w:t>
                  </w:r>
                </w:p>
              </w:tc>
              <w:tc>
                <w:tcPr>
                  <w:tcW w:w="661" w:type="pct"/>
                  <w:tcBorders>
                    <w:tl2br w:val="nil"/>
                    <w:tr2bl w:val="nil"/>
                  </w:tcBorders>
                  <w:vAlign w:val="center"/>
                </w:tcPr>
                <w:p w14:paraId="2A17370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T/In</w:t>
                  </w:r>
                </w:p>
              </w:tc>
              <w:tc>
                <w:tcPr>
                  <w:tcW w:w="255" w:type="pct"/>
                  <w:tcBorders>
                    <w:tl2br w:val="nil"/>
                    <w:tr2bl w:val="nil"/>
                  </w:tcBorders>
                  <w:vAlign w:val="center"/>
                </w:tcPr>
                <w:p w14:paraId="57A7728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4DE123C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51261308"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0D537DEC" w14:textId="77777777">
              <w:tc>
                <w:tcPr>
                  <w:tcW w:w="507" w:type="pct"/>
                  <w:vMerge/>
                  <w:tcBorders>
                    <w:tl2br w:val="nil"/>
                    <w:tr2bl w:val="nil"/>
                  </w:tcBorders>
                  <w:vAlign w:val="center"/>
                </w:tcPr>
                <w:p w14:paraId="087E4F74"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0BAD28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A2A960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900-045-49</w:t>
                  </w:r>
                </w:p>
              </w:tc>
              <w:tc>
                <w:tcPr>
                  <w:tcW w:w="1572" w:type="pct"/>
                  <w:tcBorders>
                    <w:tl2br w:val="nil"/>
                    <w:tr2bl w:val="nil"/>
                  </w:tcBorders>
                  <w:vAlign w:val="center"/>
                </w:tcPr>
                <w:p w14:paraId="5EC950A5"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废电路板（包括已拆除或未拆除元器件的废弃电路板），及废电路板拆解过程产生的废弃</w:t>
                  </w:r>
                  <w:r>
                    <w:rPr>
                      <w:rFonts w:cs="Times New Roman" w:hint="eastAsia"/>
                      <w:bCs/>
                      <w:sz w:val="21"/>
                      <w:szCs w:val="21"/>
                    </w:rPr>
                    <w:t>CPU</w:t>
                  </w:r>
                  <w:r>
                    <w:rPr>
                      <w:rFonts w:cs="Times New Roman" w:hint="eastAsia"/>
                      <w:bCs/>
                      <w:sz w:val="21"/>
                      <w:szCs w:val="21"/>
                    </w:rPr>
                    <w:t>、显卡、声卡、内存、含电解液的电容器、含金等贵金属的连接件</w:t>
                  </w:r>
                </w:p>
              </w:tc>
              <w:tc>
                <w:tcPr>
                  <w:tcW w:w="661" w:type="pct"/>
                  <w:tcBorders>
                    <w:tl2br w:val="nil"/>
                    <w:tr2bl w:val="nil"/>
                  </w:tcBorders>
                  <w:vAlign w:val="center"/>
                </w:tcPr>
                <w:p w14:paraId="6C27B13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49C58A2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3A52D76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171EA2A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7489AE05" w14:textId="77777777">
              <w:tc>
                <w:tcPr>
                  <w:tcW w:w="507" w:type="pct"/>
                  <w:vMerge/>
                  <w:tcBorders>
                    <w:tl2br w:val="nil"/>
                    <w:tr2bl w:val="nil"/>
                  </w:tcBorders>
                  <w:vAlign w:val="center"/>
                </w:tcPr>
                <w:p w14:paraId="57128D9E"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DCFB9C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251780F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900-047-49</w:t>
                  </w:r>
                </w:p>
              </w:tc>
              <w:tc>
                <w:tcPr>
                  <w:tcW w:w="1572" w:type="pct"/>
                  <w:tcBorders>
                    <w:tl2br w:val="nil"/>
                    <w:tr2bl w:val="nil"/>
                  </w:tcBorders>
                  <w:vAlign w:val="center"/>
                </w:tcPr>
                <w:p w14:paraId="11BAF32D"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生产、研究、开发、教学、环境检测（监测）活动中，化学和生物实验室（不包含感染性医学实验室及医疗机构化验室）产生的含氰、氟、重金属无机废液及无机废液处理产生的残渣、残液，含矿物油、有机溶剂、甲醛有机废液，废酸、废碱，具有危险特性的残留样品，以及沾染上述物质的一次性实验用品（不包括按实验室管理要求进行清洗后的废弃的烧杯、量器、漏斗等实验室用品）、包装物（不包括按实验室管理要求进行清洗后的试剂包装物、容器）、过滤吸附介质等</w:t>
                  </w:r>
                </w:p>
              </w:tc>
              <w:tc>
                <w:tcPr>
                  <w:tcW w:w="661" w:type="pct"/>
                  <w:tcBorders>
                    <w:tl2br w:val="nil"/>
                    <w:tr2bl w:val="nil"/>
                  </w:tcBorders>
                  <w:vAlign w:val="center"/>
                </w:tcPr>
                <w:p w14:paraId="4C0FB35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T/C/I/R</w:t>
                  </w:r>
                </w:p>
              </w:tc>
              <w:tc>
                <w:tcPr>
                  <w:tcW w:w="255" w:type="pct"/>
                  <w:tcBorders>
                    <w:tl2br w:val="nil"/>
                    <w:tr2bl w:val="nil"/>
                  </w:tcBorders>
                  <w:vAlign w:val="center"/>
                </w:tcPr>
                <w:p w14:paraId="116071C5"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color w:val="000000"/>
                      <w:kern w:val="0"/>
                      <w:sz w:val="21"/>
                      <w:szCs w:val="21"/>
                      <w:lang w:bidi="ar"/>
                    </w:rPr>
                    <w:t>液态</w:t>
                  </w:r>
                  <w:r>
                    <w:rPr>
                      <w:rFonts w:cs="Times New Roman" w:hint="eastAsia"/>
                      <w:color w:val="000000"/>
                      <w:kern w:val="0"/>
                      <w:sz w:val="21"/>
                      <w:szCs w:val="21"/>
                      <w:lang w:bidi="ar"/>
                    </w:rPr>
                    <w:t>/</w:t>
                  </w:r>
                  <w:r>
                    <w:rPr>
                      <w:rFonts w:cs="Times New Roman" w:hint="eastAsia"/>
                      <w:color w:val="000000"/>
                      <w:kern w:val="0"/>
                      <w:sz w:val="21"/>
                      <w:szCs w:val="21"/>
                      <w:lang w:bidi="ar"/>
                    </w:rPr>
                    <w:t>固态</w:t>
                  </w:r>
                </w:p>
              </w:tc>
              <w:tc>
                <w:tcPr>
                  <w:tcW w:w="444" w:type="pct"/>
                  <w:vMerge/>
                  <w:tcBorders>
                    <w:tl2br w:val="nil"/>
                    <w:tr2bl w:val="nil"/>
                  </w:tcBorders>
                  <w:vAlign w:val="center"/>
                </w:tcPr>
                <w:p w14:paraId="3BF93F86"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6406D0E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5603C827" w14:textId="77777777">
              <w:tc>
                <w:tcPr>
                  <w:tcW w:w="507" w:type="pct"/>
                  <w:vMerge/>
                  <w:tcBorders>
                    <w:tl2br w:val="nil"/>
                    <w:tr2bl w:val="nil"/>
                  </w:tcBorders>
                  <w:vAlign w:val="center"/>
                </w:tcPr>
                <w:p w14:paraId="60E5F02C"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703BB9A6"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3E4E043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900-999-49</w:t>
                  </w:r>
                </w:p>
              </w:tc>
              <w:tc>
                <w:tcPr>
                  <w:tcW w:w="1572" w:type="pct"/>
                  <w:tcBorders>
                    <w:tl2br w:val="nil"/>
                    <w:tr2bl w:val="nil"/>
                  </w:tcBorders>
                  <w:vAlign w:val="center"/>
                </w:tcPr>
                <w:p w14:paraId="5203EBC6"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被所有者申报废弃的，或未申报废弃但被非法排放、倾倒、利用、处置的，以及有关部门依法收缴或接收且需要销毁的列入《危险化学品目录》的危险化学品（不含该目录中仅具有“加压气体”物理危险性的危险化学品）</w:t>
                  </w:r>
                </w:p>
              </w:tc>
              <w:tc>
                <w:tcPr>
                  <w:tcW w:w="661" w:type="pct"/>
                  <w:tcBorders>
                    <w:tl2br w:val="nil"/>
                    <w:tr2bl w:val="nil"/>
                  </w:tcBorders>
                  <w:vAlign w:val="center"/>
                </w:tcPr>
                <w:p w14:paraId="7B78DD3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T/C/I/R</w:t>
                  </w:r>
                </w:p>
              </w:tc>
              <w:tc>
                <w:tcPr>
                  <w:tcW w:w="255" w:type="pct"/>
                  <w:tcBorders>
                    <w:tl2br w:val="nil"/>
                    <w:tr2bl w:val="nil"/>
                  </w:tcBorders>
                  <w:vAlign w:val="center"/>
                </w:tcPr>
                <w:p w14:paraId="66CAD84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color w:val="000000"/>
                      <w:kern w:val="0"/>
                      <w:sz w:val="21"/>
                      <w:szCs w:val="21"/>
                      <w:lang w:bidi="ar"/>
                    </w:rPr>
                    <w:t>液态</w:t>
                  </w:r>
                  <w:r>
                    <w:rPr>
                      <w:rFonts w:cs="Times New Roman" w:hint="eastAsia"/>
                      <w:color w:val="000000"/>
                      <w:kern w:val="0"/>
                      <w:sz w:val="21"/>
                      <w:szCs w:val="21"/>
                      <w:lang w:bidi="ar"/>
                    </w:rPr>
                    <w:t>/</w:t>
                  </w:r>
                  <w:r>
                    <w:rPr>
                      <w:rFonts w:cs="Times New Roman" w:hint="eastAsia"/>
                      <w:color w:val="000000"/>
                      <w:kern w:val="0"/>
                      <w:sz w:val="21"/>
                      <w:szCs w:val="21"/>
                      <w:lang w:bidi="ar"/>
                    </w:rPr>
                    <w:t>固态</w:t>
                  </w:r>
                </w:p>
              </w:tc>
              <w:tc>
                <w:tcPr>
                  <w:tcW w:w="444" w:type="pct"/>
                  <w:vMerge/>
                  <w:tcBorders>
                    <w:tl2br w:val="nil"/>
                    <w:tr2bl w:val="nil"/>
                  </w:tcBorders>
                  <w:vAlign w:val="center"/>
                </w:tcPr>
                <w:p w14:paraId="0ED8D5AC"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2F89D6D7"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270D7C66" w14:textId="77777777">
              <w:tc>
                <w:tcPr>
                  <w:tcW w:w="507" w:type="pct"/>
                  <w:vMerge/>
                  <w:tcBorders>
                    <w:tl2br w:val="nil"/>
                    <w:tr2bl w:val="nil"/>
                  </w:tcBorders>
                  <w:vAlign w:val="center"/>
                </w:tcPr>
                <w:p w14:paraId="6A225609"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424B774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642AC63D"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900-042-49</w:t>
                  </w:r>
                </w:p>
              </w:tc>
              <w:tc>
                <w:tcPr>
                  <w:tcW w:w="1572" w:type="pct"/>
                  <w:tcBorders>
                    <w:tl2br w:val="nil"/>
                    <w:tr2bl w:val="nil"/>
                  </w:tcBorders>
                  <w:vAlign w:val="center"/>
                </w:tcPr>
                <w:p w14:paraId="5803F2E4"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环境事件及其处理过程中产生的沾染危险化学品、危险废物的废物</w:t>
                  </w:r>
                </w:p>
              </w:tc>
              <w:tc>
                <w:tcPr>
                  <w:tcW w:w="661" w:type="pct"/>
                  <w:tcBorders>
                    <w:tl2br w:val="nil"/>
                    <w:tr2bl w:val="nil"/>
                  </w:tcBorders>
                  <w:vAlign w:val="center"/>
                </w:tcPr>
                <w:p w14:paraId="2A8A01C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T/C/I/R/In</w:t>
                  </w:r>
                </w:p>
              </w:tc>
              <w:tc>
                <w:tcPr>
                  <w:tcW w:w="255" w:type="pct"/>
                  <w:tcBorders>
                    <w:tl2br w:val="nil"/>
                    <w:tr2bl w:val="nil"/>
                  </w:tcBorders>
                  <w:vAlign w:val="center"/>
                </w:tcPr>
                <w:p w14:paraId="0B72E6D2" w14:textId="77777777" w:rsidR="003C4F46" w:rsidRDefault="004B6A81">
                  <w:pPr>
                    <w:adjustRightInd w:val="0"/>
                    <w:snapToGrid w:val="0"/>
                    <w:spacing w:line="240" w:lineRule="auto"/>
                    <w:ind w:firstLineChars="0" w:firstLine="0"/>
                    <w:jc w:val="center"/>
                    <w:textAlignment w:val="auto"/>
                    <w:rPr>
                      <w:rFonts w:cs="Times New Roman"/>
                      <w:color w:val="000000"/>
                      <w:kern w:val="0"/>
                      <w:sz w:val="21"/>
                      <w:szCs w:val="21"/>
                      <w:lang w:bidi="ar"/>
                    </w:rPr>
                  </w:pPr>
                  <w:r>
                    <w:rPr>
                      <w:rFonts w:cs="Times New Roman" w:hint="eastAsia"/>
                      <w:color w:val="000000"/>
                      <w:kern w:val="0"/>
                      <w:sz w:val="21"/>
                      <w:szCs w:val="21"/>
                      <w:lang w:bidi="ar"/>
                    </w:rPr>
                    <w:t>固态</w:t>
                  </w:r>
                  <w:r>
                    <w:rPr>
                      <w:rFonts w:cs="Times New Roman" w:hint="eastAsia"/>
                      <w:color w:val="000000"/>
                      <w:kern w:val="0"/>
                      <w:sz w:val="21"/>
                      <w:szCs w:val="21"/>
                      <w:lang w:bidi="ar"/>
                    </w:rPr>
                    <w:t>/</w:t>
                  </w:r>
                  <w:r>
                    <w:rPr>
                      <w:rFonts w:cs="Times New Roman" w:hint="eastAsia"/>
                      <w:color w:val="000000"/>
                      <w:kern w:val="0"/>
                      <w:sz w:val="21"/>
                      <w:szCs w:val="21"/>
                      <w:lang w:bidi="ar"/>
                    </w:rPr>
                    <w:t>半固态</w:t>
                  </w:r>
                </w:p>
              </w:tc>
              <w:tc>
                <w:tcPr>
                  <w:tcW w:w="444" w:type="pct"/>
                  <w:vMerge/>
                  <w:tcBorders>
                    <w:tl2br w:val="nil"/>
                    <w:tr2bl w:val="nil"/>
                  </w:tcBorders>
                  <w:vAlign w:val="center"/>
                </w:tcPr>
                <w:p w14:paraId="520DAA41"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714960A5"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3C4F46" w14:paraId="3D0A1762" w14:textId="77777777">
              <w:tc>
                <w:tcPr>
                  <w:tcW w:w="507" w:type="pct"/>
                  <w:vMerge/>
                  <w:tcBorders>
                    <w:tl2br w:val="nil"/>
                    <w:tr2bl w:val="nil"/>
                  </w:tcBorders>
                  <w:vAlign w:val="center"/>
                </w:tcPr>
                <w:p w14:paraId="4B6A229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41BE6E13"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4191999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900-044-49</w:t>
                  </w:r>
                </w:p>
              </w:tc>
              <w:tc>
                <w:tcPr>
                  <w:tcW w:w="1572" w:type="pct"/>
                  <w:tcBorders>
                    <w:tl2br w:val="nil"/>
                    <w:tr2bl w:val="nil"/>
                  </w:tcBorders>
                  <w:vAlign w:val="center"/>
                </w:tcPr>
                <w:p w14:paraId="09BEACD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废弃的镉镍电池、荧光粉和阴极射线管</w:t>
                  </w:r>
                </w:p>
              </w:tc>
              <w:tc>
                <w:tcPr>
                  <w:tcW w:w="661" w:type="pct"/>
                  <w:tcBorders>
                    <w:tl2br w:val="nil"/>
                    <w:tr2bl w:val="nil"/>
                  </w:tcBorders>
                  <w:vAlign w:val="center"/>
                </w:tcPr>
                <w:p w14:paraId="72F8C22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4C3CAE5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4EF9936D"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5799A98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1D7E39" w14:paraId="0313F758" w14:textId="77777777">
              <w:tc>
                <w:tcPr>
                  <w:tcW w:w="507" w:type="pct"/>
                  <w:tcBorders>
                    <w:tl2br w:val="nil"/>
                    <w:tr2bl w:val="nil"/>
                  </w:tcBorders>
                  <w:vAlign w:val="center"/>
                </w:tcPr>
                <w:p w14:paraId="472FD4EE"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HW50</w:t>
                  </w:r>
                  <w:r>
                    <w:rPr>
                      <w:rFonts w:cs="Times New Roman" w:hint="eastAsia"/>
                      <w:bCs/>
                      <w:sz w:val="21"/>
                      <w:szCs w:val="21"/>
                    </w:rPr>
                    <w:t>废催化剂</w:t>
                  </w:r>
                </w:p>
              </w:tc>
              <w:tc>
                <w:tcPr>
                  <w:tcW w:w="429" w:type="pct"/>
                  <w:tcBorders>
                    <w:tl2br w:val="nil"/>
                    <w:tr2bl w:val="nil"/>
                  </w:tcBorders>
                  <w:vAlign w:val="center"/>
                </w:tcPr>
                <w:p w14:paraId="11088F7F"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非特定行业</w:t>
                  </w:r>
                </w:p>
              </w:tc>
              <w:tc>
                <w:tcPr>
                  <w:tcW w:w="751" w:type="pct"/>
                  <w:tcBorders>
                    <w:tl2br w:val="nil"/>
                    <w:tr2bl w:val="nil"/>
                  </w:tcBorders>
                  <w:vAlign w:val="center"/>
                </w:tcPr>
                <w:p w14:paraId="1075B73C"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900-049-50</w:t>
                  </w:r>
                </w:p>
              </w:tc>
              <w:tc>
                <w:tcPr>
                  <w:tcW w:w="1572" w:type="pct"/>
                  <w:tcBorders>
                    <w:tl2br w:val="nil"/>
                    <w:tr2bl w:val="nil"/>
                  </w:tcBorders>
                  <w:vAlign w:val="center"/>
                </w:tcPr>
                <w:p w14:paraId="0F031FD6"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机动车和非道路移动机械尾气净化废催化剂</w:t>
                  </w:r>
                </w:p>
              </w:tc>
              <w:tc>
                <w:tcPr>
                  <w:tcW w:w="661" w:type="pct"/>
                  <w:tcBorders>
                    <w:tl2br w:val="nil"/>
                    <w:tr2bl w:val="nil"/>
                  </w:tcBorders>
                  <w:vAlign w:val="center"/>
                </w:tcPr>
                <w:p w14:paraId="05E92093"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5B9353FC"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tcBorders>
                    <w:tl2br w:val="nil"/>
                    <w:tr2bl w:val="nil"/>
                  </w:tcBorders>
                  <w:vAlign w:val="center"/>
                </w:tcPr>
                <w:p w14:paraId="3E09C74F"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50</w:t>
                  </w:r>
                </w:p>
              </w:tc>
              <w:tc>
                <w:tcPr>
                  <w:tcW w:w="381" w:type="pct"/>
                  <w:tcBorders>
                    <w:tl2br w:val="nil"/>
                    <w:tr2bl w:val="nil"/>
                  </w:tcBorders>
                  <w:vAlign w:val="center"/>
                </w:tcPr>
                <w:p w14:paraId="182FF699" w14:textId="77777777" w:rsidR="001D7E39"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10</w:t>
                  </w:r>
                </w:p>
              </w:tc>
            </w:tr>
            <w:tr w:rsidR="003C4F46" w14:paraId="52AAF186" w14:textId="77777777">
              <w:tc>
                <w:tcPr>
                  <w:tcW w:w="507" w:type="pct"/>
                  <w:vMerge w:val="restart"/>
                  <w:tcBorders>
                    <w:tl2br w:val="nil"/>
                    <w:tr2bl w:val="nil"/>
                  </w:tcBorders>
                  <w:vAlign w:val="center"/>
                </w:tcPr>
                <w:p w14:paraId="3004A17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HW09</w:t>
                  </w:r>
                  <w:r>
                    <w:rPr>
                      <w:rFonts w:cs="Times New Roman" w:hint="eastAsia"/>
                      <w:bCs/>
                      <w:sz w:val="21"/>
                      <w:szCs w:val="21"/>
                    </w:rPr>
                    <w:t>油</w:t>
                  </w:r>
                  <w:r>
                    <w:rPr>
                      <w:rFonts w:cs="Times New Roman" w:hint="eastAsia"/>
                      <w:bCs/>
                      <w:sz w:val="21"/>
                      <w:szCs w:val="21"/>
                    </w:rPr>
                    <w:t>/</w:t>
                  </w:r>
                  <w:r>
                    <w:rPr>
                      <w:rFonts w:cs="Times New Roman" w:hint="eastAsia"/>
                      <w:bCs/>
                      <w:sz w:val="21"/>
                      <w:szCs w:val="21"/>
                    </w:rPr>
                    <w:t>水、烃</w:t>
                  </w:r>
                  <w:r>
                    <w:rPr>
                      <w:rFonts w:cs="Times New Roman" w:hint="eastAsia"/>
                      <w:bCs/>
                      <w:sz w:val="21"/>
                      <w:szCs w:val="21"/>
                    </w:rPr>
                    <w:t>/</w:t>
                  </w:r>
                  <w:r>
                    <w:rPr>
                      <w:rFonts w:cs="Times New Roman" w:hint="eastAsia"/>
                      <w:bCs/>
                      <w:sz w:val="21"/>
                      <w:szCs w:val="21"/>
                    </w:rPr>
                    <w:t>水混合物或乳化液</w:t>
                  </w:r>
                </w:p>
              </w:tc>
              <w:tc>
                <w:tcPr>
                  <w:tcW w:w="429" w:type="pct"/>
                  <w:vMerge w:val="restart"/>
                  <w:tcBorders>
                    <w:tl2br w:val="nil"/>
                    <w:tr2bl w:val="nil"/>
                  </w:tcBorders>
                  <w:vAlign w:val="center"/>
                </w:tcPr>
                <w:p w14:paraId="3CB247E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非特定行业</w:t>
                  </w:r>
                </w:p>
              </w:tc>
              <w:tc>
                <w:tcPr>
                  <w:tcW w:w="751" w:type="pct"/>
                  <w:tcBorders>
                    <w:tl2br w:val="nil"/>
                    <w:tr2bl w:val="nil"/>
                  </w:tcBorders>
                  <w:vAlign w:val="center"/>
                </w:tcPr>
                <w:p w14:paraId="1E7DC103"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900-006-09</w:t>
                  </w:r>
                </w:p>
              </w:tc>
              <w:tc>
                <w:tcPr>
                  <w:tcW w:w="1572" w:type="pct"/>
                  <w:tcBorders>
                    <w:tl2br w:val="nil"/>
                    <w:tr2bl w:val="nil"/>
                  </w:tcBorders>
                  <w:vAlign w:val="center"/>
                </w:tcPr>
                <w:p w14:paraId="5962643C"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使用切削油或者切削液进行机械加工过程中产生的油</w:t>
                  </w:r>
                  <w:r>
                    <w:rPr>
                      <w:rFonts w:cs="Times New Roman" w:hint="eastAsia"/>
                      <w:bCs/>
                      <w:sz w:val="21"/>
                      <w:szCs w:val="21"/>
                    </w:rPr>
                    <w:t>/</w:t>
                  </w:r>
                  <w:r>
                    <w:rPr>
                      <w:rFonts w:cs="Times New Roman" w:hint="eastAsia"/>
                      <w:bCs/>
                      <w:sz w:val="21"/>
                      <w:szCs w:val="21"/>
                    </w:rPr>
                    <w:t>水、烃</w:t>
                  </w:r>
                  <w:r>
                    <w:rPr>
                      <w:rFonts w:cs="Times New Roman" w:hint="eastAsia"/>
                      <w:bCs/>
                      <w:sz w:val="21"/>
                      <w:szCs w:val="21"/>
                    </w:rPr>
                    <w:t>/</w:t>
                  </w:r>
                  <w:r>
                    <w:rPr>
                      <w:rFonts w:cs="Times New Roman" w:hint="eastAsia"/>
                      <w:bCs/>
                      <w:sz w:val="21"/>
                      <w:szCs w:val="21"/>
                    </w:rPr>
                    <w:t>水混合物或者乳化液</w:t>
                  </w:r>
                </w:p>
              </w:tc>
              <w:tc>
                <w:tcPr>
                  <w:tcW w:w="661" w:type="pct"/>
                  <w:tcBorders>
                    <w:tl2br w:val="nil"/>
                    <w:tr2bl w:val="nil"/>
                  </w:tcBorders>
                  <w:vAlign w:val="center"/>
                </w:tcPr>
                <w:p w14:paraId="2EAC2AF7"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T</w:t>
                  </w:r>
                </w:p>
              </w:tc>
              <w:tc>
                <w:tcPr>
                  <w:tcW w:w="255" w:type="pct"/>
                  <w:tcBorders>
                    <w:tl2br w:val="nil"/>
                    <w:tr2bl w:val="nil"/>
                  </w:tcBorders>
                  <w:vAlign w:val="center"/>
                </w:tcPr>
                <w:p w14:paraId="1DF8FF0E"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val="restart"/>
                  <w:tcBorders>
                    <w:tl2br w:val="nil"/>
                    <w:tr2bl w:val="nil"/>
                  </w:tcBorders>
                  <w:vAlign w:val="center"/>
                </w:tcPr>
                <w:p w14:paraId="745D6DD6" w14:textId="666BE8CB" w:rsidR="003C4F46"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600</w:t>
                  </w:r>
                </w:p>
              </w:tc>
              <w:tc>
                <w:tcPr>
                  <w:tcW w:w="381" w:type="pct"/>
                  <w:vMerge w:val="restart"/>
                  <w:tcBorders>
                    <w:tl2br w:val="nil"/>
                    <w:tr2bl w:val="nil"/>
                  </w:tcBorders>
                  <w:vAlign w:val="center"/>
                </w:tcPr>
                <w:p w14:paraId="3F4B9BF6" w14:textId="352FA05D" w:rsidR="003C4F46" w:rsidRDefault="001D7E39">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540</w:t>
                  </w:r>
                </w:p>
              </w:tc>
            </w:tr>
            <w:tr w:rsidR="003C4F46" w14:paraId="7A009D9E" w14:textId="77777777">
              <w:tc>
                <w:tcPr>
                  <w:tcW w:w="507" w:type="pct"/>
                  <w:vMerge/>
                  <w:tcBorders>
                    <w:tl2br w:val="nil"/>
                    <w:tr2bl w:val="nil"/>
                  </w:tcBorders>
                  <w:vAlign w:val="center"/>
                </w:tcPr>
                <w:p w14:paraId="030094A0"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485263AA"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1BC64AAD"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900-007-09</w:t>
                  </w:r>
                </w:p>
              </w:tc>
              <w:tc>
                <w:tcPr>
                  <w:tcW w:w="1572" w:type="pct"/>
                  <w:tcBorders>
                    <w:tl2br w:val="nil"/>
                    <w:tr2bl w:val="nil"/>
                  </w:tcBorders>
                  <w:vAlign w:val="center"/>
                </w:tcPr>
                <w:p w14:paraId="212B9821" w14:textId="77777777" w:rsidR="003C4F46" w:rsidRDefault="004B6A81">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其他工艺过程中产生的废弃的油</w:t>
                  </w:r>
                  <w:r>
                    <w:rPr>
                      <w:rFonts w:cs="Times New Roman" w:hint="eastAsia"/>
                      <w:bCs/>
                      <w:sz w:val="21"/>
                      <w:szCs w:val="21"/>
                    </w:rPr>
                    <w:t>/</w:t>
                  </w:r>
                  <w:r>
                    <w:rPr>
                      <w:rFonts w:cs="Times New Roman" w:hint="eastAsia"/>
                      <w:bCs/>
                      <w:sz w:val="21"/>
                      <w:szCs w:val="21"/>
                    </w:rPr>
                    <w:t>水、烃</w:t>
                  </w:r>
                  <w:r>
                    <w:rPr>
                      <w:rFonts w:cs="Times New Roman" w:hint="eastAsia"/>
                      <w:bCs/>
                      <w:sz w:val="21"/>
                      <w:szCs w:val="21"/>
                    </w:rPr>
                    <w:t>/</w:t>
                  </w:r>
                  <w:r>
                    <w:rPr>
                      <w:rFonts w:cs="Times New Roman" w:hint="eastAsia"/>
                      <w:bCs/>
                      <w:sz w:val="21"/>
                      <w:szCs w:val="21"/>
                    </w:rPr>
                    <w:t>水混合物或者乳</w:t>
                  </w:r>
                  <w:r>
                    <w:rPr>
                      <w:rFonts w:cs="Times New Roman" w:hint="eastAsia"/>
                      <w:bCs/>
                      <w:sz w:val="21"/>
                      <w:szCs w:val="21"/>
                    </w:rPr>
                    <w:lastRenderedPageBreak/>
                    <w:t>化液</w:t>
                  </w:r>
                </w:p>
              </w:tc>
              <w:tc>
                <w:tcPr>
                  <w:tcW w:w="661" w:type="pct"/>
                  <w:tcBorders>
                    <w:tl2br w:val="nil"/>
                    <w:tr2bl w:val="nil"/>
                  </w:tcBorders>
                  <w:vAlign w:val="center"/>
                </w:tcPr>
                <w:p w14:paraId="2077F631"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lastRenderedPageBreak/>
                    <w:t>T</w:t>
                  </w:r>
                </w:p>
              </w:tc>
              <w:tc>
                <w:tcPr>
                  <w:tcW w:w="255" w:type="pct"/>
                  <w:tcBorders>
                    <w:tl2br w:val="nil"/>
                    <w:tr2bl w:val="nil"/>
                  </w:tcBorders>
                  <w:vAlign w:val="center"/>
                </w:tcPr>
                <w:p w14:paraId="352C853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tcBorders>
                    <w:tl2br w:val="nil"/>
                    <w:tr2bl w:val="nil"/>
                  </w:tcBorders>
                  <w:vAlign w:val="center"/>
                </w:tcPr>
                <w:p w14:paraId="07FFCA3B"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7AFDE9D6" w14:textId="77777777" w:rsidR="003C4F46" w:rsidRDefault="003C4F46">
                  <w:pPr>
                    <w:adjustRightInd w:val="0"/>
                    <w:snapToGrid w:val="0"/>
                    <w:spacing w:line="240" w:lineRule="auto"/>
                    <w:ind w:firstLineChars="0" w:firstLine="0"/>
                    <w:jc w:val="center"/>
                    <w:textAlignment w:val="auto"/>
                    <w:rPr>
                      <w:rFonts w:cs="Times New Roman"/>
                      <w:bCs/>
                      <w:sz w:val="21"/>
                      <w:szCs w:val="21"/>
                    </w:rPr>
                  </w:pPr>
                </w:p>
              </w:tc>
            </w:tr>
            <w:tr w:rsidR="001D7E39" w14:paraId="281615AE" w14:textId="77777777">
              <w:tc>
                <w:tcPr>
                  <w:tcW w:w="507" w:type="pct"/>
                  <w:vMerge w:val="restart"/>
                  <w:tcBorders>
                    <w:tl2br w:val="nil"/>
                    <w:tr2bl w:val="nil"/>
                  </w:tcBorders>
                  <w:vAlign w:val="center"/>
                </w:tcPr>
                <w:p w14:paraId="6B785E3A" w14:textId="0D39C9FD"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HW35</w:t>
                  </w:r>
                  <w:r>
                    <w:rPr>
                      <w:rFonts w:cs="Times New Roman" w:hint="eastAsia"/>
                      <w:bCs/>
                      <w:sz w:val="21"/>
                      <w:szCs w:val="21"/>
                    </w:rPr>
                    <w:t>废碱</w:t>
                  </w:r>
                </w:p>
              </w:tc>
              <w:tc>
                <w:tcPr>
                  <w:tcW w:w="429" w:type="pct"/>
                  <w:vMerge w:val="restart"/>
                  <w:tcBorders>
                    <w:tl2br w:val="nil"/>
                    <w:tr2bl w:val="nil"/>
                  </w:tcBorders>
                  <w:vAlign w:val="center"/>
                </w:tcPr>
                <w:p w14:paraId="03C3C345" w14:textId="7D06B677"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非特定行业</w:t>
                  </w:r>
                </w:p>
              </w:tc>
              <w:tc>
                <w:tcPr>
                  <w:tcW w:w="751" w:type="pct"/>
                  <w:tcBorders>
                    <w:tl2br w:val="nil"/>
                    <w:tr2bl w:val="nil"/>
                  </w:tcBorders>
                  <w:vAlign w:val="center"/>
                </w:tcPr>
                <w:p w14:paraId="0826ECA3" w14:textId="5DB181A9"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900-356-35</w:t>
                  </w:r>
                </w:p>
              </w:tc>
              <w:tc>
                <w:tcPr>
                  <w:tcW w:w="1572" w:type="pct"/>
                  <w:tcBorders>
                    <w:tl2br w:val="nil"/>
                    <w:tr2bl w:val="nil"/>
                  </w:tcBorders>
                  <w:vAlign w:val="center"/>
                </w:tcPr>
                <w:p w14:paraId="5850D007" w14:textId="7DC8231B" w:rsidR="001D7E39" w:rsidRDefault="001D7E39" w:rsidP="001D7E39">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使用碱溶液进行碱性清洗、图形显影产生的废碱液</w:t>
                  </w:r>
                </w:p>
              </w:tc>
              <w:tc>
                <w:tcPr>
                  <w:tcW w:w="661" w:type="pct"/>
                  <w:tcBorders>
                    <w:tl2br w:val="nil"/>
                    <w:tr2bl w:val="nil"/>
                  </w:tcBorders>
                  <w:vAlign w:val="center"/>
                </w:tcPr>
                <w:p w14:paraId="2F4979D4" w14:textId="01F7C689"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C</w:t>
                  </w:r>
                  <w:r>
                    <w:rPr>
                      <w:rFonts w:cs="Times New Roman" w:hint="eastAsia"/>
                      <w:bCs/>
                      <w:sz w:val="21"/>
                      <w:szCs w:val="21"/>
                    </w:rPr>
                    <w:t>，</w:t>
                  </w:r>
                  <w:r>
                    <w:rPr>
                      <w:rFonts w:cs="Times New Roman" w:hint="eastAsia"/>
                      <w:bCs/>
                      <w:sz w:val="21"/>
                      <w:szCs w:val="21"/>
                    </w:rPr>
                    <w:t>T</w:t>
                  </w:r>
                </w:p>
              </w:tc>
              <w:tc>
                <w:tcPr>
                  <w:tcW w:w="255" w:type="pct"/>
                  <w:tcBorders>
                    <w:tl2br w:val="nil"/>
                    <w:tr2bl w:val="nil"/>
                  </w:tcBorders>
                  <w:vAlign w:val="center"/>
                </w:tcPr>
                <w:p w14:paraId="30D39953" w14:textId="198835D6"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液态</w:t>
                  </w:r>
                </w:p>
              </w:tc>
              <w:tc>
                <w:tcPr>
                  <w:tcW w:w="444" w:type="pct"/>
                  <w:vMerge w:val="restart"/>
                  <w:tcBorders>
                    <w:tl2br w:val="nil"/>
                    <w:tr2bl w:val="nil"/>
                  </w:tcBorders>
                  <w:vAlign w:val="center"/>
                </w:tcPr>
                <w:p w14:paraId="40ADE0CA" w14:textId="32673242"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10</w:t>
                  </w:r>
                </w:p>
              </w:tc>
              <w:tc>
                <w:tcPr>
                  <w:tcW w:w="381" w:type="pct"/>
                  <w:vMerge w:val="restart"/>
                  <w:tcBorders>
                    <w:tl2br w:val="nil"/>
                    <w:tr2bl w:val="nil"/>
                  </w:tcBorders>
                  <w:vAlign w:val="center"/>
                </w:tcPr>
                <w:p w14:paraId="699584D7" w14:textId="010DD004"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2</w:t>
                  </w:r>
                </w:p>
              </w:tc>
            </w:tr>
            <w:tr w:rsidR="001D7E39" w14:paraId="4FD0BB20" w14:textId="77777777">
              <w:tc>
                <w:tcPr>
                  <w:tcW w:w="507" w:type="pct"/>
                  <w:vMerge/>
                  <w:tcBorders>
                    <w:tl2br w:val="nil"/>
                    <w:tr2bl w:val="nil"/>
                  </w:tcBorders>
                  <w:vAlign w:val="center"/>
                </w:tcPr>
                <w:p w14:paraId="047C5F46" w14:textId="77777777" w:rsidR="001D7E39" w:rsidRDefault="001D7E39" w:rsidP="001D7E39">
                  <w:pPr>
                    <w:adjustRightInd w:val="0"/>
                    <w:snapToGrid w:val="0"/>
                    <w:spacing w:line="240" w:lineRule="auto"/>
                    <w:ind w:firstLineChars="0" w:firstLine="0"/>
                    <w:jc w:val="center"/>
                    <w:textAlignment w:val="auto"/>
                    <w:rPr>
                      <w:rFonts w:cs="Times New Roman"/>
                      <w:bCs/>
                      <w:sz w:val="21"/>
                      <w:szCs w:val="21"/>
                    </w:rPr>
                  </w:pPr>
                </w:p>
              </w:tc>
              <w:tc>
                <w:tcPr>
                  <w:tcW w:w="429" w:type="pct"/>
                  <w:vMerge/>
                  <w:tcBorders>
                    <w:tl2br w:val="nil"/>
                    <w:tr2bl w:val="nil"/>
                  </w:tcBorders>
                  <w:vAlign w:val="center"/>
                </w:tcPr>
                <w:p w14:paraId="325FA49F" w14:textId="77777777" w:rsidR="001D7E39" w:rsidRDefault="001D7E39" w:rsidP="001D7E39">
                  <w:pPr>
                    <w:adjustRightInd w:val="0"/>
                    <w:snapToGrid w:val="0"/>
                    <w:spacing w:line="240" w:lineRule="auto"/>
                    <w:ind w:firstLineChars="0" w:firstLine="0"/>
                    <w:jc w:val="center"/>
                    <w:textAlignment w:val="auto"/>
                    <w:rPr>
                      <w:rFonts w:cs="Times New Roman"/>
                      <w:bCs/>
                      <w:sz w:val="21"/>
                      <w:szCs w:val="21"/>
                    </w:rPr>
                  </w:pPr>
                </w:p>
              </w:tc>
              <w:tc>
                <w:tcPr>
                  <w:tcW w:w="751" w:type="pct"/>
                  <w:tcBorders>
                    <w:tl2br w:val="nil"/>
                    <w:tr2bl w:val="nil"/>
                  </w:tcBorders>
                  <w:vAlign w:val="center"/>
                </w:tcPr>
                <w:p w14:paraId="1A3B3757" w14:textId="198611D6"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900-399-35</w:t>
                  </w:r>
                </w:p>
              </w:tc>
              <w:tc>
                <w:tcPr>
                  <w:tcW w:w="1572" w:type="pct"/>
                  <w:tcBorders>
                    <w:tl2br w:val="nil"/>
                    <w:tr2bl w:val="nil"/>
                  </w:tcBorders>
                  <w:vAlign w:val="center"/>
                </w:tcPr>
                <w:p w14:paraId="6CC6B455" w14:textId="476706F9" w:rsidR="001D7E39" w:rsidRDefault="001D7E39" w:rsidP="001D7E39">
                  <w:pPr>
                    <w:adjustRightInd w:val="0"/>
                    <w:snapToGrid w:val="0"/>
                    <w:spacing w:line="240" w:lineRule="auto"/>
                    <w:ind w:firstLineChars="0" w:firstLine="0"/>
                    <w:textAlignment w:val="auto"/>
                    <w:rPr>
                      <w:rFonts w:cs="Times New Roman"/>
                      <w:bCs/>
                      <w:sz w:val="21"/>
                      <w:szCs w:val="21"/>
                    </w:rPr>
                  </w:pPr>
                  <w:r>
                    <w:rPr>
                      <w:rFonts w:cs="Times New Roman" w:hint="eastAsia"/>
                      <w:bCs/>
                      <w:sz w:val="21"/>
                      <w:szCs w:val="21"/>
                    </w:rPr>
                    <w:t>生产、销售及使用过程中产生的失效、变质、不合格、淘汰、伪劣的强碱性擦洗粉、清洁剂、污迹去除剂以及其他强碱性废碱液、固态碱和碱渣</w:t>
                  </w:r>
                </w:p>
              </w:tc>
              <w:tc>
                <w:tcPr>
                  <w:tcW w:w="661" w:type="pct"/>
                  <w:tcBorders>
                    <w:tl2br w:val="nil"/>
                    <w:tr2bl w:val="nil"/>
                  </w:tcBorders>
                  <w:vAlign w:val="center"/>
                </w:tcPr>
                <w:p w14:paraId="1E0115C5" w14:textId="56835C31"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C</w:t>
                  </w:r>
                  <w:r>
                    <w:rPr>
                      <w:rFonts w:cs="Times New Roman" w:hint="eastAsia"/>
                      <w:bCs/>
                      <w:sz w:val="21"/>
                      <w:szCs w:val="21"/>
                    </w:rPr>
                    <w:t>，</w:t>
                  </w:r>
                  <w:r>
                    <w:rPr>
                      <w:rFonts w:cs="Times New Roman" w:hint="eastAsia"/>
                      <w:bCs/>
                      <w:sz w:val="21"/>
                      <w:szCs w:val="21"/>
                    </w:rPr>
                    <w:t>T</w:t>
                  </w:r>
                </w:p>
              </w:tc>
              <w:tc>
                <w:tcPr>
                  <w:tcW w:w="255" w:type="pct"/>
                  <w:tcBorders>
                    <w:tl2br w:val="nil"/>
                    <w:tr2bl w:val="nil"/>
                  </w:tcBorders>
                  <w:vAlign w:val="center"/>
                </w:tcPr>
                <w:p w14:paraId="2AACE7D5" w14:textId="0874A68F" w:rsidR="001D7E39" w:rsidRDefault="001D7E39" w:rsidP="001D7E39">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固态</w:t>
                  </w:r>
                </w:p>
              </w:tc>
              <w:tc>
                <w:tcPr>
                  <w:tcW w:w="444" w:type="pct"/>
                  <w:vMerge/>
                  <w:tcBorders>
                    <w:tl2br w:val="nil"/>
                    <w:tr2bl w:val="nil"/>
                  </w:tcBorders>
                  <w:vAlign w:val="center"/>
                </w:tcPr>
                <w:p w14:paraId="464691DF" w14:textId="77777777" w:rsidR="001D7E39" w:rsidRDefault="001D7E39" w:rsidP="001D7E39">
                  <w:pPr>
                    <w:adjustRightInd w:val="0"/>
                    <w:snapToGrid w:val="0"/>
                    <w:spacing w:line="240" w:lineRule="auto"/>
                    <w:ind w:firstLineChars="0" w:firstLine="0"/>
                    <w:jc w:val="center"/>
                    <w:textAlignment w:val="auto"/>
                    <w:rPr>
                      <w:rFonts w:cs="Times New Roman"/>
                      <w:bCs/>
                      <w:sz w:val="21"/>
                      <w:szCs w:val="21"/>
                    </w:rPr>
                  </w:pPr>
                </w:p>
              </w:tc>
              <w:tc>
                <w:tcPr>
                  <w:tcW w:w="381" w:type="pct"/>
                  <w:vMerge/>
                  <w:tcBorders>
                    <w:tl2br w:val="nil"/>
                    <w:tr2bl w:val="nil"/>
                  </w:tcBorders>
                  <w:vAlign w:val="center"/>
                </w:tcPr>
                <w:p w14:paraId="1C56FA65" w14:textId="77777777" w:rsidR="001D7E39" w:rsidRDefault="001D7E39" w:rsidP="001D7E39">
                  <w:pPr>
                    <w:adjustRightInd w:val="0"/>
                    <w:snapToGrid w:val="0"/>
                    <w:spacing w:line="240" w:lineRule="auto"/>
                    <w:ind w:firstLineChars="0" w:firstLine="0"/>
                    <w:jc w:val="center"/>
                    <w:textAlignment w:val="auto"/>
                    <w:rPr>
                      <w:rFonts w:cs="Times New Roman"/>
                      <w:bCs/>
                      <w:sz w:val="21"/>
                      <w:szCs w:val="21"/>
                    </w:rPr>
                  </w:pPr>
                </w:p>
              </w:tc>
            </w:tr>
            <w:tr w:rsidR="003C4F46" w14:paraId="3CFB67A4" w14:textId="77777777">
              <w:trPr>
                <w:trHeight w:val="459"/>
              </w:trPr>
              <w:tc>
                <w:tcPr>
                  <w:tcW w:w="4175" w:type="pct"/>
                  <w:gridSpan w:val="6"/>
                  <w:tcBorders>
                    <w:tl2br w:val="nil"/>
                    <w:tr2bl w:val="nil"/>
                  </w:tcBorders>
                  <w:vAlign w:val="center"/>
                </w:tcPr>
                <w:p w14:paraId="04AB9F60"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合计</w:t>
                  </w:r>
                </w:p>
              </w:tc>
              <w:tc>
                <w:tcPr>
                  <w:tcW w:w="444" w:type="pct"/>
                  <w:tcBorders>
                    <w:tl2br w:val="nil"/>
                    <w:tr2bl w:val="nil"/>
                  </w:tcBorders>
                  <w:vAlign w:val="center"/>
                </w:tcPr>
                <w:p w14:paraId="470DEBC8"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5000</w:t>
                  </w:r>
                </w:p>
              </w:tc>
              <w:tc>
                <w:tcPr>
                  <w:tcW w:w="381" w:type="pct"/>
                  <w:tcBorders>
                    <w:tl2br w:val="nil"/>
                    <w:tr2bl w:val="nil"/>
                  </w:tcBorders>
                  <w:vAlign w:val="center"/>
                </w:tcPr>
                <w:p w14:paraId="7C1B438D" w14:textId="59536158" w:rsidR="003C4F46" w:rsidRDefault="007D041A">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2011</w:t>
                  </w:r>
                </w:p>
              </w:tc>
            </w:tr>
          </w:tbl>
          <w:bookmarkEnd w:id="14"/>
          <w:p w14:paraId="13C3DC51" w14:textId="77777777" w:rsidR="003C4F46" w:rsidRDefault="004B6A81">
            <w:pPr>
              <w:pStyle w:val="2"/>
              <w:rPr>
                <w:color w:val="000000" w:themeColor="text1"/>
              </w:rPr>
            </w:pPr>
            <w:r>
              <w:rPr>
                <w:rFonts w:hint="eastAsia"/>
                <w:color w:val="000000" w:themeColor="text1"/>
              </w:rPr>
              <w:t>2</w:t>
            </w:r>
            <w:r>
              <w:rPr>
                <w:color w:val="000000" w:themeColor="text1"/>
              </w:rPr>
              <w:t>.4.1</w:t>
            </w:r>
            <w:r>
              <w:rPr>
                <w:rFonts w:hint="eastAsia"/>
                <w:color w:val="000000" w:themeColor="text1"/>
              </w:rPr>
              <w:t>危险废物相容性分析</w:t>
            </w:r>
          </w:p>
          <w:p w14:paraId="5BE7CBD1" w14:textId="4371E0F2" w:rsidR="003C4F46" w:rsidRDefault="004B6A81">
            <w:pPr>
              <w:ind w:firstLine="480"/>
            </w:pPr>
            <w:r>
              <w:rPr>
                <w:rFonts w:hint="eastAsia"/>
              </w:rPr>
              <w:t>根据《危险废物贮存污染控制标准》（</w:t>
            </w:r>
            <w:r>
              <w:rPr>
                <w:rFonts w:hint="eastAsia"/>
              </w:rPr>
              <w:t>GB18597-2023</w:t>
            </w:r>
            <w:r>
              <w:rPr>
                <w:rFonts w:hint="eastAsia"/>
              </w:rPr>
              <w:t>）第</w:t>
            </w:r>
            <w:r>
              <w:rPr>
                <w:rFonts w:hint="eastAsia"/>
              </w:rPr>
              <w:t>6.1.2</w:t>
            </w:r>
            <w:r>
              <w:rPr>
                <w:rFonts w:hint="eastAsia"/>
              </w:rPr>
              <w:t>条要求：“贮存设施应根据危险废物的类别、数量、形态、物理化学性质和污染防治等要求设置必要的贮存分区，避免不相容的危险废物接触、混合”。本项目涉及</w:t>
            </w:r>
            <w:r>
              <w:rPr>
                <w:rFonts w:hint="eastAsia"/>
              </w:rPr>
              <w:t>1</w:t>
            </w:r>
            <w:r w:rsidR="00617154">
              <w:t>2</w:t>
            </w:r>
            <w:r>
              <w:rPr>
                <w:rFonts w:hint="eastAsia"/>
              </w:rPr>
              <w:t>类危险废物，须对各类</w:t>
            </w:r>
            <w:r w:rsidR="00F57470">
              <w:rPr>
                <w:rFonts w:hint="eastAsia"/>
              </w:rPr>
              <w:t>危险废物</w:t>
            </w:r>
            <w:r>
              <w:rPr>
                <w:rFonts w:hint="eastAsia"/>
              </w:rPr>
              <w:t>之间的相容性进行分析。</w:t>
            </w:r>
          </w:p>
          <w:p w14:paraId="6682FA33" w14:textId="77777777" w:rsidR="003C4F46" w:rsidRDefault="004B6A81">
            <w:pPr>
              <w:spacing w:line="240" w:lineRule="auto"/>
              <w:ind w:firstLine="422"/>
              <w:jc w:val="center"/>
              <w:textAlignment w:val="auto"/>
              <w:rPr>
                <w:rFonts w:cs="Times New Roman"/>
                <w:b/>
                <w:bCs/>
                <w:color w:val="000000"/>
                <w:sz w:val="21"/>
                <w:szCs w:val="21"/>
              </w:rPr>
            </w:pPr>
            <w:r>
              <w:rPr>
                <w:rFonts w:cs="Times New Roman"/>
                <w:b/>
                <w:bCs/>
                <w:color w:val="000000"/>
                <w:sz w:val="21"/>
                <w:szCs w:val="21"/>
              </w:rPr>
              <w:t>表</w:t>
            </w:r>
            <w:r>
              <w:rPr>
                <w:rFonts w:cs="Times New Roman"/>
                <w:b/>
                <w:bCs/>
                <w:color w:val="000000"/>
                <w:sz w:val="21"/>
                <w:szCs w:val="21"/>
              </w:rPr>
              <w:t xml:space="preserve">2-5  </w:t>
            </w:r>
            <w:r>
              <w:rPr>
                <w:rFonts w:cs="Times New Roman" w:hint="eastAsia"/>
                <w:b/>
                <w:bCs/>
                <w:color w:val="000000"/>
                <w:sz w:val="21"/>
                <w:szCs w:val="21"/>
              </w:rPr>
              <w:t>危险废物相容性分析一览表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93"/>
              <w:gridCol w:w="1389"/>
              <w:gridCol w:w="3083"/>
              <w:gridCol w:w="3225"/>
            </w:tblGrid>
            <w:tr w:rsidR="003C4F46" w:rsidRPr="005E73B1" w14:paraId="00791344" w14:textId="77777777">
              <w:trPr>
                <w:trHeight w:val="553"/>
              </w:trPr>
              <w:tc>
                <w:tcPr>
                  <w:tcW w:w="766" w:type="pct"/>
                  <w:vAlign w:val="center"/>
                </w:tcPr>
                <w:p w14:paraId="49C5583C"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废物类别</w:t>
                  </w:r>
                </w:p>
              </w:tc>
              <w:tc>
                <w:tcPr>
                  <w:tcW w:w="764" w:type="pct"/>
                  <w:shd w:val="clear" w:color="auto" w:fill="auto"/>
                  <w:vAlign w:val="center"/>
                </w:tcPr>
                <w:p w14:paraId="32D6CA3E"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危险特性</w:t>
                  </w:r>
                </w:p>
              </w:tc>
              <w:tc>
                <w:tcPr>
                  <w:tcW w:w="1696" w:type="pct"/>
                  <w:vAlign w:val="center"/>
                </w:tcPr>
                <w:p w14:paraId="75197B32"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不相容废物类别</w:t>
                  </w:r>
                </w:p>
              </w:tc>
              <w:tc>
                <w:tcPr>
                  <w:tcW w:w="1774" w:type="pct"/>
                  <w:vAlign w:val="center"/>
                </w:tcPr>
                <w:p w14:paraId="6D9822B9"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禁忌原因</w:t>
                  </w:r>
                </w:p>
              </w:tc>
            </w:tr>
            <w:tr w:rsidR="003C4F46" w:rsidRPr="005E73B1" w14:paraId="71E5C68A" w14:textId="77777777">
              <w:trPr>
                <w:trHeight w:val="60"/>
              </w:trPr>
              <w:tc>
                <w:tcPr>
                  <w:tcW w:w="766" w:type="pct"/>
                  <w:vAlign w:val="center"/>
                </w:tcPr>
                <w:p w14:paraId="5FDBFF13"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废有机溶剂与含有机溶剂废物</w:t>
                  </w:r>
                </w:p>
              </w:tc>
              <w:tc>
                <w:tcPr>
                  <w:tcW w:w="764" w:type="pct"/>
                  <w:shd w:val="clear" w:color="auto" w:fill="auto"/>
                  <w:vAlign w:val="center"/>
                </w:tcPr>
                <w:p w14:paraId="15D566D4"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r w:rsidRPr="005E73B1">
                    <w:rPr>
                      <w:rFonts w:cs="Times New Roman"/>
                      <w:color w:val="000000"/>
                      <w:sz w:val="21"/>
                      <w:szCs w:val="21"/>
                    </w:rPr>
                    <w:t>，</w:t>
                  </w:r>
                  <w:r w:rsidRPr="005E73B1">
                    <w:rPr>
                      <w:rFonts w:cs="Times New Roman"/>
                      <w:color w:val="000000"/>
                      <w:sz w:val="21"/>
                      <w:szCs w:val="21"/>
                    </w:rPr>
                    <w:t>I</w:t>
                  </w:r>
                  <w:r w:rsidRPr="005E73B1">
                    <w:rPr>
                      <w:rFonts w:cs="Times New Roman"/>
                      <w:color w:val="000000"/>
                      <w:sz w:val="21"/>
                      <w:szCs w:val="21"/>
                    </w:rPr>
                    <w:t>，</w:t>
                  </w:r>
                  <w:r w:rsidRPr="005E73B1">
                    <w:rPr>
                      <w:rFonts w:cs="Times New Roman"/>
                      <w:color w:val="000000"/>
                      <w:sz w:val="21"/>
                      <w:szCs w:val="21"/>
                    </w:rPr>
                    <w:t>R</w:t>
                  </w:r>
                </w:p>
              </w:tc>
              <w:tc>
                <w:tcPr>
                  <w:tcW w:w="1696" w:type="pct"/>
                  <w:vAlign w:val="center"/>
                </w:tcPr>
                <w:p w14:paraId="36D68E36" w14:textId="6594C785"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HW13</w:t>
                  </w:r>
                  <w:r w:rsidRPr="005E73B1">
                    <w:rPr>
                      <w:rFonts w:cs="Times New Roman"/>
                      <w:color w:val="000000"/>
                      <w:sz w:val="21"/>
                      <w:szCs w:val="21"/>
                    </w:rPr>
                    <w:t>、</w:t>
                  </w:r>
                  <w:r w:rsidRPr="005E73B1">
                    <w:rPr>
                      <w:rFonts w:cs="Times New Roman"/>
                      <w:color w:val="000000"/>
                      <w:sz w:val="21"/>
                      <w:szCs w:val="21"/>
                    </w:rPr>
                    <w:t>HW16</w:t>
                  </w:r>
                  <w:r w:rsidRPr="005E73B1">
                    <w:rPr>
                      <w:rFonts w:cs="Times New Roman"/>
                      <w:color w:val="000000"/>
                      <w:sz w:val="21"/>
                      <w:szCs w:val="21"/>
                    </w:rPr>
                    <w:t>、</w:t>
                  </w:r>
                  <w:r w:rsidRPr="005E73B1">
                    <w:rPr>
                      <w:rFonts w:cs="Times New Roman"/>
                      <w:color w:val="000000"/>
                      <w:sz w:val="21"/>
                      <w:szCs w:val="21"/>
                    </w:rPr>
                    <w:t>HW29</w:t>
                  </w:r>
                  <w:r w:rsidRPr="005E73B1">
                    <w:rPr>
                      <w:rFonts w:cs="Times New Roman"/>
                      <w:color w:val="000000"/>
                      <w:sz w:val="21"/>
                      <w:szCs w:val="21"/>
                    </w:rPr>
                    <w:t>、</w:t>
                  </w:r>
                  <w:r w:rsidRPr="005E73B1">
                    <w:rPr>
                      <w:rFonts w:cs="Times New Roman"/>
                      <w:color w:val="000000"/>
                      <w:sz w:val="21"/>
                      <w:szCs w:val="21"/>
                    </w:rPr>
                    <w:t>HW31</w:t>
                  </w:r>
                  <w:r w:rsidRPr="005E73B1">
                    <w:rPr>
                      <w:rFonts w:cs="Times New Roman"/>
                      <w:color w:val="000000"/>
                      <w:sz w:val="21"/>
                      <w:szCs w:val="21"/>
                    </w:rPr>
                    <w:t>、</w:t>
                  </w:r>
                  <w:r w:rsidRPr="005E73B1">
                    <w:rPr>
                      <w:rFonts w:cs="Times New Roman"/>
                      <w:color w:val="000000"/>
                      <w:sz w:val="21"/>
                      <w:szCs w:val="21"/>
                    </w:rPr>
                    <w:t>HW36</w:t>
                  </w:r>
                  <w:r w:rsidRPr="005E73B1">
                    <w:rPr>
                      <w:rFonts w:cs="Times New Roman"/>
                      <w:color w:val="000000"/>
                      <w:sz w:val="21"/>
                      <w:szCs w:val="21"/>
                    </w:rPr>
                    <w:t>、</w:t>
                  </w:r>
                  <w:r w:rsidRPr="005E73B1">
                    <w:rPr>
                      <w:rFonts w:cs="Times New Roman"/>
                      <w:color w:val="000000"/>
                      <w:sz w:val="21"/>
                      <w:szCs w:val="21"/>
                    </w:rPr>
                    <w:t>HW50</w:t>
                  </w:r>
                  <w:r w:rsidR="00F23FEE" w:rsidRPr="005E73B1">
                    <w:rPr>
                      <w:rFonts w:cs="Times New Roman"/>
                      <w:color w:val="000000"/>
                      <w:sz w:val="21"/>
                      <w:szCs w:val="21"/>
                    </w:rPr>
                    <w:t>、</w:t>
                  </w:r>
                  <w:r w:rsidR="00F23FEE" w:rsidRPr="005E73B1">
                    <w:rPr>
                      <w:rFonts w:cs="Times New Roman"/>
                      <w:color w:val="000000"/>
                      <w:sz w:val="21"/>
                      <w:szCs w:val="21"/>
                    </w:rPr>
                    <w:t>HW35</w:t>
                  </w:r>
                  <w:r w:rsidR="006C5144" w:rsidRPr="005E73B1">
                    <w:rPr>
                      <w:rFonts w:cs="Times New Roman"/>
                      <w:color w:val="000000"/>
                      <w:sz w:val="21"/>
                      <w:szCs w:val="21"/>
                    </w:rPr>
                    <w:t>、</w:t>
                  </w:r>
                  <w:r w:rsidR="006C5144" w:rsidRPr="005E73B1">
                    <w:rPr>
                      <w:rFonts w:cs="Times New Roman"/>
                      <w:color w:val="000000"/>
                      <w:sz w:val="21"/>
                      <w:szCs w:val="21"/>
                    </w:rPr>
                    <w:t>HW09</w:t>
                  </w:r>
                </w:p>
              </w:tc>
              <w:tc>
                <w:tcPr>
                  <w:tcW w:w="1774" w:type="pct"/>
                  <w:vAlign w:val="center"/>
                </w:tcPr>
                <w:p w14:paraId="601A7420" w14:textId="0C33E963"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有机溶剂易燃，与多种物质混合可能发生剧烈反应</w:t>
                  </w:r>
                </w:p>
              </w:tc>
            </w:tr>
            <w:tr w:rsidR="003C4F46" w:rsidRPr="005E73B1" w14:paraId="30A4FB07" w14:textId="77777777">
              <w:trPr>
                <w:trHeight w:val="60"/>
              </w:trPr>
              <w:tc>
                <w:tcPr>
                  <w:tcW w:w="766" w:type="pct"/>
                  <w:vAlign w:val="center"/>
                </w:tcPr>
                <w:p w14:paraId="16FE90F3"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HW08</w:t>
                  </w:r>
                  <w:r w:rsidRPr="005E73B1">
                    <w:rPr>
                      <w:rFonts w:cs="Times New Roman"/>
                      <w:color w:val="000000"/>
                      <w:sz w:val="21"/>
                      <w:szCs w:val="21"/>
                    </w:rPr>
                    <w:t>废矿物油与含矿物油废物</w:t>
                  </w:r>
                </w:p>
              </w:tc>
              <w:tc>
                <w:tcPr>
                  <w:tcW w:w="764" w:type="pct"/>
                  <w:shd w:val="clear" w:color="auto" w:fill="auto"/>
                  <w:vAlign w:val="center"/>
                </w:tcPr>
                <w:p w14:paraId="3F0B74A6"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r w:rsidRPr="005E73B1">
                    <w:rPr>
                      <w:rFonts w:cs="Times New Roman"/>
                      <w:color w:val="000000"/>
                      <w:sz w:val="21"/>
                      <w:szCs w:val="21"/>
                    </w:rPr>
                    <w:t>，</w:t>
                  </w:r>
                  <w:r w:rsidRPr="005E73B1">
                    <w:rPr>
                      <w:rFonts w:cs="Times New Roman"/>
                      <w:color w:val="000000"/>
                      <w:sz w:val="21"/>
                      <w:szCs w:val="21"/>
                    </w:rPr>
                    <w:t>I</w:t>
                  </w:r>
                </w:p>
              </w:tc>
              <w:tc>
                <w:tcPr>
                  <w:tcW w:w="1696" w:type="pct"/>
                  <w:vAlign w:val="center"/>
                </w:tcPr>
                <w:p w14:paraId="3586CAE3"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HW29</w:t>
                  </w:r>
                  <w:r w:rsidRPr="005E73B1">
                    <w:rPr>
                      <w:rFonts w:cs="Times New Roman"/>
                      <w:color w:val="000000"/>
                      <w:sz w:val="21"/>
                      <w:szCs w:val="21"/>
                    </w:rPr>
                    <w:t>、</w:t>
                  </w:r>
                  <w:r w:rsidRPr="005E73B1">
                    <w:rPr>
                      <w:rFonts w:cs="Times New Roman"/>
                      <w:color w:val="000000"/>
                      <w:sz w:val="21"/>
                      <w:szCs w:val="21"/>
                    </w:rPr>
                    <w:t>HW31</w:t>
                  </w:r>
                </w:p>
              </w:tc>
              <w:tc>
                <w:tcPr>
                  <w:tcW w:w="1774" w:type="pct"/>
                  <w:vAlign w:val="center"/>
                </w:tcPr>
                <w:p w14:paraId="0F22445A"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矿物油与有机溶剂混存增加火灾风险；与酸类可能发生反应</w:t>
                  </w:r>
                </w:p>
              </w:tc>
            </w:tr>
            <w:tr w:rsidR="003C4F46" w:rsidRPr="005E73B1" w14:paraId="01513835" w14:textId="77777777">
              <w:trPr>
                <w:trHeight w:val="60"/>
              </w:trPr>
              <w:tc>
                <w:tcPr>
                  <w:tcW w:w="766" w:type="pct"/>
                  <w:vAlign w:val="center"/>
                </w:tcPr>
                <w:p w14:paraId="443EF636"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HW09</w:t>
                  </w:r>
                  <w:r w:rsidRPr="005E73B1">
                    <w:rPr>
                      <w:rFonts w:cs="Times New Roman"/>
                      <w:color w:val="000000"/>
                      <w:sz w:val="21"/>
                      <w:szCs w:val="21"/>
                    </w:rPr>
                    <w:t>油</w:t>
                  </w:r>
                  <w:r w:rsidRPr="005E73B1">
                    <w:rPr>
                      <w:rFonts w:cs="Times New Roman"/>
                      <w:color w:val="000000"/>
                      <w:sz w:val="21"/>
                      <w:szCs w:val="21"/>
                    </w:rPr>
                    <w:t>/</w:t>
                  </w:r>
                  <w:r w:rsidRPr="005E73B1">
                    <w:rPr>
                      <w:rFonts w:cs="Times New Roman"/>
                      <w:color w:val="000000"/>
                      <w:sz w:val="21"/>
                      <w:szCs w:val="21"/>
                    </w:rPr>
                    <w:t>水、烃</w:t>
                  </w:r>
                  <w:r w:rsidRPr="005E73B1">
                    <w:rPr>
                      <w:rFonts w:cs="Times New Roman"/>
                      <w:color w:val="000000"/>
                      <w:sz w:val="21"/>
                      <w:szCs w:val="21"/>
                    </w:rPr>
                    <w:t>/</w:t>
                  </w:r>
                  <w:r w:rsidRPr="005E73B1">
                    <w:rPr>
                      <w:rFonts w:cs="Times New Roman"/>
                      <w:color w:val="000000"/>
                      <w:sz w:val="21"/>
                      <w:szCs w:val="21"/>
                    </w:rPr>
                    <w:t>水混合物或乳化液</w:t>
                  </w:r>
                </w:p>
              </w:tc>
              <w:tc>
                <w:tcPr>
                  <w:tcW w:w="764" w:type="pct"/>
                  <w:shd w:val="clear" w:color="auto" w:fill="auto"/>
                  <w:vAlign w:val="center"/>
                </w:tcPr>
                <w:p w14:paraId="3E785813"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p>
              </w:tc>
              <w:tc>
                <w:tcPr>
                  <w:tcW w:w="1696" w:type="pct"/>
                  <w:vAlign w:val="center"/>
                </w:tcPr>
                <w:p w14:paraId="29D79E4E" w14:textId="1F0079DD"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HW29</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4FE0E22A"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乳化液与有机溶剂、酸类可能发生反应</w:t>
                  </w:r>
                </w:p>
              </w:tc>
            </w:tr>
            <w:tr w:rsidR="003C4F46" w:rsidRPr="005E73B1" w14:paraId="165EBE0A" w14:textId="77777777">
              <w:trPr>
                <w:trHeight w:val="60"/>
              </w:trPr>
              <w:tc>
                <w:tcPr>
                  <w:tcW w:w="766" w:type="pct"/>
                  <w:vAlign w:val="center"/>
                </w:tcPr>
                <w:p w14:paraId="23E5FFA7"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HW12</w:t>
                  </w:r>
                  <w:r w:rsidRPr="005E73B1">
                    <w:rPr>
                      <w:rFonts w:cs="Times New Roman"/>
                      <w:color w:val="000000"/>
                      <w:sz w:val="21"/>
                      <w:szCs w:val="21"/>
                    </w:rPr>
                    <w:t>染料、涂料废物</w:t>
                  </w:r>
                </w:p>
              </w:tc>
              <w:tc>
                <w:tcPr>
                  <w:tcW w:w="764" w:type="pct"/>
                  <w:shd w:val="clear" w:color="auto" w:fill="auto"/>
                  <w:vAlign w:val="center"/>
                </w:tcPr>
                <w:p w14:paraId="498D7E90"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r w:rsidRPr="005E73B1">
                    <w:rPr>
                      <w:rFonts w:cs="Times New Roman"/>
                      <w:color w:val="000000"/>
                      <w:sz w:val="21"/>
                      <w:szCs w:val="21"/>
                    </w:rPr>
                    <w:t>，</w:t>
                  </w:r>
                  <w:r w:rsidRPr="005E73B1">
                    <w:rPr>
                      <w:rFonts w:cs="Times New Roman"/>
                      <w:color w:val="000000"/>
                      <w:sz w:val="21"/>
                      <w:szCs w:val="21"/>
                    </w:rPr>
                    <w:t>I</w:t>
                  </w:r>
                </w:p>
              </w:tc>
              <w:tc>
                <w:tcPr>
                  <w:tcW w:w="1696" w:type="pct"/>
                  <w:vAlign w:val="center"/>
                </w:tcPr>
                <w:p w14:paraId="543D37EF" w14:textId="5030796C"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HW09</w:t>
                  </w:r>
                  <w:r w:rsidRPr="005E73B1">
                    <w:rPr>
                      <w:rFonts w:cs="Times New Roman"/>
                      <w:color w:val="000000"/>
                      <w:sz w:val="21"/>
                      <w:szCs w:val="21"/>
                    </w:rPr>
                    <w:t>、</w:t>
                  </w:r>
                  <w:r w:rsidRPr="005E73B1">
                    <w:rPr>
                      <w:rFonts w:cs="Times New Roman"/>
                      <w:color w:val="000000"/>
                      <w:sz w:val="21"/>
                      <w:szCs w:val="21"/>
                    </w:rPr>
                    <w:t>HW13</w:t>
                  </w:r>
                  <w:r w:rsidRPr="005E73B1">
                    <w:rPr>
                      <w:rFonts w:cs="Times New Roman"/>
                      <w:color w:val="000000"/>
                      <w:sz w:val="21"/>
                      <w:szCs w:val="21"/>
                    </w:rPr>
                    <w:t>、</w:t>
                  </w:r>
                  <w:r w:rsidRPr="005E73B1">
                    <w:rPr>
                      <w:rFonts w:cs="Times New Roman"/>
                      <w:color w:val="000000"/>
                      <w:sz w:val="21"/>
                      <w:szCs w:val="21"/>
                    </w:rPr>
                    <w:t>HW29</w:t>
                  </w:r>
                  <w:r w:rsidRPr="005E73B1">
                    <w:rPr>
                      <w:rFonts w:cs="Times New Roman"/>
                      <w:color w:val="000000"/>
                      <w:sz w:val="21"/>
                      <w:szCs w:val="21"/>
                    </w:rPr>
                    <w:t>、</w:t>
                  </w:r>
                  <w:r w:rsidRPr="005E73B1">
                    <w:rPr>
                      <w:rFonts w:cs="Times New Roman"/>
                      <w:color w:val="000000"/>
                      <w:sz w:val="21"/>
                      <w:szCs w:val="21"/>
                    </w:rPr>
                    <w:t>HW31</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4B97B745"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含有机溶剂，具有易燃性，应远离氧化剂和酸类</w:t>
                  </w:r>
                </w:p>
              </w:tc>
            </w:tr>
            <w:tr w:rsidR="003C4F46" w:rsidRPr="005E73B1" w14:paraId="499ABA25" w14:textId="77777777">
              <w:trPr>
                <w:trHeight w:val="60"/>
              </w:trPr>
              <w:tc>
                <w:tcPr>
                  <w:tcW w:w="766" w:type="pct"/>
                  <w:vAlign w:val="center"/>
                </w:tcPr>
                <w:p w14:paraId="4BAD55A8"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HW13</w:t>
                  </w:r>
                  <w:r w:rsidRPr="005E73B1">
                    <w:rPr>
                      <w:rFonts w:cs="Times New Roman"/>
                      <w:color w:val="000000"/>
                      <w:sz w:val="21"/>
                      <w:szCs w:val="21"/>
                    </w:rPr>
                    <w:t>有机树脂类废物</w:t>
                  </w:r>
                </w:p>
              </w:tc>
              <w:tc>
                <w:tcPr>
                  <w:tcW w:w="764" w:type="pct"/>
                  <w:shd w:val="clear" w:color="auto" w:fill="auto"/>
                  <w:vAlign w:val="center"/>
                </w:tcPr>
                <w:p w14:paraId="53BBE792"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p>
              </w:tc>
              <w:tc>
                <w:tcPr>
                  <w:tcW w:w="1696" w:type="pct"/>
                  <w:vAlign w:val="center"/>
                </w:tcPr>
                <w:p w14:paraId="6AAFA833" w14:textId="6EAEFEE5"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HW29</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6FD49666"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树脂与有机溶剂、酸类可能发生反应</w:t>
                  </w:r>
                </w:p>
              </w:tc>
            </w:tr>
            <w:tr w:rsidR="003C4F46" w:rsidRPr="005E73B1" w14:paraId="5EF20859" w14:textId="77777777">
              <w:trPr>
                <w:trHeight w:val="60"/>
              </w:trPr>
              <w:tc>
                <w:tcPr>
                  <w:tcW w:w="766" w:type="pct"/>
                  <w:vAlign w:val="center"/>
                </w:tcPr>
                <w:p w14:paraId="4FE3F748"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HW16</w:t>
                  </w:r>
                  <w:r w:rsidRPr="005E73B1">
                    <w:rPr>
                      <w:rFonts w:cs="Times New Roman"/>
                      <w:color w:val="000000"/>
                      <w:sz w:val="21"/>
                      <w:szCs w:val="21"/>
                    </w:rPr>
                    <w:t>感光材料废物</w:t>
                  </w:r>
                </w:p>
              </w:tc>
              <w:tc>
                <w:tcPr>
                  <w:tcW w:w="764" w:type="pct"/>
                  <w:shd w:val="clear" w:color="auto" w:fill="auto"/>
                  <w:vAlign w:val="center"/>
                </w:tcPr>
                <w:p w14:paraId="779256D3"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p>
              </w:tc>
              <w:tc>
                <w:tcPr>
                  <w:tcW w:w="1696" w:type="pct"/>
                  <w:vAlign w:val="center"/>
                </w:tcPr>
                <w:p w14:paraId="4419DC68" w14:textId="4A758F2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HW12</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2F295015"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含银化合物，与有机溶剂可能发生反应</w:t>
                  </w:r>
                </w:p>
              </w:tc>
            </w:tr>
            <w:tr w:rsidR="003C4F46" w:rsidRPr="005E73B1" w14:paraId="246D92FD" w14:textId="77777777">
              <w:trPr>
                <w:trHeight w:val="60"/>
              </w:trPr>
              <w:tc>
                <w:tcPr>
                  <w:tcW w:w="766" w:type="pct"/>
                  <w:vAlign w:val="center"/>
                </w:tcPr>
                <w:p w14:paraId="06372C8E"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HW29</w:t>
                  </w:r>
                  <w:r w:rsidRPr="005E73B1">
                    <w:rPr>
                      <w:rFonts w:cs="Times New Roman"/>
                      <w:color w:val="000000"/>
                      <w:sz w:val="21"/>
                      <w:szCs w:val="21"/>
                    </w:rPr>
                    <w:t>含汞废物</w:t>
                  </w:r>
                </w:p>
              </w:tc>
              <w:tc>
                <w:tcPr>
                  <w:tcW w:w="764" w:type="pct"/>
                  <w:shd w:val="clear" w:color="auto" w:fill="auto"/>
                  <w:vAlign w:val="center"/>
                </w:tcPr>
                <w:p w14:paraId="0DB4FE7C"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p>
              </w:tc>
              <w:tc>
                <w:tcPr>
                  <w:tcW w:w="1696" w:type="pct"/>
                  <w:vAlign w:val="center"/>
                </w:tcPr>
                <w:p w14:paraId="739385AE" w14:textId="1B019DAB"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HW13</w:t>
                  </w:r>
                  <w:r w:rsidRPr="005E73B1">
                    <w:rPr>
                      <w:rFonts w:cs="Times New Roman"/>
                      <w:color w:val="000000"/>
                      <w:sz w:val="21"/>
                      <w:szCs w:val="21"/>
                    </w:rPr>
                    <w:t>、</w:t>
                  </w:r>
                  <w:r w:rsidRPr="005E73B1">
                    <w:rPr>
                      <w:rFonts w:cs="Times New Roman"/>
                      <w:color w:val="000000"/>
                      <w:sz w:val="21"/>
                      <w:szCs w:val="21"/>
                    </w:rPr>
                    <w:t>HW31</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7D7C4B9C"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汞与酸类、有机溶剂可能发生反应，产生有毒蒸气</w:t>
                  </w:r>
                </w:p>
              </w:tc>
            </w:tr>
            <w:tr w:rsidR="003C4F46" w:rsidRPr="005E73B1" w14:paraId="04703AB7" w14:textId="77777777">
              <w:trPr>
                <w:trHeight w:val="60"/>
              </w:trPr>
              <w:tc>
                <w:tcPr>
                  <w:tcW w:w="766" w:type="pct"/>
                  <w:vAlign w:val="center"/>
                </w:tcPr>
                <w:p w14:paraId="1AACBC5E"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HW31</w:t>
                  </w:r>
                  <w:r w:rsidRPr="005E73B1">
                    <w:rPr>
                      <w:rFonts w:cs="Times New Roman"/>
                      <w:color w:val="000000"/>
                      <w:sz w:val="21"/>
                      <w:szCs w:val="21"/>
                    </w:rPr>
                    <w:t>含铅废物（废铅蓄电池）</w:t>
                  </w:r>
                </w:p>
              </w:tc>
              <w:tc>
                <w:tcPr>
                  <w:tcW w:w="764" w:type="pct"/>
                  <w:shd w:val="clear" w:color="auto" w:fill="auto"/>
                  <w:vAlign w:val="center"/>
                </w:tcPr>
                <w:p w14:paraId="6FC32E6C"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w:t>
                  </w:r>
                  <w:r w:rsidRPr="005E73B1">
                    <w:rPr>
                      <w:rFonts w:cs="Times New Roman"/>
                      <w:color w:val="000000"/>
                      <w:sz w:val="21"/>
                      <w:szCs w:val="21"/>
                    </w:rPr>
                    <w:t>，</w:t>
                  </w:r>
                  <w:r w:rsidRPr="005E73B1">
                    <w:rPr>
                      <w:rFonts w:cs="Times New Roman"/>
                      <w:color w:val="000000"/>
                      <w:sz w:val="21"/>
                      <w:szCs w:val="21"/>
                    </w:rPr>
                    <w:t>C</w:t>
                  </w:r>
                </w:p>
              </w:tc>
              <w:tc>
                <w:tcPr>
                  <w:tcW w:w="1696" w:type="pct"/>
                  <w:vAlign w:val="center"/>
                </w:tcPr>
                <w:p w14:paraId="2DD8E1FE" w14:textId="280A5C13"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HW29</w:t>
                  </w:r>
                  <w:r w:rsidRPr="005E73B1">
                    <w:rPr>
                      <w:rFonts w:cs="Times New Roman"/>
                      <w:color w:val="000000"/>
                      <w:sz w:val="21"/>
                      <w:szCs w:val="21"/>
                    </w:rPr>
                    <w:t>、</w:t>
                  </w:r>
                  <w:r w:rsidRPr="005E73B1">
                    <w:rPr>
                      <w:rFonts w:cs="Times New Roman"/>
                      <w:color w:val="000000"/>
                      <w:sz w:val="21"/>
                      <w:szCs w:val="21"/>
                    </w:rPr>
                    <w:t>HW36</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74629161"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含硫酸电解液（腐蚀性），与易燃物质、有机溶剂、石棉等不相容</w:t>
                  </w:r>
                </w:p>
              </w:tc>
            </w:tr>
            <w:tr w:rsidR="003C4F46" w:rsidRPr="005E73B1" w14:paraId="31CC3D49" w14:textId="77777777">
              <w:trPr>
                <w:trHeight w:val="60"/>
              </w:trPr>
              <w:tc>
                <w:tcPr>
                  <w:tcW w:w="766" w:type="pct"/>
                  <w:vAlign w:val="center"/>
                </w:tcPr>
                <w:p w14:paraId="60893759"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lastRenderedPageBreak/>
                    <w:t>HW36</w:t>
                  </w:r>
                  <w:r w:rsidRPr="005E73B1">
                    <w:rPr>
                      <w:rFonts w:cs="Times New Roman"/>
                      <w:color w:val="000000"/>
                      <w:sz w:val="21"/>
                      <w:szCs w:val="21"/>
                    </w:rPr>
                    <w:t>石棉废物</w:t>
                  </w:r>
                </w:p>
              </w:tc>
              <w:tc>
                <w:tcPr>
                  <w:tcW w:w="764" w:type="pct"/>
                  <w:shd w:val="clear" w:color="auto" w:fill="auto"/>
                  <w:vAlign w:val="center"/>
                </w:tcPr>
                <w:p w14:paraId="0B1D4C5E"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F1115"/>
                      <w:sz w:val="21"/>
                      <w:szCs w:val="21"/>
                      <w:shd w:val="clear" w:color="auto" w:fill="FFFFFF"/>
                    </w:rPr>
                    <w:t>T</w:t>
                  </w:r>
                </w:p>
              </w:tc>
              <w:tc>
                <w:tcPr>
                  <w:tcW w:w="1696" w:type="pct"/>
                  <w:vAlign w:val="center"/>
                </w:tcPr>
                <w:p w14:paraId="7E076F5D"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HW31</w:t>
                  </w:r>
                </w:p>
              </w:tc>
              <w:tc>
                <w:tcPr>
                  <w:tcW w:w="1774" w:type="pct"/>
                  <w:vAlign w:val="center"/>
                </w:tcPr>
                <w:p w14:paraId="7E482BFB"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避免与有机溶剂、酸液接触导致污染扩散</w:t>
                  </w:r>
                </w:p>
              </w:tc>
            </w:tr>
            <w:tr w:rsidR="003C4F46" w:rsidRPr="005E73B1" w14:paraId="0D7E8AE8" w14:textId="77777777">
              <w:trPr>
                <w:trHeight w:val="60"/>
              </w:trPr>
              <w:tc>
                <w:tcPr>
                  <w:tcW w:w="766" w:type="pct"/>
                  <w:vAlign w:val="center"/>
                </w:tcPr>
                <w:p w14:paraId="0357F22A"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HW49</w:t>
                  </w:r>
                  <w:r w:rsidRPr="005E73B1">
                    <w:rPr>
                      <w:rFonts w:cs="Times New Roman"/>
                      <w:color w:val="000000"/>
                      <w:sz w:val="21"/>
                      <w:szCs w:val="21"/>
                    </w:rPr>
                    <w:t>其他废物</w:t>
                  </w:r>
                </w:p>
              </w:tc>
              <w:tc>
                <w:tcPr>
                  <w:tcW w:w="764" w:type="pct"/>
                  <w:shd w:val="clear" w:color="auto" w:fill="auto"/>
                  <w:vAlign w:val="center"/>
                </w:tcPr>
                <w:p w14:paraId="5FF1E429"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T/In/C/I/R</w:t>
                  </w:r>
                </w:p>
              </w:tc>
              <w:tc>
                <w:tcPr>
                  <w:tcW w:w="1696" w:type="pct"/>
                  <w:vAlign w:val="center"/>
                </w:tcPr>
                <w:p w14:paraId="5DCAEDDB"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视具体废物性质而定</w:t>
                  </w:r>
                </w:p>
              </w:tc>
              <w:tc>
                <w:tcPr>
                  <w:tcW w:w="1774" w:type="pct"/>
                  <w:vAlign w:val="center"/>
                </w:tcPr>
                <w:p w14:paraId="4D13D927"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成分复杂，须逐批次特性分析后确定</w:t>
                  </w:r>
                </w:p>
              </w:tc>
            </w:tr>
            <w:tr w:rsidR="003C4F46" w:rsidRPr="005E73B1" w14:paraId="40C617FF" w14:textId="77777777">
              <w:trPr>
                <w:trHeight w:val="60"/>
              </w:trPr>
              <w:tc>
                <w:tcPr>
                  <w:tcW w:w="766" w:type="pct"/>
                  <w:vAlign w:val="center"/>
                </w:tcPr>
                <w:p w14:paraId="4AA3A2AC"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HW50</w:t>
                  </w:r>
                  <w:r w:rsidRPr="005E73B1">
                    <w:rPr>
                      <w:rFonts w:cs="Times New Roman"/>
                      <w:color w:val="000000"/>
                      <w:sz w:val="21"/>
                      <w:szCs w:val="21"/>
                    </w:rPr>
                    <w:t>废催化剂</w:t>
                  </w:r>
                </w:p>
              </w:tc>
              <w:tc>
                <w:tcPr>
                  <w:tcW w:w="764" w:type="pct"/>
                  <w:shd w:val="clear" w:color="auto" w:fill="auto"/>
                  <w:vAlign w:val="center"/>
                </w:tcPr>
                <w:p w14:paraId="02A489C3"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F1115"/>
                      <w:sz w:val="21"/>
                      <w:szCs w:val="21"/>
                      <w:shd w:val="clear" w:color="auto" w:fill="FFFFFF"/>
                    </w:rPr>
                    <w:t>T</w:t>
                  </w:r>
                </w:p>
              </w:tc>
              <w:tc>
                <w:tcPr>
                  <w:tcW w:w="1696" w:type="pct"/>
                  <w:vAlign w:val="center"/>
                </w:tcPr>
                <w:p w14:paraId="7D45B92E" w14:textId="307B0C29"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00213DD4" w:rsidRPr="005E73B1">
                    <w:rPr>
                      <w:rFonts w:cs="Times New Roman"/>
                      <w:color w:val="000000"/>
                      <w:sz w:val="21"/>
                      <w:szCs w:val="21"/>
                    </w:rPr>
                    <w:t>、</w:t>
                  </w:r>
                  <w:r w:rsidR="00213DD4" w:rsidRPr="005E73B1">
                    <w:rPr>
                      <w:rFonts w:cs="Times New Roman"/>
                      <w:color w:val="000000"/>
                      <w:sz w:val="21"/>
                      <w:szCs w:val="21"/>
                    </w:rPr>
                    <w:t>HW35</w:t>
                  </w:r>
                </w:p>
              </w:tc>
              <w:tc>
                <w:tcPr>
                  <w:tcW w:w="1774" w:type="pct"/>
                  <w:vAlign w:val="center"/>
                </w:tcPr>
                <w:p w14:paraId="76DE1485" w14:textId="77777777" w:rsidR="003C4F46" w:rsidRPr="005E73B1" w:rsidRDefault="004B6A81">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含活性金属组分，与有机溶剂接触可能引发反应</w:t>
                  </w:r>
                </w:p>
              </w:tc>
            </w:tr>
            <w:tr w:rsidR="0091565B" w:rsidRPr="005E73B1" w14:paraId="345885CD" w14:textId="77777777">
              <w:trPr>
                <w:trHeight w:val="60"/>
              </w:trPr>
              <w:tc>
                <w:tcPr>
                  <w:tcW w:w="766" w:type="pct"/>
                  <w:vAlign w:val="center"/>
                </w:tcPr>
                <w:p w14:paraId="7E8BF76E" w14:textId="438F70A0" w:rsidR="0091565B" w:rsidRPr="005E73B1" w:rsidRDefault="00616E84">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HW35</w:t>
                  </w:r>
                  <w:r w:rsidRPr="005E73B1">
                    <w:rPr>
                      <w:rFonts w:cs="Times New Roman"/>
                      <w:color w:val="000000"/>
                      <w:sz w:val="21"/>
                      <w:szCs w:val="21"/>
                    </w:rPr>
                    <w:t>废碱</w:t>
                  </w:r>
                </w:p>
              </w:tc>
              <w:tc>
                <w:tcPr>
                  <w:tcW w:w="764" w:type="pct"/>
                  <w:shd w:val="clear" w:color="auto" w:fill="auto"/>
                  <w:vAlign w:val="center"/>
                </w:tcPr>
                <w:p w14:paraId="5AA02C4C" w14:textId="4AEE69CA" w:rsidR="0091565B" w:rsidRPr="005E73B1" w:rsidRDefault="00616E84">
                  <w:pPr>
                    <w:spacing w:line="240" w:lineRule="auto"/>
                    <w:ind w:firstLineChars="0" w:firstLine="0"/>
                    <w:jc w:val="center"/>
                    <w:textAlignment w:val="auto"/>
                    <w:rPr>
                      <w:rFonts w:cs="Times New Roman"/>
                      <w:color w:val="0F1115"/>
                      <w:sz w:val="21"/>
                      <w:szCs w:val="21"/>
                      <w:shd w:val="clear" w:color="auto" w:fill="FFFFFF"/>
                    </w:rPr>
                  </w:pPr>
                  <w:r w:rsidRPr="005E73B1">
                    <w:rPr>
                      <w:rFonts w:cs="Times New Roman"/>
                      <w:color w:val="0F1115"/>
                      <w:sz w:val="21"/>
                      <w:szCs w:val="21"/>
                      <w:shd w:val="clear" w:color="auto" w:fill="FFFFFF"/>
                    </w:rPr>
                    <w:t>C</w:t>
                  </w:r>
                  <w:r w:rsidRPr="005E73B1">
                    <w:rPr>
                      <w:rFonts w:cs="Times New Roman"/>
                      <w:color w:val="0F1115"/>
                      <w:sz w:val="21"/>
                      <w:szCs w:val="21"/>
                      <w:shd w:val="clear" w:color="auto" w:fill="FFFFFF"/>
                    </w:rPr>
                    <w:t>，</w:t>
                  </w:r>
                  <w:r w:rsidRPr="005E73B1">
                    <w:rPr>
                      <w:rFonts w:cs="Times New Roman"/>
                      <w:color w:val="0F1115"/>
                      <w:sz w:val="21"/>
                      <w:szCs w:val="21"/>
                      <w:shd w:val="clear" w:color="auto" w:fill="FFFFFF"/>
                    </w:rPr>
                    <w:t>T</w:t>
                  </w:r>
                </w:p>
              </w:tc>
              <w:tc>
                <w:tcPr>
                  <w:tcW w:w="1696" w:type="pct"/>
                  <w:vAlign w:val="center"/>
                </w:tcPr>
                <w:p w14:paraId="4DD04AD5" w14:textId="4547EB99" w:rsidR="0091565B" w:rsidRPr="005E73B1" w:rsidRDefault="00616E84">
                  <w:pPr>
                    <w:spacing w:line="240" w:lineRule="auto"/>
                    <w:ind w:firstLineChars="0" w:firstLine="0"/>
                    <w:jc w:val="center"/>
                    <w:textAlignment w:val="auto"/>
                    <w:rPr>
                      <w:rFonts w:cs="Times New Roman"/>
                      <w:color w:val="000000"/>
                      <w:sz w:val="21"/>
                      <w:szCs w:val="21"/>
                    </w:rPr>
                  </w:pPr>
                  <w:r w:rsidRPr="005E73B1">
                    <w:rPr>
                      <w:rFonts w:cs="Times New Roman"/>
                      <w:color w:val="000000"/>
                      <w:sz w:val="21"/>
                      <w:szCs w:val="21"/>
                    </w:rPr>
                    <w:t>HW06</w:t>
                  </w:r>
                  <w:r w:rsidRPr="005E73B1">
                    <w:rPr>
                      <w:rFonts w:cs="Times New Roman"/>
                      <w:color w:val="000000"/>
                      <w:sz w:val="21"/>
                      <w:szCs w:val="21"/>
                    </w:rPr>
                    <w:t>、</w:t>
                  </w:r>
                  <w:r w:rsidRPr="005E73B1">
                    <w:rPr>
                      <w:rFonts w:cs="Times New Roman"/>
                      <w:color w:val="000000"/>
                      <w:sz w:val="21"/>
                      <w:szCs w:val="21"/>
                    </w:rPr>
                    <w:t>HW08</w:t>
                  </w:r>
                  <w:r w:rsidRPr="005E73B1">
                    <w:rPr>
                      <w:rFonts w:cs="Times New Roman"/>
                      <w:color w:val="000000"/>
                      <w:sz w:val="21"/>
                      <w:szCs w:val="21"/>
                    </w:rPr>
                    <w:t>、</w:t>
                  </w:r>
                  <w:r w:rsidRPr="005E73B1">
                    <w:rPr>
                      <w:rFonts w:cs="Times New Roman"/>
                      <w:color w:val="000000"/>
                      <w:sz w:val="21"/>
                      <w:szCs w:val="21"/>
                    </w:rPr>
                    <w:t>HW09</w:t>
                  </w:r>
                  <w:r w:rsidRPr="005E73B1">
                    <w:rPr>
                      <w:rFonts w:cs="Times New Roman"/>
                      <w:color w:val="000000"/>
                      <w:sz w:val="21"/>
                      <w:szCs w:val="21"/>
                    </w:rPr>
                    <w:t>、</w:t>
                  </w:r>
                  <w:r w:rsidRPr="005E73B1">
                    <w:rPr>
                      <w:rFonts w:cs="Times New Roman"/>
                      <w:color w:val="000000"/>
                      <w:sz w:val="21"/>
                      <w:szCs w:val="21"/>
                    </w:rPr>
                    <w:t>HW12</w:t>
                  </w:r>
                  <w:r w:rsidRPr="005E73B1">
                    <w:rPr>
                      <w:rFonts w:cs="Times New Roman"/>
                      <w:color w:val="000000"/>
                      <w:sz w:val="21"/>
                      <w:szCs w:val="21"/>
                    </w:rPr>
                    <w:t>、</w:t>
                  </w:r>
                  <w:r w:rsidRPr="005E73B1">
                    <w:rPr>
                      <w:rFonts w:cs="Times New Roman"/>
                      <w:color w:val="000000"/>
                      <w:sz w:val="21"/>
                      <w:szCs w:val="21"/>
                    </w:rPr>
                    <w:t>HW13</w:t>
                  </w:r>
                  <w:r w:rsidRPr="005E73B1">
                    <w:rPr>
                      <w:rFonts w:cs="Times New Roman"/>
                      <w:color w:val="000000"/>
                      <w:sz w:val="21"/>
                      <w:szCs w:val="21"/>
                    </w:rPr>
                    <w:t>、</w:t>
                  </w:r>
                  <w:r w:rsidRPr="005E73B1">
                    <w:rPr>
                      <w:rFonts w:cs="Times New Roman"/>
                      <w:color w:val="000000"/>
                      <w:sz w:val="21"/>
                      <w:szCs w:val="21"/>
                    </w:rPr>
                    <w:t>HW16</w:t>
                  </w:r>
                  <w:r w:rsidRPr="005E73B1">
                    <w:rPr>
                      <w:rFonts w:cs="Times New Roman"/>
                      <w:color w:val="000000"/>
                      <w:sz w:val="21"/>
                      <w:szCs w:val="21"/>
                    </w:rPr>
                    <w:t>、</w:t>
                  </w:r>
                  <w:r w:rsidRPr="005E73B1">
                    <w:rPr>
                      <w:rFonts w:cs="Times New Roman"/>
                      <w:color w:val="000000"/>
                      <w:sz w:val="21"/>
                      <w:szCs w:val="21"/>
                    </w:rPr>
                    <w:t>HW29</w:t>
                  </w:r>
                  <w:r w:rsidRPr="005E73B1">
                    <w:rPr>
                      <w:rFonts w:cs="Times New Roman"/>
                      <w:color w:val="000000"/>
                      <w:sz w:val="21"/>
                      <w:szCs w:val="21"/>
                    </w:rPr>
                    <w:t>、</w:t>
                  </w:r>
                  <w:r w:rsidRPr="005E73B1">
                    <w:rPr>
                      <w:rFonts w:cs="Times New Roman"/>
                      <w:color w:val="000000"/>
                      <w:sz w:val="21"/>
                      <w:szCs w:val="21"/>
                    </w:rPr>
                    <w:t>HW31</w:t>
                  </w:r>
                  <w:r w:rsidRPr="005E73B1">
                    <w:rPr>
                      <w:rFonts w:cs="Times New Roman"/>
                      <w:color w:val="000000"/>
                      <w:sz w:val="21"/>
                      <w:szCs w:val="21"/>
                    </w:rPr>
                    <w:t>、</w:t>
                  </w:r>
                  <w:r w:rsidRPr="005E73B1">
                    <w:rPr>
                      <w:rFonts w:cs="Times New Roman"/>
                      <w:color w:val="000000"/>
                      <w:sz w:val="21"/>
                      <w:szCs w:val="21"/>
                    </w:rPr>
                    <w:t>HW50</w:t>
                  </w:r>
                </w:p>
              </w:tc>
              <w:tc>
                <w:tcPr>
                  <w:tcW w:w="1774" w:type="pct"/>
                  <w:vAlign w:val="center"/>
                </w:tcPr>
                <w:p w14:paraId="4AD3A472" w14:textId="288316E1" w:rsidR="0091565B" w:rsidRPr="005E73B1" w:rsidRDefault="00616E84" w:rsidP="00474CA7">
                  <w:pPr>
                    <w:spacing w:line="240" w:lineRule="auto"/>
                    <w:ind w:firstLineChars="0" w:firstLine="0"/>
                    <w:textAlignment w:val="auto"/>
                    <w:rPr>
                      <w:rFonts w:cs="Times New Roman"/>
                      <w:color w:val="000000"/>
                      <w:sz w:val="21"/>
                      <w:szCs w:val="21"/>
                    </w:rPr>
                  </w:pPr>
                  <w:r w:rsidRPr="005E73B1">
                    <w:rPr>
                      <w:rFonts w:cs="Times New Roman"/>
                      <w:color w:val="000000"/>
                      <w:sz w:val="21"/>
                      <w:szCs w:val="21"/>
                    </w:rPr>
                    <w:t>强碱（腐蚀性），与酸类发生剧烈中和反应放热；与有机溶剂、乳化液接触可能引发反应或释放有害气体；遇汞等物质可能产生有毒蒸气</w:t>
                  </w:r>
                </w:p>
              </w:tc>
            </w:tr>
            <w:tr w:rsidR="003C4F46" w:rsidRPr="005E73B1" w14:paraId="519DDAE0" w14:textId="77777777">
              <w:trPr>
                <w:trHeight w:val="60"/>
              </w:trPr>
              <w:tc>
                <w:tcPr>
                  <w:tcW w:w="5000" w:type="pct"/>
                  <w:gridSpan w:val="4"/>
                  <w:vAlign w:val="center"/>
                </w:tcPr>
                <w:p w14:paraId="0A9357D9" w14:textId="77777777" w:rsidR="003C4F46" w:rsidRPr="005E73B1" w:rsidRDefault="004B6A81">
                  <w:pPr>
                    <w:spacing w:line="240" w:lineRule="auto"/>
                    <w:ind w:firstLineChars="0" w:firstLine="0"/>
                    <w:textAlignment w:val="auto"/>
                    <w:rPr>
                      <w:rFonts w:cs="Times New Roman"/>
                      <w:color w:val="000000"/>
                      <w:sz w:val="21"/>
                      <w:szCs w:val="21"/>
                    </w:rPr>
                  </w:pPr>
                  <w:r w:rsidRPr="005E73B1">
                    <w:rPr>
                      <w:rFonts w:cs="Times New Roman"/>
                      <w:color w:val="000000"/>
                      <w:sz w:val="21"/>
                      <w:szCs w:val="21"/>
                    </w:rPr>
                    <w:t>注：</w:t>
                  </w:r>
                  <w:r w:rsidRPr="005E73B1">
                    <w:rPr>
                      <w:rFonts w:cs="Times New Roman"/>
                      <w:color w:val="000000"/>
                      <w:sz w:val="21"/>
                      <w:szCs w:val="21"/>
                    </w:rPr>
                    <w:t>T—</w:t>
                  </w:r>
                  <w:r w:rsidRPr="005E73B1">
                    <w:rPr>
                      <w:rFonts w:cs="Times New Roman"/>
                      <w:color w:val="000000"/>
                      <w:sz w:val="21"/>
                      <w:szCs w:val="21"/>
                    </w:rPr>
                    <w:t>毒性，</w:t>
                  </w:r>
                  <w:r w:rsidRPr="005E73B1">
                    <w:rPr>
                      <w:rFonts w:cs="Times New Roman"/>
                      <w:color w:val="000000"/>
                      <w:sz w:val="21"/>
                      <w:szCs w:val="21"/>
                    </w:rPr>
                    <w:t>I—</w:t>
                  </w:r>
                  <w:r w:rsidRPr="005E73B1">
                    <w:rPr>
                      <w:rFonts w:cs="Times New Roman"/>
                      <w:color w:val="000000"/>
                      <w:sz w:val="21"/>
                      <w:szCs w:val="21"/>
                    </w:rPr>
                    <w:t>易燃性，</w:t>
                  </w:r>
                  <w:r w:rsidRPr="005E73B1">
                    <w:rPr>
                      <w:rFonts w:cs="Times New Roman"/>
                      <w:color w:val="000000"/>
                      <w:sz w:val="21"/>
                      <w:szCs w:val="21"/>
                    </w:rPr>
                    <w:t>R—</w:t>
                  </w:r>
                  <w:r w:rsidRPr="005E73B1">
                    <w:rPr>
                      <w:rFonts w:cs="Times New Roman"/>
                      <w:color w:val="000000"/>
                      <w:sz w:val="21"/>
                      <w:szCs w:val="21"/>
                    </w:rPr>
                    <w:t>反应性，</w:t>
                  </w:r>
                  <w:r w:rsidRPr="005E73B1">
                    <w:rPr>
                      <w:rFonts w:cs="Times New Roman"/>
                      <w:color w:val="000000"/>
                      <w:sz w:val="21"/>
                      <w:szCs w:val="21"/>
                    </w:rPr>
                    <w:t>C—</w:t>
                  </w:r>
                  <w:r w:rsidRPr="005E73B1">
                    <w:rPr>
                      <w:rFonts w:cs="Times New Roman"/>
                      <w:color w:val="000000"/>
                      <w:sz w:val="21"/>
                      <w:szCs w:val="21"/>
                    </w:rPr>
                    <w:t>腐蚀性，</w:t>
                  </w:r>
                  <w:r w:rsidRPr="005E73B1">
                    <w:rPr>
                      <w:rFonts w:cs="Times New Roman"/>
                      <w:color w:val="000000"/>
                      <w:sz w:val="21"/>
                      <w:szCs w:val="21"/>
                    </w:rPr>
                    <w:t>In—</w:t>
                  </w:r>
                  <w:r w:rsidRPr="005E73B1">
                    <w:rPr>
                      <w:rFonts w:cs="Times New Roman"/>
                      <w:color w:val="000000"/>
                      <w:sz w:val="21"/>
                      <w:szCs w:val="21"/>
                    </w:rPr>
                    <w:t>感染性。</w:t>
                  </w:r>
                </w:p>
              </w:tc>
            </w:tr>
          </w:tbl>
          <w:p w14:paraId="2FE2A24F" w14:textId="77777777"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本项目采取以下措施规避不相容废物混存风险：</w:t>
            </w:r>
          </w:p>
          <w:p w14:paraId="24798FDC" w14:textId="6F7E9B33"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w:t>
            </w:r>
            <w:r>
              <w:rPr>
                <w:rFonts w:cs="Times New Roman" w:hint="eastAsia"/>
                <w:color w:val="000000"/>
                <w:kern w:val="0"/>
                <w:szCs w:val="24"/>
              </w:rPr>
              <w:t>1</w:t>
            </w:r>
            <w:r>
              <w:rPr>
                <w:rFonts w:cs="Times New Roman" w:hint="eastAsia"/>
                <w:color w:val="000000"/>
                <w:kern w:val="0"/>
                <w:szCs w:val="24"/>
              </w:rPr>
              <w:t>）分区隔离贮存：</w:t>
            </w:r>
            <w:r>
              <w:rPr>
                <w:rFonts w:cs="Times New Roman" w:hint="eastAsia"/>
                <w:color w:val="000000"/>
                <w:kern w:val="0"/>
                <w:szCs w:val="24"/>
              </w:rPr>
              <w:t>1#</w:t>
            </w:r>
            <w:r>
              <w:rPr>
                <w:rFonts w:cs="Times New Roman" w:hint="eastAsia"/>
                <w:color w:val="000000"/>
                <w:kern w:val="0"/>
                <w:szCs w:val="24"/>
              </w:rPr>
              <w:t>贮存库按危险废物类别设置独立贮存分区，各分区之间采用实体隔墙进行物理隔离，确保不相容废物不接触、不混合。每个分区独立设置防漏裙脚或储漏盘。</w:t>
            </w:r>
          </w:p>
          <w:p w14:paraId="6690B89F" w14:textId="1D8CD1DF"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w:t>
            </w:r>
            <w:r>
              <w:rPr>
                <w:rFonts w:cs="Times New Roman" w:hint="eastAsia"/>
                <w:color w:val="000000"/>
                <w:kern w:val="0"/>
                <w:szCs w:val="24"/>
              </w:rPr>
              <w:t>2</w:t>
            </w:r>
            <w:r>
              <w:rPr>
                <w:rFonts w:cs="Times New Roman" w:hint="eastAsia"/>
                <w:color w:val="000000"/>
                <w:kern w:val="0"/>
                <w:szCs w:val="24"/>
              </w:rPr>
              <w:t>）分类分区布局：</w:t>
            </w:r>
            <w:r w:rsidR="00722876" w:rsidRPr="00722876">
              <w:rPr>
                <w:rFonts w:cs="Times New Roman" w:hint="eastAsia"/>
                <w:color w:val="000000"/>
                <w:kern w:val="0"/>
                <w:szCs w:val="24"/>
              </w:rPr>
              <w:t>不相容废物（如</w:t>
            </w:r>
            <w:r w:rsidR="00722876" w:rsidRPr="00722876">
              <w:rPr>
                <w:rFonts w:cs="Times New Roman" w:hint="eastAsia"/>
                <w:color w:val="000000"/>
                <w:kern w:val="0"/>
                <w:szCs w:val="24"/>
              </w:rPr>
              <w:t>HW06</w:t>
            </w:r>
            <w:r w:rsidR="00722876" w:rsidRPr="00722876">
              <w:rPr>
                <w:rFonts w:cs="Times New Roman" w:hint="eastAsia"/>
                <w:color w:val="000000"/>
                <w:kern w:val="0"/>
                <w:szCs w:val="24"/>
              </w:rPr>
              <w:t>废有机溶剂与</w:t>
            </w:r>
            <w:r w:rsidR="00722876" w:rsidRPr="00722876">
              <w:rPr>
                <w:rFonts w:cs="Times New Roman" w:hint="eastAsia"/>
                <w:color w:val="000000"/>
                <w:kern w:val="0"/>
                <w:szCs w:val="24"/>
              </w:rPr>
              <w:t>HW31</w:t>
            </w:r>
            <w:r w:rsidR="00722876" w:rsidRPr="00722876">
              <w:rPr>
                <w:rFonts w:cs="Times New Roman" w:hint="eastAsia"/>
                <w:color w:val="000000"/>
                <w:kern w:val="0"/>
                <w:szCs w:val="24"/>
              </w:rPr>
              <w:t>废铅蓄电池、</w:t>
            </w:r>
            <w:r w:rsidR="00722876" w:rsidRPr="00722876">
              <w:rPr>
                <w:rFonts w:cs="Times New Roman" w:hint="eastAsia"/>
                <w:color w:val="000000"/>
                <w:kern w:val="0"/>
                <w:szCs w:val="24"/>
              </w:rPr>
              <w:t>HW31</w:t>
            </w:r>
            <w:r w:rsidR="00722876" w:rsidRPr="00722876">
              <w:rPr>
                <w:rFonts w:cs="Times New Roman" w:hint="eastAsia"/>
                <w:color w:val="000000"/>
                <w:kern w:val="0"/>
                <w:szCs w:val="24"/>
              </w:rPr>
              <w:t>废铅蓄电池与</w:t>
            </w:r>
            <w:r w:rsidR="00722876" w:rsidRPr="00722876">
              <w:rPr>
                <w:rFonts w:cs="Times New Roman" w:hint="eastAsia"/>
                <w:color w:val="000000"/>
                <w:kern w:val="0"/>
                <w:szCs w:val="24"/>
              </w:rPr>
              <w:t>HW35</w:t>
            </w:r>
            <w:r w:rsidR="00722876" w:rsidRPr="00722876">
              <w:rPr>
                <w:rFonts w:cs="Times New Roman" w:hint="eastAsia"/>
                <w:color w:val="000000"/>
                <w:kern w:val="0"/>
                <w:szCs w:val="24"/>
              </w:rPr>
              <w:t>废碱）分别布置于相距较远的分区。液态废物分区（</w:t>
            </w:r>
            <w:r w:rsidR="00722876" w:rsidRPr="00722876">
              <w:rPr>
                <w:rFonts w:cs="Times New Roman" w:hint="eastAsia"/>
                <w:color w:val="000000"/>
                <w:kern w:val="0"/>
                <w:szCs w:val="24"/>
              </w:rPr>
              <w:t>HW06</w:t>
            </w:r>
            <w:r w:rsidR="00722876" w:rsidRPr="00722876">
              <w:rPr>
                <w:rFonts w:cs="Times New Roman" w:hint="eastAsia"/>
                <w:color w:val="000000"/>
                <w:kern w:val="0"/>
                <w:szCs w:val="24"/>
              </w:rPr>
              <w:t>、</w:t>
            </w:r>
            <w:r w:rsidR="00722876" w:rsidRPr="00722876">
              <w:rPr>
                <w:rFonts w:cs="Times New Roman" w:hint="eastAsia"/>
                <w:color w:val="000000"/>
                <w:kern w:val="0"/>
                <w:szCs w:val="24"/>
              </w:rPr>
              <w:t>HW09</w:t>
            </w:r>
            <w:r w:rsidR="00722876" w:rsidRPr="00722876">
              <w:rPr>
                <w:rFonts w:cs="Times New Roman" w:hint="eastAsia"/>
                <w:color w:val="000000"/>
                <w:kern w:val="0"/>
                <w:szCs w:val="24"/>
              </w:rPr>
              <w:t>、</w:t>
            </w:r>
            <w:r w:rsidR="00722876" w:rsidRPr="00722876">
              <w:rPr>
                <w:rFonts w:cs="Times New Roman" w:hint="eastAsia"/>
                <w:color w:val="000000"/>
                <w:kern w:val="0"/>
                <w:szCs w:val="24"/>
              </w:rPr>
              <w:t>HW12</w:t>
            </w:r>
            <w:r w:rsidR="00722876" w:rsidRPr="00722876">
              <w:rPr>
                <w:rFonts w:cs="Times New Roman" w:hint="eastAsia"/>
                <w:color w:val="000000"/>
                <w:kern w:val="0"/>
                <w:szCs w:val="24"/>
              </w:rPr>
              <w:t>）与固态废物分区（</w:t>
            </w:r>
            <w:r w:rsidR="00722876" w:rsidRPr="00722876">
              <w:rPr>
                <w:rFonts w:cs="Times New Roman" w:hint="eastAsia"/>
                <w:color w:val="000000"/>
                <w:kern w:val="0"/>
                <w:szCs w:val="24"/>
              </w:rPr>
              <w:t>HW36</w:t>
            </w:r>
            <w:r w:rsidR="00722876" w:rsidRPr="00722876">
              <w:rPr>
                <w:rFonts w:cs="Times New Roman" w:hint="eastAsia"/>
                <w:color w:val="000000"/>
                <w:kern w:val="0"/>
                <w:szCs w:val="24"/>
              </w:rPr>
              <w:t>、</w:t>
            </w:r>
            <w:r w:rsidR="00722876" w:rsidRPr="00722876">
              <w:rPr>
                <w:rFonts w:cs="Times New Roman" w:hint="eastAsia"/>
                <w:color w:val="000000"/>
                <w:kern w:val="0"/>
                <w:szCs w:val="24"/>
              </w:rPr>
              <w:t>HW49</w:t>
            </w:r>
            <w:r w:rsidR="00722876" w:rsidRPr="00722876">
              <w:rPr>
                <w:rFonts w:cs="Times New Roman" w:hint="eastAsia"/>
                <w:color w:val="000000"/>
                <w:kern w:val="0"/>
                <w:szCs w:val="24"/>
              </w:rPr>
              <w:t>）相对独立布置</w:t>
            </w:r>
            <w:r>
              <w:rPr>
                <w:rFonts w:cs="Times New Roman" w:hint="eastAsia"/>
                <w:color w:val="000000"/>
                <w:kern w:val="0"/>
                <w:szCs w:val="24"/>
              </w:rPr>
              <w:t>。</w:t>
            </w:r>
          </w:p>
          <w:p w14:paraId="59079376" w14:textId="77777777"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w:t>
            </w:r>
            <w:r>
              <w:rPr>
                <w:rFonts w:cs="Times New Roman" w:hint="eastAsia"/>
                <w:color w:val="000000"/>
                <w:kern w:val="0"/>
                <w:szCs w:val="24"/>
              </w:rPr>
              <w:t>3</w:t>
            </w:r>
            <w:r>
              <w:rPr>
                <w:rFonts w:cs="Times New Roman" w:hint="eastAsia"/>
                <w:color w:val="000000"/>
                <w:kern w:val="0"/>
                <w:szCs w:val="24"/>
              </w:rPr>
              <w:t>）容器密封管理：所有危险废物均采用符合标准的专用密封容器盛装，容器材质与所装废物相容。禁止将不相容的危险废物在同一容器内混装。</w:t>
            </w:r>
          </w:p>
          <w:p w14:paraId="12B0FEB2" w14:textId="77777777"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w:t>
            </w:r>
            <w:r>
              <w:rPr>
                <w:rFonts w:cs="Times New Roman" w:hint="eastAsia"/>
                <w:color w:val="000000"/>
                <w:kern w:val="0"/>
                <w:szCs w:val="24"/>
              </w:rPr>
              <w:t>4</w:t>
            </w:r>
            <w:r>
              <w:rPr>
                <w:rFonts w:cs="Times New Roman" w:hint="eastAsia"/>
                <w:color w:val="000000"/>
                <w:kern w:val="0"/>
                <w:szCs w:val="24"/>
              </w:rPr>
              <w:t>）入场检验制度：危险废物入场前须进行特性鉴别和分类，按相容性分析结果分配至对应贮存分区，严禁不相容废物混存。</w:t>
            </w:r>
          </w:p>
          <w:p w14:paraId="2B27AA90" w14:textId="77777777"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w:t>
            </w:r>
            <w:r>
              <w:rPr>
                <w:rFonts w:cs="Times New Roman" w:hint="eastAsia"/>
                <w:color w:val="000000"/>
                <w:kern w:val="0"/>
                <w:szCs w:val="24"/>
              </w:rPr>
              <w:t>5</w:t>
            </w:r>
            <w:r>
              <w:rPr>
                <w:rFonts w:cs="Times New Roman" w:hint="eastAsia"/>
                <w:color w:val="000000"/>
                <w:kern w:val="0"/>
                <w:szCs w:val="24"/>
              </w:rPr>
              <w:t>）台账与标识管理：每个贮存分区设置明显的分区标志，标明贮存废物的类别、名称、危险特性及禁忌事项。</w:t>
            </w:r>
          </w:p>
          <w:p w14:paraId="2BC71D1F" w14:textId="77777777" w:rsidR="003C4F46" w:rsidRDefault="004B6A81">
            <w:pPr>
              <w:pStyle w:val="2"/>
              <w:rPr>
                <w:color w:val="000000" w:themeColor="text1"/>
              </w:rPr>
            </w:pPr>
            <w:r>
              <w:rPr>
                <w:rFonts w:hint="eastAsia"/>
                <w:color w:val="000000" w:themeColor="text1"/>
              </w:rPr>
              <w:t>2.</w:t>
            </w:r>
            <w:r>
              <w:rPr>
                <w:color w:val="000000" w:themeColor="text1"/>
              </w:rPr>
              <w:t>5</w:t>
            </w:r>
            <w:r>
              <w:rPr>
                <w:rFonts w:hint="eastAsia"/>
                <w:color w:val="000000" w:themeColor="text1"/>
              </w:rPr>
              <w:t>主要设备</w:t>
            </w:r>
          </w:p>
          <w:p w14:paraId="10B4FAB1" w14:textId="4B2398E2" w:rsidR="003C4F46" w:rsidRDefault="004B6A81">
            <w:pPr>
              <w:pStyle w:val="2"/>
              <w:spacing w:line="360" w:lineRule="auto"/>
              <w:ind w:firstLineChars="200" w:firstLine="480"/>
              <w:rPr>
                <w:b w:val="0"/>
                <w:bCs w:val="0"/>
                <w:color w:val="000000" w:themeColor="text1"/>
              </w:rPr>
            </w:pPr>
            <w:r>
              <w:rPr>
                <w:rFonts w:hint="eastAsia"/>
                <w:b w:val="0"/>
                <w:bCs w:val="0"/>
                <w:color w:val="000000" w:themeColor="text1"/>
              </w:rPr>
              <w:t>由于本项目仅涉及危险废物的收集和贮存，不涉及拆解、再加工等处置环节，生产设备设施较为简单，主要配备叉车及若干耐酸、耐腐蚀的贮存容器，具体见下表。</w:t>
            </w:r>
          </w:p>
          <w:p w14:paraId="2D3987F3" w14:textId="7BF9D0B4" w:rsidR="00272260" w:rsidRDefault="00272260" w:rsidP="00272260">
            <w:pPr>
              <w:spacing w:line="240" w:lineRule="auto"/>
              <w:ind w:firstLineChars="0" w:firstLine="0"/>
              <w:jc w:val="center"/>
              <w:textAlignment w:val="auto"/>
              <w:rPr>
                <w:rFonts w:cs="Times New Roman"/>
                <w:b/>
                <w:bCs/>
                <w:color w:val="000000"/>
                <w:sz w:val="21"/>
                <w:szCs w:val="21"/>
              </w:rPr>
            </w:pPr>
            <w:r>
              <w:rPr>
                <w:rFonts w:cs="Times New Roman"/>
                <w:b/>
                <w:bCs/>
                <w:color w:val="000000"/>
                <w:sz w:val="21"/>
                <w:szCs w:val="21"/>
              </w:rPr>
              <w:t>表</w:t>
            </w:r>
            <w:r>
              <w:rPr>
                <w:rFonts w:cs="Times New Roman"/>
                <w:b/>
                <w:bCs/>
                <w:color w:val="000000"/>
                <w:sz w:val="21"/>
                <w:szCs w:val="21"/>
              </w:rPr>
              <w:t xml:space="preserve">2-6  </w:t>
            </w:r>
            <w:r>
              <w:rPr>
                <w:rFonts w:cs="Times New Roman" w:hint="eastAsia"/>
                <w:b/>
                <w:bCs/>
                <w:color w:val="000000"/>
                <w:sz w:val="21"/>
                <w:szCs w:val="21"/>
              </w:rPr>
              <w:t>主要设备一览表</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92"/>
              <w:gridCol w:w="2622"/>
              <w:gridCol w:w="1221"/>
              <w:gridCol w:w="880"/>
              <w:gridCol w:w="3371"/>
            </w:tblGrid>
            <w:tr w:rsidR="003C4F46" w14:paraId="42159736" w14:textId="77777777" w:rsidTr="00272260">
              <w:trPr>
                <w:trHeight w:val="336"/>
                <w:jc w:val="center"/>
              </w:trPr>
              <w:tc>
                <w:tcPr>
                  <w:tcW w:w="546" w:type="pct"/>
                  <w:tcBorders>
                    <w:tl2br w:val="nil"/>
                    <w:tr2bl w:val="nil"/>
                  </w:tcBorders>
                  <w:vAlign w:val="center"/>
                </w:tcPr>
                <w:p w14:paraId="0A021645"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序号</w:t>
                  </w:r>
                </w:p>
              </w:tc>
              <w:tc>
                <w:tcPr>
                  <w:tcW w:w="1443" w:type="pct"/>
                  <w:tcBorders>
                    <w:tl2br w:val="nil"/>
                    <w:tr2bl w:val="nil"/>
                  </w:tcBorders>
                  <w:vAlign w:val="center"/>
                </w:tcPr>
                <w:p w14:paraId="0D1D10DD"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设备名称</w:t>
                  </w:r>
                </w:p>
              </w:tc>
              <w:tc>
                <w:tcPr>
                  <w:tcW w:w="672" w:type="pct"/>
                  <w:tcBorders>
                    <w:tl2br w:val="nil"/>
                    <w:tr2bl w:val="nil"/>
                  </w:tcBorders>
                  <w:vAlign w:val="center"/>
                </w:tcPr>
                <w:p w14:paraId="2F1C9FD0"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单位</w:t>
                  </w:r>
                </w:p>
              </w:tc>
              <w:tc>
                <w:tcPr>
                  <w:tcW w:w="484" w:type="pct"/>
                  <w:tcBorders>
                    <w:tl2br w:val="nil"/>
                    <w:tr2bl w:val="nil"/>
                  </w:tcBorders>
                  <w:vAlign w:val="center"/>
                </w:tcPr>
                <w:p w14:paraId="782BCADF"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数量</w:t>
                  </w:r>
                </w:p>
              </w:tc>
              <w:tc>
                <w:tcPr>
                  <w:tcW w:w="1855" w:type="pct"/>
                  <w:tcBorders>
                    <w:tl2br w:val="nil"/>
                    <w:tr2bl w:val="nil"/>
                  </w:tcBorders>
                  <w:vAlign w:val="center"/>
                </w:tcPr>
                <w:p w14:paraId="4312C4D2"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备注</w:t>
                  </w:r>
                </w:p>
              </w:tc>
            </w:tr>
            <w:tr w:rsidR="003C4F46" w14:paraId="368AF48E" w14:textId="77777777" w:rsidTr="00272260">
              <w:trPr>
                <w:trHeight w:val="60"/>
                <w:jc w:val="center"/>
              </w:trPr>
              <w:tc>
                <w:tcPr>
                  <w:tcW w:w="546" w:type="pct"/>
                  <w:tcBorders>
                    <w:tl2br w:val="nil"/>
                    <w:tr2bl w:val="nil"/>
                  </w:tcBorders>
                  <w:vAlign w:val="center"/>
                </w:tcPr>
                <w:p w14:paraId="5156D42C"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1</w:t>
                  </w:r>
                </w:p>
              </w:tc>
              <w:tc>
                <w:tcPr>
                  <w:tcW w:w="1443" w:type="pct"/>
                  <w:tcBorders>
                    <w:tl2br w:val="nil"/>
                    <w:tr2bl w:val="nil"/>
                  </w:tcBorders>
                  <w:vAlign w:val="center"/>
                </w:tcPr>
                <w:p w14:paraId="0B1688DC"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负压抽排风系统</w:t>
                  </w:r>
                </w:p>
              </w:tc>
              <w:tc>
                <w:tcPr>
                  <w:tcW w:w="672" w:type="pct"/>
                  <w:tcBorders>
                    <w:tl2br w:val="nil"/>
                    <w:tr2bl w:val="nil"/>
                  </w:tcBorders>
                  <w:vAlign w:val="center"/>
                </w:tcPr>
                <w:p w14:paraId="7A8D1079"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套</w:t>
                  </w:r>
                </w:p>
              </w:tc>
              <w:tc>
                <w:tcPr>
                  <w:tcW w:w="484" w:type="pct"/>
                  <w:tcBorders>
                    <w:tl2br w:val="nil"/>
                    <w:tr2bl w:val="nil"/>
                  </w:tcBorders>
                  <w:vAlign w:val="center"/>
                </w:tcPr>
                <w:p w14:paraId="10BDE6C6"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1</w:t>
                  </w:r>
                </w:p>
              </w:tc>
              <w:tc>
                <w:tcPr>
                  <w:tcW w:w="1855" w:type="pct"/>
                  <w:tcBorders>
                    <w:tl2br w:val="nil"/>
                    <w:tr2bl w:val="nil"/>
                  </w:tcBorders>
                  <w:vAlign w:val="center"/>
                </w:tcPr>
                <w:p w14:paraId="604AF44C"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w:t>
                  </w:r>
                  <w:r>
                    <w:rPr>
                      <w:rFonts w:cs="Times New Roman" w:hint="eastAsia"/>
                      <w:color w:val="000000" w:themeColor="text1"/>
                      <w:sz w:val="21"/>
                      <w:szCs w:val="21"/>
                    </w:rPr>
                    <w:t>危险废物贮存库</w:t>
                  </w:r>
                  <w:r>
                    <w:rPr>
                      <w:rFonts w:cs="Times New Roman"/>
                      <w:color w:val="000000" w:themeColor="text1"/>
                      <w:sz w:val="21"/>
                      <w:szCs w:val="21"/>
                    </w:rPr>
                    <w:t>通风</w:t>
                  </w:r>
                </w:p>
              </w:tc>
            </w:tr>
            <w:tr w:rsidR="003C4F46" w14:paraId="23414DC1" w14:textId="77777777" w:rsidTr="00272260">
              <w:trPr>
                <w:trHeight w:val="336"/>
                <w:jc w:val="center"/>
              </w:trPr>
              <w:tc>
                <w:tcPr>
                  <w:tcW w:w="546" w:type="pct"/>
                  <w:tcBorders>
                    <w:tl2br w:val="nil"/>
                    <w:tr2bl w:val="nil"/>
                  </w:tcBorders>
                  <w:vAlign w:val="center"/>
                </w:tcPr>
                <w:p w14:paraId="0BD4C979"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2</w:t>
                  </w:r>
                </w:p>
              </w:tc>
              <w:tc>
                <w:tcPr>
                  <w:tcW w:w="1443" w:type="pct"/>
                  <w:tcBorders>
                    <w:tl2br w:val="nil"/>
                    <w:tr2bl w:val="nil"/>
                  </w:tcBorders>
                  <w:vAlign w:val="center"/>
                </w:tcPr>
                <w:p w14:paraId="7D41F148"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防爆灯</w:t>
                  </w:r>
                </w:p>
              </w:tc>
              <w:tc>
                <w:tcPr>
                  <w:tcW w:w="672" w:type="pct"/>
                  <w:tcBorders>
                    <w:tl2br w:val="nil"/>
                    <w:tr2bl w:val="nil"/>
                  </w:tcBorders>
                  <w:vAlign w:val="center"/>
                </w:tcPr>
                <w:p w14:paraId="65D25E8D"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套</w:t>
                  </w:r>
                </w:p>
              </w:tc>
              <w:tc>
                <w:tcPr>
                  <w:tcW w:w="484" w:type="pct"/>
                  <w:tcBorders>
                    <w:tl2br w:val="nil"/>
                    <w:tr2bl w:val="nil"/>
                  </w:tcBorders>
                  <w:vAlign w:val="center"/>
                </w:tcPr>
                <w:p w14:paraId="528229C1"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若干</w:t>
                  </w:r>
                </w:p>
              </w:tc>
              <w:tc>
                <w:tcPr>
                  <w:tcW w:w="1855" w:type="pct"/>
                  <w:tcBorders>
                    <w:tl2br w:val="nil"/>
                    <w:tr2bl w:val="nil"/>
                  </w:tcBorders>
                  <w:vAlign w:val="center"/>
                </w:tcPr>
                <w:p w14:paraId="6688A57B"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w:t>
                  </w:r>
                  <w:r>
                    <w:rPr>
                      <w:rFonts w:cs="Times New Roman" w:hint="eastAsia"/>
                      <w:color w:val="000000" w:themeColor="text1"/>
                      <w:sz w:val="21"/>
                      <w:szCs w:val="21"/>
                    </w:rPr>
                    <w:t>危险废物贮存库</w:t>
                  </w:r>
                  <w:r>
                    <w:rPr>
                      <w:rFonts w:cs="Times New Roman"/>
                      <w:color w:val="000000" w:themeColor="text1"/>
                      <w:sz w:val="21"/>
                      <w:szCs w:val="21"/>
                    </w:rPr>
                    <w:t>照明</w:t>
                  </w:r>
                </w:p>
              </w:tc>
            </w:tr>
            <w:tr w:rsidR="003C4F46" w14:paraId="19E1A856" w14:textId="77777777" w:rsidTr="00272260">
              <w:trPr>
                <w:trHeight w:val="341"/>
                <w:jc w:val="center"/>
              </w:trPr>
              <w:tc>
                <w:tcPr>
                  <w:tcW w:w="546" w:type="pct"/>
                  <w:tcBorders>
                    <w:tl2br w:val="nil"/>
                    <w:tr2bl w:val="nil"/>
                  </w:tcBorders>
                  <w:vAlign w:val="center"/>
                </w:tcPr>
                <w:p w14:paraId="1B50B870"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3</w:t>
                  </w:r>
                </w:p>
              </w:tc>
              <w:tc>
                <w:tcPr>
                  <w:tcW w:w="1443" w:type="pct"/>
                  <w:tcBorders>
                    <w:tl2br w:val="nil"/>
                    <w:tr2bl w:val="nil"/>
                  </w:tcBorders>
                  <w:vAlign w:val="center"/>
                </w:tcPr>
                <w:p w14:paraId="02C05391"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叉车</w:t>
                  </w:r>
                </w:p>
              </w:tc>
              <w:tc>
                <w:tcPr>
                  <w:tcW w:w="672" w:type="pct"/>
                  <w:tcBorders>
                    <w:tl2br w:val="nil"/>
                    <w:tr2bl w:val="nil"/>
                  </w:tcBorders>
                  <w:vAlign w:val="center"/>
                </w:tcPr>
                <w:p w14:paraId="2752A1F7"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台</w:t>
                  </w:r>
                </w:p>
              </w:tc>
              <w:tc>
                <w:tcPr>
                  <w:tcW w:w="484" w:type="pct"/>
                  <w:tcBorders>
                    <w:tl2br w:val="nil"/>
                    <w:tr2bl w:val="nil"/>
                  </w:tcBorders>
                  <w:vAlign w:val="center"/>
                </w:tcPr>
                <w:p w14:paraId="281C54BB"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1</w:t>
                  </w:r>
                </w:p>
              </w:tc>
              <w:tc>
                <w:tcPr>
                  <w:tcW w:w="1855" w:type="pct"/>
                  <w:tcBorders>
                    <w:tl2br w:val="nil"/>
                    <w:tr2bl w:val="nil"/>
                  </w:tcBorders>
                  <w:vAlign w:val="center"/>
                </w:tcPr>
                <w:p w14:paraId="61EB45CD"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用于周转</w:t>
                  </w:r>
                </w:p>
              </w:tc>
            </w:tr>
            <w:tr w:rsidR="003C4F46" w14:paraId="7252BB42" w14:textId="77777777" w:rsidTr="00272260">
              <w:trPr>
                <w:trHeight w:val="336"/>
                <w:jc w:val="center"/>
              </w:trPr>
              <w:tc>
                <w:tcPr>
                  <w:tcW w:w="546" w:type="pct"/>
                  <w:tcBorders>
                    <w:tl2br w:val="nil"/>
                    <w:tr2bl w:val="nil"/>
                  </w:tcBorders>
                  <w:vAlign w:val="center"/>
                </w:tcPr>
                <w:p w14:paraId="01039D13"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lastRenderedPageBreak/>
                    <w:t>4</w:t>
                  </w:r>
                </w:p>
              </w:tc>
              <w:tc>
                <w:tcPr>
                  <w:tcW w:w="1443" w:type="pct"/>
                  <w:tcBorders>
                    <w:tl2br w:val="nil"/>
                    <w:tr2bl w:val="nil"/>
                  </w:tcBorders>
                  <w:vAlign w:val="center"/>
                </w:tcPr>
                <w:p w14:paraId="02AD8D5D"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耐酸碱容器</w:t>
                  </w:r>
                </w:p>
              </w:tc>
              <w:tc>
                <w:tcPr>
                  <w:tcW w:w="672" w:type="pct"/>
                  <w:tcBorders>
                    <w:tl2br w:val="nil"/>
                    <w:tr2bl w:val="nil"/>
                  </w:tcBorders>
                  <w:vAlign w:val="center"/>
                </w:tcPr>
                <w:p w14:paraId="5714E9C0"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个</w:t>
                  </w:r>
                </w:p>
              </w:tc>
              <w:tc>
                <w:tcPr>
                  <w:tcW w:w="484" w:type="pct"/>
                  <w:tcBorders>
                    <w:tl2br w:val="nil"/>
                    <w:tr2bl w:val="nil"/>
                  </w:tcBorders>
                  <w:vAlign w:val="center"/>
                </w:tcPr>
                <w:p w14:paraId="58583C3B"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若干</w:t>
                  </w:r>
                </w:p>
              </w:tc>
              <w:tc>
                <w:tcPr>
                  <w:tcW w:w="1855" w:type="pct"/>
                  <w:tcBorders>
                    <w:tl2br w:val="nil"/>
                    <w:tr2bl w:val="nil"/>
                  </w:tcBorders>
                  <w:vAlign w:val="center"/>
                </w:tcPr>
                <w:p w14:paraId="4C0B8DFB"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用于收集、贮存</w:t>
                  </w:r>
                </w:p>
              </w:tc>
            </w:tr>
            <w:tr w:rsidR="003C4F46" w14:paraId="6183BFF1" w14:textId="77777777" w:rsidTr="00272260">
              <w:trPr>
                <w:trHeight w:val="343"/>
                <w:jc w:val="center"/>
              </w:trPr>
              <w:tc>
                <w:tcPr>
                  <w:tcW w:w="546" w:type="pct"/>
                  <w:tcBorders>
                    <w:tl2br w:val="nil"/>
                    <w:tr2bl w:val="nil"/>
                  </w:tcBorders>
                  <w:vAlign w:val="center"/>
                </w:tcPr>
                <w:p w14:paraId="6AE6D473"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5</w:t>
                  </w:r>
                </w:p>
              </w:tc>
              <w:tc>
                <w:tcPr>
                  <w:tcW w:w="1443" w:type="pct"/>
                  <w:tcBorders>
                    <w:tl2br w:val="nil"/>
                    <w:tr2bl w:val="nil"/>
                  </w:tcBorders>
                  <w:vAlign w:val="center"/>
                </w:tcPr>
                <w:p w14:paraId="34713B2F"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防爆泵</w:t>
                  </w:r>
                </w:p>
              </w:tc>
              <w:tc>
                <w:tcPr>
                  <w:tcW w:w="672" w:type="pct"/>
                  <w:tcBorders>
                    <w:tl2br w:val="nil"/>
                    <w:tr2bl w:val="nil"/>
                  </w:tcBorders>
                  <w:vAlign w:val="center"/>
                </w:tcPr>
                <w:p w14:paraId="76F85A34"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台</w:t>
                  </w:r>
                </w:p>
              </w:tc>
              <w:tc>
                <w:tcPr>
                  <w:tcW w:w="484" w:type="pct"/>
                  <w:tcBorders>
                    <w:tl2br w:val="nil"/>
                    <w:tr2bl w:val="nil"/>
                  </w:tcBorders>
                  <w:vAlign w:val="center"/>
                </w:tcPr>
                <w:p w14:paraId="30A97ED1"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2</w:t>
                  </w:r>
                </w:p>
              </w:tc>
              <w:tc>
                <w:tcPr>
                  <w:tcW w:w="1855" w:type="pct"/>
                  <w:tcBorders>
                    <w:tl2br w:val="nil"/>
                    <w:tr2bl w:val="nil"/>
                  </w:tcBorders>
                  <w:vAlign w:val="center"/>
                </w:tcPr>
                <w:p w14:paraId="7172F090"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用于废油周转</w:t>
                  </w:r>
                </w:p>
              </w:tc>
            </w:tr>
            <w:tr w:rsidR="003C4F46" w14:paraId="46CB3587" w14:textId="77777777" w:rsidTr="00272260">
              <w:trPr>
                <w:trHeight w:val="336"/>
                <w:jc w:val="center"/>
              </w:trPr>
              <w:tc>
                <w:tcPr>
                  <w:tcW w:w="546" w:type="pct"/>
                  <w:tcBorders>
                    <w:tl2br w:val="nil"/>
                    <w:tr2bl w:val="nil"/>
                  </w:tcBorders>
                  <w:vAlign w:val="center"/>
                </w:tcPr>
                <w:p w14:paraId="166775AB"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6</w:t>
                  </w:r>
                </w:p>
              </w:tc>
              <w:tc>
                <w:tcPr>
                  <w:tcW w:w="1443" w:type="pct"/>
                  <w:tcBorders>
                    <w:tl2br w:val="nil"/>
                    <w:tr2bl w:val="nil"/>
                  </w:tcBorders>
                  <w:vAlign w:val="center"/>
                </w:tcPr>
                <w:p w14:paraId="1A19D0EE"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托盘</w:t>
                  </w:r>
                </w:p>
              </w:tc>
              <w:tc>
                <w:tcPr>
                  <w:tcW w:w="672" w:type="pct"/>
                  <w:tcBorders>
                    <w:tl2br w:val="nil"/>
                    <w:tr2bl w:val="nil"/>
                  </w:tcBorders>
                  <w:vAlign w:val="center"/>
                </w:tcPr>
                <w:p w14:paraId="6B70E997"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个</w:t>
                  </w:r>
                </w:p>
              </w:tc>
              <w:tc>
                <w:tcPr>
                  <w:tcW w:w="484" w:type="pct"/>
                  <w:tcBorders>
                    <w:tl2br w:val="nil"/>
                    <w:tr2bl w:val="nil"/>
                  </w:tcBorders>
                  <w:vAlign w:val="center"/>
                </w:tcPr>
                <w:p w14:paraId="65BE295C"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若干</w:t>
                  </w:r>
                </w:p>
              </w:tc>
              <w:tc>
                <w:tcPr>
                  <w:tcW w:w="1855" w:type="pct"/>
                  <w:tcBorders>
                    <w:tl2br w:val="nil"/>
                    <w:tr2bl w:val="nil"/>
                  </w:tcBorders>
                  <w:vAlign w:val="center"/>
                </w:tcPr>
                <w:p w14:paraId="4B4590A7"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用于破损废旧电池周转</w:t>
                  </w:r>
                </w:p>
              </w:tc>
            </w:tr>
            <w:tr w:rsidR="003C4F46" w14:paraId="2F0CAF4A" w14:textId="77777777" w:rsidTr="00272260">
              <w:trPr>
                <w:trHeight w:val="336"/>
                <w:jc w:val="center"/>
              </w:trPr>
              <w:tc>
                <w:tcPr>
                  <w:tcW w:w="546" w:type="pct"/>
                  <w:tcBorders>
                    <w:tl2br w:val="nil"/>
                    <w:tr2bl w:val="nil"/>
                  </w:tcBorders>
                  <w:vAlign w:val="center"/>
                </w:tcPr>
                <w:p w14:paraId="7CD1543B"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7</w:t>
                  </w:r>
                </w:p>
              </w:tc>
              <w:tc>
                <w:tcPr>
                  <w:tcW w:w="1443" w:type="pct"/>
                  <w:tcBorders>
                    <w:tl2br w:val="nil"/>
                    <w:tr2bl w:val="nil"/>
                  </w:tcBorders>
                  <w:vAlign w:val="center"/>
                </w:tcPr>
                <w:p w14:paraId="0599539F"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安防监控设备</w:t>
                  </w:r>
                </w:p>
              </w:tc>
              <w:tc>
                <w:tcPr>
                  <w:tcW w:w="672" w:type="pct"/>
                  <w:tcBorders>
                    <w:tl2br w:val="nil"/>
                    <w:tr2bl w:val="nil"/>
                  </w:tcBorders>
                  <w:vAlign w:val="center"/>
                </w:tcPr>
                <w:p w14:paraId="6629BBB9"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套</w:t>
                  </w:r>
                </w:p>
              </w:tc>
              <w:tc>
                <w:tcPr>
                  <w:tcW w:w="484" w:type="pct"/>
                  <w:tcBorders>
                    <w:tl2br w:val="nil"/>
                    <w:tr2bl w:val="nil"/>
                  </w:tcBorders>
                  <w:vAlign w:val="center"/>
                </w:tcPr>
                <w:p w14:paraId="6A13948D"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1</w:t>
                  </w:r>
                </w:p>
              </w:tc>
              <w:tc>
                <w:tcPr>
                  <w:tcW w:w="1855" w:type="pct"/>
                  <w:tcBorders>
                    <w:tl2br w:val="nil"/>
                    <w:tr2bl w:val="nil"/>
                  </w:tcBorders>
                  <w:vAlign w:val="center"/>
                </w:tcPr>
                <w:p w14:paraId="0C36D817"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w:t>
                  </w:r>
                  <w:r>
                    <w:rPr>
                      <w:rFonts w:cs="Times New Roman" w:hint="eastAsia"/>
                      <w:color w:val="000000" w:themeColor="text1"/>
                      <w:sz w:val="21"/>
                      <w:szCs w:val="21"/>
                    </w:rPr>
                    <w:t>危险废物贮存库</w:t>
                  </w:r>
                  <w:r>
                    <w:rPr>
                      <w:rFonts w:cs="Times New Roman"/>
                      <w:color w:val="000000" w:themeColor="text1"/>
                      <w:sz w:val="21"/>
                      <w:szCs w:val="21"/>
                    </w:rPr>
                    <w:t>监控</w:t>
                  </w:r>
                </w:p>
              </w:tc>
            </w:tr>
            <w:tr w:rsidR="003C4F46" w14:paraId="45D76609" w14:textId="77777777" w:rsidTr="00272260">
              <w:trPr>
                <w:trHeight w:val="60"/>
                <w:jc w:val="center"/>
              </w:trPr>
              <w:tc>
                <w:tcPr>
                  <w:tcW w:w="546" w:type="pct"/>
                  <w:tcBorders>
                    <w:tl2br w:val="nil"/>
                    <w:tr2bl w:val="nil"/>
                  </w:tcBorders>
                  <w:vAlign w:val="center"/>
                </w:tcPr>
                <w:p w14:paraId="14AD87EC"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8</w:t>
                  </w:r>
                </w:p>
              </w:tc>
              <w:tc>
                <w:tcPr>
                  <w:tcW w:w="1443" w:type="pct"/>
                  <w:tcBorders>
                    <w:tl2br w:val="nil"/>
                    <w:tr2bl w:val="nil"/>
                  </w:tcBorders>
                  <w:vAlign w:val="center"/>
                </w:tcPr>
                <w:p w14:paraId="60441AA3"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地磅</w:t>
                  </w:r>
                </w:p>
              </w:tc>
              <w:tc>
                <w:tcPr>
                  <w:tcW w:w="672" w:type="pct"/>
                  <w:tcBorders>
                    <w:tl2br w:val="nil"/>
                    <w:tr2bl w:val="nil"/>
                  </w:tcBorders>
                  <w:vAlign w:val="center"/>
                </w:tcPr>
                <w:p w14:paraId="2FBEB802"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台</w:t>
                  </w:r>
                </w:p>
              </w:tc>
              <w:tc>
                <w:tcPr>
                  <w:tcW w:w="484" w:type="pct"/>
                  <w:tcBorders>
                    <w:tl2br w:val="nil"/>
                    <w:tr2bl w:val="nil"/>
                  </w:tcBorders>
                  <w:vAlign w:val="center"/>
                </w:tcPr>
                <w:p w14:paraId="42A5E192" w14:textId="77777777"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1</w:t>
                  </w:r>
                </w:p>
              </w:tc>
              <w:tc>
                <w:tcPr>
                  <w:tcW w:w="1855" w:type="pct"/>
                  <w:tcBorders>
                    <w:tl2br w:val="nil"/>
                    <w:tr2bl w:val="nil"/>
                  </w:tcBorders>
                  <w:vAlign w:val="center"/>
                </w:tcPr>
                <w:p w14:paraId="70CB6465" w14:textId="4D532C96" w:rsidR="003C4F46" w:rsidRDefault="004B6A81">
                  <w:pPr>
                    <w:spacing w:line="240" w:lineRule="auto"/>
                    <w:ind w:firstLineChars="0" w:firstLine="0"/>
                    <w:contextualSpacing/>
                    <w:jc w:val="center"/>
                    <w:textAlignment w:val="auto"/>
                    <w:rPr>
                      <w:rFonts w:cs="Times New Roman"/>
                      <w:color w:val="000000" w:themeColor="text1"/>
                      <w:sz w:val="21"/>
                      <w:szCs w:val="21"/>
                    </w:rPr>
                  </w:pPr>
                  <w:r>
                    <w:rPr>
                      <w:rFonts w:cs="Times New Roman"/>
                      <w:color w:val="000000" w:themeColor="text1"/>
                      <w:sz w:val="21"/>
                      <w:szCs w:val="21"/>
                    </w:rPr>
                    <w:t>用于</w:t>
                  </w:r>
                  <w:r w:rsidR="007258DB">
                    <w:rPr>
                      <w:rFonts w:cs="Times New Roman" w:hint="eastAsia"/>
                      <w:color w:val="000000" w:themeColor="text1"/>
                      <w:sz w:val="21"/>
                      <w:szCs w:val="21"/>
                    </w:rPr>
                    <w:t>危险废物</w:t>
                  </w:r>
                  <w:r>
                    <w:rPr>
                      <w:rFonts w:cs="Times New Roman"/>
                      <w:color w:val="000000" w:themeColor="text1"/>
                      <w:sz w:val="21"/>
                      <w:szCs w:val="21"/>
                    </w:rPr>
                    <w:t>计量</w:t>
                  </w:r>
                </w:p>
              </w:tc>
            </w:tr>
          </w:tbl>
          <w:p w14:paraId="00C5A605" w14:textId="77777777" w:rsidR="003C4F46" w:rsidRDefault="004B6A81">
            <w:pPr>
              <w:pStyle w:val="2"/>
              <w:rPr>
                <w:color w:val="000000" w:themeColor="text1"/>
              </w:rPr>
            </w:pPr>
            <w:r>
              <w:rPr>
                <w:color w:val="000000" w:themeColor="text1"/>
              </w:rPr>
              <w:t>2.6</w:t>
            </w:r>
            <w:r>
              <w:rPr>
                <w:rFonts w:hint="eastAsia"/>
                <w:color w:val="000000" w:themeColor="text1"/>
              </w:rPr>
              <w:t>危险废物收集来源</w:t>
            </w:r>
          </w:p>
          <w:p w14:paraId="397ECC62" w14:textId="77777777"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根据《新疆维吾尔自治区小微企业危险废物收集试点工作方案》文件要求，鼓励依托小微企业集中的工业园区（工业集中区）、小微企业和社会源危险废物产生单位较多的区域开展试点。可依托危险废物经营单位利用产业集聚区或工业园区内现有企业中符合相关要求且足够容量的危险废物贮存场所设立集中转运点，也可以新建贮存场所设立集中转运点。危险废物（医疗废物除外）年产生总量</w:t>
            </w:r>
            <w:r>
              <w:rPr>
                <w:rFonts w:cs="Times New Roman" w:hint="eastAsia"/>
                <w:color w:val="000000"/>
                <w:kern w:val="0"/>
                <w:szCs w:val="24"/>
              </w:rPr>
              <w:t>10</w:t>
            </w:r>
            <w:r>
              <w:rPr>
                <w:rFonts w:cs="Times New Roman" w:hint="eastAsia"/>
                <w:color w:val="000000"/>
                <w:kern w:val="0"/>
                <w:szCs w:val="24"/>
              </w:rPr>
              <w:t>吨以下的小微企业，以及机关事业单位、科研院所、学校、各类检测机构、机动车维修机构等单位及社会源作为收集服务的重点；年产生量大于</w:t>
            </w:r>
            <w:r>
              <w:rPr>
                <w:rFonts w:cs="Times New Roman" w:hint="eastAsia"/>
                <w:color w:val="000000"/>
                <w:kern w:val="0"/>
                <w:szCs w:val="24"/>
              </w:rPr>
              <w:t>10</w:t>
            </w:r>
            <w:r>
              <w:rPr>
                <w:rFonts w:cs="Times New Roman" w:hint="eastAsia"/>
                <w:color w:val="000000"/>
                <w:kern w:val="0"/>
                <w:szCs w:val="24"/>
              </w:rPr>
              <w:t>吨的产废单位，其产生的少量废矿物油、废包装容器及沾染物、实验室废物、在线监测废液、废荧光灯管、废活性炭等，可纳入收集范围，收集地域范围不得超出所在地（州、市）行政区域。</w:t>
            </w:r>
          </w:p>
          <w:p w14:paraId="507398C7" w14:textId="3BCC83A1" w:rsidR="003C4F46" w:rsidRDefault="004B6A81">
            <w:pPr>
              <w:widowControl/>
              <w:ind w:firstLine="480"/>
              <w:textAlignment w:val="auto"/>
              <w:rPr>
                <w:rFonts w:cs="Times New Roman"/>
                <w:color w:val="000000"/>
                <w:kern w:val="0"/>
                <w:szCs w:val="24"/>
              </w:rPr>
            </w:pPr>
            <w:r>
              <w:rPr>
                <w:rFonts w:cs="Times New Roman" w:hint="eastAsia"/>
                <w:color w:val="000000"/>
                <w:kern w:val="0"/>
                <w:szCs w:val="24"/>
              </w:rPr>
              <w:t>本项目面向巴州范围内危险废物年产生总量</w:t>
            </w:r>
            <w:r>
              <w:rPr>
                <w:rFonts w:cs="Times New Roman" w:hint="eastAsia"/>
                <w:color w:val="000000"/>
                <w:kern w:val="0"/>
                <w:szCs w:val="24"/>
              </w:rPr>
              <w:t>10</w:t>
            </w:r>
            <w:r>
              <w:rPr>
                <w:rFonts w:cs="Times New Roman" w:hint="eastAsia"/>
                <w:color w:val="000000"/>
                <w:kern w:val="0"/>
                <w:szCs w:val="24"/>
              </w:rPr>
              <w:t>吨以下的小微企业，以及机关事业单位、科研院所、学校、各类检测机构、机动车维修机构等单位及社会源作为收集服务的重点，年产生量大于</w:t>
            </w:r>
            <w:r>
              <w:rPr>
                <w:rFonts w:cs="Times New Roman" w:hint="eastAsia"/>
                <w:color w:val="000000"/>
                <w:kern w:val="0"/>
                <w:szCs w:val="24"/>
              </w:rPr>
              <w:t>10</w:t>
            </w:r>
            <w:r>
              <w:rPr>
                <w:rFonts w:cs="Times New Roman" w:hint="eastAsia"/>
                <w:color w:val="000000"/>
                <w:kern w:val="0"/>
                <w:szCs w:val="24"/>
              </w:rPr>
              <w:t>吨的产废单位，其产生的少量废矿物油、废包装容器及沾染物、实验室废物、在线监测废液、废荧光灯管、废活性炭等，也纳入收集范围，收集种类为：</w:t>
            </w:r>
            <w:r>
              <w:rPr>
                <w:rFonts w:cs="Times New Roman" w:hint="eastAsia"/>
                <w:color w:val="000000"/>
                <w:kern w:val="0"/>
                <w:szCs w:val="24"/>
              </w:rPr>
              <w:t>HW06</w:t>
            </w:r>
            <w:r>
              <w:rPr>
                <w:rFonts w:cs="Times New Roman" w:hint="eastAsia"/>
                <w:color w:val="000000"/>
                <w:kern w:val="0"/>
                <w:szCs w:val="24"/>
              </w:rPr>
              <w:t>废有机溶剂与含有机溶剂废物（</w:t>
            </w:r>
            <w:r>
              <w:rPr>
                <w:rFonts w:cs="Times New Roman" w:hint="eastAsia"/>
                <w:color w:val="000000"/>
                <w:kern w:val="0"/>
                <w:szCs w:val="24"/>
              </w:rPr>
              <w:t>900-401-06</w:t>
            </w:r>
            <w:r>
              <w:rPr>
                <w:rFonts w:cs="Times New Roman" w:hint="eastAsia"/>
                <w:color w:val="000000"/>
                <w:kern w:val="0"/>
                <w:szCs w:val="24"/>
              </w:rPr>
              <w:t>、</w:t>
            </w:r>
            <w:r>
              <w:rPr>
                <w:rFonts w:cs="Times New Roman" w:hint="eastAsia"/>
                <w:color w:val="000000"/>
                <w:kern w:val="0"/>
                <w:szCs w:val="24"/>
              </w:rPr>
              <w:t>900-402-06</w:t>
            </w:r>
            <w:r>
              <w:rPr>
                <w:rFonts w:cs="Times New Roman" w:hint="eastAsia"/>
                <w:color w:val="000000"/>
                <w:kern w:val="0"/>
                <w:szCs w:val="24"/>
              </w:rPr>
              <w:t>、</w:t>
            </w:r>
            <w:r>
              <w:rPr>
                <w:rFonts w:cs="Times New Roman" w:hint="eastAsia"/>
                <w:color w:val="000000"/>
                <w:kern w:val="0"/>
                <w:szCs w:val="24"/>
              </w:rPr>
              <w:t>900-404-06</w:t>
            </w:r>
            <w:r>
              <w:rPr>
                <w:rFonts w:cs="Times New Roman" w:hint="eastAsia"/>
                <w:color w:val="000000"/>
                <w:kern w:val="0"/>
                <w:szCs w:val="24"/>
              </w:rPr>
              <w:t>）、</w:t>
            </w:r>
            <w:r>
              <w:rPr>
                <w:rFonts w:cs="Times New Roman"/>
                <w:color w:val="000000"/>
                <w:kern w:val="0"/>
                <w:szCs w:val="24"/>
              </w:rPr>
              <w:t>HW08</w:t>
            </w:r>
            <w:r>
              <w:rPr>
                <w:rFonts w:cs="Times New Roman"/>
                <w:color w:val="000000"/>
                <w:kern w:val="0"/>
                <w:szCs w:val="24"/>
              </w:rPr>
              <w:t>废矿物油与含矿物油废物</w:t>
            </w:r>
            <w:r>
              <w:rPr>
                <w:rFonts w:cs="Times New Roman" w:hint="eastAsia"/>
                <w:color w:val="000000"/>
                <w:kern w:val="0"/>
                <w:szCs w:val="24"/>
              </w:rPr>
              <w:t>（</w:t>
            </w:r>
            <w:r>
              <w:rPr>
                <w:rFonts w:cs="Times New Roman" w:hint="eastAsia"/>
                <w:color w:val="000000"/>
                <w:kern w:val="0"/>
                <w:szCs w:val="24"/>
              </w:rPr>
              <w:t>900-199-08</w:t>
            </w:r>
            <w:r>
              <w:rPr>
                <w:rFonts w:cs="Times New Roman" w:hint="eastAsia"/>
                <w:color w:val="000000"/>
                <w:kern w:val="0"/>
                <w:szCs w:val="24"/>
              </w:rPr>
              <w:t>、</w:t>
            </w:r>
            <w:r>
              <w:rPr>
                <w:rFonts w:cs="Times New Roman" w:hint="eastAsia"/>
                <w:color w:val="000000"/>
                <w:kern w:val="0"/>
                <w:szCs w:val="24"/>
              </w:rPr>
              <w:t>900-214-08</w:t>
            </w:r>
            <w:r>
              <w:rPr>
                <w:rFonts w:cs="Times New Roman" w:hint="eastAsia"/>
                <w:color w:val="000000"/>
                <w:kern w:val="0"/>
                <w:szCs w:val="24"/>
              </w:rPr>
              <w:t>、</w:t>
            </w:r>
            <w:r>
              <w:rPr>
                <w:rFonts w:cs="Times New Roman" w:hint="eastAsia"/>
                <w:color w:val="000000"/>
                <w:kern w:val="0"/>
                <w:szCs w:val="24"/>
              </w:rPr>
              <w:t>900-217-08</w:t>
            </w:r>
            <w:r>
              <w:rPr>
                <w:rFonts w:cs="Times New Roman" w:hint="eastAsia"/>
                <w:color w:val="000000"/>
                <w:kern w:val="0"/>
                <w:szCs w:val="24"/>
              </w:rPr>
              <w:t>、</w:t>
            </w:r>
            <w:r>
              <w:rPr>
                <w:rFonts w:cs="Times New Roman" w:hint="eastAsia"/>
                <w:color w:val="000000"/>
                <w:kern w:val="0"/>
                <w:szCs w:val="24"/>
              </w:rPr>
              <w:t>900-218-08</w:t>
            </w:r>
            <w:r>
              <w:rPr>
                <w:rFonts w:cs="Times New Roman" w:hint="eastAsia"/>
                <w:color w:val="000000"/>
                <w:kern w:val="0"/>
                <w:szCs w:val="24"/>
              </w:rPr>
              <w:t>、</w:t>
            </w:r>
            <w:r>
              <w:rPr>
                <w:rFonts w:cs="Times New Roman" w:hint="eastAsia"/>
                <w:color w:val="000000"/>
                <w:kern w:val="0"/>
                <w:szCs w:val="24"/>
              </w:rPr>
              <w:t>900-219-08</w:t>
            </w:r>
            <w:r>
              <w:rPr>
                <w:rFonts w:cs="Times New Roman" w:hint="eastAsia"/>
                <w:color w:val="000000"/>
                <w:kern w:val="0"/>
                <w:szCs w:val="24"/>
              </w:rPr>
              <w:t>、</w:t>
            </w:r>
            <w:r>
              <w:rPr>
                <w:rFonts w:cs="Times New Roman" w:hint="eastAsia"/>
                <w:color w:val="000000"/>
                <w:kern w:val="0"/>
                <w:szCs w:val="24"/>
              </w:rPr>
              <w:t>900-220-08</w:t>
            </w:r>
            <w:r>
              <w:rPr>
                <w:rFonts w:cs="Times New Roman" w:hint="eastAsia"/>
                <w:color w:val="000000"/>
                <w:kern w:val="0"/>
                <w:szCs w:val="24"/>
              </w:rPr>
              <w:t>、</w:t>
            </w:r>
            <w:r>
              <w:rPr>
                <w:rFonts w:cs="Times New Roman" w:hint="eastAsia"/>
                <w:color w:val="000000"/>
                <w:kern w:val="0"/>
                <w:szCs w:val="24"/>
              </w:rPr>
              <w:t>900-221-08</w:t>
            </w:r>
            <w:r>
              <w:rPr>
                <w:rFonts w:cs="Times New Roman" w:hint="eastAsia"/>
                <w:color w:val="000000"/>
                <w:kern w:val="0"/>
                <w:szCs w:val="24"/>
              </w:rPr>
              <w:t>、</w:t>
            </w:r>
            <w:r>
              <w:rPr>
                <w:rFonts w:cs="Times New Roman" w:hint="eastAsia"/>
                <w:color w:val="000000"/>
                <w:kern w:val="0"/>
                <w:szCs w:val="24"/>
              </w:rPr>
              <w:t>900-249-08</w:t>
            </w:r>
            <w:r>
              <w:rPr>
                <w:rFonts w:cs="Times New Roman" w:hint="eastAsia"/>
                <w:color w:val="000000"/>
                <w:kern w:val="0"/>
                <w:szCs w:val="24"/>
              </w:rPr>
              <w:t>、</w:t>
            </w:r>
            <w:r>
              <w:rPr>
                <w:rFonts w:cs="Times New Roman" w:hint="eastAsia"/>
                <w:color w:val="000000"/>
                <w:kern w:val="0"/>
                <w:szCs w:val="24"/>
              </w:rPr>
              <w:t>900-201-08</w:t>
            </w:r>
            <w:r>
              <w:rPr>
                <w:rFonts w:cs="Times New Roman" w:hint="eastAsia"/>
                <w:color w:val="000000"/>
                <w:kern w:val="0"/>
                <w:szCs w:val="24"/>
              </w:rPr>
              <w:t>、</w:t>
            </w:r>
            <w:r>
              <w:rPr>
                <w:rFonts w:cs="Times New Roman" w:hint="eastAsia"/>
                <w:color w:val="000000"/>
                <w:kern w:val="0"/>
                <w:szCs w:val="24"/>
              </w:rPr>
              <w:t>900-210-08</w:t>
            </w:r>
            <w:r>
              <w:rPr>
                <w:rFonts w:cs="Times New Roman" w:hint="eastAsia"/>
                <w:color w:val="000000"/>
                <w:kern w:val="0"/>
                <w:szCs w:val="24"/>
              </w:rPr>
              <w:t>）、</w:t>
            </w:r>
            <w:r>
              <w:rPr>
                <w:rFonts w:cs="Times New Roman"/>
                <w:color w:val="000000"/>
                <w:kern w:val="0"/>
                <w:szCs w:val="24"/>
              </w:rPr>
              <w:t>HW12</w:t>
            </w:r>
            <w:r>
              <w:rPr>
                <w:rFonts w:cs="Times New Roman"/>
                <w:color w:val="000000"/>
                <w:kern w:val="0"/>
                <w:szCs w:val="24"/>
              </w:rPr>
              <w:t>染料、涂料废物</w:t>
            </w:r>
            <w:r>
              <w:rPr>
                <w:rFonts w:cs="Times New Roman" w:hint="eastAsia"/>
                <w:color w:val="000000"/>
                <w:kern w:val="0"/>
                <w:szCs w:val="24"/>
              </w:rPr>
              <w:t>（</w:t>
            </w:r>
            <w:r>
              <w:rPr>
                <w:rFonts w:cs="Times New Roman" w:hint="eastAsia"/>
                <w:color w:val="000000"/>
                <w:kern w:val="0"/>
                <w:szCs w:val="24"/>
              </w:rPr>
              <w:t>264-010-12</w:t>
            </w:r>
            <w:r>
              <w:rPr>
                <w:rFonts w:cs="Times New Roman" w:hint="eastAsia"/>
                <w:color w:val="000000"/>
                <w:kern w:val="0"/>
                <w:szCs w:val="24"/>
              </w:rPr>
              <w:t>、</w:t>
            </w:r>
            <w:r>
              <w:rPr>
                <w:rFonts w:cs="Times New Roman" w:hint="eastAsia"/>
                <w:color w:val="000000"/>
                <w:kern w:val="0"/>
                <w:szCs w:val="24"/>
              </w:rPr>
              <w:t>264-011-12</w:t>
            </w:r>
            <w:r>
              <w:rPr>
                <w:rFonts w:cs="Times New Roman" w:hint="eastAsia"/>
                <w:color w:val="000000"/>
                <w:kern w:val="0"/>
                <w:szCs w:val="24"/>
              </w:rPr>
              <w:t>、</w:t>
            </w:r>
            <w:r>
              <w:rPr>
                <w:rFonts w:cs="Times New Roman" w:hint="eastAsia"/>
                <w:color w:val="000000"/>
                <w:kern w:val="0"/>
                <w:szCs w:val="24"/>
              </w:rPr>
              <w:t>264-013-12</w:t>
            </w:r>
            <w:r>
              <w:rPr>
                <w:rFonts w:cs="Times New Roman" w:hint="eastAsia"/>
                <w:color w:val="000000"/>
                <w:kern w:val="0"/>
                <w:szCs w:val="24"/>
              </w:rPr>
              <w:t>、</w:t>
            </w:r>
            <w:r>
              <w:rPr>
                <w:rFonts w:cs="Times New Roman" w:hint="eastAsia"/>
                <w:color w:val="000000"/>
                <w:kern w:val="0"/>
                <w:szCs w:val="24"/>
              </w:rPr>
              <w:t>900-251-12</w:t>
            </w:r>
            <w:r>
              <w:rPr>
                <w:rFonts w:cs="Times New Roman" w:hint="eastAsia"/>
                <w:color w:val="000000"/>
                <w:kern w:val="0"/>
                <w:szCs w:val="24"/>
              </w:rPr>
              <w:t>、</w:t>
            </w:r>
            <w:r>
              <w:rPr>
                <w:rFonts w:cs="Times New Roman" w:hint="eastAsia"/>
                <w:color w:val="000000"/>
                <w:kern w:val="0"/>
                <w:szCs w:val="24"/>
              </w:rPr>
              <w:t>900-252-12</w:t>
            </w:r>
            <w:r>
              <w:rPr>
                <w:rFonts w:cs="Times New Roman" w:hint="eastAsia"/>
                <w:color w:val="000000"/>
                <w:kern w:val="0"/>
                <w:szCs w:val="24"/>
              </w:rPr>
              <w:t>、</w:t>
            </w:r>
            <w:r>
              <w:rPr>
                <w:rFonts w:cs="Times New Roman" w:hint="eastAsia"/>
                <w:color w:val="000000"/>
                <w:kern w:val="0"/>
                <w:szCs w:val="24"/>
              </w:rPr>
              <w:t>900-253-12</w:t>
            </w:r>
            <w:r>
              <w:rPr>
                <w:rFonts w:cs="Times New Roman" w:hint="eastAsia"/>
                <w:color w:val="000000"/>
                <w:kern w:val="0"/>
                <w:szCs w:val="24"/>
              </w:rPr>
              <w:t>、</w:t>
            </w:r>
            <w:r>
              <w:rPr>
                <w:rFonts w:cs="Times New Roman" w:hint="eastAsia"/>
                <w:color w:val="000000"/>
                <w:kern w:val="0"/>
                <w:szCs w:val="24"/>
              </w:rPr>
              <w:t>900-299-12</w:t>
            </w:r>
            <w:r>
              <w:rPr>
                <w:rFonts w:cs="Times New Roman" w:hint="eastAsia"/>
                <w:color w:val="000000"/>
                <w:kern w:val="0"/>
                <w:szCs w:val="24"/>
              </w:rPr>
              <w:t>）、</w:t>
            </w:r>
            <w:r>
              <w:rPr>
                <w:rFonts w:cs="Times New Roman"/>
                <w:color w:val="000000"/>
                <w:kern w:val="0"/>
                <w:szCs w:val="24"/>
              </w:rPr>
              <w:t>HW13</w:t>
            </w:r>
            <w:r>
              <w:rPr>
                <w:rFonts w:cs="Times New Roman"/>
                <w:color w:val="000000"/>
                <w:kern w:val="0"/>
                <w:szCs w:val="24"/>
              </w:rPr>
              <w:t>有机树脂类废物</w:t>
            </w:r>
            <w:r>
              <w:rPr>
                <w:rFonts w:cs="Times New Roman" w:hint="eastAsia"/>
                <w:color w:val="000000"/>
                <w:kern w:val="0"/>
                <w:szCs w:val="24"/>
              </w:rPr>
              <w:t>（</w:t>
            </w:r>
            <w:r>
              <w:rPr>
                <w:rFonts w:cs="Times New Roman"/>
                <w:color w:val="000000"/>
                <w:kern w:val="0"/>
                <w:szCs w:val="24"/>
              </w:rPr>
              <w:t>265-101-13</w:t>
            </w:r>
            <w:r>
              <w:rPr>
                <w:rFonts w:cs="Times New Roman" w:hint="eastAsia"/>
                <w:color w:val="000000"/>
                <w:kern w:val="0"/>
                <w:szCs w:val="24"/>
              </w:rPr>
              <w:t>、</w:t>
            </w:r>
            <w:r>
              <w:rPr>
                <w:rFonts w:cs="Times New Roman" w:hint="eastAsia"/>
                <w:color w:val="000000"/>
                <w:kern w:val="0"/>
                <w:szCs w:val="24"/>
              </w:rPr>
              <w:t>900-015-13</w:t>
            </w:r>
            <w:r>
              <w:rPr>
                <w:rFonts w:cs="Times New Roman" w:hint="eastAsia"/>
                <w:color w:val="000000"/>
                <w:kern w:val="0"/>
                <w:szCs w:val="24"/>
              </w:rPr>
              <w:t>）、</w:t>
            </w:r>
            <w:r>
              <w:rPr>
                <w:rFonts w:cs="Times New Roman"/>
                <w:color w:val="000000"/>
                <w:kern w:val="0"/>
                <w:szCs w:val="24"/>
              </w:rPr>
              <w:t>HW16</w:t>
            </w:r>
            <w:r>
              <w:rPr>
                <w:rFonts w:cs="Times New Roman"/>
                <w:color w:val="000000"/>
                <w:kern w:val="0"/>
                <w:szCs w:val="24"/>
              </w:rPr>
              <w:t>感光材料废物</w:t>
            </w:r>
            <w:r>
              <w:rPr>
                <w:rFonts w:cs="Times New Roman" w:hint="eastAsia"/>
                <w:color w:val="000000"/>
                <w:kern w:val="0"/>
                <w:szCs w:val="24"/>
              </w:rPr>
              <w:t>（</w:t>
            </w:r>
            <w:r>
              <w:rPr>
                <w:rFonts w:cs="Times New Roman" w:hint="eastAsia"/>
                <w:color w:val="000000"/>
                <w:kern w:val="0"/>
                <w:szCs w:val="24"/>
              </w:rPr>
              <w:t>231-001-16</w:t>
            </w:r>
            <w:r>
              <w:rPr>
                <w:rFonts w:cs="Times New Roman" w:hint="eastAsia"/>
                <w:color w:val="000000"/>
                <w:kern w:val="0"/>
                <w:szCs w:val="24"/>
              </w:rPr>
              <w:t>、</w:t>
            </w:r>
            <w:r>
              <w:rPr>
                <w:rFonts w:cs="Times New Roman" w:hint="eastAsia"/>
                <w:color w:val="000000"/>
                <w:kern w:val="0"/>
                <w:szCs w:val="24"/>
              </w:rPr>
              <w:t>231-002-16</w:t>
            </w:r>
            <w:r>
              <w:rPr>
                <w:rFonts w:cs="Times New Roman" w:hint="eastAsia"/>
                <w:color w:val="000000"/>
                <w:kern w:val="0"/>
                <w:szCs w:val="24"/>
              </w:rPr>
              <w:t>）、</w:t>
            </w:r>
            <w:r>
              <w:rPr>
                <w:rFonts w:cs="Times New Roman"/>
                <w:color w:val="000000"/>
                <w:kern w:val="0"/>
                <w:szCs w:val="24"/>
              </w:rPr>
              <w:t>HW29</w:t>
            </w:r>
            <w:r>
              <w:rPr>
                <w:rFonts w:cs="Times New Roman"/>
                <w:color w:val="000000"/>
                <w:kern w:val="0"/>
                <w:szCs w:val="24"/>
              </w:rPr>
              <w:t>含汞废物</w:t>
            </w:r>
            <w:r>
              <w:rPr>
                <w:rFonts w:cs="Times New Roman" w:hint="eastAsia"/>
                <w:color w:val="000000"/>
                <w:kern w:val="0"/>
                <w:szCs w:val="24"/>
              </w:rPr>
              <w:t>（</w:t>
            </w:r>
            <w:r>
              <w:rPr>
                <w:rFonts w:cs="Times New Roman" w:hint="eastAsia"/>
                <w:color w:val="000000"/>
                <w:kern w:val="0"/>
                <w:szCs w:val="24"/>
              </w:rPr>
              <w:t>900-023-29</w:t>
            </w:r>
            <w:r>
              <w:rPr>
                <w:rFonts w:cs="Times New Roman" w:hint="eastAsia"/>
                <w:color w:val="000000"/>
                <w:kern w:val="0"/>
                <w:szCs w:val="24"/>
              </w:rPr>
              <w:t>、</w:t>
            </w:r>
            <w:r>
              <w:rPr>
                <w:rFonts w:cs="Times New Roman" w:hint="eastAsia"/>
                <w:color w:val="000000"/>
                <w:kern w:val="0"/>
                <w:szCs w:val="24"/>
              </w:rPr>
              <w:t>900-024-29</w:t>
            </w:r>
            <w:r>
              <w:rPr>
                <w:rFonts w:cs="Times New Roman" w:hint="eastAsia"/>
                <w:color w:val="000000"/>
                <w:kern w:val="0"/>
                <w:szCs w:val="24"/>
              </w:rPr>
              <w:t>）、</w:t>
            </w:r>
            <w:r>
              <w:rPr>
                <w:rFonts w:cs="Times New Roman"/>
                <w:color w:val="000000"/>
                <w:kern w:val="0"/>
                <w:szCs w:val="24"/>
              </w:rPr>
              <w:t>HW31</w:t>
            </w:r>
            <w:r>
              <w:rPr>
                <w:rFonts w:cs="Times New Roman"/>
                <w:color w:val="000000"/>
                <w:kern w:val="0"/>
                <w:szCs w:val="24"/>
              </w:rPr>
              <w:t>含铅废物</w:t>
            </w:r>
            <w:r>
              <w:rPr>
                <w:rFonts w:cs="Times New Roman" w:hint="eastAsia"/>
                <w:color w:val="000000"/>
                <w:kern w:val="0"/>
                <w:szCs w:val="24"/>
              </w:rPr>
              <w:t>（</w:t>
            </w:r>
            <w:r>
              <w:rPr>
                <w:rFonts w:cs="Times New Roman"/>
                <w:color w:val="000000"/>
                <w:kern w:val="0"/>
                <w:szCs w:val="24"/>
              </w:rPr>
              <w:t>900-052-31</w:t>
            </w:r>
            <w:r>
              <w:rPr>
                <w:rFonts w:cs="Times New Roman" w:hint="eastAsia"/>
                <w:color w:val="000000"/>
                <w:kern w:val="0"/>
                <w:szCs w:val="24"/>
              </w:rPr>
              <w:t>）、</w:t>
            </w:r>
            <w:r>
              <w:rPr>
                <w:rFonts w:cs="Times New Roman"/>
                <w:color w:val="000000"/>
                <w:kern w:val="0"/>
                <w:szCs w:val="24"/>
              </w:rPr>
              <w:t>HW36</w:t>
            </w:r>
            <w:r>
              <w:rPr>
                <w:rFonts w:cs="Times New Roman"/>
                <w:color w:val="000000"/>
                <w:kern w:val="0"/>
                <w:szCs w:val="24"/>
              </w:rPr>
              <w:t>石棉废物</w:t>
            </w:r>
            <w:r>
              <w:rPr>
                <w:rFonts w:cs="Times New Roman" w:hint="eastAsia"/>
                <w:color w:val="000000"/>
                <w:kern w:val="0"/>
                <w:szCs w:val="24"/>
              </w:rPr>
              <w:t>（</w:t>
            </w:r>
            <w:r>
              <w:rPr>
                <w:rFonts w:cs="Times New Roman" w:hint="eastAsia"/>
                <w:color w:val="000000"/>
                <w:kern w:val="0"/>
                <w:szCs w:val="24"/>
              </w:rPr>
              <w:t>900-030-36</w:t>
            </w:r>
            <w:r>
              <w:rPr>
                <w:rFonts w:cs="Times New Roman" w:hint="eastAsia"/>
                <w:color w:val="000000"/>
                <w:kern w:val="0"/>
                <w:szCs w:val="24"/>
              </w:rPr>
              <w:t>、</w:t>
            </w:r>
            <w:r>
              <w:rPr>
                <w:rFonts w:cs="Times New Roman" w:hint="eastAsia"/>
                <w:color w:val="000000"/>
                <w:kern w:val="0"/>
                <w:szCs w:val="24"/>
              </w:rPr>
              <w:t>900-031-36</w:t>
            </w:r>
            <w:r>
              <w:rPr>
                <w:rFonts w:cs="Times New Roman" w:hint="eastAsia"/>
                <w:color w:val="000000"/>
                <w:kern w:val="0"/>
                <w:szCs w:val="24"/>
              </w:rPr>
              <w:t>、</w:t>
            </w:r>
            <w:r>
              <w:rPr>
                <w:rFonts w:cs="Times New Roman" w:hint="eastAsia"/>
                <w:color w:val="000000"/>
                <w:kern w:val="0"/>
                <w:szCs w:val="24"/>
              </w:rPr>
              <w:t>900-032-36</w:t>
            </w:r>
            <w:r>
              <w:rPr>
                <w:rFonts w:cs="Times New Roman" w:hint="eastAsia"/>
                <w:color w:val="000000"/>
                <w:kern w:val="0"/>
                <w:szCs w:val="24"/>
              </w:rPr>
              <w:t>）、</w:t>
            </w:r>
            <w:r>
              <w:rPr>
                <w:rFonts w:cs="Times New Roman"/>
                <w:color w:val="000000"/>
                <w:kern w:val="0"/>
                <w:szCs w:val="24"/>
              </w:rPr>
              <w:t>HW49</w:t>
            </w:r>
            <w:r>
              <w:rPr>
                <w:rFonts w:cs="Times New Roman"/>
                <w:color w:val="000000"/>
                <w:kern w:val="0"/>
                <w:szCs w:val="24"/>
              </w:rPr>
              <w:t>其他废物</w:t>
            </w:r>
            <w:r>
              <w:rPr>
                <w:rFonts w:cs="Times New Roman" w:hint="eastAsia"/>
                <w:color w:val="000000"/>
                <w:kern w:val="0"/>
                <w:szCs w:val="24"/>
              </w:rPr>
              <w:t>（</w:t>
            </w:r>
            <w:r>
              <w:rPr>
                <w:rFonts w:cs="Times New Roman" w:hint="eastAsia"/>
                <w:color w:val="000000"/>
                <w:kern w:val="0"/>
                <w:szCs w:val="24"/>
              </w:rPr>
              <w:t>900-039-49</w:t>
            </w:r>
            <w:r>
              <w:rPr>
                <w:rFonts w:cs="Times New Roman" w:hint="eastAsia"/>
                <w:color w:val="000000"/>
                <w:kern w:val="0"/>
                <w:szCs w:val="24"/>
              </w:rPr>
              <w:t>、</w:t>
            </w:r>
            <w:r>
              <w:rPr>
                <w:rFonts w:cs="Times New Roman" w:hint="eastAsia"/>
                <w:color w:val="000000"/>
                <w:kern w:val="0"/>
                <w:szCs w:val="24"/>
              </w:rPr>
              <w:t>900-041-49</w:t>
            </w:r>
            <w:r>
              <w:rPr>
                <w:rFonts w:cs="Times New Roman" w:hint="eastAsia"/>
                <w:color w:val="000000"/>
                <w:kern w:val="0"/>
                <w:szCs w:val="24"/>
              </w:rPr>
              <w:t>、</w:t>
            </w:r>
            <w:r>
              <w:rPr>
                <w:rFonts w:cs="Times New Roman" w:hint="eastAsia"/>
                <w:color w:val="000000"/>
                <w:kern w:val="0"/>
                <w:szCs w:val="24"/>
              </w:rPr>
              <w:t>900-045-49</w:t>
            </w:r>
            <w:r>
              <w:rPr>
                <w:rFonts w:cs="Times New Roman" w:hint="eastAsia"/>
                <w:color w:val="000000"/>
                <w:kern w:val="0"/>
                <w:szCs w:val="24"/>
              </w:rPr>
              <w:t>、</w:t>
            </w:r>
            <w:r>
              <w:rPr>
                <w:rFonts w:cs="Times New Roman" w:hint="eastAsia"/>
                <w:color w:val="000000"/>
                <w:kern w:val="0"/>
                <w:szCs w:val="24"/>
              </w:rPr>
              <w:t>900-047-49</w:t>
            </w:r>
            <w:r>
              <w:rPr>
                <w:rFonts w:cs="Times New Roman" w:hint="eastAsia"/>
                <w:color w:val="000000"/>
                <w:kern w:val="0"/>
                <w:szCs w:val="24"/>
              </w:rPr>
              <w:t>、</w:t>
            </w:r>
            <w:r>
              <w:rPr>
                <w:rFonts w:cs="Times New Roman" w:hint="eastAsia"/>
                <w:color w:val="000000"/>
                <w:kern w:val="0"/>
                <w:szCs w:val="24"/>
              </w:rPr>
              <w:t>900-999-49</w:t>
            </w:r>
            <w:r>
              <w:rPr>
                <w:rFonts w:cs="Times New Roman" w:hint="eastAsia"/>
                <w:color w:val="000000"/>
                <w:kern w:val="0"/>
                <w:szCs w:val="24"/>
              </w:rPr>
              <w:t>、</w:t>
            </w:r>
            <w:r>
              <w:rPr>
                <w:rFonts w:cs="Times New Roman" w:hint="eastAsia"/>
                <w:color w:val="000000"/>
                <w:kern w:val="0"/>
                <w:szCs w:val="24"/>
              </w:rPr>
              <w:t>900-042-49</w:t>
            </w:r>
            <w:r>
              <w:rPr>
                <w:rFonts w:cs="Times New Roman" w:hint="eastAsia"/>
                <w:color w:val="000000"/>
                <w:kern w:val="0"/>
                <w:szCs w:val="24"/>
              </w:rPr>
              <w:t>、</w:t>
            </w:r>
            <w:r>
              <w:rPr>
                <w:rFonts w:cs="Times New Roman" w:hint="eastAsia"/>
                <w:color w:val="000000"/>
                <w:kern w:val="0"/>
                <w:szCs w:val="24"/>
              </w:rPr>
              <w:t>900-044-49</w:t>
            </w:r>
            <w:r>
              <w:rPr>
                <w:rFonts w:cs="Times New Roman" w:hint="eastAsia"/>
                <w:color w:val="000000"/>
                <w:kern w:val="0"/>
                <w:szCs w:val="24"/>
              </w:rPr>
              <w:t>）、</w:t>
            </w:r>
            <w:r>
              <w:rPr>
                <w:rFonts w:cs="Times New Roman" w:hint="eastAsia"/>
                <w:color w:val="000000"/>
                <w:kern w:val="0"/>
                <w:szCs w:val="24"/>
              </w:rPr>
              <w:t>HW50</w:t>
            </w:r>
            <w:r>
              <w:rPr>
                <w:rFonts w:cs="Times New Roman" w:hint="eastAsia"/>
                <w:color w:val="000000"/>
                <w:kern w:val="0"/>
                <w:szCs w:val="24"/>
              </w:rPr>
              <w:t>废催化剂（</w:t>
            </w:r>
            <w:r>
              <w:rPr>
                <w:rFonts w:cs="Times New Roman" w:hint="eastAsia"/>
                <w:color w:val="000000"/>
                <w:kern w:val="0"/>
                <w:szCs w:val="24"/>
              </w:rPr>
              <w:t>900-049-50</w:t>
            </w:r>
            <w:r>
              <w:rPr>
                <w:rFonts w:cs="Times New Roman" w:hint="eastAsia"/>
                <w:color w:val="000000"/>
                <w:kern w:val="0"/>
                <w:szCs w:val="24"/>
              </w:rPr>
              <w:t>）、</w:t>
            </w:r>
            <w:r>
              <w:rPr>
                <w:rFonts w:cs="Times New Roman" w:hint="eastAsia"/>
                <w:color w:val="000000"/>
                <w:kern w:val="0"/>
                <w:szCs w:val="24"/>
              </w:rPr>
              <w:t>HW09</w:t>
            </w:r>
            <w:r>
              <w:rPr>
                <w:rFonts w:cs="Times New Roman" w:hint="eastAsia"/>
                <w:color w:val="000000"/>
                <w:kern w:val="0"/>
                <w:szCs w:val="24"/>
              </w:rPr>
              <w:t>油</w:t>
            </w:r>
            <w:r>
              <w:rPr>
                <w:rFonts w:cs="Times New Roman" w:hint="eastAsia"/>
                <w:color w:val="000000"/>
                <w:kern w:val="0"/>
                <w:szCs w:val="24"/>
              </w:rPr>
              <w:t>/</w:t>
            </w:r>
            <w:r>
              <w:rPr>
                <w:rFonts w:cs="Times New Roman" w:hint="eastAsia"/>
                <w:color w:val="000000"/>
                <w:kern w:val="0"/>
                <w:szCs w:val="24"/>
              </w:rPr>
              <w:t>水、烃</w:t>
            </w:r>
            <w:r>
              <w:rPr>
                <w:rFonts w:cs="Times New Roman" w:hint="eastAsia"/>
                <w:color w:val="000000"/>
                <w:kern w:val="0"/>
                <w:szCs w:val="24"/>
              </w:rPr>
              <w:t>/</w:t>
            </w:r>
            <w:r>
              <w:rPr>
                <w:rFonts w:cs="Times New Roman" w:hint="eastAsia"/>
                <w:color w:val="000000"/>
                <w:kern w:val="0"/>
                <w:szCs w:val="24"/>
              </w:rPr>
              <w:t>水混合物或乳化液（</w:t>
            </w:r>
            <w:r>
              <w:rPr>
                <w:rFonts w:cs="Times New Roman" w:hint="eastAsia"/>
                <w:color w:val="000000"/>
                <w:kern w:val="0"/>
                <w:szCs w:val="24"/>
              </w:rPr>
              <w:t>900-006-09</w:t>
            </w:r>
            <w:r>
              <w:rPr>
                <w:rFonts w:cs="Times New Roman" w:hint="eastAsia"/>
                <w:color w:val="000000"/>
                <w:kern w:val="0"/>
                <w:szCs w:val="24"/>
              </w:rPr>
              <w:t>、</w:t>
            </w:r>
            <w:r>
              <w:rPr>
                <w:rFonts w:cs="Times New Roman" w:hint="eastAsia"/>
                <w:color w:val="000000"/>
                <w:kern w:val="0"/>
                <w:szCs w:val="24"/>
              </w:rPr>
              <w:t>900-007-09</w:t>
            </w:r>
            <w:r>
              <w:rPr>
                <w:rFonts w:cs="Times New Roman" w:hint="eastAsia"/>
                <w:color w:val="000000"/>
                <w:kern w:val="0"/>
                <w:szCs w:val="24"/>
              </w:rPr>
              <w:t>）</w:t>
            </w:r>
            <w:r w:rsidR="002030AF">
              <w:rPr>
                <w:rFonts w:cs="Times New Roman" w:hint="eastAsia"/>
                <w:color w:val="000000"/>
                <w:kern w:val="0"/>
                <w:szCs w:val="24"/>
              </w:rPr>
              <w:t>、</w:t>
            </w:r>
            <w:r w:rsidR="002030AF" w:rsidRPr="002030AF">
              <w:rPr>
                <w:rFonts w:cs="Times New Roman" w:hint="eastAsia"/>
                <w:color w:val="000000"/>
                <w:kern w:val="0"/>
                <w:szCs w:val="24"/>
              </w:rPr>
              <w:t>HW35</w:t>
            </w:r>
            <w:r w:rsidR="002030AF" w:rsidRPr="002030AF">
              <w:rPr>
                <w:rFonts w:cs="Times New Roman" w:hint="eastAsia"/>
                <w:color w:val="000000"/>
                <w:kern w:val="0"/>
                <w:szCs w:val="24"/>
              </w:rPr>
              <w:t>废碱</w:t>
            </w:r>
            <w:r w:rsidR="002030AF">
              <w:rPr>
                <w:rFonts w:cs="Times New Roman" w:hint="eastAsia"/>
                <w:color w:val="000000"/>
                <w:kern w:val="0"/>
                <w:szCs w:val="24"/>
              </w:rPr>
              <w:t>（</w:t>
            </w:r>
            <w:r w:rsidR="002030AF" w:rsidRPr="002030AF">
              <w:rPr>
                <w:rFonts w:cs="Times New Roman" w:hint="eastAsia"/>
                <w:color w:val="000000"/>
                <w:kern w:val="0"/>
                <w:szCs w:val="24"/>
              </w:rPr>
              <w:t>900-356-35</w:t>
            </w:r>
            <w:r w:rsidR="002030AF" w:rsidRPr="002030AF">
              <w:rPr>
                <w:rFonts w:cs="Times New Roman" w:hint="eastAsia"/>
                <w:color w:val="000000"/>
                <w:kern w:val="0"/>
                <w:szCs w:val="24"/>
              </w:rPr>
              <w:t>、</w:t>
            </w:r>
            <w:r w:rsidR="002030AF" w:rsidRPr="002030AF">
              <w:rPr>
                <w:rFonts w:cs="Times New Roman" w:hint="eastAsia"/>
                <w:color w:val="000000"/>
                <w:kern w:val="0"/>
                <w:szCs w:val="24"/>
              </w:rPr>
              <w:t>900-399-35</w:t>
            </w:r>
            <w:r w:rsidR="002030AF">
              <w:rPr>
                <w:rFonts w:cs="Times New Roman" w:hint="eastAsia"/>
                <w:color w:val="000000"/>
                <w:kern w:val="0"/>
                <w:szCs w:val="24"/>
              </w:rPr>
              <w:t>）</w:t>
            </w:r>
            <w:r>
              <w:rPr>
                <w:rFonts w:cs="Times New Roman" w:hint="eastAsia"/>
                <w:color w:val="000000"/>
                <w:kern w:val="0"/>
                <w:szCs w:val="24"/>
              </w:rPr>
              <w:t>。</w:t>
            </w:r>
          </w:p>
          <w:p w14:paraId="7DB8F30A" w14:textId="77777777" w:rsidR="003C4F46" w:rsidRDefault="004B6A81">
            <w:pPr>
              <w:widowControl/>
              <w:ind w:firstLineChars="0" w:firstLine="0"/>
              <w:textAlignment w:val="auto"/>
              <w:rPr>
                <w:rFonts w:cs="Times New Roman"/>
                <w:color w:val="000000"/>
                <w:kern w:val="0"/>
                <w:szCs w:val="24"/>
              </w:rPr>
            </w:pPr>
            <w:r>
              <w:rPr>
                <w:rFonts w:cs="Times New Roman"/>
                <w:b/>
                <w:szCs w:val="24"/>
              </w:rPr>
              <w:lastRenderedPageBreak/>
              <w:t>2.7</w:t>
            </w:r>
            <w:r>
              <w:rPr>
                <w:rFonts w:cs="Times New Roman"/>
                <w:b/>
                <w:szCs w:val="24"/>
              </w:rPr>
              <w:t>贮存方式及</w:t>
            </w:r>
            <w:r>
              <w:rPr>
                <w:rFonts w:cs="Times New Roman" w:hint="eastAsia"/>
                <w:b/>
                <w:szCs w:val="24"/>
              </w:rPr>
              <w:t>贮存能力</w:t>
            </w:r>
          </w:p>
          <w:p w14:paraId="3B50C44A" w14:textId="3EC38A5F" w:rsidR="003C4F46" w:rsidRDefault="00616E84">
            <w:pPr>
              <w:ind w:firstLineChars="0" w:firstLine="480"/>
              <w:textAlignment w:val="auto"/>
              <w:rPr>
                <w:rFonts w:cs="Times New Roman"/>
                <w:szCs w:val="24"/>
              </w:rPr>
            </w:pPr>
            <w:r w:rsidRPr="00616E84">
              <w:rPr>
                <w:rFonts w:cs="Times New Roman" w:hint="eastAsia"/>
                <w:szCs w:val="24"/>
              </w:rPr>
              <w:t>本项目危险废物收集、贮存总量为</w:t>
            </w:r>
            <w:r w:rsidRPr="00616E84">
              <w:rPr>
                <w:rFonts w:cs="Times New Roman" w:hint="eastAsia"/>
                <w:szCs w:val="24"/>
              </w:rPr>
              <w:t>5000t/a</w:t>
            </w:r>
            <w:r w:rsidRPr="00616E84">
              <w:rPr>
                <w:rFonts w:cs="Times New Roman" w:hint="eastAsia"/>
                <w:szCs w:val="24"/>
              </w:rPr>
              <w:t>，其中</w:t>
            </w:r>
            <w:r w:rsidRPr="00616E84">
              <w:rPr>
                <w:rFonts w:cs="Times New Roman" w:hint="eastAsia"/>
                <w:szCs w:val="24"/>
              </w:rPr>
              <w:t>HW08</w:t>
            </w:r>
            <w:r w:rsidRPr="00616E84">
              <w:rPr>
                <w:rFonts w:cs="Times New Roman" w:hint="eastAsia"/>
                <w:szCs w:val="24"/>
              </w:rPr>
              <w:t>废矿物油与含矿物油废物</w:t>
            </w:r>
            <w:r w:rsidRPr="00616E84">
              <w:rPr>
                <w:rFonts w:cs="Times New Roman" w:hint="eastAsia"/>
                <w:szCs w:val="24"/>
              </w:rPr>
              <w:t>2400t/a</w:t>
            </w:r>
            <w:r w:rsidRPr="00616E84">
              <w:rPr>
                <w:rFonts w:cs="Times New Roman" w:hint="eastAsia"/>
                <w:szCs w:val="24"/>
              </w:rPr>
              <w:t>、</w:t>
            </w:r>
            <w:r w:rsidRPr="00616E84">
              <w:rPr>
                <w:rFonts w:cs="Times New Roman" w:hint="eastAsia"/>
                <w:szCs w:val="24"/>
              </w:rPr>
              <w:t>HW31</w:t>
            </w:r>
            <w:r w:rsidRPr="00616E84">
              <w:rPr>
                <w:rFonts w:cs="Times New Roman" w:hint="eastAsia"/>
                <w:szCs w:val="24"/>
              </w:rPr>
              <w:t>含铅废物</w:t>
            </w:r>
            <w:r w:rsidRPr="00616E84">
              <w:rPr>
                <w:rFonts w:cs="Times New Roman" w:hint="eastAsia"/>
                <w:szCs w:val="24"/>
              </w:rPr>
              <w:t>1600t/a</w:t>
            </w:r>
            <w:r w:rsidRPr="00616E84">
              <w:rPr>
                <w:rFonts w:cs="Times New Roman" w:hint="eastAsia"/>
                <w:szCs w:val="24"/>
              </w:rPr>
              <w:t>、</w:t>
            </w:r>
            <w:r w:rsidRPr="00616E84">
              <w:rPr>
                <w:rFonts w:cs="Times New Roman" w:hint="eastAsia"/>
                <w:szCs w:val="24"/>
              </w:rPr>
              <w:t>HW09</w:t>
            </w:r>
            <w:r w:rsidRPr="00616E84">
              <w:rPr>
                <w:rFonts w:cs="Times New Roman" w:hint="eastAsia"/>
                <w:szCs w:val="24"/>
              </w:rPr>
              <w:t>油</w:t>
            </w:r>
            <w:r w:rsidRPr="00616E84">
              <w:rPr>
                <w:rFonts w:cs="Times New Roman" w:hint="eastAsia"/>
                <w:szCs w:val="24"/>
              </w:rPr>
              <w:t>/</w:t>
            </w:r>
            <w:r w:rsidRPr="00616E84">
              <w:rPr>
                <w:rFonts w:cs="Times New Roman" w:hint="eastAsia"/>
                <w:szCs w:val="24"/>
              </w:rPr>
              <w:t>水、烃</w:t>
            </w:r>
            <w:r w:rsidRPr="00616E84">
              <w:rPr>
                <w:rFonts w:cs="Times New Roman" w:hint="eastAsia"/>
                <w:szCs w:val="24"/>
              </w:rPr>
              <w:t>/</w:t>
            </w:r>
            <w:r w:rsidRPr="00616E84">
              <w:rPr>
                <w:rFonts w:cs="Times New Roman" w:hint="eastAsia"/>
                <w:szCs w:val="24"/>
              </w:rPr>
              <w:t>水混合物或乳化液</w:t>
            </w:r>
            <w:r w:rsidRPr="00616E84">
              <w:rPr>
                <w:rFonts w:cs="Times New Roman" w:hint="eastAsia"/>
                <w:szCs w:val="24"/>
              </w:rPr>
              <w:t>600t/a</w:t>
            </w:r>
            <w:r w:rsidRPr="00616E84">
              <w:rPr>
                <w:rFonts w:cs="Times New Roman" w:hint="eastAsia"/>
                <w:szCs w:val="24"/>
              </w:rPr>
              <w:t>。上述三类为本项目主要收集类别</w:t>
            </w:r>
            <w:r w:rsidR="004B6A81">
              <w:rPr>
                <w:rFonts w:cs="Times New Roman" w:hint="eastAsia"/>
                <w:szCs w:val="24"/>
              </w:rPr>
              <w:t>。</w:t>
            </w:r>
          </w:p>
          <w:p w14:paraId="248715E3" w14:textId="77777777" w:rsidR="003C4F46" w:rsidRDefault="004B6A81">
            <w:pPr>
              <w:ind w:firstLine="480"/>
              <w:jc w:val="left"/>
              <w:textAlignment w:val="auto"/>
              <w:rPr>
                <w:rFonts w:cs="Times New Roman"/>
                <w:szCs w:val="24"/>
              </w:rPr>
            </w:pPr>
            <w:r>
              <w:rPr>
                <w:rFonts w:cs="Times New Roman" w:hint="eastAsia"/>
                <w:szCs w:val="24"/>
              </w:rPr>
              <w:t>a</w:t>
            </w:r>
            <w:r>
              <w:rPr>
                <w:rFonts w:cs="Times New Roman" w:hint="eastAsia"/>
                <w:szCs w:val="24"/>
              </w:rPr>
              <w:t>）废铅蓄电池贮存分析</w:t>
            </w:r>
          </w:p>
          <w:p w14:paraId="6D5F787C" w14:textId="2384F972" w:rsidR="003C4F46" w:rsidRDefault="004B6A81">
            <w:pPr>
              <w:ind w:firstLineChars="0" w:firstLine="480"/>
              <w:textAlignment w:val="auto"/>
              <w:rPr>
                <w:rFonts w:cs="Times New Roman"/>
                <w:szCs w:val="24"/>
              </w:rPr>
            </w:pPr>
            <w:r>
              <w:rPr>
                <w:rFonts w:cs="Times New Roman"/>
                <w:szCs w:val="24"/>
              </w:rPr>
              <w:t>根据《电池废料贮运规范》（</w:t>
            </w:r>
            <w:r>
              <w:rPr>
                <w:rFonts w:cs="Times New Roman"/>
                <w:szCs w:val="24"/>
              </w:rPr>
              <w:t>GB/T26493-2011</w:t>
            </w:r>
            <w:r>
              <w:rPr>
                <w:rFonts w:cs="Times New Roman"/>
                <w:szCs w:val="24"/>
              </w:rPr>
              <w:t>）要求：</w:t>
            </w:r>
            <w:r>
              <w:rPr>
                <w:rFonts w:ascii="宋体" w:hAnsi="宋体" w:cs="宋体" w:hint="eastAsia"/>
                <w:szCs w:val="24"/>
              </w:rPr>
              <w:t>“</w:t>
            </w:r>
            <w:r>
              <w:rPr>
                <w:rFonts w:cs="Times New Roman"/>
                <w:szCs w:val="24"/>
              </w:rPr>
              <w:t>列入国家危险废物名录的电池废料，对于不同组别采用分离贮存，同一组别采用隔离贮存</w:t>
            </w:r>
            <w:r>
              <w:rPr>
                <w:rFonts w:ascii="宋体" w:hAnsi="宋体" w:cs="宋体" w:hint="eastAsia"/>
                <w:szCs w:val="24"/>
              </w:rPr>
              <w:t>”</w:t>
            </w:r>
            <w:r>
              <w:rPr>
                <w:rFonts w:cs="Times New Roman"/>
                <w:szCs w:val="24"/>
              </w:rPr>
              <w:t>。本项目主要收集</w:t>
            </w:r>
            <w:r w:rsidR="00691223" w:rsidRPr="00691223">
              <w:rPr>
                <w:rFonts w:hint="eastAsia"/>
                <w:kern w:val="0"/>
                <w:lang w:bidi="ar"/>
              </w:rPr>
              <w:t>废铅蓄电池</w:t>
            </w:r>
            <w:r>
              <w:rPr>
                <w:rFonts w:cs="Times New Roman"/>
                <w:szCs w:val="24"/>
              </w:rPr>
              <w:t>属于危险固废</w:t>
            </w:r>
            <w:r>
              <w:rPr>
                <w:rFonts w:cs="Times New Roman" w:hint="eastAsia"/>
                <w:szCs w:val="24"/>
              </w:rPr>
              <w:t>，收集电池类别为同一组别，</w:t>
            </w:r>
            <w:r>
              <w:rPr>
                <w:rFonts w:cs="Times New Roman"/>
                <w:szCs w:val="24"/>
              </w:rPr>
              <w:t>需采用隔离贮存的方式进行</w:t>
            </w:r>
            <w:r>
              <w:rPr>
                <w:rFonts w:cs="Times New Roman" w:hint="eastAsia"/>
                <w:szCs w:val="24"/>
              </w:rPr>
              <w:t>贮存</w:t>
            </w:r>
            <w:r>
              <w:rPr>
                <w:rFonts w:cs="Times New Roman"/>
                <w:szCs w:val="24"/>
              </w:rPr>
              <w:t>。</w:t>
            </w:r>
          </w:p>
          <w:p w14:paraId="029E10C8" w14:textId="2FFEDCAD" w:rsidR="003C4F46" w:rsidRDefault="004B6A81">
            <w:pPr>
              <w:ind w:firstLine="480"/>
              <w:textAlignment w:val="auto"/>
              <w:rPr>
                <w:rFonts w:cs="Times New Roman"/>
                <w:szCs w:val="24"/>
              </w:rPr>
            </w:pPr>
            <w:r>
              <w:rPr>
                <w:rFonts w:cs="Times New Roman"/>
                <w:szCs w:val="24"/>
              </w:rPr>
              <w:t>本项目废</w:t>
            </w:r>
            <w:r>
              <w:rPr>
                <w:rFonts w:cs="Times New Roman" w:hint="eastAsia"/>
                <w:szCs w:val="24"/>
              </w:rPr>
              <w:t>铅蓄</w:t>
            </w:r>
            <w:r>
              <w:rPr>
                <w:rFonts w:cs="Times New Roman"/>
                <w:szCs w:val="24"/>
              </w:rPr>
              <w:t>电池的存贮区设置</w:t>
            </w:r>
            <w:r>
              <w:rPr>
                <w:rFonts w:cs="Times New Roman"/>
                <w:szCs w:val="24"/>
              </w:rPr>
              <w:t>2</w:t>
            </w:r>
            <w:r>
              <w:rPr>
                <w:rFonts w:cs="Times New Roman"/>
                <w:szCs w:val="24"/>
              </w:rPr>
              <w:t>个，分别为完好</w:t>
            </w:r>
            <w:r w:rsidR="00691223" w:rsidRPr="00691223">
              <w:rPr>
                <w:rFonts w:hint="eastAsia"/>
                <w:kern w:val="0"/>
                <w:lang w:bidi="ar"/>
              </w:rPr>
              <w:t>废铅蓄电池</w:t>
            </w:r>
            <w:r>
              <w:rPr>
                <w:rFonts w:cs="Times New Roman"/>
                <w:szCs w:val="24"/>
              </w:rPr>
              <w:t>存贮区与破损</w:t>
            </w:r>
            <w:r w:rsidR="00691223" w:rsidRPr="00691223">
              <w:rPr>
                <w:rFonts w:hint="eastAsia"/>
                <w:kern w:val="0"/>
                <w:lang w:bidi="ar"/>
              </w:rPr>
              <w:t>废铅蓄电池</w:t>
            </w:r>
            <w:r>
              <w:rPr>
                <w:rFonts w:cs="Times New Roman"/>
                <w:szCs w:val="24"/>
              </w:rPr>
              <w:t>存贮区；贮存方式按《电池废料贮运规范》（</w:t>
            </w:r>
            <w:r>
              <w:rPr>
                <w:rFonts w:cs="Times New Roman"/>
                <w:szCs w:val="24"/>
              </w:rPr>
              <w:t>GB/T26493-2011</w:t>
            </w:r>
            <w:r>
              <w:rPr>
                <w:rFonts w:cs="Times New Roman"/>
                <w:szCs w:val="24"/>
              </w:rPr>
              <w:t>）中表</w:t>
            </w:r>
            <w:r>
              <w:rPr>
                <w:rFonts w:cs="Times New Roman"/>
                <w:szCs w:val="24"/>
              </w:rPr>
              <w:t>1</w:t>
            </w:r>
            <w:r>
              <w:rPr>
                <w:rFonts w:cs="Times New Roman"/>
                <w:szCs w:val="24"/>
              </w:rPr>
              <w:t>要求进行设计，详见表</w:t>
            </w:r>
            <w:r>
              <w:rPr>
                <w:rFonts w:cs="Times New Roman" w:hint="eastAsia"/>
                <w:szCs w:val="24"/>
              </w:rPr>
              <w:t>2-</w:t>
            </w:r>
            <w:r w:rsidR="008222DE">
              <w:rPr>
                <w:rFonts w:cs="Times New Roman"/>
                <w:szCs w:val="24"/>
              </w:rPr>
              <w:t>7</w:t>
            </w:r>
            <w:r>
              <w:rPr>
                <w:rFonts w:cs="Times New Roman" w:hint="eastAsia"/>
                <w:szCs w:val="24"/>
              </w:rPr>
              <w:t>。</w:t>
            </w:r>
          </w:p>
          <w:p w14:paraId="04F67325" w14:textId="351F3C00" w:rsidR="003C4F46" w:rsidRDefault="004B6A81">
            <w:pPr>
              <w:spacing w:line="240" w:lineRule="auto"/>
              <w:ind w:firstLineChars="0" w:firstLine="0"/>
              <w:jc w:val="center"/>
              <w:textAlignment w:val="auto"/>
              <w:rPr>
                <w:rFonts w:cs="Times New Roman"/>
                <w:b/>
                <w:bCs/>
                <w:color w:val="000000"/>
                <w:sz w:val="21"/>
                <w:szCs w:val="21"/>
              </w:rPr>
            </w:pPr>
            <w:r>
              <w:rPr>
                <w:rFonts w:cs="Times New Roman" w:hint="eastAsia"/>
                <w:b/>
                <w:bCs/>
                <w:color w:val="000000"/>
                <w:sz w:val="21"/>
                <w:szCs w:val="21"/>
              </w:rPr>
              <w:t>表</w:t>
            </w:r>
            <w:r>
              <w:rPr>
                <w:rFonts w:cs="Times New Roman" w:hint="eastAsia"/>
                <w:b/>
                <w:bCs/>
                <w:color w:val="000000"/>
                <w:sz w:val="21"/>
                <w:szCs w:val="21"/>
              </w:rPr>
              <w:t>2-</w:t>
            </w:r>
            <w:r w:rsidR="008222DE">
              <w:rPr>
                <w:rFonts w:cs="Times New Roman"/>
                <w:b/>
                <w:bCs/>
                <w:color w:val="000000"/>
                <w:sz w:val="21"/>
                <w:szCs w:val="21"/>
              </w:rPr>
              <w:t>7</w:t>
            </w:r>
            <w:r>
              <w:rPr>
                <w:rFonts w:cs="Times New Roman" w:hint="eastAsia"/>
                <w:b/>
                <w:bCs/>
                <w:color w:val="000000"/>
                <w:sz w:val="21"/>
                <w:szCs w:val="21"/>
              </w:rPr>
              <w:t xml:space="preserve">  </w:t>
            </w:r>
            <w:r>
              <w:rPr>
                <w:rFonts w:cs="Times New Roman"/>
                <w:b/>
                <w:bCs/>
                <w:color w:val="000000"/>
                <w:sz w:val="21"/>
                <w:szCs w:val="21"/>
              </w:rPr>
              <w:t>《电池废料贮运规范》中</w:t>
            </w:r>
            <w:r>
              <w:rPr>
                <w:rFonts w:cs="Times New Roman" w:hint="eastAsia"/>
                <w:b/>
                <w:bCs/>
                <w:color w:val="000000"/>
                <w:sz w:val="21"/>
                <w:szCs w:val="21"/>
              </w:rPr>
              <w:t>不同贮存方式要求</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93"/>
              <w:gridCol w:w="4648"/>
              <w:gridCol w:w="3445"/>
            </w:tblGrid>
            <w:tr w:rsidR="003C4F46" w14:paraId="34093B2A" w14:textId="77777777">
              <w:trPr>
                <w:trHeight w:val="357"/>
                <w:jc w:val="center"/>
              </w:trPr>
              <w:tc>
                <w:tcPr>
                  <w:tcW w:w="546" w:type="pct"/>
                  <w:tcBorders>
                    <w:tl2br w:val="nil"/>
                    <w:tr2bl w:val="nil"/>
                  </w:tcBorders>
                  <w:vAlign w:val="center"/>
                </w:tcPr>
                <w:p w14:paraId="7DAC058B" w14:textId="77777777" w:rsidR="003C4F46" w:rsidRDefault="004B6A81">
                  <w:pPr>
                    <w:widowControl/>
                    <w:spacing w:line="240" w:lineRule="auto"/>
                    <w:ind w:firstLineChars="0" w:firstLine="0"/>
                    <w:jc w:val="center"/>
                    <w:textAlignment w:val="auto"/>
                    <w:rPr>
                      <w:rFonts w:cs="Times New Roman"/>
                      <w:b/>
                      <w:bCs/>
                      <w:kern w:val="0"/>
                      <w:sz w:val="21"/>
                      <w:szCs w:val="21"/>
                    </w:rPr>
                  </w:pPr>
                  <w:r>
                    <w:rPr>
                      <w:rFonts w:cs="Times New Roman" w:hint="eastAsia"/>
                      <w:b/>
                      <w:bCs/>
                      <w:kern w:val="0"/>
                      <w:sz w:val="21"/>
                      <w:szCs w:val="21"/>
                    </w:rPr>
                    <w:t>序号</w:t>
                  </w:r>
                </w:p>
              </w:tc>
              <w:tc>
                <w:tcPr>
                  <w:tcW w:w="2558" w:type="pct"/>
                  <w:tcBorders>
                    <w:tl2br w:val="nil"/>
                    <w:tr2bl w:val="nil"/>
                  </w:tcBorders>
                  <w:vAlign w:val="center"/>
                </w:tcPr>
                <w:p w14:paraId="4B5D91AF" w14:textId="77777777" w:rsidR="003C4F46" w:rsidRDefault="004B6A81">
                  <w:pPr>
                    <w:widowControl/>
                    <w:spacing w:line="240" w:lineRule="auto"/>
                    <w:ind w:firstLineChars="0" w:firstLine="0"/>
                    <w:jc w:val="center"/>
                    <w:textAlignment w:val="auto"/>
                    <w:rPr>
                      <w:rFonts w:cs="Times New Roman"/>
                      <w:b/>
                      <w:bCs/>
                      <w:kern w:val="0"/>
                      <w:sz w:val="21"/>
                      <w:szCs w:val="21"/>
                    </w:rPr>
                  </w:pPr>
                  <w:r>
                    <w:rPr>
                      <w:rFonts w:cs="Times New Roman" w:hint="eastAsia"/>
                      <w:b/>
                      <w:bCs/>
                      <w:kern w:val="0"/>
                      <w:sz w:val="21"/>
                      <w:szCs w:val="21"/>
                      <w:lang w:bidi="ar"/>
                    </w:rPr>
                    <w:t>贮存方式要求</w:t>
                  </w:r>
                </w:p>
              </w:tc>
              <w:tc>
                <w:tcPr>
                  <w:tcW w:w="1894" w:type="pct"/>
                  <w:tcBorders>
                    <w:tl2br w:val="nil"/>
                    <w:tr2bl w:val="nil"/>
                  </w:tcBorders>
                  <w:vAlign w:val="center"/>
                </w:tcPr>
                <w:p w14:paraId="5FAABC5E" w14:textId="77777777" w:rsidR="003C4F46" w:rsidRDefault="004B6A81">
                  <w:pPr>
                    <w:widowControl/>
                    <w:spacing w:line="240" w:lineRule="auto"/>
                    <w:ind w:firstLineChars="0" w:firstLine="0"/>
                    <w:jc w:val="center"/>
                    <w:textAlignment w:val="auto"/>
                    <w:rPr>
                      <w:rFonts w:cs="Times New Roman"/>
                      <w:b/>
                      <w:bCs/>
                      <w:kern w:val="0"/>
                      <w:sz w:val="21"/>
                      <w:szCs w:val="21"/>
                    </w:rPr>
                  </w:pPr>
                  <w:r>
                    <w:rPr>
                      <w:rFonts w:cs="Times New Roman" w:hint="eastAsia"/>
                      <w:b/>
                      <w:bCs/>
                      <w:kern w:val="0"/>
                      <w:sz w:val="21"/>
                      <w:szCs w:val="21"/>
                    </w:rPr>
                    <w:t>隔离贮存要求</w:t>
                  </w:r>
                </w:p>
              </w:tc>
            </w:tr>
            <w:tr w:rsidR="003C4F46" w14:paraId="4037D244" w14:textId="77777777">
              <w:trPr>
                <w:trHeight w:val="377"/>
                <w:jc w:val="center"/>
              </w:trPr>
              <w:tc>
                <w:tcPr>
                  <w:tcW w:w="546" w:type="pct"/>
                  <w:tcBorders>
                    <w:tl2br w:val="nil"/>
                    <w:tr2bl w:val="nil"/>
                  </w:tcBorders>
                  <w:vAlign w:val="center"/>
                </w:tcPr>
                <w:p w14:paraId="612F8C01" w14:textId="77777777" w:rsidR="003C4F46" w:rsidRDefault="004B6A81">
                  <w:pPr>
                    <w:widowControl/>
                    <w:spacing w:line="240" w:lineRule="auto"/>
                    <w:ind w:firstLineChars="0" w:firstLine="0"/>
                    <w:jc w:val="center"/>
                    <w:textAlignment w:val="auto"/>
                    <w:rPr>
                      <w:rFonts w:cs="Times New Roman"/>
                      <w:kern w:val="0"/>
                      <w:sz w:val="21"/>
                      <w:szCs w:val="21"/>
                    </w:rPr>
                  </w:pPr>
                  <w:r>
                    <w:rPr>
                      <w:rFonts w:cs="Times New Roman" w:hint="eastAsia"/>
                      <w:kern w:val="0"/>
                      <w:sz w:val="21"/>
                      <w:szCs w:val="21"/>
                    </w:rPr>
                    <w:t>1</w:t>
                  </w:r>
                </w:p>
              </w:tc>
              <w:tc>
                <w:tcPr>
                  <w:tcW w:w="2558" w:type="pct"/>
                  <w:tcBorders>
                    <w:tl2br w:val="nil"/>
                    <w:tr2bl w:val="nil"/>
                  </w:tcBorders>
                  <w:vAlign w:val="center"/>
                </w:tcPr>
                <w:p w14:paraId="781AE2B8"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平均单位面积的贮存量（</w:t>
                  </w:r>
                  <w:r>
                    <w:rPr>
                      <w:rFonts w:cs="Times New Roman" w:hint="eastAsia"/>
                      <w:kern w:val="0"/>
                      <w:sz w:val="21"/>
                      <w:szCs w:val="21"/>
                      <w:lang w:bidi="ar"/>
                    </w:rPr>
                    <w:t>t/m</w:t>
                  </w:r>
                  <w:r>
                    <w:rPr>
                      <w:rFonts w:cs="Times New Roman" w:hint="eastAsia"/>
                      <w:kern w:val="0"/>
                      <w:sz w:val="21"/>
                      <w:szCs w:val="21"/>
                      <w:vertAlign w:val="superscript"/>
                      <w:lang w:bidi="ar"/>
                    </w:rPr>
                    <w:t>2</w:t>
                  </w:r>
                  <w:r>
                    <w:rPr>
                      <w:rFonts w:cs="Times New Roman" w:hint="eastAsia"/>
                      <w:kern w:val="0"/>
                      <w:sz w:val="21"/>
                      <w:szCs w:val="21"/>
                      <w:lang w:bidi="ar"/>
                    </w:rPr>
                    <w:t>）</w:t>
                  </w:r>
                </w:p>
              </w:tc>
              <w:tc>
                <w:tcPr>
                  <w:tcW w:w="1894" w:type="pct"/>
                  <w:tcBorders>
                    <w:tl2br w:val="nil"/>
                    <w:tr2bl w:val="nil"/>
                  </w:tcBorders>
                  <w:vAlign w:val="center"/>
                </w:tcPr>
                <w:p w14:paraId="3A789D50" w14:textId="77777777" w:rsidR="003C4F46" w:rsidRDefault="004B6A81">
                  <w:pPr>
                    <w:widowControl/>
                    <w:spacing w:line="240" w:lineRule="auto"/>
                    <w:ind w:firstLineChars="0" w:firstLine="0"/>
                    <w:jc w:val="center"/>
                    <w:textAlignment w:val="auto"/>
                    <w:rPr>
                      <w:rFonts w:cs="Times New Roman"/>
                      <w:kern w:val="0"/>
                      <w:sz w:val="21"/>
                      <w:szCs w:val="21"/>
                    </w:rPr>
                  </w:pPr>
                  <w:r>
                    <w:rPr>
                      <w:rFonts w:cs="Times New Roman"/>
                      <w:kern w:val="0"/>
                      <w:sz w:val="21"/>
                      <w:szCs w:val="21"/>
                    </w:rPr>
                    <w:t>1.5~2.0</w:t>
                  </w:r>
                </w:p>
              </w:tc>
            </w:tr>
            <w:tr w:rsidR="003C4F46" w14:paraId="6B0EEE21" w14:textId="77777777">
              <w:trPr>
                <w:trHeight w:val="307"/>
                <w:jc w:val="center"/>
              </w:trPr>
              <w:tc>
                <w:tcPr>
                  <w:tcW w:w="546" w:type="pct"/>
                  <w:tcBorders>
                    <w:tl2br w:val="nil"/>
                    <w:tr2bl w:val="nil"/>
                  </w:tcBorders>
                  <w:vAlign w:val="center"/>
                </w:tcPr>
                <w:p w14:paraId="388A4A21" w14:textId="77777777" w:rsidR="003C4F46" w:rsidRDefault="004B6A81">
                  <w:pPr>
                    <w:widowControl/>
                    <w:spacing w:line="240" w:lineRule="auto"/>
                    <w:ind w:firstLineChars="0" w:firstLine="0"/>
                    <w:jc w:val="center"/>
                    <w:textAlignment w:val="auto"/>
                    <w:rPr>
                      <w:rFonts w:cs="Times New Roman"/>
                      <w:kern w:val="0"/>
                      <w:sz w:val="21"/>
                      <w:szCs w:val="21"/>
                    </w:rPr>
                  </w:pPr>
                  <w:r>
                    <w:rPr>
                      <w:rFonts w:cs="Times New Roman" w:hint="eastAsia"/>
                      <w:kern w:val="0"/>
                      <w:sz w:val="21"/>
                      <w:szCs w:val="21"/>
                    </w:rPr>
                    <w:t>2</w:t>
                  </w:r>
                </w:p>
              </w:tc>
              <w:tc>
                <w:tcPr>
                  <w:tcW w:w="2558" w:type="pct"/>
                  <w:tcBorders>
                    <w:tl2br w:val="nil"/>
                    <w:tr2bl w:val="nil"/>
                  </w:tcBorders>
                  <w:vAlign w:val="center"/>
                </w:tcPr>
                <w:p w14:paraId="2C4A9C25"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单一贮存区最大贮存量（</w:t>
                  </w:r>
                  <w:r>
                    <w:rPr>
                      <w:rFonts w:cs="Times New Roman" w:hint="eastAsia"/>
                      <w:kern w:val="0"/>
                      <w:sz w:val="21"/>
                      <w:szCs w:val="21"/>
                      <w:lang w:bidi="ar"/>
                    </w:rPr>
                    <w:t>t</w:t>
                  </w:r>
                  <w:r>
                    <w:rPr>
                      <w:rFonts w:cs="Times New Roman" w:hint="eastAsia"/>
                      <w:kern w:val="0"/>
                      <w:sz w:val="21"/>
                      <w:szCs w:val="21"/>
                      <w:lang w:bidi="ar"/>
                    </w:rPr>
                    <w:t>）</w:t>
                  </w:r>
                </w:p>
              </w:tc>
              <w:tc>
                <w:tcPr>
                  <w:tcW w:w="1894" w:type="pct"/>
                  <w:tcBorders>
                    <w:tl2br w:val="nil"/>
                    <w:tr2bl w:val="nil"/>
                  </w:tcBorders>
                  <w:vAlign w:val="center"/>
                </w:tcPr>
                <w:p w14:paraId="45550E35"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200-300</w:t>
                  </w:r>
                </w:p>
              </w:tc>
            </w:tr>
            <w:tr w:rsidR="003C4F46" w14:paraId="745D1D7E" w14:textId="77777777">
              <w:trPr>
                <w:trHeight w:val="307"/>
                <w:jc w:val="center"/>
              </w:trPr>
              <w:tc>
                <w:tcPr>
                  <w:tcW w:w="546" w:type="pct"/>
                  <w:tcBorders>
                    <w:tl2br w:val="nil"/>
                    <w:tr2bl w:val="nil"/>
                  </w:tcBorders>
                  <w:vAlign w:val="center"/>
                </w:tcPr>
                <w:p w14:paraId="36D250E4" w14:textId="77777777" w:rsidR="003C4F46" w:rsidRDefault="004B6A81">
                  <w:pPr>
                    <w:widowControl/>
                    <w:spacing w:line="240" w:lineRule="auto"/>
                    <w:ind w:firstLineChars="0" w:firstLine="0"/>
                    <w:jc w:val="center"/>
                    <w:textAlignment w:val="auto"/>
                    <w:rPr>
                      <w:rFonts w:cs="Times New Roman"/>
                      <w:kern w:val="0"/>
                      <w:sz w:val="21"/>
                      <w:szCs w:val="21"/>
                    </w:rPr>
                  </w:pPr>
                  <w:r>
                    <w:rPr>
                      <w:rFonts w:cs="Times New Roman" w:hint="eastAsia"/>
                      <w:kern w:val="0"/>
                      <w:sz w:val="21"/>
                      <w:szCs w:val="21"/>
                    </w:rPr>
                    <w:t>3</w:t>
                  </w:r>
                </w:p>
              </w:tc>
              <w:tc>
                <w:tcPr>
                  <w:tcW w:w="2558" w:type="pct"/>
                  <w:tcBorders>
                    <w:tl2br w:val="nil"/>
                    <w:tr2bl w:val="nil"/>
                  </w:tcBorders>
                  <w:vAlign w:val="center"/>
                </w:tcPr>
                <w:p w14:paraId="3D75F9B2"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贮存区间距（</w:t>
                  </w:r>
                  <w:r>
                    <w:rPr>
                      <w:rFonts w:cs="Times New Roman" w:hint="eastAsia"/>
                      <w:kern w:val="0"/>
                      <w:sz w:val="21"/>
                      <w:szCs w:val="21"/>
                      <w:lang w:bidi="ar"/>
                    </w:rPr>
                    <w:t>m</w:t>
                  </w:r>
                  <w:r>
                    <w:rPr>
                      <w:rFonts w:cs="Times New Roman" w:hint="eastAsia"/>
                      <w:kern w:val="0"/>
                      <w:sz w:val="21"/>
                      <w:szCs w:val="21"/>
                      <w:lang w:bidi="ar"/>
                    </w:rPr>
                    <w:t>）</w:t>
                  </w:r>
                </w:p>
              </w:tc>
              <w:tc>
                <w:tcPr>
                  <w:tcW w:w="1894" w:type="pct"/>
                  <w:tcBorders>
                    <w:tl2br w:val="nil"/>
                    <w:tr2bl w:val="nil"/>
                  </w:tcBorders>
                  <w:vAlign w:val="center"/>
                </w:tcPr>
                <w:p w14:paraId="71F8E459"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0.3-0.5</w:t>
                  </w:r>
                </w:p>
              </w:tc>
            </w:tr>
            <w:tr w:rsidR="003C4F46" w14:paraId="7A617F6E" w14:textId="77777777">
              <w:trPr>
                <w:trHeight w:val="307"/>
                <w:jc w:val="center"/>
              </w:trPr>
              <w:tc>
                <w:tcPr>
                  <w:tcW w:w="546" w:type="pct"/>
                  <w:tcBorders>
                    <w:tl2br w:val="nil"/>
                    <w:tr2bl w:val="nil"/>
                  </w:tcBorders>
                  <w:vAlign w:val="center"/>
                </w:tcPr>
                <w:p w14:paraId="33417205" w14:textId="77777777" w:rsidR="003C4F46" w:rsidRDefault="004B6A81">
                  <w:pPr>
                    <w:widowControl/>
                    <w:spacing w:line="240" w:lineRule="auto"/>
                    <w:ind w:firstLineChars="0" w:firstLine="0"/>
                    <w:jc w:val="center"/>
                    <w:textAlignment w:val="auto"/>
                    <w:rPr>
                      <w:rFonts w:cs="Times New Roman"/>
                      <w:kern w:val="0"/>
                      <w:sz w:val="21"/>
                      <w:szCs w:val="21"/>
                    </w:rPr>
                  </w:pPr>
                  <w:r>
                    <w:rPr>
                      <w:rFonts w:cs="Times New Roman" w:hint="eastAsia"/>
                      <w:kern w:val="0"/>
                      <w:sz w:val="21"/>
                      <w:szCs w:val="21"/>
                    </w:rPr>
                    <w:t>4</w:t>
                  </w:r>
                </w:p>
              </w:tc>
              <w:tc>
                <w:tcPr>
                  <w:tcW w:w="2558" w:type="pct"/>
                  <w:tcBorders>
                    <w:tl2br w:val="nil"/>
                    <w:tr2bl w:val="nil"/>
                  </w:tcBorders>
                  <w:vAlign w:val="center"/>
                </w:tcPr>
                <w:p w14:paraId="70BFFE68"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通道宽度（</w:t>
                  </w:r>
                  <w:r>
                    <w:rPr>
                      <w:rFonts w:cs="Times New Roman" w:hint="eastAsia"/>
                      <w:kern w:val="0"/>
                      <w:sz w:val="21"/>
                      <w:szCs w:val="21"/>
                      <w:lang w:bidi="ar"/>
                    </w:rPr>
                    <w:t>m</w:t>
                  </w:r>
                  <w:r>
                    <w:rPr>
                      <w:rFonts w:cs="Times New Roman" w:hint="eastAsia"/>
                      <w:kern w:val="0"/>
                      <w:sz w:val="21"/>
                      <w:szCs w:val="21"/>
                      <w:lang w:bidi="ar"/>
                    </w:rPr>
                    <w:t>）</w:t>
                  </w:r>
                </w:p>
              </w:tc>
              <w:tc>
                <w:tcPr>
                  <w:tcW w:w="1894" w:type="pct"/>
                  <w:tcBorders>
                    <w:tl2br w:val="nil"/>
                    <w:tr2bl w:val="nil"/>
                  </w:tcBorders>
                  <w:vAlign w:val="center"/>
                </w:tcPr>
                <w:p w14:paraId="108FDEC2"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1-2</w:t>
                  </w:r>
                </w:p>
              </w:tc>
            </w:tr>
            <w:tr w:rsidR="003C4F46" w14:paraId="2CB42C9F" w14:textId="77777777">
              <w:trPr>
                <w:trHeight w:val="307"/>
                <w:jc w:val="center"/>
              </w:trPr>
              <w:tc>
                <w:tcPr>
                  <w:tcW w:w="546" w:type="pct"/>
                  <w:tcBorders>
                    <w:tl2br w:val="nil"/>
                    <w:tr2bl w:val="nil"/>
                  </w:tcBorders>
                  <w:vAlign w:val="center"/>
                </w:tcPr>
                <w:p w14:paraId="09629FB1" w14:textId="77777777" w:rsidR="003C4F46" w:rsidRDefault="004B6A81">
                  <w:pPr>
                    <w:widowControl/>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p>
              </w:tc>
              <w:tc>
                <w:tcPr>
                  <w:tcW w:w="2558" w:type="pct"/>
                  <w:tcBorders>
                    <w:tl2br w:val="nil"/>
                    <w:tr2bl w:val="nil"/>
                  </w:tcBorders>
                  <w:vAlign w:val="center"/>
                </w:tcPr>
                <w:p w14:paraId="2794FF2D"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墙距宽度（</w:t>
                  </w:r>
                  <w:r>
                    <w:rPr>
                      <w:rFonts w:cs="Times New Roman" w:hint="eastAsia"/>
                      <w:kern w:val="0"/>
                      <w:sz w:val="21"/>
                      <w:szCs w:val="21"/>
                      <w:lang w:bidi="ar"/>
                    </w:rPr>
                    <w:t>m</w:t>
                  </w:r>
                  <w:r>
                    <w:rPr>
                      <w:rFonts w:cs="Times New Roman" w:hint="eastAsia"/>
                      <w:kern w:val="0"/>
                      <w:sz w:val="21"/>
                      <w:szCs w:val="21"/>
                      <w:lang w:bidi="ar"/>
                    </w:rPr>
                    <w:t>）</w:t>
                  </w:r>
                </w:p>
              </w:tc>
              <w:tc>
                <w:tcPr>
                  <w:tcW w:w="1894" w:type="pct"/>
                  <w:tcBorders>
                    <w:tl2br w:val="nil"/>
                    <w:tr2bl w:val="nil"/>
                  </w:tcBorders>
                  <w:vAlign w:val="center"/>
                </w:tcPr>
                <w:p w14:paraId="1A0E2BD4" w14:textId="77777777" w:rsidR="003C4F46" w:rsidRDefault="004B6A81">
                  <w:pPr>
                    <w:widowControl/>
                    <w:spacing w:line="240" w:lineRule="auto"/>
                    <w:ind w:firstLineChars="0" w:firstLine="0"/>
                    <w:jc w:val="center"/>
                    <w:textAlignment w:val="auto"/>
                    <w:rPr>
                      <w:rFonts w:cs="Times New Roman"/>
                      <w:kern w:val="0"/>
                      <w:sz w:val="21"/>
                      <w:szCs w:val="21"/>
                      <w:lang w:bidi="ar"/>
                    </w:rPr>
                  </w:pPr>
                  <w:r>
                    <w:rPr>
                      <w:rFonts w:cs="Times New Roman" w:hint="eastAsia"/>
                      <w:kern w:val="0"/>
                      <w:sz w:val="21"/>
                      <w:szCs w:val="21"/>
                      <w:lang w:bidi="ar"/>
                    </w:rPr>
                    <w:t>0.3-0.5</w:t>
                  </w:r>
                </w:p>
              </w:tc>
            </w:tr>
            <w:tr w:rsidR="003C4F46" w14:paraId="5B25A9F8" w14:textId="77777777">
              <w:trPr>
                <w:trHeight w:val="307"/>
                <w:jc w:val="center"/>
              </w:trPr>
              <w:tc>
                <w:tcPr>
                  <w:tcW w:w="5000" w:type="pct"/>
                  <w:gridSpan w:val="3"/>
                  <w:tcBorders>
                    <w:tl2br w:val="nil"/>
                    <w:tr2bl w:val="nil"/>
                  </w:tcBorders>
                  <w:vAlign w:val="center"/>
                </w:tcPr>
                <w:p w14:paraId="1720A9FA" w14:textId="3C7C2E7C" w:rsidR="003C4F46" w:rsidRDefault="004B6A81">
                  <w:pPr>
                    <w:spacing w:line="240" w:lineRule="auto"/>
                    <w:ind w:firstLineChars="0" w:firstLine="0"/>
                    <w:textAlignment w:val="auto"/>
                    <w:rPr>
                      <w:rFonts w:cs="Times New Roman"/>
                      <w:kern w:val="0"/>
                      <w:sz w:val="21"/>
                      <w:szCs w:val="21"/>
                      <w:lang w:bidi="ar"/>
                    </w:rPr>
                  </w:pPr>
                  <w:r>
                    <w:rPr>
                      <w:rFonts w:cs="Times New Roman"/>
                      <w:bCs/>
                      <w:sz w:val="18"/>
                      <w:szCs w:val="18"/>
                    </w:rPr>
                    <w:t>注：（</w:t>
                  </w:r>
                  <w:r>
                    <w:rPr>
                      <w:rFonts w:cs="Times New Roman"/>
                      <w:bCs/>
                      <w:sz w:val="18"/>
                      <w:szCs w:val="18"/>
                    </w:rPr>
                    <w:t>GB/T26493-2011</w:t>
                  </w:r>
                  <w:r>
                    <w:rPr>
                      <w:rFonts w:cs="Times New Roman"/>
                      <w:bCs/>
                      <w:sz w:val="18"/>
                      <w:szCs w:val="18"/>
                    </w:rPr>
                    <w:t>）中关于隔离贮存的定义为：</w:t>
                  </w:r>
                  <w:r w:rsidR="0072734D">
                    <w:rPr>
                      <w:rFonts w:cs="Times New Roman" w:hint="eastAsia"/>
                      <w:bCs/>
                      <w:sz w:val="18"/>
                      <w:szCs w:val="18"/>
                    </w:rPr>
                    <w:t>“</w:t>
                  </w:r>
                  <w:r>
                    <w:rPr>
                      <w:rFonts w:cs="Times New Roman"/>
                      <w:bCs/>
                      <w:sz w:val="18"/>
                      <w:szCs w:val="18"/>
                    </w:rPr>
                    <w:t>在同一房间或同一区域内，不同的物料之间分开一定距离用通道保持空间的贮存方式。</w:t>
                  </w:r>
                  <w:r w:rsidR="0072734D">
                    <w:rPr>
                      <w:rFonts w:cs="Times New Roman" w:hint="eastAsia"/>
                      <w:bCs/>
                      <w:sz w:val="18"/>
                      <w:szCs w:val="18"/>
                    </w:rPr>
                    <w:t>”</w:t>
                  </w:r>
                </w:p>
              </w:tc>
            </w:tr>
          </w:tbl>
          <w:p w14:paraId="4EF67A3E" w14:textId="0A246B75" w:rsidR="003C4F46" w:rsidRDefault="004B6A81">
            <w:pPr>
              <w:ind w:firstLineChars="0" w:firstLine="482"/>
              <w:textAlignment w:val="auto"/>
              <w:rPr>
                <w:rFonts w:cs="Times New Roman"/>
                <w:bCs/>
                <w:szCs w:val="24"/>
              </w:rPr>
            </w:pPr>
            <w:r>
              <w:rPr>
                <w:rFonts w:cs="Times New Roman"/>
                <w:bCs/>
                <w:szCs w:val="24"/>
              </w:rPr>
              <w:t>根据</w:t>
            </w:r>
            <w:r>
              <w:rPr>
                <w:rFonts w:cs="Times New Roman" w:hint="eastAsia"/>
                <w:bCs/>
                <w:szCs w:val="24"/>
              </w:rPr>
              <w:t>《电池废料贮运规范》</w:t>
            </w:r>
            <w:r>
              <w:rPr>
                <w:rFonts w:cs="Times New Roman"/>
                <w:bCs/>
                <w:szCs w:val="24"/>
              </w:rPr>
              <w:t>（</w:t>
            </w:r>
            <w:r>
              <w:rPr>
                <w:rFonts w:cs="Times New Roman"/>
                <w:bCs/>
                <w:szCs w:val="24"/>
              </w:rPr>
              <w:t>GB/T26493-2011</w:t>
            </w:r>
            <w:r>
              <w:rPr>
                <w:rFonts w:cs="Times New Roman"/>
                <w:bCs/>
                <w:szCs w:val="24"/>
              </w:rPr>
              <w:t>）隔离贮存平均单位面积的贮存量为</w:t>
            </w:r>
            <w:r>
              <w:rPr>
                <w:rFonts w:cs="Times New Roman"/>
                <w:bCs/>
                <w:szCs w:val="24"/>
              </w:rPr>
              <w:t>1.5~2.0t/m</w:t>
            </w:r>
            <w:r>
              <w:rPr>
                <w:rFonts w:cs="Times New Roman"/>
                <w:bCs/>
                <w:szCs w:val="24"/>
                <w:vertAlign w:val="superscript"/>
              </w:rPr>
              <w:t>2</w:t>
            </w:r>
            <w:r>
              <w:rPr>
                <w:rFonts w:cs="Times New Roman"/>
                <w:bCs/>
                <w:szCs w:val="24"/>
              </w:rPr>
              <w:t>，本环评取</w:t>
            </w:r>
            <w:r>
              <w:rPr>
                <w:rFonts w:cs="Times New Roman"/>
                <w:bCs/>
                <w:szCs w:val="24"/>
              </w:rPr>
              <w:t>1.5t/m</w:t>
            </w:r>
            <w:r>
              <w:rPr>
                <w:rFonts w:cs="Times New Roman"/>
                <w:bCs/>
                <w:szCs w:val="24"/>
                <w:vertAlign w:val="superscript"/>
              </w:rPr>
              <w:t>2</w:t>
            </w:r>
            <w:r>
              <w:rPr>
                <w:rFonts w:cs="Times New Roman"/>
                <w:bCs/>
                <w:szCs w:val="24"/>
              </w:rPr>
              <w:t>计，则贮存</w:t>
            </w:r>
            <w:r w:rsidR="00691223" w:rsidRPr="00691223">
              <w:rPr>
                <w:rFonts w:hint="eastAsia"/>
                <w:kern w:val="0"/>
                <w:lang w:bidi="ar"/>
              </w:rPr>
              <w:t>废铅蓄电池</w:t>
            </w:r>
            <w:r>
              <w:rPr>
                <w:rFonts w:cs="Times New Roman" w:hint="eastAsia"/>
                <w:bCs/>
                <w:szCs w:val="24"/>
              </w:rPr>
              <w:t>30</w:t>
            </w:r>
            <w:r>
              <w:rPr>
                <w:rFonts w:cs="Times New Roman"/>
                <w:bCs/>
                <w:szCs w:val="24"/>
              </w:rPr>
              <w:t>t</w:t>
            </w:r>
            <w:r>
              <w:rPr>
                <w:rFonts w:cs="Times New Roman"/>
                <w:bCs/>
                <w:szCs w:val="24"/>
              </w:rPr>
              <w:t>需占地面积</w:t>
            </w:r>
            <w:r w:rsidR="007258DB">
              <w:rPr>
                <w:rFonts w:cs="Times New Roman"/>
                <w:bCs/>
                <w:szCs w:val="24"/>
              </w:rPr>
              <w:t>2</w:t>
            </w:r>
            <w:r>
              <w:rPr>
                <w:rFonts w:cs="Times New Roman" w:hint="eastAsia"/>
                <w:bCs/>
                <w:szCs w:val="24"/>
              </w:rPr>
              <w:t>0</w:t>
            </w:r>
            <w:r>
              <w:rPr>
                <w:rFonts w:cs="Times New Roman"/>
                <w:bCs/>
                <w:szCs w:val="24"/>
              </w:rPr>
              <w:t>m</w:t>
            </w:r>
            <w:r>
              <w:rPr>
                <w:rFonts w:cs="Times New Roman"/>
                <w:bCs/>
                <w:szCs w:val="24"/>
                <w:vertAlign w:val="superscript"/>
              </w:rPr>
              <w:t>2</w:t>
            </w:r>
            <w:r>
              <w:rPr>
                <w:rFonts w:cs="Times New Roman" w:hint="eastAsia"/>
                <w:bCs/>
                <w:szCs w:val="24"/>
              </w:rPr>
              <w:t>，本项目设计贮存</w:t>
            </w:r>
            <w:r w:rsidR="00691223" w:rsidRPr="00691223">
              <w:rPr>
                <w:rFonts w:hint="eastAsia"/>
                <w:kern w:val="0"/>
                <w:lang w:bidi="ar"/>
              </w:rPr>
              <w:t>废铅蓄电池</w:t>
            </w:r>
            <w:r>
              <w:rPr>
                <w:rFonts w:cs="Times New Roman" w:hint="eastAsia"/>
                <w:bCs/>
                <w:szCs w:val="24"/>
              </w:rPr>
              <w:t>面积为</w:t>
            </w:r>
            <w:r>
              <w:rPr>
                <w:rFonts w:cs="Times New Roman"/>
                <w:bCs/>
                <w:szCs w:val="24"/>
              </w:rPr>
              <w:t>5</w:t>
            </w:r>
            <w:r>
              <w:rPr>
                <w:rFonts w:cs="Times New Roman" w:hint="eastAsia"/>
                <w:bCs/>
                <w:szCs w:val="24"/>
              </w:rPr>
              <w:t>0m</w:t>
            </w:r>
            <w:r>
              <w:rPr>
                <w:rFonts w:cs="Times New Roman" w:hint="eastAsia"/>
                <w:bCs/>
                <w:szCs w:val="24"/>
                <w:vertAlign w:val="superscript"/>
              </w:rPr>
              <w:t>2</w:t>
            </w:r>
            <w:r>
              <w:rPr>
                <w:rFonts w:cs="Times New Roman"/>
                <w:bCs/>
                <w:szCs w:val="24"/>
              </w:rPr>
              <w:t>。</w:t>
            </w:r>
          </w:p>
          <w:p w14:paraId="60BC6C9F" w14:textId="77777777" w:rsidR="003C4F46" w:rsidRDefault="004B6A81">
            <w:pPr>
              <w:ind w:firstLineChars="0" w:firstLine="482"/>
              <w:textAlignment w:val="auto"/>
              <w:rPr>
                <w:rFonts w:cs="Times New Roman"/>
                <w:bCs/>
                <w:szCs w:val="24"/>
              </w:rPr>
            </w:pPr>
            <w:r>
              <w:rPr>
                <w:rFonts w:cs="Times New Roman" w:hint="eastAsia"/>
                <w:bCs/>
                <w:szCs w:val="24"/>
              </w:rPr>
              <w:t>为确保本项目</w:t>
            </w:r>
            <w:r>
              <w:rPr>
                <w:rFonts w:cs="Times New Roman" w:hint="eastAsia"/>
                <w:bCs/>
                <w:szCs w:val="24"/>
              </w:rPr>
              <w:t>HW31</w:t>
            </w:r>
            <w:r>
              <w:rPr>
                <w:rFonts w:cs="Times New Roman" w:hint="eastAsia"/>
                <w:bCs/>
                <w:szCs w:val="24"/>
              </w:rPr>
              <w:t>废铅蓄电池库内实时最大贮存量严格控制在</w:t>
            </w:r>
            <w:r>
              <w:rPr>
                <w:rFonts w:cs="Times New Roman" w:hint="eastAsia"/>
                <w:bCs/>
                <w:szCs w:val="24"/>
              </w:rPr>
              <w:t>30</w:t>
            </w:r>
            <w:r>
              <w:rPr>
                <w:rFonts w:cs="Times New Roman" w:hint="eastAsia"/>
                <w:bCs/>
                <w:szCs w:val="24"/>
              </w:rPr>
              <w:t>吨以内，建设单位须建立并严格执行台账管理与超限转运机制。入库时逐批次记录废铅蓄电池的来源、重量、完好状态及入库时间等信息，每日对库内贮存量进行盘点统计，确保台账数据与实物一致。</w:t>
            </w:r>
          </w:p>
          <w:p w14:paraId="379FF045" w14:textId="77777777" w:rsidR="003C4F46" w:rsidRDefault="004B6A81">
            <w:pPr>
              <w:ind w:firstLineChars="0" w:firstLine="482"/>
              <w:textAlignment w:val="auto"/>
              <w:rPr>
                <w:rFonts w:cs="Times New Roman"/>
                <w:bCs/>
                <w:szCs w:val="24"/>
              </w:rPr>
            </w:pPr>
            <w:r>
              <w:rPr>
                <w:rFonts w:cs="Times New Roman" w:hint="eastAsia"/>
                <w:bCs/>
                <w:szCs w:val="24"/>
              </w:rPr>
              <w:t>当库存量达到</w:t>
            </w:r>
            <w:r>
              <w:rPr>
                <w:rFonts w:cs="Times New Roman" w:hint="eastAsia"/>
                <w:bCs/>
                <w:szCs w:val="24"/>
              </w:rPr>
              <w:t>24</w:t>
            </w:r>
            <w:r>
              <w:rPr>
                <w:rFonts w:cs="Times New Roman" w:hint="eastAsia"/>
                <w:bCs/>
                <w:szCs w:val="24"/>
              </w:rPr>
              <w:t>吨时即启动转运预警，提前联系有资质运输单位安排转运计划；当库存达到</w:t>
            </w:r>
            <w:r>
              <w:rPr>
                <w:rFonts w:cs="Times New Roman" w:hint="eastAsia"/>
                <w:bCs/>
                <w:szCs w:val="24"/>
              </w:rPr>
              <w:t>27</w:t>
            </w:r>
            <w:r>
              <w:rPr>
                <w:rFonts w:cs="Times New Roman" w:hint="eastAsia"/>
                <w:bCs/>
                <w:szCs w:val="24"/>
              </w:rPr>
              <w:t>吨时启动转运调度程序，确认运输车辆及接收单位档期；一旦库存达到</w:t>
            </w:r>
            <w:r>
              <w:rPr>
                <w:rFonts w:cs="Times New Roman" w:hint="eastAsia"/>
                <w:bCs/>
                <w:szCs w:val="24"/>
              </w:rPr>
              <w:t>30</w:t>
            </w:r>
            <w:r>
              <w:rPr>
                <w:rFonts w:cs="Times New Roman" w:hint="eastAsia"/>
                <w:bCs/>
                <w:szCs w:val="24"/>
              </w:rPr>
              <w:t>吨上限，须立即停止该类别废物的接收，并在</w:t>
            </w:r>
            <w:r>
              <w:rPr>
                <w:rFonts w:cs="Times New Roman" w:hint="eastAsia"/>
                <w:bCs/>
                <w:szCs w:val="24"/>
              </w:rPr>
              <w:t>24</w:t>
            </w:r>
            <w:r>
              <w:rPr>
                <w:rFonts w:cs="Times New Roman" w:hint="eastAsia"/>
                <w:bCs/>
                <w:szCs w:val="24"/>
              </w:rPr>
              <w:t>小时内启动紧急转运程序，将超限部分全部清运出库，确保库存降至安全水平。</w:t>
            </w:r>
          </w:p>
          <w:p w14:paraId="0DD15F1C" w14:textId="77777777" w:rsidR="003C4F46" w:rsidRDefault="004B6A81">
            <w:pPr>
              <w:ind w:firstLineChars="0" w:firstLine="482"/>
              <w:textAlignment w:val="auto"/>
              <w:rPr>
                <w:rFonts w:cs="Times New Roman"/>
                <w:bCs/>
                <w:szCs w:val="24"/>
              </w:rPr>
            </w:pPr>
            <w:r>
              <w:rPr>
                <w:rFonts w:cs="Times New Roman" w:hint="eastAsia"/>
                <w:bCs/>
                <w:szCs w:val="24"/>
              </w:rPr>
              <w:lastRenderedPageBreak/>
              <w:t>转运过程严格执行《危险废物转移管理办法》，通过国家危险废物信息管理系统运行电子转移联单，出库后及时更新台账并注销系统信息，实现“台账—实物—系统”三一致。相关台账及转移联单保存期限不少于</w:t>
            </w:r>
            <w:r>
              <w:rPr>
                <w:rFonts w:cs="Times New Roman" w:hint="eastAsia"/>
                <w:bCs/>
                <w:szCs w:val="24"/>
              </w:rPr>
              <w:t>10</w:t>
            </w:r>
            <w:r>
              <w:rPr>
                <w:rFonts w:cs="Times New Roman" w:hint="eastAsia"/>
                <w:bCs/>
                <w:szCs w:val="24"/>
              </w:rPr>
              <w:t>年。通过上述台账登记、分级预警、超限即转的管控体系，可确保本项目废铅蓄电池实时库内最大贮存量不超过</w:t>
            </w:r>
            <w:r>
              <w:rPr>
                <w:rFonts w:cs="Times New Roman" w:hint="eastAsia"/>
                <w:bCs/>
                <w:szCs w:val="24"/>
              </w:rPr>
              <w:t>30</w:t>
            </w:r>
            <w:r>
              <w:rPr>
                <w:rFonts w:cs="Times New Roman" w:hint="eastAsia"/>
                <w:bCs/>
                <w:szCs w:val="24"/>
              </w:rPr>
              <w:t>吨，满足《新疆维吾尔自治区废铅蓄电池收集贮存和转移管理规范（试行）》中“暂存点”的管控要求。</w:t>
            </w:r>
          </w:p>
          <w:p w14:paraId="343A790F" w14:textId="73923482" w:rsidR="003C4F46" w:rsidRDefault="004B6A81">
            <w:pPr>
              <w:ind w:firstLineChars="0" w:firstLine="482"/>
              <w:jc w:val="left"/>
              <w:textAlignment w:val="auto"/>
              <w:rPr>
                <w:rFonts w:cs="Times New Roman"/>
                <w:bCs/>
                <w:szCs w:val="24"/>
              </w:rPr>
            </w:pPr>
            <w:r>
              <w:rPr>
                <w:rFonts w:cs="Times New Roman"/>
                <w:bCs/>
                <w:szCs w:val="24"/>
              </w:rPr>
              <w:t>b</w:t>
            </w:r>
            <w:r>
              <w:rPr>
                <w:rFonts w:cs="Times New Roman"/>
                <w:bCs/>
                <w:szCs w:val="24"/>
              </w:rPr>
              <w:t>）</w:t>
            </w:r>
            <w:r w:rsidR="0091565B" w:rsidRPr="0091565B">
              <w:rPr>
                <w:rFonts w:cs="Times New Roman" w:hint="eastAsia"/>
                <w:bCs/>
                <w:szCs w:val="24"/>
              </w:rPr>
              <w:t>HW08</w:t>
            </w:r>
            <w:r w:rsidR="0091565B" w:rsidRPr="0091565B">
              <w:rPr>
                <w:rFonts w:cs="Times New Roman" w:hint="eastAsia"/>
                <w:bCs/>
                <w:szCs w:val="24"/>
              </w:rPr>
              <w:t>废润滑油及</w:t>
            </w:r>
            <w:r w:rsidR="0091565B" w:rsidRPr="0091565B">
              <w:rPr>
                <w:rFonts w:cs="Times New Roman" w:hint="eastAsia"/>
                <w:bCs/>
                <w:szCs w:val="24"/>
              </w:rPr>
              <w:t>HW09</w:t>
            </w:r>
            <w:r w:rsidR="0091565B" w:rsidRPr="0091565B">
              <w:rPr>
                <w:rFonts w:cs="Times New Roman" w:hint="eastAsia"/>
                <w:bCs/>
                <w:szCs w:val="24"/>
              </w:rPr>
              <w:t>油</w:t>
            </w:r>
            <w:r w:rsidR="0091565B" w:rsidRPr="0091565B">
              <w:rPr>
                <w:rFonts w:cs="Times New Roman" w:hint="eastAsia"/>
                <w:bCs/>
                <w:szCs w:val="24"/>
              </w:rPr>
              <w:t>/</w:t>
            </w:r>
            <w:r w:rsidR="0091565B" w:rsidRPr="0091565B">
              <w:rPr>
                <w:rFonts w:cs="Times New Roman" w:hint="eastAsia"/>
                <w:bCs/>
                <w:szCs w:val="24"/>
              </w:rPr>
              <w:t>水、烃</w:t>
            </w:r>
            <w:r w:rsidR="0091565B" w:rsidRPr="0091565B">
              <w:rPr>
                <w:rFonts w:cs="Times New Roman" w:hint="eastAsia"/>
                <w:bCs/>
                <w:szCs w:val="24"/>
              </w:rPr>
              <w:t>/</w:t>
            </w:r>
            <w:r w:rsidR="0091565B" w:rsidRPr="0091565B">
              <w:rPr>
                <w:rFonts w:cs="Times New Roman" w:hint="eastAsia"/>
                <w:bCs/>
                <w:szCs w:val="24"/>
              </w:rPr>
              <w:t>水混合物或乳化液贮存分析</w:t>
            </w:r>
          </w:p>
          <w:p w14:paraId="1173510A" w14:textId="31F8A2F6" w:rsidR="00F612B9" w:rsidRPr="0091565B" w:rsidRDefault="00E058AC" w:rsidP="0091565B">
            <w:pPr>
              <w:ind w:firstLine="480"/>
              <w:rPr>
                <w:rFonts w:cs="Times New Roman"/>
                <w:szCs w:val="24"/>
              </w:rPr>
            </w:pPr>
            <w:r w:rsidRPr="00E058AC">
              <w:rPr>
                <w:rFonts w:cs="Times New Roman" w:hint="eastAsia"/>
                <w:szCs w:val="24"/>
              </w:rPr>
              <w:t>根据《危险废物贮存污染控制标准》（</w:t>
            </w:r>
            <w:r w:rsidRPr="00E058AC">
              <w:rPr>
                <w:rFonts w:cs="Times New Roman"/>
                <w:szCs w:val="24"/>
              </w:rPr>
              <w:t>GB18597-2023</w:t>
            </w:r>
            <w:r w:rsidRPr="00E058AC">
              <w:rPr>
                <w:rFonts w:cs="Times New Roman" w:hint="eastAsia"/>
                <w:szCs w:val="24"/>
              </w:rPr>
              <w:t>）中贮存罐区的相关要求，</w:t>
            </w:r>
            <w:r w:rsidR="0091565B" w:rsidRPr="00E058AC">
              <w:rPr>
                <w:rFonts w:cs="Times New Roman" w:hint="eastAsia"/>
                <w:szCs w:val="24"/>
              </w:rPr>
              <w:t>本项目已建设</w:t>
            </w:r>
            <w:r w:rsidR="0091565B" w:rsidRPr="0091565B">
              <w:rPr>
                <w:rFonts w:cs="Times New Roman" w:hint="eastAsia"/>
                <w:szCs w:val="24"/>
              </w:rPr>
              <w:t>4</w:t>
            </w:r>
            <w:r w:rsidR="0091565B" w:rsidRPr="0091565B">
              <w:rPr>
                <w:rFonts w:cs="Times New Roman" w:hint="eastAsia"/>
                <w:szCs w:val="24"/>
              </w:rPr>
              <w:t>座</w:t>
            </w:r>
            <w:r w:rsidR="0091565B" w:rsidRPr="0091565B">
              <w:rPr>
                <w:rFonts w:cs="Times New Roman" w:hint="eastAsia"/>
                <w:szCs w:val="24"/>
              </w:rPr>
              <w:t>600m</w:t>
            </w:r>
            <w:r w:rsidR="0091565B" w:rsidRPr="0091565B">
              <w:rPr>
                <w:rFonts w:cs="Times New Roman" w:hint="eastAsia"/>
                <w:szCs w:val="24"/>
              </w:rPr>
              <w:t>³立式碳钢</w:t>
            </w:r>
            <w:r w:rsidR="00691223" w:rsidRPr="00691223">
              <w:rPr>
                <w:rFonts w:cs="Times New Roman" w:hint="eastAsia"/>
                <w:szCs w:val="24"/>
              </w:rPr>
              <w:t>固定顶</w:t>
            </w:r>
            <w:r w:rsidR="0091565B" w:rsidRPr="0091565B">
              <w:rPr>
                <w:rFonts w:cs="Times New Roman" w:hint="eastAsia"/>
                <w:szCs w:val="24"/>
              </w:rPr>
              <w:t>储罐，其中</w:t>
            </w:r>
            <w:r w:rsidR="0091565B" w:rsidRPr="0091565B">
              <w:rPr>
                <w:rFonts w:cs="Times New Roman" w:hint="eastAsia"/>
                <w:szCs w:val="24"/>
              </w:rPr>
              <w:t>3</w:t>
            </w:r>
            <w:r w:rsidR="0091565B" w:rsidRPr="0091565B">
              <w:rPr>
                <w:rFonts w:cs="Times New Roman" w:hint="eastAsia"/>
                <w:szCs w:val="24"/>
              </w:rPr>
              <w:t>座用于贮存</w:t>
            </w:r>
            <w:r w:rsidR="0091565B" w:rsidRPr="0091565B">
              <w:rPr>
                <w:rFonts w:cs="Times New Roman" w:hint="eastAsia"/>
                <w:szCs w:val="24"/>
              </w:rPr>
              <w:t>HW08</w:t>
            </w:r>
            <w:r w:rsidR="0091565B" w:rsidRPr="0091565B">
              <w:rPr>
                <w:rFonts w:cs="Times New Roman" w:hint="eastAsia"/>
                <w:szCs w:val="24"/>
              </w:rPr>
              <w:t>，</w:t>
            </w:r>
            <w:r w:rsidR="0091565B" w:rsidRPr="0091565B">
              <w:rPr>
                <w:rFonts w:cs="Times New Roman" w:hint="eastAsia"/>
                <w:szCs w:val="24"/>
              </w:rPr>
              <w:t>1</w:t>
            </w:r>
            <w:r w:rsidR="0091565B" w:rsidRPr="0091565B">
              <w:rPr>
                <w:rFonts w:cs="Times New Roman" w:hint="eastAsia"/>
                <w:szCs w:val="24"/>
              </w:rPr>
              <w:t>座用于贮存</w:t>
            </w:r>
            <w:r w:rsidR="0091565B" w:rsidRPr="0091565B">
              <w:rPr>
                <w:rFonts w:cs="Times New Roman" w:hint="eastAsia"/>
                <w:szCs w:val="24"/>
              </w:rPr>
              <w:t>HW09</w:t>
            </w:r>
            <w:r w:rsidRPr="00E058AC">
              <w:rPr>
                <w:rFonts w:cs="Times New Roman" w:hint="eastAsia"/>
                <w:szCs w:val="24"/>
              </w:rPr>
              <w:t>。罐区四周设置围堰（防火堤），围堰净尺寸为</w:t>
            </w:r>
            <w:r w:rsidRPr="00E058AC">
              <w:rPr>
                <w:rFonts w:cs="Times New Roman"/>
                <w:szCs w:val="24"/>
              </w:rPr>
              <w:t>54m×34m×1.2m</w:t>
            </w:r>
            <w:r w:rsidRPr="00E058AC">
              <w:rPr>
                <w:rFonts w:cs="Times New Roman" w:hint="eastAsia"/>
                <w:szCs w:val="24"/>
              </w:rPr>
              <w:t>，有效容积约为</w:t>
            </w:r>
            <w:r w:rsidRPr="00E058AC">
              <w:rPr>
                <w:rFonts w:cs="Times New Roman"/>
                <w:szCs w:val="24"/>
              </w:rPr>
              <w:t>2203.2m³</w:t>
            </w:r>
            <w:r w:rsidRPr="00E058AC">
              <w:rPr>
                <w:rFonts w:cs="Times New Roman" w:hint="eastAsia"/>
                <w:szCs w:val="24"/>
              </w:rPr>
              <w:t>，大于最大单罐容积</w:t>
            </w:r>
            <w:r w:rsidRPr="00E058AC">
              <w:rPr>
                <w:rFonts w:cs="Times New Roman"/>
                <w:szCs w:val="24"/>
              </w:rPr>
              <w:t>600m³</w:t>
            </w:r>
            <w:r w:rsidRPr="00E058AC">
              <w:rPr>
                <w:rFonts w:cs="Times New Roman" w:hint="eastAsia"/>
                <w:szCs w:val="24"/>
              </w:rPr>
              <w:t>，满足</w:t>
            </w:r>
            <w:r w:rsidRPr="00E058AC">
              <w:rPr>
                <w:rFonts w:cs="Times New Roman"/>
                <w:szCs w:val="24"/>
              </w:rPr>
              <w:t>GB18597-2023</w:t>
            </w:r>
            <w:r w:rsidRPr="00E058AC">
              <w:rPr>
                <w:rFonts w:cs="Times New Roman" w:hint="eastAsia"/>
                <w:szCs w:val="24"/>
              </w:rPr>
              <w:t>中“围堰容积不小于罐区内最大单罐容积”的要求。</w:t>
            </w:r>
            <w:r w:rsidR="00FA4D64" w:rsidRPr="00FA4D64">
              <w:rPr>
                <w:rFonts w:cs="Times New Roman" w:hint="eastAsia"/>
                <w:szCs w:val="24"/>
              </w:rPr>
              <w:t>围堰内地面及围堰壁进行重点防渗</w:t>
            </w:r>
            <w:r w:rsidRPr="00E058AC">
              <w:rPr>
                <w:rFonts w:cs="Times New Roman" w:hint="eastAsia"/>
                <w:szCs w:val="24"/>
              </w:rPr>
              <w:t>，渗透系数≤</w:t>
            </w:r>
            <w:r w:rsidRPr="00E058AC">
              <w:rPr>
                <w:rFonts w:cs="Times New Roman"/>
                <w:szCs w:val="24"/>
              </w:rPr>
              <w:t>1.0×10⁻¹⁰cm/s</w:t>
            </w:r>
            <w:r w:rsidRPr="00E058AC">
              <w:rPr>
                <w:rFonts w:cs="Times New Roman" w:hint="eastAsia"/>
                <w:szCs w:val="24"/>
              </w:rPr>
              <w:t>，表面涂刷环氧树脂防腐层，防渗材料与废矿物油相容。围堰内设置废液收集导流槽，泄漏废液经导流管道接入厂区现有事故池（</w:t>
            </w:r>
            <w:r w:rsidRPr="00E058AC">
              <w:rPr>
                <w:rFonts w:cs="Times New Roman" w:hint="eastAsia"/>
                <w:szCs w:val="24"/>
              </w:rPr>
              <w:t>800m</w:t>
            </w:r>
            <w:r w:rsidRPr="00E058AC">
              <w:rPr>
                <w:rFonts w:cs="Times New Roman" w:hint="eastAsia"/>
                <w:szCs w:val="24"/>
              </w:rPr>
              <w:t>³）</w:t>
            </w:r>
            <w:r>
              <w:rPr>
                <w:rFonts w:cs="Times New Roman" w:hint="eastAsia"/>
                <w:szCs w:val="24"/>
              </w:rPr>
              <w:t>。</w:t>
            </w:r>
            <w:r w:rsidR="00F612B9" w:rsidRPr="00323940">
              <w:rPr>
                <w:rFonts w:hint="eastAsia"/>
              </w:rPr>
              <w:t>储罐采用呼吸阀挡板、气相连通、浸没装车、密闭装车等措施，并涂刷白色防腐</w:t>
            </w:r>
            <w:r w:rsidR="00F612B9" w:rsidRPr="007258DB">
              <w:rPr>
                <w:rFonts w:cs="Times New Roman" w:hint="eastAsia"/>
                <w:szCs w:val="24"/>
              </w:rPr>
              <w:t>涂料。</w:t>
            </w:r>
          </w:p>
          <w:p w14:paraId="0B0FAD55" w14:textId="25012C65" w:rsidR="00E058AC" w:rsidRDefault="00E058AC" w:rsidP="007258DB">
            <w:pPr>
              <w:ind w:firstLine="480"/>
              <w:rPr>
                <w:rFonts w:cs="Times New Roman"/>
                <w:szCs w:val="24"/>
              </w:rPr>
            </w:pPr>
            <w:r w:rsidRPr="007258DB">
              <w:rPr>
                <w:rFonts w:cs="Times New Roman"/>
                <w:szCs w:val="24"/>
              </w:rPr>
              <w:t>罐区已配备消防器材、火灾报警装置、</w:t>
            </w:r>
            <w:r w:rsidR="007258DB" w:rsidRPr="007258DB">
              <w:rPr>
                <w:rFonts w:cs="Times New Roman"/>
                <w:szCs w:val="24"/>
              </w:rPr>
              <w:t>可燃气体报警装置等</w:t>
            </w:r>
            <w:r w:rsidRPr="007258DB">
              <w:rPr>
                <w:rFonts w:cs="Times New Roman"/>
                <w:szCs w:val="24"/>
              </w:rPr>
              <w:t>；罐区视频监控摄像头设置在罐区外围非防爆区域，对罐区出入口及罐体周边进行全天候监控。罐区严禁明火，已设置防火警示标志。</w:t>
            </w:r>
          </w:p>
          <w:p w14:paraId="0281E5CF" w14:textId="24187175" w:rsidR="00E058AC" w:rsidRPr="00E058AC" w:rsidRDefault="00E058AC" w:rsidP="00E058AC">
            <w:pPr>
              <w:ind w:firstLineChars="0" w:firstLine="482"/>
              <w:textAlignment w:val="auto"/>
              <w:rPr>
                <w:rFonts w:cs="Times New Roman"/>
                <w:szCs w:val="24"/>
              </w:rPr>
            </w:pPr>
            <w:r w:rsidRPr="00E058AC">
              <w:rPr>
                <w:rFonts w:cs="Times New Roman" w:hint="eastAsia"/>
                <w:szCs w:val="24"/>
              </w:rPr>
              <w:t>建设单位应定期对围堰、导流槽及防渗层进行巡检维护，发现破损及时修复；保持事故池处于空置状态，确保泄漏事故状态下有足够容量接纳泄漏废液。</w:t>
            </w:r>
          </w:p>
          <w:p w14:paraId="1F09DB44" w14:textId="77777777" w:rsidR="003C4F46" w:rsidRDefault="004B6A81">
            <w:pPr>
              <w:ind w:firstLineChars="0" w:firstLine="482"/>
              <w:jc w:val="left"/>
              <w:textAlignment w:val="auto"/>
              <w:rPr>
                <w:rFonts w:cs="Times New Roman"/>
                <w:bCs/>
                <w:szCs w:val="24"/>
              </w:rPr>
            </w:pPr>
            <w:r>
              <w:rPr>
                <w:rFonts w:cs="Times New Roman"/>
                <w:bCs/>
                <w:szCs w:val="24"/>
              </w:rPr>
              <w:t>c</w:t>
            </w:r>
            <w:r>
              <w:rPr>
                <w:rFonts w:cs="Times New Roman"/>
                <w:bCs/>
                <w:szCs w:val="24"/>
              </w:rPr>
              <w:t>）转运周期</w:t>
            </w:r>
          </w:p>
          <w:p w14:paraId="582D933F" w14:textId="0449A52C" w:rsidR="003C4F46" w:rsidRDefault="002F2799" w:rsidP="00631C00">
            <w:pPr>
              <w:ind w:firstLine="480"/>
              <w:textAlignment w:val="auto"/>
              <w:rPr>
                <w:rFonts w:cs="Times New Roman"/>
                <w:color w:val="000000"/>
                <w:kern w:val="0"/>
                <w:szCs w:val="24"/>
              </w:rPr>
            </w:pPr>
            <w:r w:rsidRPr="002F2799">
              <w:rPr>
                <w:rFonts w:cs="Times New Roman" w:hint="eastAsia"/>
                <w:color w:val="000000"/>
                <w:kern w:val="0"/>
                <w:szCs w:val="24"/>
              </w:rPr>
              <w:t>本项目</w:t>
            </w:r>
            <w:r w:rsidRPr="002F2799">
              <w:rPr>
                <w:rFonts w:cs="Times New Roman" w:hint="eastAsia"/>
                <w:color w:val="000000"/>
                <w:kern w:val="0"/>
                <w:szCs w:val="24"/>
              </w:rPr>
              <w:t>HW08</w:t>
            </w:r>
            <w:r w:rsidRPr="002F2799">
              <w:rPr>
                <w:rFonts w:cs="Times New Roman" w:hint="eastAsia"/>
                <w:color w:val="000000"/>
                <w:kern w:val="0"/>
                <w:szCs w:val="24"/>
              </w:rPr>
              <w:t>废矿物油与含矿物油废物年收贮量为</w:t>
            </w:r>
            <w:r w:rsidRPr="002F2799">
              <w:rPr>
                <w:rFonts w:cs="Times New Roman" w:hint="eastAsia"/>
                <w:color w:val="000000"/>
                <w:kern w:val="0"/>
                <w:szCs w:val="24"/>
              </w:rPr>
              <w:t>2400</w:t>
            </w:r>
            <w:r w:rsidRPr="002F2799">
              <w:rPr>
                <w:rFonts w:cs="Times New Roman" w:hint="eastAsia"/>
                <w:color w:val="000000"/>
                <w:kern w:val="0"/>
                <w:szCs w:val="24"/>
              </w:rPr>
              <w:t>吨，</w:t>
            </w:r>
            <w:r w:rsidRPr="002F2799">
              <w:rPr>
                <w:rFonts w:cs="Times New Roman" w:hint="eastAsia"/>
                <w:color w:val="000000"/>
                <w:kern w:val="0"/>
                <w:szCs w:val="24"/>
              </w:rPr>
              <w:t>HW09</w:t>
            </w:r>
            <w:r w:rsidRPr="002F2799">
              <w:rPr>
                <w:rFonts w:cs="Times New Roman" w:hint="eastAsia"/>
                <w:color w:val="000000"/>
                <w:kern w:val="0"/>
                <w:szCs w:val="24"/>
              </w:rPr>
              <w:t>油</w:t>
            </w:r>
            <w:r w:rsidRPr="002F2799">
              <w:rPr>
                <w:rFonts w:cs="Times New Roman" w:hint="eastAsia"/>
                <w:color w:val="000000"/>
                <w:kern w:val="0"/>
                <w:szCs w:val="24"/>
              </w:rPr>
              <w:t>/</w:t>
            </w:r>
            <w:r w:rsidRPr="002F2799">
              <w:rPr>
                <w:rFonts w:cs="Times New Roman" w:hint="eastAsia"/>
                <w:color w:val="000000"/>
                <w:kern w:val="0"/>
                <w:szCs w:val="24"/>
              </w:rPr>
              <w:t>水、烃</w:t>
            </w:r>
            <w:r w:rsidRPr="002F2799">
              <w:rPr>
                <w:rFonts w:cs="Times New Roman" w:hint="eastAsia"/>
                <w:color w:val="000000"/>
                <w:kern w:val="0"/>
                <w:szCs w:val="24"/>
              </w:rPr>
              <w:t>/</w:t>
            </w:r>
            <w:r w:rsidRPr="002F2799">
              <w:rPr>
                <w:rFonts w:cs="Times New Roman" w:hint="eastAsia"/>
                <w:color w:val="000000"/>
                <w:kern w:val="0"/>
                <w:szCs w:val="24"/>
              </w:rPr>
              <w:t>水混合物或乳化液年收贮量为</w:t>
            </w:r>
            <w:r w:rsidRPr="002F2799">
              <w:rPr>
                <w:rFonts w:cs="Times New Roman" w:hint="eastAsia"/>
                <w:color w:val="000000"/>
                <w:kern w:val="0"/>
                <w:szCs w:val="24"/>
              </w:rPr>
              <w:t>600</w:t>
            </w:r>
            <w:r w:rsidRPr="002F2799">
              <w:rPr>
                <w:rFonts w:cs="Times New Roman" w:hint="eastAsia"/>
                <w:color w:val="000000"/>
                <w:kern w:val="0"/>
                <w:szCs w:val="24"/>
              </w:rPr>
              <w:t>吨，厂区设</w:t>
            </w:r>
            <w:r w:rsidRPr="002F2799">
              <w:rPr>
                <w:rFonts w:cs="Times New Roman" w:hint="eastAsia"/>
                <w:color w:val="000000"/>
                <w:kern w:val="0"/>
                <w:szCs w:val="24"/>
              </w:rPr>
              <w:t>4</w:t>
            </w:r>
            <w:r w:rsidRPr="002F2799">
              <w:rPr>
                <w:rFonts w:cs="Times New Roman" w:hint="eastAsia"/>
                <w:color w:val="000000"/>
                <w:kern w:val="0"/>
                <w:szCs w:val="24"/>
              </w:rPr>
              <w:t>座</w:t>
            </w:r>
            <w:r w:rsidRPr="002F2799">
              <w:rPr>
                <w:rFonts w:cs="Times New Roman" w:hint="eastAsia"/>
                <w:color w:val="000000"/>
                <w:kern w:val="0"/>
                <w:szCs w:val="24"/>
              </w:rPr>
              <w:t>600m</w:t>
            </w:r>
            <w:r w:rsidRPr="002F2799">
              <w:rPr>
                <w:rFonts w:cs="Times New Roman" w:hint="eastAsia"/>
                <w:color w:val="000000"/>
                <w:kern w:val="0"/>
                <w:szCs w:val="24"/>
              </w:rPr>
              <w:t>³储罐，其中</w:t>
            </w:r>
            <w:r w:rsidRPr="002F2799">
              <w:rPr>
                <w:rFonts w:cs="Times New Roman" w:hint="eastAsia"/>
                <w:color w:val="000000"/>
                <w:kern w:val="0"/>
                <w:szCs w:val="24"/>
              </w:rPr>
              <w:t>3</w:t>
            </w:r>
            <w:r w:rsidRPr="002F2799">
              <w:rPr>
                <w:rFonts w:cs="Times New Roman" w:hint="eastAsia"/>
                <w:color w:val="000000"/>
                <w:kern w:val="0"/>
                <w:szCs w:val="24"/>
              </w:rPr>
              <w:t>座用于贮存</w:t>
            </w:r>
            <w:r w:rsidRPr="002F2799">
              <w:rPr>
                <w:rFonts w:cs="Times New Roman" w:hint="eastAsia"/>
                <w:color w:val="000000"/>
                <w:kern w:val="0"/>
                <w:szCs w:val="24"/>
              </w:rPr>
              <w:t>HW08</w:t>
            </w:r>
            <w:r w:rsidRPr="002F2799">
              <w:rPr>
                <w:rFonts w:cs="Times New Roman" w:hint="eastAsia"/>
                <w:color w:val="000000"/>
                <w:kern w:val="0"/>
                <w:szCs w:val="24"/>
              </w:rPr>
              <w:t>，</w:t>
            </w:r>
            <w:r w:rsidRPr="002F2799">
              <w:rPr>
                <w:rFonts w:cs="Times New Roman" w:hint="eastAsia"/>
                <w:color w:val="000000"/>
                <w:kern w:val="0"/>
                <w:szCs w:val="24"/>
              </w:rPr>
              <w:t>1</w:t>
            </w:r>
            <w:r w:rsidRPr="002F2799">
              <w:rPr>
                <w:rFonts w:cs="Times New Roman" w:hint="eastAsia"/>
                <w:color w:val="000000"/>
                <w:kern w:val="0"/>
                <w:szCs w:val="24"/>
              </w:rPr>
              <w:t>座用于贮存</w:t>
            </w:r>
            <w:r w:rsidRPr="002F2799">
              <w:rPr>
                <w:rFonts w:cs="Times New Roman" w:hint="eastAsia"/>
                <w:color w:val="000000"/>
                <w:kern w:val="0"/>
                <w:szCs w:val="24"/>
              </w:rPr>
              <w:t>HW09</w:t>
            </w:r>
            <w:r w:rsidRPr="002F2799">
              <w:rPr>
                <w:rFonts w:cs="Times New Roman" w:hint="eastAsia"/>
                <w:color w:val="000000"/>
                <w:kern w:val="0"/>
                <w:szCs w:val="24"/>
              </w:rPr>
              <w:t>。</w:t>
            </w:r>
            <w:r w:rsidRPr="002F2799">
              <w:rPr>
                <w:rFonts w:cs="Times New Roman" w:hint="eastAsia"/>
                <w:color w:val="000000"/>
                <w:kern w:val="0"/>
                <w:szCs w:val="24"/>
              </w:rPr>
              <w:t>HW08</w:t>
            </w:r>
            <w:r w:rsidRPr="002F2799">
              <w:rPr>
                <w:rFonts w:cs="Times New Roman" w:hint="eastAsia"/>
                <w:color w:val="000000"/>
                <w:kern w:val="0"/>
                <w:szCs w:val="24"/>
              </w:rPr>
              <w:t>单次最大贮存量约</w:t>
            </w:r>
            <w:r w:rsidRPr="002F2799">
              <w:rPr>
                <w:rFonts w:cs="Times New Roman" w:hint="eastAsia"/>
                <w:color w:val="000000"/>
                <w:kern w:val="0"/>
                <w:szCs w:val="24"/>
              </w:rPr>
              <w:t>1377</w:t>
            </w:r>
            <w:r w:rsidRPr="002F2799">
              <w:rPr>
                <w:rFonts w:cs="Times New Roman" w:hint="eastAsia"/>
                <w:color w:val="000000"/>
                <w:kern w:val="0"/>
                <w:szCs w:val="24"/>
              </w:rPr>
              <w:t>吨，</w:t>
            </w:r>
            <w:r w:rsidRPr="002F2799">
              <w:rPr>
                <w:rFonts w:cs="Times New Roman" w:hint="eastAsia"/>
                <w:color w:val="000000"/>
                <w:kern w:val="0"/>
                <w:szCs w:val="24"/>
              </w:rPr>
              <w:t>HW09</w:t>
            </w:r>
            <w:r w:rsidRPr="002F2799">
              <w:rPr>
                <w:rFonts w:cs="Times New Roman" w:hint="eastAsia"/>
                <w:color w:val="000000"/>
                <w:kern w:val="0"/>
                <w:szCs w:val="24"/>
              </w:rPr>
              <w:t>单次最大贮存量约</w:t>
            </w:r>
            <w:r w:rsidRPr="002F2799">
              <w:rPr>
                <w:rFonts w:cs="Times New Roman" w:hint="eastAsia"/>
                <w:color w:val="000000"/>
                <w:kern w:val="0"/>
                <w:szCs w:val="24"/>
              </w:rPr>
              <w:t>540</w:t>
            </w:r>
            <w:r w:rsidRPr="002F2799">
              <w:rPr>
                <w:rFonts w:cs="Times New Roman" w:hint="eastAsia"/>
                <w:color w:val="000000"/>
                <w:kern w:val="0"/>
                <w:szCs w:val="24"/>
              </w:rPr>
              <w:t>吨。上述废物年周转均约</w:t>
            </w:r>
            <w:r w:rsidRPr="002F2799">
              <w:rPr>
                <w:rFonts w:cs="Times New Roman" w:hint="eastAsia"/>
                <w:color w:val="000000"/>
                <w:kern w:val="0"/>
                <w:szCs w:val="24"/>
              </w:rPr>
              <w:t>2</w:t>
            </w:r>
            <w:r w:rsidRPr="002F2799">
              <w:rPr>
                <w:rFonts w:cs="Times New Roman" w:hint="eastAsia"/>
                <w:color w:val="000000"/>
                <w:kern w:val="0"/>
                <w:szCs w:val="24"/>
              </w:rPr>
              <w:t>次，转运周期约</w:t>
            </w:r>
            <w:r w:rsidRPr="002F2799">
              <w:rPr>
                <w:rFonts w:cs="Times New Roman" w:hint="eastAsia"/>
                <w:color w:val="000000"/>
                <w:kern w:val="0"/>
                <w:szCs w:val="24"/>
              </w:rPr>
              <w:t>183</w:t>
            </w:r>
            <w:r w:rsidRPr="002F2799">
              <w:rPr>
                <w:rFonts w:cs="Times New Roman" w:hint="eastAsia"/>
                <w:color w:val="000000"/>
                <w:kern w:val="0"/>
                <w:szCs w:val="24"/>
              </w:rPr>
              <w:t>天（约</w:t>
            </w:r>
            <w:r w:rsidRPr="002F2799">
              <w:rPr>
                <w:rFonts w:cs="Times New Roman" w:hint="eastAsia"/>
                <w:color w:val="000000"/>
                <w:kern w:val="0"/>
                <w:szCs w:val="24"/>
              </w:rPr>
              <w:t>6</w:t>
            </w:r>
            <w:r w:rsidRPr="002F2799">
              <w:rPr>
                <w:rFonts w:cs="Times New Roman" w:hint="eastAsia"/>
                <w:color w:val="000000"/>
                <w:kern w:val="0"/>
                <w:szCs w:val="24"/>
              </w:rPr>
              <w:t>个月）。按年周转</w:t>
            </w:r>
            <w:r w:rsidRPr="002F2799">
              <w:rPr>
                <w:rFonts w:cs="Times New Roman" w:hint="eastAsia"/>
                <w:color w:val="000000"/>
                <w:kern w:val="0"/>
                <w:szCs w:val="24"/>
              </w:rPr>
              <w:t>2</w:t>
            </w:r>
            <w:r w:rsidRPr="002F2799">
              <w:rPr>
                <w:rFonts w:cs="Times New Roman" w:hint="eastAsia"/>
                <w:color w:val="000000"/>
                <w:kern w:val="0"/>
                <w:szCs w:val="24"/>
              </w:rPr>
              <w:t>次计，</w:t>
            </w:r>
            <w:r w:rsidRPr="002F2799">
              <w:rPr>
                <w:rFonts w:cs="Times New Roman" w:hint="eastAsia"/>
                <w:color w:val="000000"/>
                <w:kern w:val="0"/>
                <w:szCs w:val="24"/>
              </w:rPr>
              <w:t>HW08</w:t>
            </w:r>
            <w:r w:rsidRPr="002F2799">
              <w:rPr>
                <w:rFonts w:cs="Times New Roman" w:hint="eastAsia"/>
                <w:color w:val="000000"/>
                <w:kern w:val="0"/>
                <w:szCs w:val="24"/>
              </w:rPr>
              <w:t>单次转运量约</w:t>
            </w:r>
            <w:r w:rsidRPr="002F2799">
              <w:rPr>
                <w:rFonts w:cs="Times New Roman" w:hint="eastAsia"/>
                <w:color w:val="000000"/>
                <w:kern w:val="0"/>
                <w:szCs w:val="24"/>
              </w:rPr>
              <w:t>1200</w:t>
            </w:r>
            <w:r w:rsidRPr="002F2799">
              <w:rPr>
                <w:rFonts w:cs="Times New Roman" w:hint="eastAsia"/>
                <w:color w:val="000000"/>
                <w:kern w:val="0"/>
                <w:szCs w:val="24"/>
              </w:rPr>
              <w:t>吨，</w:t>
            </w:r>
            <w:r w:rsidRPr="002F2799">
              <w:rPr>
                <w:rFonts w:cs="Times New Roman" w:hint="eastAsia"/>
                <w:color w:val="000000"/>
                <w:kern w:val="0"/>
                <w:szCs w:val="24"/>
              </w:rPr>
              <w:t>HW09</w:t>
            </w:r>
            <w:r w:rsidRPr="002F2799">
              <w:rPr>
                <w:rFonts w:cs="Times New Roman" w:hint="eastAsia"/>
                <w:color w:val="000000"/>
                <w:kern w:val="0"/>
                <w:szCs w:val="24"/>
              </w:rPr>
              <w:t>单次转运量约</w:t>
            </w:r>
            <w:r w:rsidRPr="002F2799">
              <w:rPr>
                <w:rFonts w:cs="Times New Roman" w:hint="eastAsia"/>
                <w:color w:val="000000"/>
                <w:kern w:val="0"/>
                <w:szCs w:val="24"/>
              </w:rPr>
              <w:t>300</w:t>
            </w:r>
            <w:r w:rsidRPr="002F2799">
              <w:rPr>
                <w:rFonts w:cs="Times New Roman" w:hint="eastAsia"/>
                <w:color w:val="000000"/>
                <w:kern w:val="0"/>
                <w:szCs w:val="24"/>
              </w:rPr>
              <w:t>吨，均不超过单次最大贮存量</w:t>
            </w:r>
            <w:r w:rsidR="00631C00">
              <w:rPr>
                <w:rFonts w:cs="Times New Roman" w:hint="eastAsia"/>
                <w:color w:val="000000"/>
                <w:kern w:val="0"/>
                <w:szCs w:val="24"/>
              </w:rPr>
              <w:t>。</w:t>
            </w:r>
          </w:p>
          <w:p w14:paraId="6776C607" w14:textId="035DFF1D" w:rsidR="003C4F46" w:rsidRDefault="004B6A81">
            <w:pPr>
              <w:ind w:firstLine="480"/>
              <w:textAlignment w:val="auto"/>
              <w:rPr>
                <w:rFonts w:cs="Times New Roman"/>
                <w:color w:val="000000"/>
                <w:kern w:val="0"/>
                <w:szCs w:val="24"/>
              </w:rPr>
            </w:pPr>
            <w:r>
              <w:rPr>
                <w:rFonts w:cs="Times New Roman" w:hint="eastAsia"/>
                <w:color w:val="000000"/>
                <w:kern w:val="0"/>
                <w:szCs w:val="24"/>
              </w:rPr>
              <w:t>其他危险废物合计年收贮量为</w:t>
            </w:r>
            <w:r>
              <w:rPr>
                <w:rFonts w:cs="Times New Roman" w:hint="eastAsia"/>
                <w:color w:val="000000"/>
                <w:kern w:val="0"/>
                <w:szCs w:val="24"/>
              </w:rPr>
              <w:t>2</w:t>
            </w:r>
            <w:r w:rsidR="00631C00">
              <w:rPr>
                <w:rFonts w:cs="Times New Roman"/>
                <w:color w:val="000000"/>
                <w:kern w:val="0"/>
                <w:szCs w:val="24"/>
              </w:rPr>
              <w:t>0</w:t>
            </w:r>
            <w:r>
              <w:rPr>
                <w:rFonts w:cs="Times New Roman"/>
                <w:color w:val="000000"/>
                <w:kern w:val="0"/>
                <w:szCs w:val="24"/>
              </w:rPr>
              <w:t>00</w:t>
            </w:r>
            <w:r>
              <w:rPr>
                <w:rFonts w:cs="Times New Roman" w:hint="eastAsia"/>
                <w:color w:val="000000"/>
                <w:kern w:val="0"/>
                <w:szCs w:val="24"/>
              </w:rPr>
              <w:t>吨（含</w:t>
            </w:r>
            <w:r>
              <w:rPr>
                <w:rFonts w:cs="Times New Roman" w:hint="eastAsia"/>
                <w:color w:val="000000"/>
                <w:kern w:val="0"/>
                <w:szCs w:val="24"/>
              </w:rPr>
              <w:t>HW31</w:t>
            </w:r>
            <w:r>
              <w:rPr>
                <w:rFonts w:cs="Times New Roman" w:hint="eastAsia"/>
                <w:color w:val="000000"/>
                <w:kern w:val="0"/>
                <w:szCs w:val="24"/>
              </w:rPr>
              <w:t>废铅蓄电池</w:t>
            </w:r>
            <w:r>
              <w:rPr>
                <w:rFonts w:cs="Times New Roman" w:hint="eastAsia"/>
                <w:color w:val="000000"/>
                <w:kern w:val="0"/>
                <w:szCs w:val="24"/>
              </w:rPr>
              <w:t>16</w:t>
            </w:r>
            <w:r>
              <w:rPr>
                <w:rFonts w:cs="Times New Roman"/>
                <w:color w:val="000000"/>
                <w:kern w:val="0"/>
                <w:szCs w:val="24"/>
              </w:rPr>
              <w:t>0</w:t>
            </w:r>
            <w:r>
              <w:rPr>
                <w:rFonts w:cs="Times New Roman" w:hint="eastAsia"/>
                <w:color w:val="000000"/>
                <w:kern w:val="0"/>
                <w:szCs w:val="24"/>
              </w:rPr>
              <w:t>0t/a</w:t>
            </w:r>
            <w:r>
              <w:rPr>
                <w:rFonts w:cs="Times New Roman" w:hint="eastAsia"/>
                <w:color w:val="000000"/>
                <w:kern w:val="0"/>
                <w:szCs w:val="24"/>
              </w:rPr>
              <w:t>及其他各类</w:t>
            </w:r>
            <w:r w:rsidR="00FE3E31">
              <w:rPr>
                <w:rFonts w:cs="Times New Roman" w:hint="eastAsia"/>
                <w:color w:val="000000"/>
                <w:kern w:val="0"/>
                <w:szCs w:val="24"/>
              </w:rPr>
              <w:t>危险废物</w:t>
            </w:r>
            <w:r>
              <w:rPr>
                <w:rFonts w:cs="Times New Roman"/>
                <w:color w:val="000000"/>
                <w:kern w:val="0"/>
                <w:szCs w:val="24"/>
              </w:rPr>
              <w:t>400</w:t>
            </w:r>
            <w:r>
              <w:rPr>
                <w:rFonts w:cs="Times New Roman" w:hint="eastAsia"/>
                <w:color w:val="000000"/>
                <w:kern w:val="0"/>
                <w:szCs w:val="24"/>
              </w:rPr>
              <w:t>t/a</w:t>
            </w:r>
            <w:r>
              <w:rPr>
                <w:rFonts w:cs="Times New Roman" w:hint="eastAsia"/>
                <w:color w:val="000000"/>
                <w:kern w:val="0"/>
                <w:szCs w:val="24"/>
              </w:rPr>
              <w:t>），采用桶装或专用容器盛装，贮存于危险废物贮存库内，按</w:t>
            </w:r>
            <w:r w:rsidR="00FE3E31">
              <w:rPr>
                <w:rFonts w:cs="Times New Roman" w:hint="eastAsia"/>
                <w:color w:val="000000"/>
                <w:kern w:val="0"/>
                <w:szCs w:val="24"/>
              </w:rPr>
              <w:t>危险废物</w:t>
            </w:r>
            <w:r>
              <w:rPr>
                <w:rFonts w:cs="Times New Roman" w:hint="eastAsia"/>
                <w:color w:val="000000"/>
                <w:kern w:val="0"/>
                <w:szCs w:val="24"/>
              </w:rPr>
              <w:t>类</w:t>
            </w:r>
            <w:r>
              <w:rPr>
                <w:rFonts w:cs="Times New Roman" w:hint="eastAsia"/>
                <w:color w:val="000000"/>
                <w:kern w:val="0"/>
                <w:szCs w:val="24"/>
              </w:rPr>
              <w:lastRenderedPageBreak/>
              <w:t>别分区存放。平均转运周期为</w:t>
            </w:r>
            <w:r>
              <w:rPr>
                <w:rFonts w:cs="Times New Roman" w:hint="eastAsia"/>
                <w:color w:val="000000"/>
                <w:kern w:val="0"/>
                <w:szCs w:val="24"/>
              </w:rPr>
              <w:t>1~2</w:t>
            </w:r>
            <w:r>
              <w:rPr>
                <w:rFonts w:cs="Times New Roman" w:hint="eastAsia"/>
                <w:color w:val="000000"/>
                <w:kern w:val="0"/>
                <w:szCs w:val="24"/>
              </w:rPr>
              <w:t>个月，其中</w:t>
            </w:r>
            <w:r>
              <w:rPr>
                <w:rFonts w:cs="Times New Roman" w:hint="eastAsia"/>
                <w:color w:val="000000"/>
                <w:kern w:val="0"/>
                <w:szCs w:val="24"/>
              </w:rPr>
              <w:t>HW29</w:t>
            </w:r>
            <w:r>
              <w:rPr>
                <w:rFonts w:cs="Times New Roman" w:hint="eastAsia"/>
                <w:color w:val="000000"/>
                <w:kern w:val="0"/>
                <w:szCs w:val="24"/>
              </w:rPr>
              <w:t>含汞废物转运周期为</w:t>
            </w:r>
            <w:r>
              <w:rPr>
                <w:rFonts w:cs="Times New Roman" w:hint="eastAsia"/>
                <w:color w:val="000000"/>
                <w:kern w:val="0"/>
                <w:szCs w:val="24"/>
              </w:rPr>
              <w:t>36</w:t>
            </w:r>
            <w:r>
              <w:rPr>
                <w:rFonts w:cs="Times New Roman" w:hint="eastAsia"/>
                <w:color w:val="000000"/>
                <w:kern w:val="0"/>
                <w:szCs w:val="24"/>
              </w:rPr>
              <w:t>天。</w:t>
            </w:r>
          </w:p>
          <w:p w14:paraId="5297FB32" w14:textId="77777777" w:rsidR="003C4F46" w:rsidRDefault="004B6A81">
            <w:pPr>
              <w:ind w:firstLine="480"/>
              <w:textAlignment w:val="auto"/>
              <w:rPr>
                <w:rFonts w:cs="Times New Roman"/>
                <w:color w:val="000000"/>
                <w:kern w:val="0"/>
                <w:szCs w:val="24"/>
              </w:rPr>
            </w:pPr>
            <w:r>
              <w:rPr>
                <w:rFonts w:cs="Times New Roman" w:hint="eastAsia"/>
                <w:color w:val="000000"/>
                <w:kern w:val="0"/>
                <w:szCs w:val="24"/>
              </w:rPr>
              <w:t>根据《中华人民共和国生态环境法典》第五百三十五条规定，贮存危险废物应当采取符合国家生态环境保护标准的防护措施，禁止将危险废物混入非危险废物中贮存；从事收集、贮存、利用、处置危险废物经营活动的单位，贮存危险废物不得超过一年，确需延长期限的，应当报经颁发许可证的生态环境主管部门批准。本项目从严执行《新疆维吾尔自治区小微企业危险废物收集试点工作方案》中“最长贮存期限不超过半年”的管控要求，企业承诺在达到规定贮存期限前及时转运，确保危险废物在库贮存时间满足上述要求。</w:t>
            </w:r>
          </w:p>
          <w:p w14:paraId="2CF5D80F" w14:textId="40B124AB" w:rsidR="00C3665D" w:rsidRDefault="00C3665D">
            <w:pPr>
              <w:ind w:firstLine="480"/>
              <w:textAlignment w:val="auto"/>
              <w:rPr>
                <w:rFonts w:cs="Times New Roman"/>
                <w:color w:val="000000"/>
                <w:kern w:val="0"/>
                <w:szCs w:val="24"/>
              </w:rPr>
            </w:pPr>
            <w:r w:rsidRPr="00C3665D">
              <w:rPr>
                <w:rFonts w:cs="Times New Roman" w:hint="eastAsia"/>
                <w:color w:val="000000"/>
                <w:kern w:val="0"/>
                <w:szCs w:val="24"/>
              </w:rPr>
              <w:t>本项目主要收集的</w:t>
            </w:r>
            <w:r w:rsidRPr="00C3665D">
              <w:rPr>
                <w:rFonts w:cs="Times New Roman" w:hint="eastAsia"/>
                <w:color w:val="000000"/>
                <w:kern w:val="0"/>
                <w:szCs w:val="24"/>
              </w:rPr>
              <w:t>HW31</w:t>
            </w:r>
            <w:r w:rsidRPr="00C3665D">
              <w:rPr>
                <w:rFonts w:cs="Times New Roman" w:hint="eastAsia"/>
                <w:color w:val="000000"/>
                <w:kern w:val="0"/>
                <w:szCs w:val="24"/>
              </w:rPr>
              <w:t>含铅废物为零散的废铅蓄电池，符合《新疆维吾尔自治区废铅蓄电池收集贮存和转移管理规范（试行）》（新环字〔</w:t>
            </w:r>
            <w:r w:rsidRPr="00C3665D">
              <w:rPr>
                <w:rFonts w:cs="Times New Roman" w:hint="eastAsia"/>
                <w:color w:val="000000"/>
                <w:kern w:val="0"/>
                <w:szCs w:val="24"/>
              </w:rPr>
              <w:t>2018</w:t>
            </w:r>
            <w:r w:rsidRPr="00C3665D">
              <w:rPr>
                <w:rFonts w:cs="Times New Roman" w:hint="eastAsia"/>
                <w:color w:val="000000"/>
                <w:kern w:val="0"/>
                <w:szCs w:val="24"/>
              </w:rPr>
              <w:t>〕</w:t>
            </w:r>
            <w:r w:rsidRPr="00C3665D">
              <w:rPr>
                <w:rFonts w:cs="Times New Roman" w:hint="eastAsia"/>
                <w:color w:val="000000"/>
                <w:kern w:val="0"/>
                <w:szCs w:val="24"/>
              </w:rPr>
              <w:t>90</w:t>
            </w:r>
            <w:r w:rsidRPr="00C3665D">
              <w:rPr>
                <w:rFonts w:cs="Times New Roman" w:hint="eastAsia"/>
                <w:color w:val="000000"/>
                <w:kern w:val="0"/>
                <w:szCs w:val="24"/>
              </w:rPr>
              <w:t>号）关于“暂存点”的相关规定。根据文件要求，单个暂存点废铅蓄电池收贮量应不大于</w:t>
            </w:r>
            <w:r w:rsidRPr="00C3665D">
              <w:rPr>
                <w:rFonts w:cs="Times New Roman" w:hint="eastAsia"/>
                <w:color w:val="000000"/>
                <w:kern w:val="0"/>
                <w:szCs w:val="24"/>
              </w:rPr>
              <w:t>30</w:t>
            </w:r>
            <w:r w:rsidRPr="00C3665D">
              <w:rPr>
                <w:rFonts w:cs="Times New Roman" w:hint="eastAsia"/>
                <w:color w:val="000000"/>
                <w:kern w:val="0"/>
                <w:szCs w:val="24"/>
              </w:rPr>
              <w:t>吨，周转时间不超过</w:t>
            </w:r>
            <w:r w:rsidRPr="00C3665D">
              <w:rPr>
                <w:rFonts w:cs="Times New Roman" w:hint="eastAsia"/>
                <w:color w:val="000000"/>
                <w:kern w:val="0"/>
                <w:szCs w:val="24"/>
              </w:rPr>
              <w:t>60</w:t>
            </w:r>
            <w:r w:rsidRPr="00C3665D">
              <w:rPr>
                <w:rFonts w:cs="Times New Roman" w:hint="eastAsia"/>
                <w:color w:val="000000"/>
                <w:kern w:val="0"/>
                <w:szCs w:val="24"/>
              </w:rPr>
              <w:t>天。</w:t>
            </w:r>
            <w:r w:rsidR="00CC02CD" w:rsidRPr="00CC02CD">
              <w:rPr>
                <w:rFonts w:cs="Times New Roman" w:hint="eastAsia"/>
                <w:color w:val="000000"/>
                <w:kern w:val="0"/>
                <w:szCs w:val="24"/>
              </w:rPr>
              <w:t>本项目</w:t>
            </w:r>
            <w:r w:rsidR="00CC02CD" w:rsidRPr="00CC02CD">
              <w:rPr>
                <w:rFonts w:cs="Times New Roman" w:hint="eastAsia"/>
                <w:color w:val="000000"/>
                <w:kern w:val="0"/>
                <w:szCs w:val="24"/>
              </w:rPr>
              <w:t>HW31</w:t>
            </w:r>
            <w:r w:rsidR="00CC02CD" w:rsidRPr="00CC02CD">
              <w:rPr>
                <w:rFonts w:cs="Times New Roman" w:hint="eastAsia"/>
                <w:color w:val="000000"/>
                <w:kern w:val="0"/>
                <w:szCs w:val="24"/>
              </w:rPr>
              <w:t>废铅蓄电池最大</w:t>
            </w:r>
            <w:r w:rsidR="00CC02CD">
              <w:rPr>
                <w:rFonts w:cs="Times New Roman" w:hint="eastAsia"/>
                <w:color w:val="000000"/>
                <w:kern w:val="0"/>
                <w:szCs w:val="24"/>
              </w:rPr>
              <w:t>贮</w:t>
            </w:r>
            <w:r w:rsidR="00CC02CD" w:rsidRPr="00CC02CD">
              <w:rPr>
                <w:rFonts w:cs="Times New Roman" w:hint="eastAsia"/>
                <w:color w:val="000000"/>
                <w:kern w:val="0"/>
                <w:szCs w:val="24"/>
              </w:rPr>
              <w:t>存量按</w:t>
            </w:r>
            <w:r w:rsidR="00CC02CD" w:rsidRPr="00CC02CD">
              <w:rPr>
                <w:rFonts w:cs="Times New Roman" w:hint="eastAsia"/>
                <w:color w:val="000000"/>
                <w:kern w:val="0"/>
                <w:szCs w:val="24"/>
              </w:rPr>
              <w:t>30</w:t>
            </w:r>
            <w:r w:rsidR="00CC02CD" w:rsidRPr="00CC02CD">
              <w:rPr>
                <w:rFonts w:cs="Times New Roman" w:hint="eastAsia"/>
                <w:color w:val="000000"/>
                <w:kern w:val="0"/>
                <w:szCs w:val="24"/>
              </w:rPr>
              <w:t>吨控制，平均库存约</w:t>
            </w:r>
            <w:r w:rsidR="00CC02CD" w:rsidRPr="00CC02CD">
              <w:rPr>
                <w:rFonts w:cs="Times New Roman" w:hint="eastAsia"/>
                <w:color w:val="000000"/>
                <w:kern w:val="0"/>
                <w:szCs w:val="24"/>
              </w:rPr>
              <w:t>24</w:t>
            </w:r>
            <w:r w:rsidR="00CC02CD" w:rsidRPr="00CC02CD">
              <w:rPr>
                <w:rFonts w:cs="Times New Roman" w:hint="eastAsia"/>
                <w:color w:val="000000"/>
                <w:kern w:val="0"/>
                <w:szCs w:val="24"/>
              </w:rPr>
              <w:t>吨，平均周转时间约</w:t>
            </w:r>
            <w:r w:rsidR="00CC02CD" w:rsidRPr="00CC02CD">
              <w:rPr>
                <w:rFonts w:cs="Times New Roman" w:hint="eastAsia"/>
                <w:color w:val="000000"/>
                <w:kern w:val="0"/>
                <w:szCs w:val="24"/>
              </w:rPr>
              <w:t>5</w:t>
            </w:r>
            <w:r w:rsidR="00CC02CD" w:rsidRPr="00CC02CD">
              <w:rPr>
                <w:rFonts w:cs="Times New Roman" w:hint="eastAsia"/>
                <w:color w:val="000000"/>
                <w:kern w:val="0"/>
                <w:szCs w:val="24"/>
              </w:rPr>
              <w:t>天，最长不超过</w:t>
            </w:r>
            <w:r w:rsidR="00CC02CD" w:rsidRPr="00CC02CD">
              <w:rPr>
                <w:rFonts w:cs="Times New Roman" w:hint="eastAsia"/>
                <w:color w:val="000000"/>
                <w:kern w:val="0"/>
                <w:szCs w:val="24"/>
              </w:rPr>
              <w:t>6</w:t>
            </w:r>
            <w:r w:rsidR="00CC02CD" w:rsidRPr="00CC02CD">
              <w:rPr>
                <w:rFonts w:cs="Times New Roman" w:hint="eastAsia"/>
                <w:color w:val="000000"/>
                <w:kern w:val="0"/>
                <w:szCs w:val="24"/>
              </w:rPr>
              <w:t>天</w:t>
            </w:r>
            <w:r w:rsidRPr="00C3665D">
              <w:rPr>
                <w:rFonts w:cs="Times New Roman" w:hint="eastAsia"/>
                <w:color w:val="000000"/>
                <w:kern w:val="0"/>
                <w:szCs w:val="24"/>
              </w:rPr>
              <w:t>，并设置库存预警和超限停收机制：库存达到</w:t>
            </w:r>
            <w:r w:rsidRPr="00C3665D">
              <w:rPr>
                <w:rFonts w:cs="Times New Roman" w:hint="eastAsia"/>
                <w:color w:val="000000"/>
                <w:kern w:val="0"/>
                <w:szCs w:val="24"/>
              </w:rPr>
              <w:t>24</w:t>
            </w:r>
            <w:r w:rsidRPr="00C3665D">
              <w:rPr>
                <w:rFonts w:cs="Times New Roman" w:hint="eastAsia"/>
                <w:color w:val="000000"/>
                <w:kern w:val="0"/>
                <w:szCs w:val="24"/>
              </w:rPr>
              <w:t>吨启动转运预警，达到</w:t>
            </w:r>
            <w:r w:rsidRPr="00C3665D">
              <w:rPr>
                <w:rFonts w:cs="Times New Roman" w:hint="eastAsia"/>
                <w:color w:val="000000"/>
                <w:kern w:val="0"/>
                <w:szCs w:val="24"/>
              </w:rPr>
              <w:t>27</w:t>
            </w:r>
            <w:r w:rsidRPr="00C3665D">
              <w:rPr>
                <w:rFonts w:cs="Times New Roman" w:hint="eastAsia"/>
                <w:color w:val="000000"/>
                <w:kern w:val="0"/>
                <w:szCs w:val="24"/>
              </w:rPr>
              <w:t>吨启动转运调度，达到</w:t>
            </w:r>
            <w:r w:rsidRPr="00C3665D">
              <w:rPr>
                <w:rFonts w:cs="Times New Roman" w:hint="eastAsia"/>
                <w:color w:val="000000"/>
                <w:kern w:val="0"/>
                <w:szCs w:val="24"/>
              </w:rPr>
              <w:t>30</w:t>
            </w:r>
            <w:r w:rsidRPr="00C3665D">
              <w:rPr>
                <w:rFonts w:cs="Times New Roman" w:hint="eastAsia"/>
                <w:color w:val="000000"/>
                <w:kern w:val="0"/>
                <w:szCs w:val="24"/>
              </w:rPr>
              <w:t>吨立即停止接收，并在</w:t>
            </w:r>
            <w:r w:rsidRPr="00C3665D">
              <w:rPr>
                <w:rFonts w:cs="Times New Roman" w:hint="eastAsia"/>
                <w:color w:val="000000"/>
                <w:kern w:val="0"/>
                <w:szCs w:val="24"/>
              </w:rPr>
              <w:t>24</w:t>
            </w:r>
            <w:r w:rsidRPr="00C3665D">
              <w:rPr>
                <w:rFonts w:cs="Times New Roman" w:hint="eastAsia"/>
                <w:color w:val="000000"/>
                <w:kern w:val="0"/>
                <w:szCs w:val="24"/>
              </w:rPr>
              <w:t>小时内启动紧急转运，确保库内实时最大贮存量严格控制在</w:t>
            </w:r>
            <w:r w:rsidRPr="00C3665D">
              <w:rPr>
                <w:rFonts w:cs="Times New Roman" w:hint="eastAsia"/>
                <w:color w:val="000000"/>
                <w:kern w:val="0"/>
                <w:szCs w:val="24"/>
              </w:rPr>
              <w:t>30</w:t>
            </w:r>
            <w:r w:rsidRPr="00C3665D">
              <w:rPr>
                <w:rFonts w:cs="Times New Roman" w:hint="eastAsia"/>
                <w:color w:val="000000"/>
                <w:kern w:val="0"/>
                <w:szCs w:val="24"/>
              </w:rPr>
              <w:t>吨以内。</w:t>
            </w:r>
            <w:r w:rsidR="00800376" w:rsidRPr="00800376">
              <w:rPr>
                <w:rFonts w:cs="Times New Roman" w:hint="eastAsia"/>
                <w:color w:val="000000"/>
                <w:kern w:val="0"/>
                <w:szCs w:val="24"/>
              </w:rPr>
              <w:t>根据《国家危险废物名录》（</w:t>
            </w:r>
            <w:r w:rsidR="00800376" w:rsidRPr="00800376">
              <w:rPr>
                <w:rFonts w:cs="Times New Roman" w:hint="eastAsia"/>
                <w:color w:val="000000"/>
                <w:kern w:val="0"/>
                <w:szCs w:val="24"/>
              </w:rPr>
              <w:t>2025</w:t>
            </w:r>
            <w:r w:rsidR="00800376" w:rsidRPr="00800376">
              <w:rPr>
                <w:rFonts w:cs="Times New Roman" w:hint="eastAsia"/>
                <w:color w:val="000000"/>
                <w:kern w:val="0"/>
                <w:szCs w:val="24"/>
              </w:rPr>
              <w:t>年版）附录《危险废物豁免管理清单》，未破损的废铅蓄电池（废物代码</w:t>
            </w:r>
            <w:r w:rsidR="00800376" w:rsidRPr="00800376">
              <w:rPr>
                <w:rFonts w:cs="Times New Roman" w:hint="eastAsia"/>
                <w:color w:val="000000"/>
                <w:kern w:val="0"/>
                <w:szCs w:val="24"/>
              </w:rPr>
              <w:t>900-052-31</w:t>
            </w:r>
            <w:r w:rsidR="00800376" w:rsidRPr="00800376">
              <w:rPr>
                <w:rFonts w:cs="Times New Roman" w:hint="eastAsia"/>
                <w:color w:val="000000"/>
                <w:kern w:val="0"/>
                <w:szCs w:val="24"/>
              </w:rPr>
              <w:t>）的豁免环节为运输，豁免条件为运输工具满足防雨、防渗漏、防遗撒要求，豁免内容为不按危险废物进行运输。本项目运输环节严格执行上述豁免条件；收集、贮存环节仍严格按照危险废物管理要求执行，不适用豁免。</w:t>
            </w:r>
          </w:p>
          <w:p w14:paraId="2B8C8249" w14:textId="7AAF2A47" w:rsidR="003C4F46" w:rsidRDefault="004B6A81">
            <w:pPr>
              <w:ind w:firstLine="482"/>
              <w:textAlignment w:val="auto"/>
              <w:rPr>
                <w:rFonts w:cs="Times New Roman"/>
                <w:b/>
                <w:bCs/>
                <w:color w:val="000000"/>
                <w:kern w:val="0"/>
                <w:szCs w:val="24"/>
              </w:rPr>
            </w:pPr>
            <w:r>
              <w:rPr>
                <w:rFonts w:cs="Times New Roman"/>
                <w:b/>
                <w:bCs/>
                <w:color w:val="000000"/>
                <w:kern w:val="0"/>
                <w:szCs w:val="24"/>
              </w:rPr>
              <w:t>2.8</w:t>
            </w:r>
            <w:r>
              <w:rPr>
                <w:rFonts w:cs="Times New Roman" w:hint="eastAsia"/>
                <w:b/>
                <w:bCs/>
                <w:color w:val="000000"/>
                <w:kern w:val="0"/>
                <w:szCs w:val="24"/>
              </w:rPr>
              <w:t>危险废物贮存库工程设计</w:t>
            </w:r>
          </w:p>
          <w:p w14:paraId="2BD2301E" w14:textId="1E27B4F1" w:rsidR="001B0381" w:rsidRDefault="004B6A81" w:rsidP="001B0381">
            <w:pPr>
              <w:ind w:firstLine="480"/>
              <w:textAlignment w:val="auto"/>
              <w:rPr>
                <w:rFonts w:cs="Times New Roman"/>
                <w:bCs/>
                <w:szCs w:val="24"/>
              </w:rPr>
            </w:pPr>
            <w:r>
              <w:rPr>
                <w:rFonts w:cs="Times New Roman" w:hint="eastAsia"/>
                <w:color w:val="000000"/>
                <w:kern w:val="0"/>
                <w:szCs w:val="24"/>
              </w:rPr>
              <w:t>本项目危险废物贮存库严格按照《危险废物贮存污染控制标准》（</w:t>
            </w:r>
            <w:r>
              <w:rPr>
                <w:rFonts w:cs="Times New Roman"/>
                <w:color w:val="000000"/>
                <w:kern w:val="0"/>
                <w:szCs w:val="24"/>
              </w:rPr>
              <w:t>GB18597-2023</w:t>
            </w:r>
            <w:r>
              <w:rPr>
                <w:rFonts w:cs="Times New Roman" w:hint="eastAsia"/>
                <w:color w:val="000000"/>
                <w:kern w:val="0"/>
                <w:szCs w:val="24"/>
              </w:rPr>
              <w:t>）要求建设。贮存库地面及各分区地基均设置导流槽，导流槽连接</w:t>
            </w:r>
            <w:r w:rsidR="00F1134E">
              <w:rPr>
                <w:rFonts w:cs="Times New Roman" w:hint="eastAsia"/>
                <w:color w:val="000000"/>
                <w:kern w:val="0"/>
                <w:szCs w:val="24"/>
              </w:rPr>
              <w:t>收集池</w:t>
            </w:r>
            <w:r>
              <w:rPr>
                <w:rFonts w:cs="Times New Roman" w:hint="eastAsia"/>
                <w:color w:val="000000"/>
                <w:kern w:val="0"/>
                <w:szCs w:val="24"/>
              </w:rPr>
              <w:t>。地面及裙脚采取“混凝土</w:t>
            </w:r>
            <w:r>
              <w:rPr>
                <w:rFonts w:cs="Times New Roman"/>
                <w:color w:val="000000"/>
                <w:kern w:val="0"/>
                <w:szCs w:val="24"/>
              </w:rPr>
              <w:t>+</w:t>
            </w:r>
            <w:r>
              <w:rPr>
                <w:rFonts w:cs="Times New Roman" w:hint="eastAsia"/>
                <w:color w:val="000000"/>
                <w:kern w:val="0"/>
                <w:szCs w:val="24"/>
              </w:rPr>
              <w:t>防渗膜”双层复合防渗结构，防渗层上翻覆盖至裙脚及围堰顶部（围堰高度</w:t>
            </w:r>
            <w:r>
              <w:rPr>
                <w:rFonts w:cs="Times New Roman"/>
                <w:color w:val="000000"/>
                <w:kern w:val="0"/>
                <w:szCs w:val="24"/>
              </w:rPr>
              <w:t>20cm</w:t>
            </w:r>
            <w:r>
              <w:rPr>
                <w:rFonts w:cs="Times New Roman" w:hint="eastAsia"/>
                <w:color w:val="000000"/>
                <w:kern w:val="0"/>
                <w:szCs w:val="24"/>
              </w:rPr>
              <w:t>），确保防渗层完整连续，渗透系数不大于</w:t>
            </w:r>
            <w:r>
              <w:rPr>
                <w:rFonts w:cs="Times New Roman"/>
                <w:color w:val="000000"/>
                <w:kern w:val="0"/>
                <w:szCs w:val="24"/>
              </w:rPr>
              <w:t>1.0×10⁻¹⁰cm/s</w:t>
            </w:r>
            <w:r>
              <w:rPr>
                <w:rFonts w:cs="Times New Roman" w:hint="eastAsia"/>
                <w:color w:val="000000"/>
                <w:kern w:val="0"/>
                <w:szCs w:val="24"/>
              </w:rPr>
              <w:t>。项目建成后，贮存库地面及围堰内侧（高度</w:t>
            </w:r>
            <w:r>
              <w:rPr>
                <w:rFonts w:cs="Times New Roman"/>
                <w:color w:val="000000"/>
                <w:kern w:val="0"/>
                <w:szCs w:val="24"/>
              </w:rPr>
              <w:t>20cm</w:t>
            </w:r>
            <w:r>
              <w:rPr>
                <w:rFonts w:cs="Times New Roman" w:hint="eastAsia"/>
                <w:color w:val="000000"/>
                <w:kern w:val="0"/>
                <w:szCs w:val="24"/>
              </w:rPr>
              <w:t>以下区域）应实现全面防渗。</w:t>
            </w:r>
          </w:p>
          <w:p w14:paraId="23A226B0" w14:textId="63D2DF6C" w:rsidR="003C4F46" w:rsidRDefault="004B6A81" w:rsidP="001B0381">
            <w:pPr>
              <w:ind w:firstLine="480"/>
              <w:textAlignment w:val="auto"/>
              <w:rPr>
                <w:rFonts w:cs="Times New Roman"/>
                <w:bCs/>
                <w:szCs w:val="24"/>
              </w:rPr>
            </w:pPr>
            <w:r>
              <w:rPr>
                <w:rFonts w:cs="Times New Roman" w:hint="eastAsia"/>
                <w:bCs/>
                <w:szCs w:val="24"/>
              </w:rPr>
              <w:t>本项目危险废物在贮存库内的贮存方式主要为密封桶贮存。具体情况见下表。</w:t>
            </w:r>
          </w:p>
          <w:p w14:paraId="1EB2E935" w14:textId="5BE9486E" w:rsidR="003C4F46" w:rsidRDefault="004B6A81">
            <w:pPr>
              <w:spacing w:line="240" w:lineRule="auto"/>
              <w:ind w:firstLineChars="0" w:firstLine="0"/>
              <w:jc w:val="center"/>
              <w:textAlignment w:val="auto"/>
              <w:rPr>
                <w:rFonts w:cs="Times New Roman"/>
                <w:b/>
                <w:bCs/>
                <w:color w:val="000000"/>
                <w:sz w:val="21"/>
                <w:szCs w:val="21"/>
              </w:rPr>
            </w:pPr>
            <w:r>
              <w:rPr>
                <w:rFonts w:cs="Times New Roman"/>
                <w:b/>
                <w:bCs/>
                <w:color w:val="000000"/>
                <w:sz w:val="21"/>
                <w:szCs w:val="21"/>
              </w:rPr>
              <w:t>表</w:t>
            </w:r>
            <w:r>
              <w:rPr>
                <w:rFonts w:cs="Times New Roman" w:hint="eastAsia"/>
                <w:b/>
                <w:bCs/>
                <w:color w:val="000000"/>
                <w:sz w:val="21"/>
                <w:szCs w:val="21"/>
              </w:rPr>
              <w:t>2-</w:t>
            </w:r>
            <w:r w:rsidR="008222DE">
              <w:rPr>
                <w:rFonts w:cs="Times New Roman"/>
                <w:b/>
                <w:bCs/>
                <w:color w:val="000000"/>
                <w:sz w:val="21"/>
                <w:szCs w:val="21"/>
              </w:rPr>
              <w:t>8</w:t>
            </w:r>
            <w:r>
              <w:rPr>
                <w:rFonts w:cs="Times New Roman" w:hint="eastAsia"/>
                <w:b/>
                <w:bCs/>
                <w:color w:val="000000"/>
                <w:sz w:val="21"/>
                <w:szCs w:val="21"/>
              </w:rPr>
              <w:t xml:space="preserve">  </w:t>
            </w:r>
            <w:r>
              <w:rPr>
                <w:rFonts w:cs="Times New Roman" w:hint="eastAsia"/>
                <w:b/>
                <w:bCs/>
                <w:color w:val="000000"/>
                <w:sz w:val="21"/>
                <w:szCs w:val="21"/>
              </w:rPr>
              <w:t>危险废物贮存方式</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76"/>
              <w:gridCol w:w="4008"/>
              <w:gridCol w:w="1523"/>
              <w:gridCol w:w="827"/>
              <w:gridCol w:w="930"/>
              <w:gridCol w:w="1026"/>
            </w:tblGrid>
            <w:tr w:rsidR="003C4F46" w14:paraId="3F8AA11B" w14:textId="77777777">
              <w:trPr>
                <w:jc w:val="center"/>
              </w:trPr>
              <w:tc>
                <w:tcPr>
                  <w:tcW w:w="714" w:type="dxa"/>
                  <w:tcBorders>
                    <w:tl2br w:val="nil"/>
                    <w:tr2bl w:val="nil"/>
                  </w:tcBorders>
                  <w:vAlign w:val="center"/>
                </w:tcPr>
                <w:p w14:paraId="50A963BB"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危险废物贮存</w:t>
                  </w:r>
                  <w:r>
                    <w:rPr>
                      <w:rFonts w:cs="Times New Roman" w:hint="eastAsia"/>
                      <w:bCs/>
                      <w:sz w:val="21"/>
                      <w:szCs w:val="21"/>
                    </w:rPr>
                    <w:lastRenderedPageBreak/>
                    <w:t>库</w:t>
                  </w:r>
                </w:p>
              </w:tc>
              <w:tc>
                <w:tcPr>
                  <w:tcW w:w="3685" w:type="dxa"/>
                  <w:tcBorders>
                    <w:tl2br w:val="nil"/>
                    <w:tr2bl w:val="nil"/>
                  </w:tcBorders>
                  <w:vAlign w:val="center"/>
                </w:tcPr>
                <w:p w14:paraId="0D63CFBC"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lastRenderedPageBreak/>
                    <w:t>危险废物贮存库及危险废物类别</w:t>
                  </w:r>
                </w:p>
              </w:tc>
              <w:tc>
                <w:tcPr>
                  <w:tcW w:w="1400" w:type="dxa"/>
                  <w:tcBorders>
                    <w:tl2br w:val="nil"/>
                    <w:tr2bl w:val="nil"/>
                  </w:tcBorders>
                  <w:vAlign w:val="center"/>
                </w:tcPr>
                <w:p w14:paraId="492507C2"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库存方式</w:t>
                  </w:r>
                </w:p>
              </w:tc>
              <w:tc>
                <w:tcPr>
                  <w:tcW w:w="760" w:type="dxa"/>
                  <w:tcBorders>
                    <w:tl2br w:val="nil"/>
                    <w:tr2bl w:val="nil"/>
                  </w:tcBorders>
                  <w:vAlign w:val="center"/>
                </w:tcPr>
                <w:p w14:paraId="2CA77A9D" w14:textId="7A527C46" w:rsidR="003C4F46"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容器</w:t>
                  </w:r>
                  <w:r w:rsidR="004B6A81">
                    <w:rPr>
                      <w:rFonts w:cs="Times New Roman" w:hint="eastAsia"/>
                      <w:bCs/>
                      <w:sz w:val="21"/>
                      <w:szCs w:val="21"/>
                    </w:rPr>
                    <w:t>数量</w:t>
                  </w:r>
                </w:p>
              </w:tc>
              <w:tc>
                <w:tcPr>
                  <w:tcW w:w="855" w:type="dxa"/>
                  <w:tcBorders>
                    <w:tl2br w:val="nil"/>
                    <w:tr2bl w:val="nil"/>
                  </w:tcBorders>
                  <w:vAlign w:val="center"/>
                </w:tcPr>
                <w:p w14:paraId="3017AA69"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规格</w:t>
                  </w:r>
                </w:p>
              </w:tc>
              <w:tc>
                <w:tcPr>
                  <w:tcW w:w="943" w:type="dxa"/>
                  <w:tcBorders>
                    <w:tl2br w:val="nil"/>
                    <w:tr2bl w:val="nil"/>
                  </w:tcBorders>
                  <w:vAlign w:val="center"/>
                </w:tcPr>
                <w:p w14:paraId="16F13BAA" w14:textId="77777777" w:rsidR="003C4F46" w:rsidRDefault="004B6A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材质</w:t>
                  </w:r>
                </w:p>
              </w:tc>
            </w:tr>
            <w:tr w:rsidR="001B0381" w14:paraId="5EC35F55" w14:textId="77777777">
              <w:trPr>
                <w:jc w:val="center"/>
              </w:trPr>
              <w:tc>
                <w:tcPr>
                  <w:tcW w:w="714" w:type="dxa"/>
                  <w:vMerge w:val="restart"/>
                  <w:tcBorders>
                    <w:tl2br w:val="nil"/>
                    <w:tr2bl w:val="nil"/>
                  </w:tcBorders>
                  <w:vAlign w:val="center"/>
                </w:tcPr>
                <w:p w14:paraId="3DBE4BE0" w14:textId="6328C718"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w:t>
                  </w:r>
                  <w:r>
                    <w:rPr>
                      <w:rFonts w:cs="Times New Roman"/>
                      <w:bCs/>
                      <w:sz w:val="21"/>
                      <w:szCs w:val="21"/>
                    </w:rPr>
                    <w:t>#</w:t>
                  </w:r>
                  <w:r>
                    <w:rPr>
                      <w:rFonts w:cs="Times New Roman" w:hint="eastAsia"/>
                      <w:bCs/>
                      <w:sz w:val="21"/>
                      <w:szCs w:val="21"/>
                    </w:rPr>
                    <w:t>贮存库</w:t>
                  </w:r>
                </w:p>
              </w:tc>
              <w:tc>
                <w:tcPr>
                  <w:tcW w:w="3685" w:type="dxa"/>
                  <w:tcBorders>
                    <w:tl2br w:val="nil"/>
                    <w:tr2bl w:val="nil"/>
                  </w:tcBorders>
                  <w:vAlign w:val="center"/>
                </w:tcPr>
                <w:p w14:paraId="4871AB7D"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HW49</w:t>
                  </w:r>
                  <w:r>
                    <w:rPr>
                      <w:rFonts w:cs="Times New Roman"/>
                      <w:bCs/>
                      <w:sz w:val="21"/>
                      <w:szCs w:val="21"/>
                    </w:rPr>
                    <w:t>其他废物</w:t>
                  </w:r>
                </w:p>
              </w:tc>
              <w:tc>
                <w:tcPr>
                  <w:tcW w:w="1400" w:type="dxa"/>
                  <w:tcBorders>
                    <w:tl2br w:val="nil"/>
                    <w:tr2bl w:val="nil"/>
                  </w:tcBorders>
                  <w:vAlign w:val="center"/>
                </w:tcPr>
                <w:p w14:paraId="4BCCAF74"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0673D534" w14:textId="20450C3E"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150</w:t>
                  </w:r>
                </w:p>
              </w:tc>
              <w:tc>
                <w:tcPr>
                  <w:tcW w:w="855" w:type="dxa"/>
                  <w:tcBorders>
                    <w:tl2br w:val="nil"/>
                    <w:tr2bl w:val="nil"/>
                  </w:tcBorders>
                  <w:vAlign w:val="center"/>
                </w:tcPr>
                <w:p w14:paraId="24C6DA20"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7BAAB3DF"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0C7F197D" w14:textId="77777777">
              <w:trPr>
                <w:jc w:val="center"/>
              </w:trPr>
              <w:tc>
                <w:tcPr>
                  <w:tcW w:w="714" w:type="dxa"/>
                  <w:vMerge/>
                  <w:tcBorders>
                    <w:tl2br w:val="nil"/>
                    <w:tr2bl w:val="nil"/>
                  </w:tcBorders>
                  <w:vAlign w:val="center"/>
                </w:tcPr>
                <w:p w14:paraId="1D1638A1"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78873374"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HW06</w:t>
                  </w:r>
                  <w:r>
                    <w:rPr>
                      <w:rFonts w:cs="Times New Roman"/>
                      <w:bCs/>
                      <w:sz w:val="21"/>
                      <w:szCs w:val="21"/>
                    </w:rPr>
                    <w:t>废有机溶剂与含有机溶剂废物</w:t>
                  </w:r>
                </w:p>
              </w:tc>
              <w:tc>
                <w:tcPr>
                  <w:tcW w:w="1400" w:type="dxa"/>
                  <w:tcBorders>
                    <w:tl2br w:val="nil"/>
                    <w:tr2bl w:val="nil"/>
                  </w:tcBorders>
                  <w:vAlign w:val="center"/>
                </w:tcPr>
                <w:p w14:paraId="75CDE777"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7735CA05" w14:textId="6517A2FB"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200</w:t>
                  </w:r>
                </w:p>
              </w:tc>
              <w:tc>
                <w:tcPr>
                  <w:tcW w:w="855" w:type="dxa"/>
                  <w:tcBorders>
                    <w:tl2br w:val="nil"/>
                    <w:tr2bl w:val="nil"/>
                  </w:tcBorders>
                  <w:vAlign w:val="center"/>
                </w:tcPr>
                <w:p w14:paraId="65942384"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7F2368F9"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22D376FC" w14:textId="77777777">
              <w:trPr>
                <w:jc w:val="center"/>
              </w:trPr>
              <w:tc>
                <w:tcPr>
                  <w:tcW w:w="714" w:type="dxa"/>
                  <w:vMerge/>
                  <w:tcBorders>
                    <w:tl2br w:val="nil"/>
                    <w:tr2bl w:val="nil"/>
                  </w:tcBorders>
                  <w:vAlign w:val="center"/>
                </w:tcPr>
                <w:p w14:paraId="03017BCC"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6AF6FB1A"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HW12</w:t>
                  </w:r>
                  <w:r>
                    <w:rPr>
                      <w:rFonts w:cs="Times New Roman"/>
                      <w:bCs/>
                      <w:sz w:val="21"/>
                      <w:szCs w:val="21"/>
                    </w:rPr>
                    <w:t>染料、涂料废物</w:t>
                  </w:r>
                </w:p>
              </w:tc>
              <w:tc>
                <w:tcPr>
                  <w:tcW w:w="1400" w:type="dxa"/>
                  <w:tcBorders>
                    <w:tl2br w:val="nil"/>
                    <w:tr2bl w:val="nil"/>
                  </w:tcBorders>
                  <w:vAlign w:val="center"/>
                </w:tcPr>
                <w:p w14:paraId="200C04EB"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08256824" w14:textId="13ED3EDF"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w:t>
                  </w:r>
                </w:p>
              </w:tc>
              <w:tc>
                <w:tcPr>
                  <w:tcW w:w="855" w:type="dxa"/>
                  <w:tcBorders>
                    <w:tl2br w:val="nil"/>
                    <w:tr2bl w:val="nil"/>
                  </w:tcBorders>
                  <w:vAlign w:val="center"/>
                </w:tcPr>
                <w:p w14:paraId="1E18EC78"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3D3484B2"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1D0299CF" w14:textId="77777777">
              <w:trPr>
                <w:jc w:val="center"/>
              </w:trPr>
              <w:tc>
                <w:tcPr>
                  <w:tcW w:w="714" w:type="dxa"/>
                  <w:vMerge/>
                  <w:tcBorders>
                    <w:tl2br w:val="nil"/>
                    <w:tr2bl w:val="nil"/>
                  </w:tcBorders>
                  <w:vAlign w:val="center"/>
                </w:tcPr>
                <w:p w14:paraId="25885E9E"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7BA2884B"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HW13</w:t>
                  </w:r>
                  <w:r>
                    <w:rPr>
                      <w:rFonts w:cs="Times New Roman"/>
                      <w:bCs/>
                      <w:sz w:val="21"/>
                      <w:szCs w:val="21"/>
                    </w:rPr>
                    <w:t>有机树脂类废物</w:t>
                  </w:r>
                </w:p>
              </w:tc>
              <w:tc>
                <w:tcPr>
                  <w:tcW w:w="1400" w:type="dxa"/>
                  <w:tcBorders>
                    <w:tl2br w:val="nil"/>
                    <w:tr2bl w:val="nil"/>
                  </w:tcBorders>
                  <w:vAlign w:val="center"/>
                </w:tcPr>
                <w:p w14:paraId="2553AE97"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165DAEC0" w14:textId="0870FE4F"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50</w:t>
                  </w:r>
                </w:p>
              </w:tc>
              <w:tc>
                <w:tcPr>
                  <w:tcW w:w="855" w:type="dxa"/>
                  <w:tcBorders>
                    <w:tl2br w:val="nil"/>
                    <w:tr2bl w:val="nil"/>
                  </w:tcBorders>
                  <w:vAlign w:val="center"/>
                </w:tcPr>
                <w:p w14:paraId="2305B1B3"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2C7EF17A"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2442AFB0" w14:textId="77777777">
              <w:trPr>
                <w:jc w:val="center"/>
              </w:trPr>
              <w:tc>
                <w:tcPr>
                  <w:tcW w:w="714" w:type="dxa"/>
                  <w:vMerge/>
                  <w:tcBorders>
                    <w:tl2br w:val="nil"/>
                    <w:tr2bl w:val="nil"/>
                  </w:tcBorders>
                  <w:vAlign w:val="center"/>
                </w:tcPr>
                <w:p w14:paraId="07D34E6E"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5074763A"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HW16</w:t>
                  </w:r>
                  <w:r>
                    <w:rPr>
                      <w:rFonts w:cs="Times New Roman"/>
                      <w:bCs/>
                      <w:sz w:val="21"/>
                      <w:szCs w:val="21"/>
                    </w:rPr>
                    <w:t>感光材料废物</w:t>
                  </w:r>
                </w:p>
              </w:tc>
              <w:tc>
                <w:tcPr>
                  <w:tcW w:w="1400" w:type="dxa"/>
                  <w:tcBorders>
                    <w:tl2br w:val="nil"/>
                    <w:tr2bl w:val="nil"/>
                  </w:tcBorders>
                  <w:vAlign w:val="center"/>
                </w:tcPr>
                <w:p w14:paraId="1EE8659D"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548F0A01" w14:textId="16A95FA6"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w:t>
                  </w:r>
                </w:p>
              </w:tc>
              <w:tc>
                <w:tcPr>
                  <w:tcW w:w="855" w:type="dxa"/>
                  <w:tcBorders>
                    <w:tl2br w:val="nil"/>
                    <w:tr2bl w:val="nil"/>
                  </w:tcBorders>
                  <w:vAlign w:val="center"/>
                </w:tcPr>
                <w:p w14:paraId="0E7FBDA1"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559A873A"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708307D3" w14:textId="77777777">
              <w:trPr>
                <w:jc w:val="center"/>
              </w:trPr>
              <w:tc>
                <w:tcPr>
                  <w:tcW w:w="714" w:type="dxa"/>
                  <w:vMerge/>
                  <w:tcBorders>
                    <w:tl2br w:val="nil"/>
                    <w:tr2bl w:val="nil"/>
                  </w:tcBorders>
                  <w:vAlign w:val="center"/>
                </w:tcPr>
                <w:p w14:paraId="2D5AB0D4"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0B3E9035"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HW29</w:t>
                  </w:r>
                  <w:r>
                    <w:rPr>
                      <w:rFonts w:cs="Times New Roman"/>
                      <w:bCs/>
                      <w:sz w:val="21"/>
                      <w:szCs w:val="21"/>
                    </w:rPr>
                    <w:t>含汞废物</w:t>
                  </w:r>
                </w:p>
              </w:tc>
              <w:tc>
                <w:tcPr>
                  <w:tcW w:w="1400" w:type="dxa"/>
                  <w:tcBorders>
                    <w:tl2br w:val="nil"/>
                    <w:tr2bl w:val="nil"/>
                  </w:tcBorders>
                  <w:vAlign w:val="center"/>
                </w:tcPr>
                <w:p w14:paraId="7A2EF6E6"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76C2D7DA" w14:textId="5BF76A90"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35</w:t>
                  </w:r>
                </w:p>
              </w:tc>
              <w:tc>
                <w:tcPr>
                  <w:tcW w:w="855" w:type="dxa"/>
                  <w:tcBorders>
                    <w:tl2br w:val="nil"/>
                    <w:tr2bl w:val="nil"/>
                  </w:tcBorders>
                  <w:vAlign w:val="center"/>
                </w:tcPr>
                <w:p w14:paraId="2BDFC19B"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80L</w:t>
                  </w:r>
                </w:p>
              </w:tc>
              <w:tc>
                <w:tcPr>
                  <w:tcW w:w="943" w:type="dxa"/>
                  <w:tcBorders>
                    <w:tl2br w:val="nil"/>
                    <w:tr2bl w:val="nil"/>
                  </w:tcBorders>
                  <w:vAlign w:val="center"/>
                </w:tcPr>
                <w:p w14:paraId="42131114"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7181A620" w14:textId="77777777">
              <w:trPr>
                <w:trHeight w:val="251"/>
                <w:jc w:val="center"/>
              </w:trPr>
              <w:tc>
                <w:tcPr>
                  <w:tcW w:w="714" w:type="dxa"/>
                  <w:vMerge/>
                  <w:tcBorders>
                    <w:tl2br w:val="nil"/>
                    <w:tr2bl w:val="nil"/>
                  </w:tcBorders>
                  <w:vAlign w:val="center"/>
                </w:tcPr>
                <w:p w14:paraId="6DD02881"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65AECAA2"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HW31</w:t>
                  </w:r>
                  <w:r>
                    <w:rPr>
                      <w:rFonts w:cs="Times New Roman"/>
                      <w:bCs/>
                      <w:sz w:val="21"/>
                      <w:szCs w:val="21"/>
                    </w:rPr>
                    <w:t>含铅废物</w:t>
                  </w:r>
                </w:p>
              </w:tc>
              <w:tc>
                <w:tcPr>
                  <w:tcW w:w="1400" w:type="dxa"/>
                  <w:tcBorders>
                    <w:tl2br w:val="nil"/>
                    <w:tr2bl w:val="nil"/>
                  </w:tcBorders>
                  <w:vAlign w:val="center"/>
                </w:tcPr>
                <w:p w14:paraId="7DA086BC"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125DCAFE" w14:textId="75D5248C" w:rsidR="001B0381" w:rsidRDefault="00FE304D">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120</w:t>
                  </w:r>
                </w:p>
              </w:tc>
              <w:tc>
                <w:tcPr>
                  <w:tcW w:w="855" w:type="dxa"/>
                  <w:tcBorders>
                    <w:tl2br w:val="nil"/>
                    <w:tr2bl w:val="nil"/>
                  </w:tcBorders>
                  <w:vAlign w:val="center"/>
                </w:tcPr>
                <w:p w14:paraId="33412CF2" w14:textId="73BB3372" w:rsidR="001B0381" w:rsidRDefault="00FE304D">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200</w:t>
                  </w:r>
                  <w:r w:rsidR="001B0381">
                    <w:rPr>
                      <w:rFonts w:cs="Times New Roman" w:hint="eastAsia"/>
                      <w:bCs/>
                      <w:sz w:val="21"/>
                      <w:szCs w:val="21"/>
                    </w:rPr>
                    <w:t>L</w:t>
                  </w:r>
                </w:p>
              </w:tc>
              <w:tc>
                <w:tcPr>
                  <w:tcW w:w="943" w:type="dxa"/>
                  <w:tcBorders>
                    <w:tl2br w:val="nil"/>
                    <w:tr2bl w:val="nil"/>
                  </w:tcBorders>
                  <w:vAlign w:val="center"/>
                </w:tcPr>
                <w:p w14:paraId="6665FC01"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05047125" w14:textId="77777777">
              <w:trPr>
                <w:jc w:val="center"/>
              </w:trPr>
              <w:tc>
                <w:tcPr>
                  <w:tcW w:w="714" w:type="dxa"/>
                  <w:vMerge/>
                  <w:tcBorders>
                    <w:tl2br w:val="nil"/>
                    <w:tr2bl w:val="nil"/>
                  </w:tcBorders>
                  <w:vAlign w:val="center"/>
                </w:tcPr>
                <w:p w14:paraId="15CF0BD2"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430523DF"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HW36</w:t>
                  </w:r>
                  <w:r>
                    <w:rPr>
                      <w:rFonts w:cs="Times New Roman"/>
                      <w:bCs/>
                      <w:sz w:val="21"/>
                      <w:szCs w:val="21"/>
                    </w:rPr>
                    <w:t>石棉废物</w:t>
                  </w:r>
                </w:p>
              </w:tc>
              <w:tc>
                <w:tcPr>
                  <w:tcW w:w="1400" w:type="dxa"/>
                  <w:tcBorders>
                    <w:tl2br w:val="nil"/>
                    <w:tr2bl w:val="nil"/>
                  </w:tcBorders>
                  <w:vAlign w:val="center"/>
                </w:tcPr>
                <w:p w14:paraId="373DFEC6"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6063C6D2" w14:textId="72BD6EEC"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60</w:t>
                  </w:r>
                </w:p>
              </w:tc>
              <w:tc>
                <w:tcPr>
                  <w:tcW w:w="855" w:type="dxa"/>
                  <w:tcBorders>
                    <w:tl2br w:val="nil"/>
                    <w:tr2bl w:val="nil"/>
                  </w:tcBorders>
                  <w:vAlign w:val="center"/>
                </w:tcPr>
                <w:p w14:paraId="6ECF5EC5"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2473AEC5"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1B0381" w14:paraId="1FC8983B" w14:textId="77777777" w:rsidTr="001B0381">
              <w:trPr>
                <w:trHeight w:val="85"/>
                <w:jc w:val="center"/>
              </w:trPr>
              <w:tc>
                <w:tcPr>
                  <w:tcW w:w="714" w:type="dxa"/>
                  <w:vMerge/>
                  <w:tcBorders>
                    <w:tl2br w:val="nil"/>
                    <w:tr2bl w:val="nil"/>
                  </w:tcBorders>
                  <w:vAlign w:val="center"/>
                </w:tcPr>
                <w:p w14:paraId="1675470D" w14:textId="77777777" w:rsidR="001B0381" w:rsidRDefault="001B0381">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2C337073"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HW50</w:t>
                  </w:r>
                  <w:r>
                    <w:rPr>
                      <w:rFonts w:cs="Times New Roman"/>
                      <w:bCs/>
                      <w:sz w:val="21"/>
                      <w:szCs w:val="21"/>
                    </w:rPr>
                    <w:t>废催化剂</w:t>
                  </w:r>
                </w:p>
              </w:tc>
              <w:tc>
                <w:tcPr>
                  <w:tcW w:w="1400" w:type="dxa"/>
                  <w:tcBorders>
                    <w:tl2br w:val="nil"/>
                    <w:tr2bl w:val="nil"/>
                  </w:tcBorders>
                  <w:vAlign w:val="center"/>
                </w:tcPr>
                <w:p w14:paraId="4C6DC47E"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2A17F203" w14:textId="3DDD3A50" w:rsidR="001B0381" w:rsidRDefault="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100</w:t>
                  </w:r>
                </w:p>
              </w:tc>
              <w:tc>
                <w:tcPr>
                  <w:tcW w:w="855" w:type="dxa"/>
                  <w:tcBorders>
                    <w:tl2br w:val="nil"/>
                    <w:tr2bl w:val="nil"/>
                  </w:tcBorders>
                  <w:vAlign w:val="center"/>
                </w:tcPr>
                <w:p w14:paraId="73AC2791"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2E76D4A5" w14:textId="77777777" w:rsidR="001B0381" w:rsidRDefault="001B0381">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9C2BB0" w14:paraId="7006B4E5" w14:textId="77777777">
              <w:trPr>
                <w:jc w:val="center"/>
              </w:trPr>
              <w:tc>
                <w:tcPr>
                  <w:tcW w:w="714" w:type="dxa"/>
                  <w:vMerge/>
                  <w:tcBorders>
                    <w:tl2br w:val="nil"/>
                    <w:tr2bl w:val="nil"/>
                  </w:tcBorders>
                  <w:vAlign w:val="center"/>
                </w:tcPr>
                <w:p w14:paraId="0F25256F" w14:textId="77777777" w:rsidR="009C2BB0" w:rsidRDefault="009C2BB0" w:rsidP="009C2BB0">
                  <w:pPr>
                    <w:adjustRightInd w:val="0"/>
                    <w:snapToGrid w:val="0"/>
                    <w:spacing w:line="240" w:lineRule="auto"/>
                    <w:ind w:firstLineChars="0" w:firstLine="0"/>
                    <w:jc w:val="center"/>
                    <w:textAlignment w:val="auto"/>
                    <w:rPr>
                      <w:rFonts w:cs="Times New Roman"/>
                      <w:bCs/>
                      <w:sz w:val="21"/>
                      <w:szCs w:val="21"/>
                    </w:rPr>
                  </w:pPr>
                </w:p>
              </w:tc>
              <w:tc>
                <w:tcPr>
                  <w:tcW w:w="3685" w:type="dxa"/>
                  <w:tcBorders>
                    <w:tl2br w:val="nil"/>
                    <w:tr2bl w:val="nil"/>
                  </w:tcBorders>
                  <w:vAlign w:val="center"/>
                </w:tcPr>
                <w:p w14:paraId="1F19D856" w14:textId="0C08CE7B" w:rsidR="009C2BB0" w:rsidRDefault="009C2BB0" w:rsidP="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HW35</w:t>
                  </w:r>
                  <w:r>
                    <w:rPr>
                      <w:rFonts w:cs="Times New Roman" w:hint="eastAsia"/>
                      <w:bCs/>
                      <w:sz w:val="21"/>
                      <w:szCs w:val="21"/>
                    </w:rPr>
                    <w:t>废碱</w:t>
                  </w:r>
                </w:p>
              </w:tc>
              <w:tc>
                <w:tcPr>
                  <w:tcW w:w="1400" w:type="dxa"/>
                  <w:tcBorders>
                    <w:tl2br w:val="nil"/>
                    <w:tr2bl w:val="nil"/>
                  </w:tcBorders>
                  <w:vAlign w:val="center"/>
                </w:tcPr>
                <w:p w14:paraId="3D8D19E2" w14:textId="4B6EBFB5" w:rsidR="009C2BB0" w:rsidRDefault="009C2BB0" w:rsidP="009C2BB0">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专用密封桶</w:t>
                  </w:r>
                </w:p>
              </w:tc>
              <w:tc>
                <w:tcPr>
                  <w:tcW w:w="760" w:type="dxa"/>
                  <w:tcBorders>
                    <w:tl2br w:val="nil"/>
                    <w:tr2bl w:val="nil"/>
                  </w:tcBorders>
                  <w:vAlign w:val="center"/>
                </w:tcPr>
                <w:p w14:paraId="6926C73E" w14:textId="67D34B57" w:rsidR="009C2BB0" w:rsidRDefault="009C2BB0" w:rsidP="009C2BB0">
                  <w:pPr>
                    <w:adjustRightInd w:val="0"/>
                    <w:snapToGrid w:val="0"/>
                    <w:spacing w:line="240" w:lineRule="auto"/>
                    <w:ind w:firstLineChars="0" w:firstLine="0"/>
                    <w:jc w:val="center"/>
                    <w:textAlignment w:val="auto"/>
                    <w:rPr>
                      <w:rFonts w:cs="Times New Roman"/>
                      <w:bCs/>
                      <w:sz w:val="21"/>
                      <w:szCs w:val="21"/>
                    </w:rPr>
                  </w:pPr>
                  <w:r>
                    <w:rPr>
                      <w:rFonts w:cs="Times New Roman"/>
                      <w:bCs/>
                      <w:sz w:val="21"/>
                      <w:szCs w:val="21"/>
                    </w:rPr>
                    <w:t>20</w:t>
                  </w:r>
                </w:p>
              </w:tc>
              <w:tc>
                <w:tcPr>
                  <w:tcW w:w="855" w:type="dxa"/>
                  <w:tcBorders>
                    <w:tl2br w:val="nil"/>
                    <w:tr2bl w:val="nil"/>
                  </w:tcBorders>
                  <w:vAlign w:val="center"/>
                </w:tcPr>
                <w:p w14:paraId="0FB6950E" w14:textId="2363F773" w:rsidR="009C2BB0" w:rsidRDefault="009C2BB0" w:rsidP="009C2BB0">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120L</w:t>
                  </w:r>
                </w:p>
              </w:tc>
              <w:tc>
                <w:tcPr>
                  <w:tcW w:w="943" w:type="dxa"/>
                  <w:tcBorders>
                    <w:tl2br w:val="nil"/>
                    <w:tr2bl w:val="nil"/>
                  </w:tcBorders>
                  <w:vAlign w:val="center"/>
                </w:tcPr>
                <w:p w14:paraId="6A80F367" w14:textId="4D18B9D7" w:rsidR="009C2BB0" w:rsidRDefault="009C2BB0" w:rsidP="009C2BB0">
                  <w:pPr>
                    <w:adjustRightInd w:val="0"/>
                    <w:snapToGrid w:val="0"/>
                    <w:spacing w:line="240" w:lineRule="auto"/>
                    <w:ind w:firstLineChars="0" w:firstLine="0"/>
                    <w:jc w:val="center"/>
                    <w:textAlignment w:val="auto"/>
                    <w:rPr>
                      <w:rFonts w:cs="Times New Roman"/>
                      <w:bCs/>
                      <w:sz w:val="21"/>
                      <w:szCs w:val="21"/>
                    </w:rPr>
                  </w:pPr>
                  <w:r>
                    <w:rPr>
                      <w:rFonts w:cs="Times New Roman" w:hint="eastAsia"/>
                      <w:bCs/>
                      <w:sz w:val="21"/>
                      <w:szCs w:val="21"/>
                    </w:rPr>
                    <w:t>PP/PE</w:t>
                  </w:r>
                </w:p>
              </w:tc>
            </w:tr>
            <w:tr w:rsidR="004A402A" w14:paraId="0234CC67" w14:textId="77777777" w:rsidTr="00CE2827">
              <w:trPr>
                <w:jc w:val="center"/>
              </w:trPr>
              <w:tc>
                <w:tcPr>
                  <w:tcW w:w="8357" w:type="dxa"/>
                  <w:gridSpan w:val="6"/>
                  <w:tcBorders>
                    <w:tl2br w:val="nil"/>
                    <w:tr2bl w:val="nil"/>
                  </w:tcBorders>
                  <w:vAlign w:val="center"/>
                </w:tcPr>
                <w:p w14:paraId="7D10A271" w14:textId="6D75C66C" w:rsidR="004A402A" w:rsidRPr="00154C6E" w:rsidRDefault="004A402A" w:rsidP="004A402A">
                  <w:pPr>
                    <w:adjustRightInd w:val="0"/>
                    <w:snapToGrid w:val="0"/>
                    <w:spacing w:line="240" w:lineRule="auto"/>
                    <w:ind w:firstLineChars="0" w:firstLine="0"/>
                    <w:textAlignment w:val="auto"/>
                    <w:rPr>
                      <w:rFonts w:cs="Times New Roman"/>
                      <w:bCs/>
                      <w:sz w:val="21"/>
                      <w:szCs w:val="21"/>
                    </w:rPr>
                  </w:pPr>
                  <w:r w:rsidRPr="00154C6E">
                    <w:rPr>
                      <w:rFonts w:cs="Times New Roman"/>
                      <w:bCs/>
                      <w:sz w:val="20"/>
                      <w:szCs w:val="20"/>
                    </w:rPr>
                    <w:t>注：</w:t>
                  </w:r>
                  <w:r w:rsidR="00FE304D" w:rsidRPr="00154C6E">
                    <w:rPr>
                      <w:rFonts w:cs="Times New Roman"/>
                      <w:bCs/>
                      <w:sz w:val="20"/>
                      <w:szCs w:val="20"/>
                    </w:rPr>
                    <w:t>1#</w:t>
                  </w:r>
                  <w:r w:rsidR="00FE304D" w:rsidRPr="00154C6E">
                    <w:rPr>
                      <w:rFonts w:cs="Times New Roman"/>
                      <w:bCs/>
                      <w:sz w:val="20"/>
                      <w:szCs w:val="20"/>
                    </w:rPr>
                    <w:t>贮存库建筑面积</w:t>
                  </w:r>
                  <w:r w:rsidR="00FE304D" w:rsidRPr="00154C6E">
                    <w:rPr>
                      <w:rFonts w:cs="Times New Roman"/>
                      <w:bCs/>
                      <w:sz w:val="20"/>
                      <w:szCs w:val="20"/>
                    </w:rPr>
                    <w:t>310m²</w:t>
                  </w:r>
                  <w:r w:rsidR="00FE304D" w:rsidRPr="00154C6E">
                    <w:rPr>
                      <w:rFonts w:cs="Times New Roman"/>
                      <w:bCs/>
                      <w:sz w:val="20"/>
                      <w:szCs w:val="20"/>
                    </w:rPr>
                    <w:t>。</w:t>
                  </w:r>
                  <w:r w:rsidR="00FE304D" w:rsidRPr="00154C6E">
                    <w:rPr>
                      <w:rFonts w:cs="Times New Roman"/>
                      <w:bCs/>
                      <w:sz w:val="20"/>
                      <w:szCs w:val="20"/>
                    </w:rPr>
                    <w:t>120L</w:t>
                  </w:r>
                  <w:r w:rsidR="00FE304D" w:rsidRPr="00154C6E">
                    <w:rPr>
                      <w:rFonts w:cs="Times New Roman"/>
                      <w:bCs/>
                      <w:sz w:val="20"/>
                      <w:szCs w:val="20"/>
                    </w:rPr>
                    <w:t>桶（直径约</w:t>
                  </w:r>
                  <w:r w:rsidR="00FE304D" w:rsidRPr="00154C6E">
                    <w:rPr>
                      <w:rFonts w:cs="Times New Roman"/>
                      <w:bCs/>
                      <w:sz w:val="20"/>
                      <w:szCs w:val="20"/>
                    </w:rPr>
                    <w:t>0.5m</w:t>
                  </w:r>
                  <w:r w:rsidR="00FE304D" w:rsidRPr="00154C6E">
                    <w:rPr>
                      <w:rFonts w:cs="Times New Roman"/>
                      <w:bCs/>
                      <w:sz w:val="20"/>
                      <w:szCs w:val="20"/>
                    </w:rPr>
                    <w:t>，按</w:t>
                  </w:r>
                  <w:r w:rsidR="00FE304D" w:rsidRPr="00154C6E">
                    <w:rPr>
                      <w:rFonts w:cs="Times New Roman"/>
                      <w:bCs/>
                      <w:sz w:val="20"/>
                      <w:szCs w:val="20"/>
                    </w:rPr>
                    <w:t>0.25m²/</w:t>
                  </w:r>
                  <w:r w:rsidR="00FE304D" w:rsidRPr="00154C6E">
                    <w:rPr>
                      <w:rFonts w:cs="Times New Roman"/>
                      <w:bCs/>
                      <w:sz w:val="20"/>
                      <w:szCs w:val="20"/>
                    </w:rPr>
                    <w:t>个）、</w:t>
                  </w:r>
                  <w:r w:rsidR="00FE304D" w:rsidRPr="00154C6E">
                    <w:rPr>
                      <w:rFonts w:cs="Times New Roman"/>
                      <w:bCs/>
                      <w:sz w:val="20"/>
                      <w:szCs w:val="20"/>
                    </w:rPr>
                    <w:t>80L</w:t>
                  </w:r>
                  <w:r w:rsidR="00FE304D" w:rsidRPr="00154C6E">
                    <w:rPr>
                      <w:rFonts w:cs="Times New Roman"/>
                      <w:bCs/>
                      <w:sz w:val="20"/>
                      <w:szCs w:val="20"/>
                    </w:rPr>
                    <w:t>桶（按</w:t>
                  </w:r>
                  <w:r w:rsidR="00FE304D" w:rsidRPr="00154C6E">
                    <w:rPr>
                      <w:rFonts w:cs="Times New Roman"/>
                      <w:bCs/>
                      <w:sz w:val="20"/>
                      <w:szCs w:val="20"/>
                    </w:rPr>
                    <w:t>0.2m²/</w:t>
                  </w:r>
                  <w:r w:rsidR="00FE304D" w:rsidRPr="00154C6E">
                    <w:rPr>
                      <w:rFonts w:cs="Times New Roman"/>
                      <w:bCs/>
                      <w:sz w:val="20"/>
                      <w:szCs w:val="20"/>
                    </w:rPr>
                    <w:t>个）、</w:t>
                  </w:r>
                  <w:r w:rsidR="00FE304D" w:rsidRPr="00154C6E">
                    <w:rPr>
                      <w:rFonts w:cs="Times New Roman"/>
                      <w:bCs/>
                      <w:sz w:val="20"/>
                      <w:szCs w:val="20"/>
                    </w:rPr>
                    <w:t>200L</w:t>
                  </w:r>
                  <w:r w:rsidR="00FE304D" w:rsidRPr="00154C6E">
                    <w:rPr>
                      <w:rFonts w:cs="Times New Roman"/>
                      <w:bCs/>
                      <w:sz w:val="20"/>
                      <w:szCs w:val="20"/>
                    </w:rPr>
                    <w:t>桶（直径约</w:t>
                  </w:r>
                  <w:r w:rsidR="00FE304D" w:rsidRPr="00154C6E">
                    <w:rPr>
                      <w:rFonts w:cs="Times New Roman"/>
                      <w:bCs/>
                      <w:sz w:val="20"/>
                      <w:szCs w:val="20"/>
                    </w:rPr>
                    <w:t>0.6m</w:t>
                  </w:r>
                  <w:r w:rsidR="00FE304D" w:rsidRPr="00154C6E">
                    <w:rPr>
                      <w:rFonts w:cs="Times New Roman"/>
                      <w:bCs/>
                      <w:sz w:val="20"/>
                      <w:szCs w:val="20"/>
                    </w:rPr>
                    <w:t>，按</w:t>
                  </w:r>
                  <w:r w:rsidR="00FE304D" w:rsidRPr="00154C6E">
                    <w:rPr>
                      <w:rFonts w:cs="Times New Roman"/>
                      <w:bCs/>
                      <w:sz w:val="20"/>
                      <w:szCs w:val="20"/>
                    </w:rPr>
                    <w:t>0.36m²/</w:t>
                  </w:r>
                  <w:r w:rsidR="00FE304D" w:rsidRPr="00154C6E">
                    <w:rPr>
                      <w:rFonts w:cs="Times New Roman"/>
                      <w:bCs/>
                      <w:sz w:val="20"/>
                      <w:szCs w:val="20"/>
                    </w:rPr>
                    <w:t>个）核算，上表桶装区纯占地约</w:t>
                  </w:r>
                  <w:r w:rsidR="00FE304D" w:rsidRPr="00154C6E">
                    <w:rPr>
                      <w:rFonts w:cs="Times New Roman"/>
                      <w:bCs/>
                      <w:sz w:val="20"/>
                      <w:szCs w:val="20"/>
                    </w:rPr>
                    <w:t>205.2m²</w:t>
                  </w:r>
                  <w:r w:rsidR="00FE304D" w:rsidRPr="00154C6E">
                    <w:rPr>
                      <w:rFonts w:cs="Times New Roman"/>
                      <w:bCs/>
                      <w:sz w:val="20"/>
                      <w:szCs w:val="20"/>
                    </w:rPr>
                    <w:t>。考虑到</w:t>
                  </w:r>
                  <w:r w:rsidR="00FE3E31" w:rsidRPr="00FE3E31">
                    <w:rPr>
                      <w:rFonts w:cs="Times New Roman" w:hint="eastAsia"/>
                      <w:bCs/>
                      <w:sz w:val="20"/>
                      <w:szCs w:val="20"/>
                    </w:rPr>
                    <w:t>危险废物</w:t>
                  </w:r>
                  <w:r w:rsidR="00FE304D" w:rsidRPr="00154C6E">
                    <w:rPr>
                      <w:rFonts w:cs="Times New Roman"/>
                      <w:bCs/>
                      <w:sz w:val="20"/>
                      <w:szCs w:val="20"/>
                    </w:rPr>
                    <w:t>分区隔离、防泄漏托盘及搬运通道，面积系数按</w:t>
                  </w:r>
                  <w:r w:rsidR="00FE304D" w:rsidRPr="00154C6E">
                    <w:rPr>
                      <w:rFonts w:cs="Times New Roman"/>
                      <w:bCs/>
                      <w:sz w:val="20"/>
                      <w:szCs w:val="20"/>
                    </w:rPr>
                    <w:t>50%</w:t>
                  </w:r>
                  <w:r w:rsidR="00FE304D" w:rsidRPr="00154C6E">
                    <w:rPr>
                      <w:rFonts w:cs="Times New Roman"/>
                      <w:bCs/>
                      <w:sz w:val="20"/>
                      <w:szCs w:val="20"/>
                    </w:rPr>
                    <w:t>计，合计约</w:t>
                  </w:r>
                  <w:r w:rsidR="00FE304D" w:rsidRPr="00154C6E">
                    <w:rPr>
                      <w:rFonts w:cs="Times New Roman"/>
                      <w:bCs/>
                      <w:sz w:val="20"/>
                      <w:szCs w:val="20"/>
                    </w:rPr>
                    <w:t>307.8m²</w:t>
                  </w:r>
                  <w:r w:rsidR="00FE304D" w:rsidRPr="00154C6E">
                    <w:rPr>
                      <w:rFonts w:cs="Times New Roman"/>
                      <w:bCs/>
                      <w:sz w:val="20"/>
                      <w:szCs w:val="20"/>
                    </w:rPr>
                    <w:t>，小于</w:t>
                  </w:r>
                  <w:r w:rsidR="00FE304D" w:rsidRPr="00154C6E">
                    <w:rPr>
                      <w:rFonts w:cs="Times New Roman"/>
                      <w:bCs/>
                      <w:sz w:val="20"/>
                      <w:szCs w:val="20"/>
                    </w:rPr>
                    <w:t>310m²</w:t>
                  </w:r>
                  <w:r w:rsidR="00FE304D" w:rsidRPr="00154C6E">
                    <w:rPr>
                      <w:rFonts w:cs="Times New Roman"/>
                      <w:bCs/>
                      <w:sz w:val="20"/>
                      <w:szCs w:val="20"/>
                    </w:rPr>
                    <w:t>，库房面积基本满足单层贮存需求。</w:t>
                  </w:r>
                </w:p>
              </w:tc>
            </w:tr>
          </w:tbl>
          <w:p w14:paraId="025E9EE7" w14:textId="77777777" w:rsidR="003C4F46" w:rsidRDefault="004B6A81">
            <w:pPr>
              <w:adjustRightInd w:val="0"/>
              <w:snapToGrid w:val="0"/>
              <w:ind w:firstLineChars="0" w:firstLine="0"/>
              <w:rPr>
                <w:rFonts w:cs="Times New Roman"/>
                <w:b/>
              </w:rPr>
            </w:pPr>
            <w:bookmarkStart w:id="15" w:name="_Hlk76403418"/>
            <w:bookmarkStart w:id="16" w:name="_Hlk97245573"/>
            <w:r>
              <w:rPr>
                <w:rFonts w:cs="Times New Roman"/>
                <w:b/>
              </w:rPr>
              <w:t>2.9</w:t>
            </w:r>
            <w:r>
              <w:rPr>
                <w:rFonts w:cs="Times New Roman"/>
                <w:b/>
              </w:rPr>
              <w:t>公用工程</w:t>
            </w:r>
          </w:p>
          <w:p w14:paraId="0302BC58" w14:textId="77777777" w:rsidR="003C4F46" w:rsidRDefault="004B6A81">
            <w:pPr>
              <w:adjustRightInd w:val="0"/>
              <w:snapToGrid w:val="0"/>
              <w:ind w:firstLine="480"/>
              <w:rPr>
                <w:rFonts w:cs="Times New Roman"/>
                <w:bCs/>
              </w:rPr>
            </w:pPr>
            <w:r>
              <w:rPr>
                <w:rFonts w:cs="Times New Roman"/>
                <w:bCs/>
              </w:rPr>
              <w:t>（</w:t>
            </w:r>
            <w:r>
              <w:rPr>
                <w:rFonts w:cs="Times New Roman"/>
                <w:bCs/>
              </w:rPr>
              <w:t>1</w:t>
            </w:r>
            <w:r>
              <w:rPr>
                <w:rFonts w:cs="Times New Roman"/>
                <w:bCs/>
              </w:rPr>
              <w:t>）供水</w:t>
            </w:r>
          </w:p>
          <w:p w14:paraId="1B0026D5" w14:textId="77777777" w:rsidR="003C4F46" w:rsidRDefault="004B6A81">
            <w:pPr>
              <w:adjustRightInd w:val="0"/>
              <w:snapToGrid w:val="0"/>
              <w:ind w:firstLine="480"/>
              <w:rPr>
                <w:rFonts w:cs="Times New Roman"/>
                <w:bCs/>
              </w:rPr>
            </w:pPr>
            <w:r>
              <w:rPr>
                <w:rFonts w:cs="Times New Roman"/>
                <w:bCs/>
              </w:rPr>
              <w:t>本项目用水主要为员工生活用水。本项目供水依托园区供水系统，保证生活用水。水质满足《生活饮用水卫生标准》（</w:t>
            </w:r>
            <w:r>
              <w:rPr>
                <w:rFonts w:cs="Times New Roman"/>
                <w:bCs/>
              </w:rPr>
              <w:t>GB5749-2022</w:t>
            </w:r>
            <w:r>
              <w:rPr>
                <w:rFonts w:cs="Times New Roman"/>
                <w:bCs/>
              </w:rPr>
              <w:t>）的规定。</w:t>
            </w:r>
          </w:p>
          <w:p w14:paraId="6FDE7FF4" w14:textId="77777777" w:rsidR="003C4F46" w:rsidRDefault="004B6A81">
            <w:pPr>
              <w:numPr>
                <w:ilvl w:val="0"/>
                <w:numId w:val="2"/>
              </w:numPr>
              <w:adjustRightInd w:val="0"/>
              <w:snapToGrid w:val="0"/>
              <w:ind w:firstLine="480"/>
              <w:rPr>
                <w:rFonts w:cs="Times New Roman"/>
                <w:bCs/>
              </w:rPr>
            </w:pPr>
            <w:r>
              <w:rPr>
                <w:rFonts w:cs="Times New Roman"/>
                <w:bCs/>
              </w:rPr>
              <w:t>供电</w:t>
            </w:r>
          </w:p>
          <w:p w14:paraId="45DFB03F" w14:textId="77777777" w:rsidR="003C4F46" w:rsidRDefault="004B6A81">
            <w:pPr>
              <w:adjustRightInd w:val="0"/>
              <w:snapToGrid w:val="0"/>
              <w:ind w:firstLine="480"/>
              <w:rPr>
                <w:rFonts w:cs="Times New Roman"/>
                <w:bCs/>
              </w:rPr>
            </w:pPr>
            <w:r>
              <w:rPr>
                <w:rFonts w:cs="Times New Roman"/>
                <w:bCs/>
              </w:rPr>
              <w:t>本项目用电由市政供电公司提供。</w:t>
            </w:r>
          </w:p>
          <w:p w14:paraId="31793D6D" w14:textId="77777777" w:rsidR="003C4F46" w:rsidRDefault="004B6A81">
            <w:pPr>
              <w:numPr>
                <w:ilvl w:val="0"/>
                <w:numId w:val="2"/>
              </w:numPr>
              <w:adjustRightInd w:val="0"/>
              <w:snapToGrid w:val="0"/>
              <w:ind w:firstLine="480"/>
              <w:rPr>
                <w:rFonts w:cs="Times New Roman"/>
                <w:bCs/>
              </w:rPr>
            </w:pPr>
            <w:r>
              <w:rPr>
                <w:rFonts w:cs="Times New Roman"/>
                <w:bCs/>
              </w:rPr>
              <w:t>供暖</w:t>
            </w:r>
          </w:p>
          <w:p w14:paraId="13363E97" w14:textId="77777777" w:rsidR="003C4F46" w:rsidRDefault="004B6A81">
            <w:pPr>
              <w:adjustRightInd w:val="0"/>
              <w:snapToGrid w:val="0"/>
              <w:ind w:firstLine="480"/>
              <w:rPr>
                <w:rFonts w:cs="Times New Roman"/>
                <w:bCs/>
              </w:rPr>
            </w:pPr>
            <w:r>
              <w:rPr>
                <w:rFonts w:cs="Times New Roman"/>
                <w:bCs/>
              </w:rPr>
              <w:t>项目运营期供暖主要为办公人员冬季采暖，</w:t>
            </w:r>
            <w:r>
              <w:rPr>
                <w:rFonts w:cs="Times New Roman" w:hint="eastAsia"/>
                <w:bCs/>
              </w:rPr>
              <w:t>采用集中供热</w:t>
            </w:r>
            <w:r>
              <w:rPr>
                <w:rFonts w:cs="Times New Roman"/>
                <w:bCs/>
              </w:rPr>
              <w:t>。</w:t>
            </w:r>
          </w:p>
          <w:p w14:paraId="230BDEFB" w14:textId="77777777" w:rsidR="003C4F46" w:rsidRDefault="004B6A81">
            <w:pPr>
              <w:adjustRightInd w:val="0"/>
              <w:snapToGrid w:val="0"/>
              <w:ind w:firstLineChars="0" w:firstLine="0"/>
              <w:rPr>
                <w:rFonts w:cs="Times New Roman"/>
                <w:b/>
              </w:rPr>
            </w:pPr>
            <w:r>
              <w:rPr>
                <w:rFonts w:cs="Times New Roman"/>
                <w:b/>
              </w:rPr>
              <w:t>2.10</w:t>
            </w:r>
            <w:r>
              <w:rPr>
                <w:rFonts w:cs="Times New Roman" w:hint="eastAsia"/>
                <w:b/>
              </w:rPr>
              <w:t>劳动定员</w:t>
            </w:r>
          </w:p>
          <w:p w14:paraId="1975F889" w14:textId="77777777" w:rsidR="003C4F46" w:rsidRDefault="004B6A81">
            <w:pPr>
              <w:adjustRightInd w:val="0"/>
              <w:snapToGrid w:val="0"/>
              <w:ind w:firstLine="480"/>
            </w:pPr>
            <w:r>
              <w:rPr>
                <w:rFonts w:cs="Times New Roman" w:hint="eastAsia"/>
                <w:bCs/>
              </w:rPr>
              <w:t>本项目新增工作人员</w:t>
            </w:r>
            <w:r>
              <w:rPr>
                <w:rFonts w:cs="Times New Roman" w:hint="eastAsia"/>
                <w:bCs/>
              </w:rPr>
              <w:t>6</w:t>
            </w:r>
            <w:r>
              <w:rPr>
                <w:rFonts w:cs="Times New Roman" w:hint="eastAsia"/>
                <w:bCs/>
              </w:rPr>
              <w:t>人，</w:t>
            </w:r>
            <w:r>
              <w:rPr>
                <w:rFonts w:cs="Times New Roman"/>
                <w:bCs/>
                <w:szCs w:val="24"/>
              </w:rPr>
              <w:t>全年工作时间为</w:t>
            </w:r>
            <w:r>
              <w:rPr>
                <w:rFonts w:cs="Times New Roman"/>
                <w:bCs/>
                <w:szCs w:val="24"/>
              </w:rPr>
              <w:t>330</w:t>
            </w:r>
            <w:r>
              <w:rPr>
                <w:rFonts w:cs="Times New Roman"/>
                <w:bCs/>
                <w:szCs w:val="24"/>
              </w:rPr>
              <w:t>天，</w:t>
            </w:r>
            <w:r>
              <w:rPr>
                <w:rFonts w:cs="Times New Roman"/>
                <w:bCs/>
                <w:color w:val="000000"/>
                <w:szCs w:val="24"/>
              </w:rPr>
              <w:t>24h</w:t>
            </w:r>
            <w:r>
              <w:rPr>
                <w:rFonts w:cs="Times New Roman" w:hint="eastAsia"/>
                <w:bCs/>
                <w:color w:val="000000"/>
                <w:szCs w:val="24"/>
              </w:rPr>
              <w:t>工作制</w:t>
            </w:r>
            <w:r>
              <w:rPr>
                <w:rFonts w:cs="Times New Roman"/>
                <w:bCs/>
                <w:color w:val="000000"/>
                <w:szCs w:val="24"/>
              </w:rPr>
              <w:t>，全年运行</w:t>
            </w:r>
            <w:r>
              <w:rPr>
                <w:rFonts w:cs="Times New Roman"/>
                <w:bCs/>
                <w:color w:val="000000"/>
                <w:szCs w:val="24"/>
              </w:rPr>
              <w:t>7920h</w:t>
            </w:r>
            <w:r>
              <w:rPr>
                <w:rFonts w:cs="Times New Roman"/>
                <w:bCs/>
                <w:color w:val="000000"/>
                <w:szCs w:val="24"/>
              </w:rPr>
              <w:t>。</w:t>
            </w:r>
          </w:p>
          <w:bookmarkEnd w:id="15"/>
          <w:p w14:paraId="5DCC5FD5" w14:textId="77777777" w:rsidR="003C4F46" w:rsidRDefault="004B6A81">
            <w:pPr>
              <w:pStyle w:val="2"/>
              <w:rPr>
                <w:color w:val="000000" w:themeColor="text1"/>
              </w:rPr>
            </w:pPr>
            <w:r>
              <w:rPr>
                <w:color w:val="000000" w:themeColor="text1"/>
              </w:rPr>
              <w:t>2.11</w:t>
            </w:r>
            <w:r>
              <w:rPr>
                <w:rFonts w:hint="eastAsia"/>
                <w:color w:val="000000" w:themeColor="text1"/>
              </w:rPr>
              <w:t>选址及总平面布置</w:t>
            </w:r>
            <w:bookmarkEnd w:id="16"/>
          </w:p>
          <w:p w14:paraId="048553D6" w14:textId="319117A5" w:rsidR="003C4F46" w:rsidRDefault="004B6A81">
            <w:pPr>
              <w:ind w:firstLine="480"/>
              <w:rPr>
                <w:rFonts w:cs="Times New Roman"/>
                <w:color w:val="000000" w:themeColor="text1"/>
              </w:rPr>
            </w:pPr>
            <w:r>
              <w:rPr>
                <w:rFonts w:cs="Times New Roman" w:hint="eastAsia"/>
                <w:color w:val="000000" w:themeColor="text1"/>
              </w:rPr>
              <w:t>本项目</w:t>
            </w:r>
            <w:r>
              <w:rPr>
                <w:rFonts w:cs="Times New Roman" w:hint="eastAsia"/>
                <w:color w:val="000000" w:themeColor="text1"/>
              </w:rPr>
              <w:t>1#</w:t>
            </w:r>
            <w:r>
              <w:rPr>
                <w:rFonts w:cs="Times New Roman" w:hint="eastAsia"/>
                <w:color w:val="000000" w:themeColor="text1"/>
              </w:rPr>
              <w:t>贮存库位于轮台塔中石油化工有限公司现厂区中部偏西，西侧为机修车间，北侧为消防泵房及消防水池，东侧为废油再生装置，南侧为车库、配电室及库房。废矿物油储罐位于厂区北侧罐区内。</w:t>
            </w:r>
          </w:p>
          <w:p w14:paraId="09EDE9F9" w14:textId="35E77D4C" w:rsidR="003C4F46" w:rsidRDefault="004B6A81">
            <w:pPr>
              <w:ind w:firstLine="480"/>
              <w:rPr>
                <w:rFonts w:cs="Times New Roman"/>
                <w:color w:val="000000" w:themeColor="text1"/>
              </w:rPr>
            </w:pPr>
            <w:r>
              <w:rPr>
                <w:rFonts w:cs="Times New Roman" w:hint="eastAsia"/>
                <w:color w:val="000000" w:themeColor="text1"/>
              </w:rPr>
              <w:t>轮台塔中石油化工有限公司厂区呈矩形，南北方向为长轴。南部为办公区，中部为生产区、原料库及污水处理设施，北部为罐区。生产车间内部分区设置，包括生产区、原料临时存放区及产品区，各区域间实现内部转运。</w:t>
            </w:r>
          </w:p>
          <w:p w14:paraId="0735B5E6" w14:textId="77777777" w:rsidR="003C4F46" w:rsidRDefault="004B6A81">
            <w:pPr>
              <w:ind w:firstLine="480"/>
              <w:rPr>
                <w:rFonts w:cs="Times New Roman"/>
                <w:color w:val="000000" w:themeColor="text1"/>
              </w:rPr>
            </w:pPr>
            <w:r>
              <w:rPr>
                <w:rFonts w:cs="Times New Roman" w:hint="eastAsia"/>
                <w:color w:val="000000" w:themeColor="text1"/>
              </w:rPr>
              <w:t>整体布置结合生产工艺要求，功能分区明确，物流运输顺畅，能够满足项目生产需求。</w:t>
            </w:r>
          </w:p>
          <w:p w14:paraId="328FF420" w14:textId="77777777" w:rsidR="003C4F46" w:rsidRDefault="004B6A81">
            <w:pPr>
              <w:ind w:firstLine="480"/>
            </w:pPr>
            <w:r>
              <w:rPr>
                <w:rFonts w:cs="Times New Roman" w:hint="eastAsia"/>
                <w:color w:val="000000" w:themeColor="text1"/>
              </w:rPr>
              <w:t>综上所述，本项目总平面布置功能分区明确，各项配套设施均在整体布局中统筹考</w:t>
            </w:r>
            <w:r>
              <w:rPr>
                <w:rFonts w:cs="Times New Roman" w:hint="eastAsia"/>
                <w:color w:val="000000" w:themeColor="text1"/>
              </w:rPr>
              <w:lastRenderedPageBreak/>
              <w:t>虑，并兼顾了环保要求。从环境保护角度分析，本项目总平面布置合理。厂区平面图见附图</w:t>
            </w:r>
            <w:r>
              <w:rPr>
                <w:rFonts w:cs="Times New Roman" w:hint="eastAsia"/>
                <w:color w:val="000000" w:themeColor="text1"/>
              </w:rPr>
              <w:t>2</w:t>
            </w:r>
            <w:r>
              <w:rPr>
                <w:rFonts w:hint="eastAsia"/>
              </w:rPr>
              <w:t>。</w:t>
            </w:r>
          </w:p>
          <w:p w14:paraId="5795329C" w14:textId="77777777" w:rsidR="003C4F46" w:rsidRDefault="004B6A81">
            <w:pPr>
              <w:ind w:firstLineChars="0" w:firstLine="0"/>
            </w:pPr>
            <w:r>
              <w:rPr>
                <w:rFonts w:cs="Times New Roman"/>
                <w:b/>
              </w:rPr>
              <w:t>2.12</w:t>
            </w:r>
            <w:r>
              <w:rPr>
                <w:rFonts w:cs="Times New Roman" w:hint="eastAsia"/>
                <w:b/>
              </w:rPr>
              <w:t>依托工程</w:t>
            </w:r>
          </w:p>
          <w:p w14:paraId="11C3735A" w14:textId="2DB879F6" w:rsidR="003C4F46" w:rsidRDefault="004B6A81">
            <w:pPr>
              <w:ind w:firstLine="480"/>
            </w:pPr>
            <w:r>
              <w:rPr>
                <w:rFonts w:cs="Times New Roman" w:hint="eastAsia"/>
                <w:color w:val="000000"/>
                <w:kern w:val="0"/>
                <w:szCs w:val="24"/>
              </w:rPr>
              <w:t>本项目危险废物采用密封容器盛装，贮存</w:t>
            </w:r>
            <w:r w:rsidR="00CF46A4" w:rsidRPr="00CF46A4">
              <w:rPr>
                <w:rFonts w:cs="Times New Roman" w:hint="eastAsia"/>
                <w:color w:val="000000"/>
                <w:kern w:val="0"/>
                <w:szCs w:val="24"/>
              </w:rPr>
              <w:t>库</w:t>
            </w:r>
            <w:r>
              <w:rPr>
                <w:rFonts w:cs="Times New Roman" w:hint="eastAsia"/>
                <w:color w:val="000000"/>
                <w:kern w:val="0"/>
                <w:szCs w:val="24"/>
              </w:rPr>
              <w:t>废气经负压收集后依托轮台塔中石油化工有限公司现有活性炭吸附装置处理，尾气通过</w:t>
            </w:r>
            <w:r>
              <w:rPr>
                <w:rFonts w:cs="Times New Roman" w:hint="eastAsia"/>
                <w:color w:val="000000"/>
                <w:kern w:val="0"/>
                <w:szCs w:val="24"/>
              </w:rPr>
              <w:t>15m</w:t>
            </w:r>
            <w:r>
              <w:rPr>
                <w:rFonts w:cs="Times New Roman" w:hint="eastAsia"/>
                <w:color w:val="000000"/>
                <w:kern w:val="0"/>
                <w:szCs w:val="24"/>
              </w:rPr>
              <w:t>高排气筒排放。该废气处理设施与厂区“</w:t>
            </w:r>
            <w:r>
              <w:rPr>
                <w:rFonts w:cs="Times New Roman" w:hint="eastAsia"/>
                <w:color w:val="000000"/>
                <w:kern w:val="0"/>
                <w:szCs w:val="24"/>
              </w:rPr>
              <w:t>2</w:t>
            </w:r>
            <w:r>
              <w:rPr>
                <w:rFonts w:cs="Times New Roman" w:hint="eastAsia"/>
                <w:color w:val="000000"/>
                <w:kern w:val="0"/>
                <w:szCs w:val="24"/>
              </w:rPr>
              <w:t>万吨</w:t>
            </w:r>
            <w:r>
              <w:rPr>
                <w:rFonts w:cs="Times New Roman" w:hint="eastAsia"/>
                <w:color w:val="000000"/>
                <w:kern w:val="0"/>
                <w:szCs w:val="24"/>
              </w:rPr>
              <w:t>/</w:t>
            </w:r>
            <w:r>
              <w:rPr>
                <w:rFonts w:cs="Times New Roman" w:hint="eastAsia"/>
                <w:color w:val="000000"/>
                <w:kern w:val="0"/>
                <w:szCs w:val="24"/>
              </w:rPr>
              <w:t>年废包装桶及废机油滤芯再生利用扩建项目”生产车间共用。</w:t>
            </w:r>
          </w:p>
          <w:p w14:paraId="122CEDA9" w14:textId="77777777" w:rsidR="003C4F46" w:rsidRDefault="004B6A81">
            <w:pPr>
              <w:adjustRightInd w:val="0"/>
              <w:snapToGrid w:val="0"/>
              <w:ind w:firstLine="480"/>
              <w:rPr>
                <w:rFonts w:cs="Times New Roman"/>
                <w:color w:val="000000"/>
                <w:kern w:val="0"/>
                <w:szCs w:val="24"/>
              </w:rPr>
            </w:pPr>
            <w:r>
              <w:rPr>
                <w:rFonts w:cs="Times New Roman" w:hint="eastAsia"/>
                <w:color w:val="000000"/>
                <w:kern w:val="0"/>
                <w:szCs w:val="24"/>
              </w:rPr>
              <w:t>本项目依托轮台塔中石油化工有限公司现有设施主要包括：办公宿舍楼、厂区运输道路及活性炭吸附装置。轮台塔中石油化工有限公司环保手续履行情况如下：</w:t>
            </w:r>
          </w:p>
          <w:p w14:paraId="60A61514" w14:textId="6B3BD938" w:rsidR="003C4F46" w:rsidRDefault="004B6A81">
            <w:pPr>
              <w:spacing w:line="240" w:lineRule="auto"/>
              <w:ind w:firstLineChars="0" w:firstLine="0"/>
              <w:jc w:val="center"/>
              <w:textAlignment w:val="auto"/>
              <w:rPr>
                <w:rFonts w:cs="Times New Roman"/>
                <w:b/>
                <w:bCs/>
                <w:color w:val="000000"/>
                <w:sz w:val="21"/>
                <w:szCs w:val="21"/>
              </w:rPr>
            </w:pPr>
            <w:r>
              <w:rPr>
                <w:rFonts w:cs="Times New Roman" w:hint="eastAsia"/>
                <w:b/>
                <w:bCs/>
                <w:color w:val="000000"/>
                <w:sz w:val="21"/>
                <w:szCs w:val="21"/>
              </w:rPr>
              <w:t>表</w:t>
            </w:r>
            <w:r>
              <w:rPr>
                <w:rFonts w:cs="Times New Roman" w:hint="eastAsia"/>
                <w:b/>
                <w:bCs/>
                <w:color w:val="000000"/>
                <w:sz w:val="21"/>
                <w:szCs w:val="21"/>
              </w:rPr>
              <w:t>2-</w:t>
            </w:r>
            <w:r w:rsidR="008222DE">
              <w:rPr>
                <w:rFonts w:cs="Times New Roman"/>
                <w:b/>
                <w:bCs/>
                <w:color w:val="000000"/>
                <w:sz w:val="21"/>
                <w:szCs w:val="21"/>
              </w:rPr>
              <w:t>9</w:t>
            </w:r>
            <w:r>
              <w:rPr>
                <w:rFonts w:cs="Times New Roman" w:hint="eastAsia"/>
                <w:b/>
                <w:bCs/>
                <w:color w:val="000000"/>
                <w:sz w:val="21"/>
                <w:szCs w:val="21"/>
              </w:rPr>
              <w:t xml:space="preserve">  </w:t>
            </w:r>
            <w:r>
              <w:rPr>
                <w:rFonts w:cs="Times New Roman" w:hint="eastAsia"/>
                <w:b/>
                <w:bCs/>
                <w:color w:val="000000"/>
                <w:sz w:val="21"/>
                <w:szCs w:val="21"/>
              </w:rPr>
              <w:t>轮台塔中石油化工有限公司环保手续履行情况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99"/>
              <w:gridCol w:w="1963"/>
              <w:gridCol w:w="954"/>
              <w:gridCol w:w="1483"/>
              <w:gridCol w:w="2862"/>
              <w:gridCol w:w="1329"/>
            </w:tblGrid>
            <w:tr w:rsidR="003C4F46" w14:paraId="791B1683" w14:textId="77777777">
              <w:tc>
                <w:tcPr>
                  <w:tcW w:w="274" w:type="pct"/>
                  <w:vAlign w:val="center"/>
                </w:tcPr>
                <w:p w14:paraId="5E83924E"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序号</w:t>
                  </w:r>
                </w:p>
              </w:tc>
              <w:tc>
                <w:tcPr>
                  <w:tcW w:w="1078" w:type="pct"/>
                  <w:vAlign w:val="center"/>
                </w:tcPr>
                <w:p w14:paraId="7890A5B4"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工程名称</w:t>
                  </w:r>
                </w:p>
              </w:tc>
              <w:tc>
                <w:tcPr>
                  <w:tcW w:w="525" w:type="pct"/>
                  <w:vAlign w:val="center"/>
                </w:tcPr>
                <w:p w14:paraId="6031F5C1"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环保手续</w:t>
                  </w:r>
                </w:p>
              </w:tc>
              <w:tc>
                <w:tcPr>
                  <w:tcW w:w="816" w:type="pct"/>
                  <w:vAlign w:val="center"/>
                </w:tcPr>
                <w:p w14:paraId="77ADE79E"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审批机关</w:t>
                  </w:r>
                </w:p>
              </w:tc>
              <w:tc>
                <w:tcPr>
                  <w:tcW w:w="1573" w:type="pct"/>
                  <w:vAlign w:val="center"/>
                </w:tcPr>
                <w:p w14:paraId="659B97ED"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批文文号</w:t>
                  </w:r>
                </w:p>
              </w:tc>
              <w:tc>
                <w:tcPr>
                  <w:tcW w:w="731" w:type="pct"/>
                  <w:vAlign w:val="center"/>
                </w:tcPr>
                <w:p w14:paraId="1D203EEF"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批复时间</w:t>
                  </w:r>
                </w:p>
              </w:tc>
            </w:tr>
            <w:tr w:rsidR="003C4F46" w14:paraId="503B2ED6" w14:textId="77777777">
              <w:trPr>
                <w:trHeight w:val="863"/>
              </w:trPr>
              <w:tc>
                <w:tcPr>
                  <w:tcW w:w="274" w:type="pct"/>
                  <w:vMerge w:val="restart"/>
                  <w:vAlign w:val="center"/>
                </w:tcPr>
                <w:p w14:paraId="1F3B889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1</w:t>
                  </w:r>
                </w:p>
              </w:tc>
              <w:tc>
                <w:tcPr>
                  <w:tcW w:w="1078" w:type="pct"/>
                  <w:vMerge w:val="restart"/>
                  <w:vAlign w:val="center"/>
                </w:tcPr>
                <w:p w14:paraId="49F2E89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轮台塔中石油化工有限公司生产基地（</w:t>
                  </w:r>
                  <w:r>
                    <w:rPr>
                      <w:rFonts w:cs="Times New Roman"/>
                      <w:sz w:val="21"/>
                      <w:szCs w:val="21"/>
                    </w:rPr>
                    <w:t>5</w:t>
                  </w:r>
                  <w:r>
                    <w:rPr>
                      <w:rFonts w:cs="Times New Roman"/>
                      <w:sz w:val="21"/>
                      <w:szCs w:val="21"/>
                    </w:rPr>
                    <w:t>万</w:t>
                  </w:r>
                  <w:r>
                    <w:rPr>
                      <w:rFonts w:cs="Times New Roman"/>
                      <w:sz w:val="21"/>
                      <w:szCs w:val="21"/>
                    </w:rPr>
                    <w:t>t/a</w:t>
                  </w:r>
                  <w:r>
                    <w:rPr>
                      <w:rFonts w:cs="Times New Roman"/>
                      <w:sz w:val="21"/>
                      <w:szCs w:val="21"/>
                    </w:rPr>
                    <w:t>废油再生利用项目）</w:t>
                  </w:r>
                </w:p>
              </w:tc>
              <w:tc>
                <w:tcPr>
                  <w:tcW w:w="525" w:type="pct"/>
                  <w:vAlign w:val="center"/>
                </w:tcPr>
                <w:p w14:paraId="06D18808"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环境</w:t>
                  </w:r>
                </w:p>
                <w:p w14:paraId="2F5C3D9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评价</w:t>
                  </w:r>
                </w:p>
              </w:tc>
              <w:tc>
                <w:tcPr>
                  <w:tcW w:w="816" w:type="pct"/>
                  <w:vAlign w:val="center"/>
                </w:tcPr>
                <w:p w14:paraId="12ADCA50" w14:textId="65A2C948" w:rsidR="003C4F46" w:rsidRDefault="00B46287">
                  <w:pPr>
                    <w:adjustRightInd w:val="0"/>
                    <w:snapToGrid w:val="0"/>
                    <w:spacing w:line="240" w:lineRule="auto"/>
                    <w:ind w:firstLineChars="0" w:firstLine="0"/>
                    <w:jc w:val="center"/>
                    <w:textAlignment w:val="auto"/>
                    <w:rPr>
                      <w:rFonts w:cs="Times New Roman"/>
                      <w:sz w:val="21"/>
                      <w:szCs w:val="21"/>
                    </w:rPr>
                  </w:pPr>
                  <w:r w:rsidRPr="00B46287">
                    <w:rPr>
                      <w:rFonts w:cs="Times New Roman" w:hint="eastAsia"/>
                      <w:sz w:val="21"/>
                      <w:szCs w:val="21"/>
                    </w:rPr>
                    <w:t>原新疆维吾尔自治区环境保护厅</w:t>
                  </w:r>
                </w:p>
              </w:tc>
              <w:tc>
                <w:tcPr>
                  <w:tcW w:w="1573" w:type="pct"/>
                  <w:vAlign w:val="center"/>
                </w:tcPr>
                <w:p w14:paraId="3037261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新环函〔</w:t>
                  </w:r>
                  <w:r>
                    <w:rPr>
                      <w:rFonts w:cs="Times New Roman"/>
                      <w:sz w:val="21"/>
                      <w:szCs w:val="21"/>
                    </w:rPr>
                    <w:t>2016</w:t>
                  </w:r>
                  <w:r>
                    <w:rPr>
                      <w:rFonts w:cs="Times New Roman"/>
                      <w:sz w:val="21"/>
                      <w:szCs w:val="21"/>
                    </w:rPr>
                    <w:t>〕</w:t>
                  </w:r>
                  <w:r>
                    <w:rPr>
                      <w:rFonts w:cs="Times New Roman"/>
                      <w:sz w:val="21"/>
                      <w:szCs w:val="21"/>
                    </w:rPr>
                    <w:t>1562</w:t>
                  </w:r>
                  <w:r>
                    <w:rPr>
                      <w:rFonts w:cs="Times New Roman"/>
                      <w:sz w:val="21"/>
                      <w:szCs w:val="21"/>
                    </w:rPr>
                    <w:t>号</w:t>
                  </w:r>
                </w:p>
              </w:tc>
              <w:tc>
                <w:tcPr>
                  <w:tcW w:w="731" w:type="pct"/>
                  <w:vAlign w:val="center"/>
                </w:tcPr>
                <w:p w14:paraId="4EBD538D"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2016.10.27</w:t>
                  </w:r>
                </w:p>
              </w:tc>
            </w:tr>
            <w:tr w:rsidR="003C4F46" w14:paraId="63E2C66D" w14:textId="77777777">
              <w:trPr>
                <w:trHeight w:val="567"/>
              </w:trPr>
              <w:tc>
                <w:tcPr>
                  <w:tcW w:w="274" w:type="pct"/>
                  <w:vMerge/>
                  <w:vAlign w:val="center"/>
                </w:tcPr>
                <w:p w14:paraId="0980AB67"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1078" w:type="pct"/>
                  <w:vMerge/>
                  <w:vAlign w:val="center"/>
                </w:tcPr>
                <w:p w14:paraId="283C31DC"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525" w:type="pct"/>
                  <w:vAlign w:val="center"/>
                </w:tcPr>
                <w:p w14:paraId="28519B8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环保</w:t>
                  </w:r>
                </w:p>
                <w:p w14:paraId="5DC8D61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验收</w:t>
                  </w:r>
                </w:p>
              </w:tc>
              <w:tc>
                <w:tcPr>
                  <w:tcW w:w="816" w:type="pct"/>
                  <w:vAlign w:val="center"/>
                </w:tcPr>
                <w:p w14:paraId="7CC961AD"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自主验收</w:t>
                  </w:r>
                </w:p>
              </w:tc>
              <w:tc>
                <w:tcPr>
                  <w:tcW w:w="1573" w:type="pct"/>
                  <w:vAlign w:val="center"/>
                </w:tcPr>
                <w:p w14:paraId="54B534B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2021</w:t>
                  </w:r>
                  <w:r>
                    <w:rPr>
                      <w:rFonts w:cs="Times New Roman"/>
                      <w:sz w:val="21"/>
                      <w:szCs w:val="21"/>
                    </w:rPr>
                    <w:t>年</w:t>
                  </w:r>
                  <w:r>
                    <w:rPr>
                      <w:rFonts w:cs="Times New Roman"/>
                      <w:sz w:val="21"/>
                      <w:szCs w:val="21"/>
                    </w:rPr>
                    <w:t>4</w:t>
                  </w:r>
                  <w:r>
                    <w:rPr>
                      <w:rFonts w:cs="Times New Roman"/>
                      <w:sz w:val="21"/>
                      <w:szCs w:val="21"/>
                    </w:rPr>
                    <w:t>月自主验收通过</w:t>
                  </w:r>
                </w:p>
              </w:tc>
              <w:tc>
                <w:tcPr>
                  <w:tcW w:w="731" w:type="pct"/>
                  <w:vAlign w:val="center"/>
                </w:tcPr>
                <w:p w14:paraId="46B3341B"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2021.04.10</w:t>
                  </w:r>
                </w:p>
              </w:tc>
            </w:tr>
            <w:tr w:rsidR="003C4F46" w14:paraId="36F0CC42" w14:textId="77777777">
              <w:trPr>
                <w:trHeight w:val="769"/>
              </w:trPr>
              <w:tc>
                <w:tcPr>
                  <w:tcW w:w="274" w:type="pct"/>
                  <w:vMerge w:val="restart"/>
                  <w:vAlign w:val="center"/>
                </w:tcPr>
                <w:p w14:paraId="0DE31C8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w:t>
                  </w:r>
                </w:p>
              </w:tc>
              <w:tc>
                <w:tcPr>
                  <w:tcW w:w="1078" w:type="pct"/>
                  <w:vMerge w:val="restart"/>
                  <w:vAlign w:val="center"/>
                </w:tcPr>
                <w:p w14:paraId="5CCAA4E9" w14:textId="6F03DE08"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轮台塔中石油化工有限公</w:t>
                  </w:r>
                  <w:r w:rsidR="00FD0AA1">
                    <w:rPr>
                      <w:rFonts w:cs="Times New Roman" w:hint="eastAsia"/>
                      <w:sz w:val="21"/>
                      <w:szCs w:val="21"/>
                    </w:rPr>
                    <w:t>司</w:t>
                  </w:r>
                  <w:r>
                    <w:rPr>
                      <w:rFonts w:cs="Times New Roman"/>
                      <w:sz w:val="21"/>
                      <w:szCs w:val="21"/>
                    </w:rPr>
                    <w:t>2</w:t>
                  </w:r>
                  <w:r>
                    <w:rPr>
                      <w:rFonts w:cs="Times New Roman"/>
                      <w:sz w:val="21"/>
                      <w:szCs w:val="21"/>
                    </w:rPr>
                    <w:t>万</w:t>
                  </w:r>
                  <w:r>
                    <w:rPr>
                      <w:rFonts w:cs="Times New Roman"/>
                      <w:sz w:val="21"/>
                      <w:szCs w:val="21"/>
                    </w:rPr>
                    <w:t>t/a</w:t>
                  </w:r>
                  <w:r>
                    <w:rPr>
                      <w:rFonts w:cs="Times New Roman"/>
                      <w:sz w:val="21"/>
                      <w:szCs w:val="21"/>
                    </w:rPr>
                    <w:t>废包装桶及废机油滤芯再生利用扩建项目</w:t>
                  </w:r>
                </w:p>
              </w:tc>
              <w:tc>
                <w:tcPr>
                  <w:tcW w:w="525" w:type="pct"/>
                  <w:vAlign w:val="center"/>
                </w:tcPr>
                <w:p w14:paraId="6525631F"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环境</w:t>
                  </w:r>
                </w:p>
                <w:p w14:paraId="66588C5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评价</w:t>
                  </w:r>
                </w:p>
              </w:tc>
              <w:tc>
                <w:tcPr>
                  <w:tcW w:w="816" w:type="pct"/>
                  <w:vAlign w:val="center"/>
                </w:tcPr>
                <w:p w14:paraId="6E0D4EB4"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新疆维吾尔自治区生态环境厅</w:t>
                  </w:r>
                </w:p>
              </w:tc>
              <w:tc>
                <w:tcPr>
                  <w:tcW w:w="1573" w:type="pct"/>
                  <w:vAlign w:val="center"/>
                </w:tcPr>
                <w:p w14:paraId="0F9152D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新环审〔</w:t>
                  </w:r>
                  <w:r>
                    <w:rPr>
                      <w:rFonts w:cs="Times New Roman"/>
                      <w:sz w:val="21"/>
                      <w:szCs w:val="21"/>
                    </w:rPr>
                    <w:t>2022</w:t>
                  </w:r>
                  <w:r>
                    <w:rPr>
                      <w:rFonts w:cs="Times New Roman"/>
                      <w:sz w:val="21"/>
                      <w:szCs w:val="21"/>
                    </w:rPr>
                    <w:t>〕</w:t>
                  </w:r>
                  <w:r>
                    <w:rPr>
                      <w:rFonts w:cs="Times New Roman"/>
                      <w:sz w:val="21"/>
                      <w:szCs w:val="21"/>
                    </w:rPr>
                    <w:t>267</w:t>
                  </w:r>
                  <w:r>
                    <w:rPr>
                      <w:rFonts w:cs="Times New Roman"/>
                      <w:sz w:val="21"/>
                      <w:szCs w:val="21"/>
                    </w:rPr>
                    <w:t>号</w:t>
                  </w:r>
                </w:p>
              </w:tc>
              <w:tc>
                <w:tcPr>
                  <w:tcW w:w="731" w:type="pct"/>
                  <w:vAlign w:val="center"/>
                </w:tcPr>
                <w:p w14:paraId="5522E67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2022.12.19</w:t>
                  </w:r>
                </w:p>
              </w:tc>
            </w:tr>
            <w:tr w:rsidR="003C4F46" w14:paraId="588F6F8B" w14:textId="77777777">
              <w:trPr>
                <w:trHeight w:val="567"/>
              </w:trPr>
              <w:tc>
                <w:tcPr>
                  <w:tcW w:w="274" w:type="pct"/>
                  <w:vMerge/>
                  <w:vAlign w:val="center"/>
                </w:tcPr>
                <w:p w14:paraId="4ED8D612"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1078" w:type="pct"/>
                  <w:vMerge/>
                  <w:vAlign w:val="center"/>
                </w:tcPr>
                <w:p w14:paraId="6F993F10"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525" w:type="pct"/>
                  <w:vAlign w:val="center"/>
                </w:tcPr>
                <w:p w14:paraId="6515307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环保</w:t>
                  </w:r>
                </w:p>
                <w:p w14:paraId="78F01A9E"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验收</w:t>
                  </w:r>
                </w:p>
              </w:tc>
              <w:tc>
                <w:tcPr>
                  <w:tcW w:w="816" w:type="pct"/>
                  <w:vAlign w:val="center"/>
                </w:tcPr>
                <w:p w14:paraId="2E3A08C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自主验收</w:t>
                  </w:r>
                </w:p>
              </w:tc>
              <w:tc>
                <w:tcPr>
                  <w:tcW w:w="1573" w:type="pct"/>
                  <w:vAlign w:val="center"/>
                </w:tcPr>
                <w:p w14:paraId="036E7037"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2026</w:t>
                  </w:r>
                  <w:r>
                    <w:rPr>
                      <w:rFonts w:cs="Times New Roman"/>
                      <w:sz w:val="21"/>
                      <w:szCs w:val="21"/>
                    </w:rPr>
                    <w:t>年</w:t>
                  </w:r>
                  <w:r>
                    <w:rPr>
                      <w:rFonts w:cs="Times New Roman"/>
                      <w:sz w:val="21"/>
                      <w:szCs w:val="21"/>
                    </w:rPr>
                    <w:t>6</w:t>
                  </w:r>
                  <w:r>
                    <w:rPr>
                      <w:rFonts w:cs="Times New Roman"/>
                      <w:sz w:val="21"/>
                      <w:szCs w:val="21"/>
                    </w:rPr>
                    <w:t>月自主验收通过（一期）</w:t>
                  </w:r>
                </w:p>
              </w:tc>
              <w:tc>
                <w:tcPr>
                  <w:tcW w:w="731" w:type="pct"/>
                  <w:vAlign w:val="center"/>
                </w:tcPr>
                <w:p w14:paraId="3ED3A5E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2026.6.28</w:t>
                  </w:r>
                </w:p>
              </w:tc>
            </w:tr>
          </w:tbl>
          <w:p w14:paraId="11B71A4A" w14:textId="77777777" w:rsidR="003C4F46" w:rsidRDefault="003C4F46">
            <w:pPr>
              <w:adjustRightInd w:val="0"/>
              <w:snapToGrid w:val="0"/>
              <w:ind w:firstLine="480"/>
              <w:rPr>
                <w:color w:val="000000" w:themeColor="text1"/>
                <w:kern w:val="0"/>
              </w:rPr>
            </w:pPr>
          </w:p>
        </w:tc>
      </w:tr>
      <w:tr w:rsidR="003C4F46" w14:paraId="381E8E66" w14:textId="77777777">
        <w:trPr>
          <w:trHeight w:val="90"/>
        </w:trPr>
        <w:tc>
          <w:tcPr>
            <w:tcW w:w="457" w:type="dxa"/>
            <w:vAlign w:val="center"/>
          </w:tcPr>
          <w:p w14:paraId="7942D4FC" w14:textId="77777777" w:rsidR="003C4F46" w:rsidRDefault="004B6A81">
            <w:pPr>
              <w:widowControl/>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lastRenderedPageBreak/>
              <w:t>工艺流程和产排污环节</w:t>
            </w:r>
          </w:p>
        </w:tc>
        <w:tc>
          <w:tcPr>
            <w:tcW w:w="8603" w:type="dxa"/>
          </w:tcPr>
          <w:p w14:paraId="13F1C5CE" w14:textId="77777777" w:rsidR="003C4F46" w:rsidRDefault="004B6A81">
            <w:pPr>
              <w:pStyle w:val="2"/>
              <w:rPr>
                <w:color w:val="000000" w:themeColor="text1"/>
              </w:rPr>
            </w:pPr>
            <w:r>
              <w:rPr>
                <w:rFonts w:hint="eastAsia"/>
                <w:color w:val="000000" w:themeColor="text1"/>
              </w:rPr>
              <w:t>2</w:t>
            </w:r>
            <w:r>
              <w:rPr>
                <w:color w:val="000000" w:themeColor="text1"/>
              </w:rPr>
              <w:t>.13</w:t>
            </w:r>
            <w:r>
              <w:rPr>
                <w:rFonts w:hint="eastAsia"/>
                <w:color w:val="000000" w:themeColor="text1"/>
              </w:rPr>
              <w:t>工艺流程与产污环节分析</w:t>
            </w:r>
          </w:p>
          <w:p w14:paraId="3D3E25DC" w14:textId="77777777" w:rsidR="003C4F46" w:rsidRDefault="004B6A81">
            <w:pPr>
              <w:pStyle w:val="2"/>
              <w:rPr>
                <w:color w:val="000000" w:themeColor="text1"/>
              </w:rPr>
            </w:pPr>
            <w:r>
              <w:rPr>
                <w:rFonts w:hint="eastAsia"/>
                <w:color w:val="000000" w:themeColor="text1"/>
              </w:rPr>
              <w:t>2</w:t>
            </w:r>
            <w:r>
              <w:rPr>
                <w:color w:val="000000" w:themeColor="text1"/>
              </w:rPr>
              <w:t>.13.1</w:t>
            </w:r>
            <w:r>
              <w:rPr>
                <w:color w:val="000000" w:themeColor="text1"/>
              </w:rPr>
              <w:t>施工期工艺流程和产排污环节</w:t>
            </w:r>
          </w:p>
          <w:p w14:paraId="143F4157" w14:textId="2644E963" w:rsidR="003C4F46" w:rsidRDefault="004B6A81">
            <w:pPr>
              <w:ind w:firstLine="480"/>
              <w:textAlignment w:val="auto"/>
            </w:pPr>
            <w:r>
              <w:rPr>
                <w:rFonts w:hint="eastAsia"/>
              </w:rPr>
              <w:t>本项目</w:t>
            </w:r>
            <w:r>
              <w:rPr>
                <w:rFonts w:hint="eastAsia"/>
              </w:rPr>
              <w:t>1#</w:t>
            </w:r>
            <w:r>
              <w:rPr>
                <w:rFonts w:hint="eastAsia"/>
              </w:rPr>
              <w:t>贮存库主体工程及</w:t>
            </w:r>
            <w:r>
              <w:rPr>
                <w:rFonts w:hint="eastAsia"/>
              </w:rPr>
              <w:t>4</w:t>
            </w:r>
            <w:r>
              <w:rPr>
                <w:rFonts w:hint="eastAsia"/>
              </w:rPr>
              <w:t>座</w:t>
            </w:r>
            <w:r>
              <w:rPr>
                <w:rFonts w:hint="eastAsia"/>
              </w:rPr>
              <w:t>600m</w:t>
            </w:r>
            <w:r>
              <w:rPr>
                <w:rFonts w:hint="eastAsia"/>
              </w:rPr>
              <w:t>³储罐均已建设完成，贮存库内部区域分隔尚未建设。本次施工内容仅为贮存库内部分区隔墙建设及配套设施安装，不涉及储罐建设、土石方开挖及大型构筑物施工，施工量较小，施工期较短。</w:t>
            </w:r>
          </w:p>
          <w:p w14:paraId="59BA66F8" w14:textId="77777777" w:rsidR="003C4F46" w:rsidRDefault="004B6A81">
            <w:pPr>
              <w:ind w:firstLine="480"/>
            </w:pPr>
            <w:r>
              <w:rPr>
                <w:rFonts w:hint="eastAsia"/>
              </w:rPr>
              <w:t>（</w:t>
            </w:r>
            <w:r>
              <w:rPr>
                <w:rFonts w:hint="eastAsia"/>
              </w:rPr>
              <w:t>1</w:t>
            </w:r>
            <w:r>
              <w:rPr>
                <w:rFonts w:hint="eastAsia"/>
              </w:rPr>
              <w:t>）废气</w:t>
            </w:r>
          </w:p>
          <w:p w14:paraId="5F0D130E" w14:textId="77777777" w:rsidR="003C4F46" w:rsidRDefault="004B6A81">
            <w:pPr>
              <w:ind w:firstLine="480"/>
            </w:pPr>
            <w:r>
              <w:rPr>
                <w:rFonts w:hint="eastAsia"/>
              </w:rPr>
              <w:t>施工期废气污染主要来源于隔墙施工产生的少量扬尘及设备安装过程中车辆进出产生的尾气。</w:t>
            </w:r>
          </w:p>
          <w:p w14:paraId="13A0ED8F" w14:textId="77777777" w:rsidR="003C4F46" w:rsidRDefault="004B6A81">
            <w:pPr>
              <w:ind w:firstLine="480"/>
            </w:pPr>
            <w:r>
              <w:rPr>
                <w:rFonts w:hint="eastAsia"/>
              </w:rPr>
              <w:t>①施工扬尘</w:t>
            </w:r>
          </w:p>
          <w:p w14:paraId="1FC648E3" w14:textId="77777777" w:rsidR="003C4F46" w:rsidRDefault="004B6A81">
            <w:pPr>
              <w:ind w:firstLine="480"/>
            </w:pPr>
            <w:r>
              <w:rPr>
                <w:rFonts w:hint="eastAsia"/>
              </w:rPr>
              <w:t>施工期扬尘主要来源于建筑材料（水泥、砂子等）进场及装卸工序。由于本项目主体工程已建成，无土石方开挖，扬尘产生量较小。施工单位通过优化施工方式、合理安排施工时间、物料遮盖等措施降低扬尘污染，施工扬尘随施工结束而消失。</w:t>
            </w:r>
          </w:p>
          <w:p w14:paraId="14E70050" w14:textId="77777777" w:rsidR="003C4F46" w:rsidRDefault="004B6A81">
            <w:pPr>
              <w:ind w:firstLine="480"/>
            </w:pPr>
            <w:r>
              <w:rPr>
                <w:rFonts w:hint="eastAsia"/>
              </w:rPr>
              <w:lastRenderedPageBreak/>
              <w:t>②施工机械废气</w:t>
            </w:r>
          </w:p>
          <w:p w14:paraId="7D03BA5A" w14:textId="77777777" w:rsidR="003C4F46" w:rsidRDefault="004B6A81">
            <w:pPr>
              <w:ind w:firstLine="480"/>
            </w:pPr>
            <w:r>
              <w:rPr>
                <w:rFonts w:hint="eastAsia"/>
              </w:rPr>
              <w:t>施工期运输车辆及小型施工机械运行过程中排放少量尾气，主要污染物为</w:t>
            </w:r>
            <w:r>
              <w:rPr>
                <w:rFonts w:hint="eastAsia"/>
              </w:rPr>
              <w:t>CO</w:t>
            </w:r>
            <w:r>
              <w:rPr>
                <w:rFonts w:hint="eastAsia"/>
              </w:rPr>
              <w:t>、</w:t>
            </w:r>
            <w:r>
              <w:rPr>
                <w:rFonts w:hint="eastAsia"/>
              </w:rPr>
              <w:t>NO</w:t>
            </w:r>
            <w:r>
              <w:rPr>
                <w:rFonts w:hint="eastAsia"/>
                <w:vertAlign w:val="subscript"/>
              </w:rPr>
              <w:t>x</w:t>
            </w:r>
            <w:r>
              <w:rPr>
                <w:rFonts w:hint="eastAsia"/>
              </w:rPr>
              <w:t>及未完全燃烧的烃类。由于施工量小、作业时间短，且施工场地开阔，扩散条件良好，对环境影响较小。施工期间已加强对施工设备的维护，确保其正常运行。</w:t>
            </w:r>
          </w:p>
          <w:p w14:paraId="1310FEDE" w14:textId="77777777" w:rsidR="003C4F46" w:rsidRDefault="004B6A81">
            <w:pPr>
              <w:ind w:firstLine="480"/>
            </w:pPr>
            <w:r>
              <w:rPr>
                <w:rFonts w:hint="eastAsia"/>
              </w:rPr>
              <w:t>（</w:t>
            </w:r>
            <w:r>
              <w:rPr>
                <w:rFonts w:hint="eastAsia"/>
              </w:rPr>
              <w:t>2</w:t>
            </w:r>
            <w:r>
              <w:rPr>
                <w:rFonts w:hint="eastAsia"/>
              </w:rPr>
              <w:t>）废水</w:t>
            </w:r>
          </w:p>
          <w:p w14:paraId="0E0E3AFB" w14:textId="77777777" w:rsidR="003C4F46" w:rsidRDefault="004B6A81">
            <w:pPr>
              <w:ind w:firstLine="480"/>
            </w:pPr>
            <w:r>
              <w:rPr>
                <w:rFonts w:hint="eastAsia"/>
              </w:rPr>
              <w:t>①施工废水</w:t>
            </w:r>
          </w:p>
          <w:p w14:paraId="52F968BA" w14:textId="77777777" w:rsidR="003C4F46" w:rsidRDefault="004B6A81">
            <w:pPr>
              <w:ind w:firstLine="480"/>
            </w:pPr>
            <w:r>
              <w:rPr>
                <w:rFonts w:hint="eastAsia"/>
              </w:rPr>
              <w:t>本次施工内容为库内隔墙建设，无大型混凝土浇筑作业，施工废水量极少，依托厂区现有沉淀池处理后回用于场地洒水，不外排。</w:t>
            </w:r>
          </w:p>
          <w:p w14:paraId="45339497" w14:textId="77777777" w:rsidR="003C4F46" w:rsidRDefault="004B6A81">
            <w:pPr>
              <w:ind w:firstLine="480"/>
            </w:pPr>
            <w:r>
              <w:rPr>
                <w:rFonts w:hint="eastAsia"/>
              </w:rPr>
              <w:t>②施工人员生活污水</w:t>
            </w:r>
          </w:p>
          <w:p w14:paraId="66D849B5" w14:textId="77777777" w:rsidR="003C4F46" w:rsidRDefault="004B6A81">
            <w:pPr>
              <w:ind w:firstLine="480"/>
            </w:pPr>
            <w:r>
              <w:rPr>
                <w:rFonts w:hint="eastAsia"/>
              </w:rPr>
              <w:t>施工人员从当地招募，不在厂区食宿，生活污水依托厂区现有生活污水处理设施处理后综合利用，不外排。</w:t>
            </w:r>
          </w:p>
          <w:p w14:paraId="12909154" w14:textId="77777777" w:rsidR="003C4F46" w:rsidRDefault="004B6A81">
            <w:pPr>
              <w:ind w:firstLine="480"/>
            </w:pPr>
            <w:r>
              <w:rPr>
                <w:rFonts w:hint="eastAsia"/>
              </w:rPr>
              <w:t>（</w:t>
            </w:r>
            <w:r>
              <w:rPr>
                <w:rFonts w:hint="eastAsia"/>
              </w:rPr>
              <w:t>3</w:t>
            </w:r>
            <w:r>
              <w:rPr>
                <w:rFonts w:hint="eastAsia"/>
              </w:rPr>
              <w:t>）噪声</w:t>
            </w:r>
          </w:p>
          <w:p w14:paraId="4F23FE8F" w14:textId="77777777" w:rsidR="003C4F46" w:rsidRDefault="004B6A81">
            <w:pPr>
              <w:ind w:firstLine="480"/>
            </w:pPr>
            <w:r>
              <w:rPr>
                <w:rFonts w:hint="eastAsia"/>
              </w:rPr>
              <w:t>施工期噪声来源于隔墙施工及设备安装过程中使用的小型施工机械，噪声源强较小约</w:t>
            </w:r>
            <w:r>
              <w:rPr>
                <w:rFonts w:hint="eastAsia"/>
              </w:rPr>
              <w:t>75~85dB</w:t>
            </w:r>
            <w:r>
              <w:rPr>
                <w:rFonts w:hint="eastAsia"/>
              </w:rPr>
              <w:t>（</w:t>
            </w:r>
            <w:r>
              <w:rPr>
                <w:rFonts w:hint="eastAsia"/>
              </w:rPr>
              <w:t>A</w:t>
            </w:r>
            <w:r>
              <w:rPr>
                <w:rFonts w:hint="eastAsia"/>
              </w:rPr>
              <w:t>），且均为间歇性排放。施工活动集中在白天进行，夜间不施工，对周围环境影响较小。</w:t>
            </w:r>
          </w:p>
          <w:p w14:paraId="32E992E2" w14:textId="77777777" w:rsidR="003C4F46" w:rsidRDefault="004B6A81">
            <w:pPr>
              <w:ind w:firstLine="480"/>
            </w:pPr>
            <w:r>
              <w:rPr>
                <w:rFonts w:hint="eastAsia"/>
              </w:rPr>
              <w:t>（</w:t>
            </w:r>
            <w:r>
              <w:rPr>
                <w:rFonts w:hint="eastAsia"/>
              </w:rPr>
              <w:t>4</w:t>
            </w:r>
            <w:r>
              <w:rPr>
                <w:rFonts w:hint="eastAsia"/>
              </w:rPr>
              <w:t>）固废</w:t>
            </w:r>
          </w:p>
          <w:p w14:paraId="45B4C743" w14:textId="77777777" w:rsidR="003C4F46" w:rsidRDefault="004B6A81">
            <w:pPr>
              <w:ind w:firstLine="480"/>
            </w:pPr>
            <w:r>
              <w:rPr>
                <w:rFonts w:hint="eastAsia"/>
              </w:rPr>
              <w:t>①建筑垃圾</w:t>
            </w:r>
          </w:p>
          <w:p w14:paraId="434D230A" w14:textId="77777777" w:rsidR="003C4F46" w:rsidRDefault="004B6A81">
            <w:pPr>
              <w:ind w:firstLine="480"/>
            </w:pPr>
            <w:r>
              <w:rPr>
                <w:rFonts w:hint="eastAsia"/>
              </w:rPr>
              <w:t>施工期产生的建筑垃圾主要为隔墙施工产生的少量碎砖、废砂浆等。施工结束后，建筑垃圾已按要求集中收集并清运至建设部门指定地点。</w:t>
            </w:r>
          </w:p>
          <w:p w14:paraId="01461E56" w14:textId="77777777" w:rsidR="003C4F46" w:rsidRDefault="004B6A81">
            <w:pPr>
              <w:ind w:firstLine="480"/>
            </w:pPr>
            <w:r>
              <w:rPr>
                <w:rFonts w:hint="eastAsia"/>
              </w:rPr>
              <w:t>②生活垃圾</w:t>
            </w:r>
          </w:p>
          <w:p w14:paraId="7A068BB3" w14:textId="77777777" w:rsidR="003C4F46" w:rsidRDefault="004B6A81">
            <w:pPr>
              <w:ind w:firstLine="480"/>
            </w:pPr>
            <w:r>
              <w:rPr>
                <w:rFonts w:hint="eastAsia"/>
              </w:rPr>
              <w:t>施工人员生活垃圾依托厂区现有垃圾收集设施收集，由园区环卫部门定期清运处置。</w:t>
            </w:r>
          </w:p>
          <w:p w14:paraId="682A56A6" w14:textId="77777777" w:rsidR="003C4F46" w:rsidRDefault="004B6A81">
            <w:pPr>
              <w:ind w:firstLine="480"/>
            </w:pPr>
            <w:r>
              <w:rPr>
                <w:rFonts w:hint="eastAsia"/>
              </w:rPr>
              <w:t>（</w:t>
            </w:r>
            <w:r>
              <w:rPr>
                <w:rFonts w:hint="eastAsia"/>
              </w:rPr>
              <w:t>5</w:t>
            </w:r>
            <w:r>
              <w:rPr>
                <w:rFonts w:hint="eastAsia"/>
              </w:rPr>
              <w:t>）生态影响</w:t>
            </w:r>
          </w:p>
          <w:p w14:paraId="3B4B1704" w14:textId="5A4A0130" w:rsidR="003C4F46" w:rsidRDefault="004B6A81">
            <w:pPr>
              <w:ind w:firstLine="480"/>
            </w:pPr>
            <w:r>
              <w:rPr>
                <w:rFonts w:hint="eastAsia"/>
              </w:rPr>
              <w:t>本项目位于轮台塔中石油化工有限公司现有厂区内，不新增占地，不涉及土石方开挖和地表扰动。施工活动均在已硬化地面及已建成的构筑物内进行，不产生水土流失等生态影响。</w:t>
            </w:r>
          </w:p>
          <w:p w14:paraId="4ABEBFD5" w14:textId="77777777" w:rsidR="003C4F46" w:rsidRDefault="004B6A81">
            <w:pPr>
              <w:pStyle w:val="2"/>
              <w:rPr>
                <w:color w:val="000000" w:themeColor="text1"/>
              </w:rPr>
            </w:pPr>
            <w:r>
              <w:rPr>
                <w:rFonts w:hint="eastAsia"/>
                <w:color w:val="000000" w:themeColor="text1"/>
              </w:rPr>
              <w:t>2</w:t>
            </w:r>
            <w:r>
              <w:rPr>
                <w:color w:val="000000" w:themeColor="text1"/>
              </w:rPr>
              <w:t>.13.2</w:t>
            </w:r>
            <w:r>
              <w:t>运营期生产工艺流程及产污环节</w:t>
            </w:r>
          </w:p>
          <w:p w14:paraId="12D21DE2" w14:textId="40BEB7ED" w:rsidR="003C4F46" w:rsidRDefault="00FE3E31">
            <w:pPr>
              <w:ind w:firstLine="480"/>
              <w:rPr>
                <w:rFonts w:cs="Times New Roman"/>
              </w:rPr>
            </w:pPr>
            <w:bookmarkStart w:id="17" w:name="_Hlk228206211"/>
            <w:r w:rsidRPr="00FE3E31">
              <w:rPr>
                <w:rFonts w:cs="Times New Roman" w:hint="eastAsia"/>
              </w:rPr>
              <w:t>由于危险废物具有化学反应性、毒性、易燃性、腐蚀性或其他特性，可能对人体健康或环境造成危害，因此对危险废物的接收、贮存、转运等环节均有严格要求。</w:t>
            </w:r>
          </w:p>
          <w:p w14:paraId="21D10FDD" w14:textId="77777777" w:rsidR="003C4F46" w:rsidRDefault="004B6A81">
            <w:pPr>
              <w:ind w:firstLine="480"/>
              <w:rPr>
                <w:rFonts w:cs="Times New Roman"/>
              </w:rPr>
            </w:pPr>
            <w:r>
              <w:rPr>
                <w:rFonts w:cs="Times New Roman"/>
              </w:rPr>
              <w:lastRenderedPageBreak/>
              <w:t>本项目危险废物收集、贮存及运输应严格按照《危险废物收集贮存运输技术规范》（</w:t>
            </w:r>
            <w:r>
              <w:rPr>
                <w:rFonts w:cs="Times New Roman"/>
              </w:rPr>
              <w:t>HJ2025-2012</w:t>
            </w:r>
            <w:r>
              <w:rPr>
                <w:rFonts w:cs="Times New Roman"/>
              </w:rPr>
              <w:t>）进行。本项目所涉及的废物收集运输系统流程如下：</w:t>
            </w:r>
          </w:p>
          <w:p w14:paraId="6C5A63EE" w14:textId="3CE10BFC" w:rsidR="003C4F46" w:rsidRDefault="00463EEE">
            <w:pPr>
              <w:pStyle w:val="4"/>
              <w:keepNext w:val="0"/>
              <w:keepLines w:val="0"/>
              <w:widowControl/>
              <w:spacing w:before="0" w:after="0" w:line="360" w:lineRule="auto"/>
              <w:jc w:val="center"/>
              <w:rPr>
                <w:rFonts w:cstheme="minorBidi"/>
                <w:b w:val="0"/>
                <w:bCs w:val="0"/>
                <w:szCs w:val="22"/>
              </w:rPr>
            </w:pPr>
            <w:r>
              <w:rPr>
                <w:noProof/>
              </w:rPr>
              <w:drawing>
                <wp:inline distT="0" distB="0" distL="0" distR="0" wp14:anchorId="209586CF" wp14:editId="61F52B9A">
                  <wp:extent cx="5759450" cy="1531620"/>
                  <wp:effectExtent l="19050" t="19050" r="12700" b="1143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59450" cy="1531620"/>
                          </a:xfrm>
                          <a:prstGeom prst="rect">
                            <a:avLst/>
                          </a:prstGeom>
                          <a:ln>
                            <a:solidFill>
                              <a:schemeClr val="tx1"/>
                            </a:solidFill>
                          </a:ln>
                        </pic:spPr>
                      </pic:pic>
                    </a:graphicData>
                  </a:graphic>
                </wp:inline>
              </w:drawing>
            </w:r>
          </w:p>
          <w:p w14:paraId="62B888B6" w14:textId="77777777" w:rsidR="003C4F46" w:rsidRDefault="004B6A81">
            <w:pPr>
              <w:spacing w:line="240" w:lineRule="auto"/>
              <w:ind w:firstLineChars="0" w:firstLine="0"/>
              <w:jc w:val="center"/>
              <w:textAlignment w:val="auto"/>
              <w:rPr>
                <w:rFonts w:cs="Times New Roman"/>
                <w:b/>
                <w:bCs/>
                <w:color w:val="000000"/>
                <w:sz w:val="21"/>
                <w:szCs w:val="21"/>
              </w:rPr>
            </w:pPr>
            <w:r>
              <w:rPr>
                <w:rFonts w:cs="Times New Roman"/>
                <w:b/>
                <w:bCs/>
                <w:color w:val="000000"/>
                <w:sz w:val="21"/>
                <w:szCs w:val="21"/>
              </w:rPr>
              <w:t>图</w:t>
            </w:r>
            <w:r>
              <w:rPr>
                <w:rFonts w:cs="Times New Roman"/>
                <w:b/>
                <w:bCs/>
                <w:color w:val="000000"/>
                <w:sz w:val="21"/>
                <w:szCs w:val="21"/>
              </w:rPr>
              <w:t xml:space="preserve">2-1  </w:t>
            </w:r>
            <w:r>
              <w:rPr>
                <w:rFonts w:cs="Times New Roman"/>
                <w:b/>
                <w:bCs/>
                <w:color w:val="000000"/>
                <w:sz w:val="21"/>
                <w:szCs w:val="21"/>
              </w:rPr>
              <w:t>危险废物收集运输系统流程图</w:t>
            </w:r>
          </w:p>
          <w:p w14:paraId="5C6193A5" w14:textId="22AD4D1E" w:rsidR="003C4F46" w:rsidRDefault="004B6A81">
            <w:pPr>
              <w:ind w:firstLine="480"/>
              <w:textAlignment w:val="auto"/>
              <w:rPr>
                <w:rFonts w:cs="Times New Roman"/>
                <w:szCs w:val="24"/>
              </w:rPr>
            </w:pPr>
            <w:r>
              <w:rPr>
                <w:rFonts w:cs="Times New Roman"/>
                <w:szCs w:val="24"/>
              </w:rPr>
              <w:t>本项目危险废物收集运输、贮存过程中，前期废物产生源</w:t>
            </w:r>
            <w:r>
              <w:rPr>
                <w:rFonts w:cs="Times New Roman" w:hint="eastAsia"/>
                <w:szCs w:val="24"/>
              </w:rPr>
              <w:t>贮存</w:t>
            </w:r>
            <w:r>
              <w:rPr>
                <w:rFonts w:cs="Times New Roman"/>
                <w:szCs w:val="24"/>
              </w:rPr>
              <w:t>、收集、运输及后期转移处置均不在本项目建设</w:t>
            </w:r>
            <w:r w:rsidR="00FE3E31">
              <w:rPr>
                <w:rFonts w:cs="Times New Roman"/>
                <w:szCs w:val="24"/>
              </w:rPr>
              <w:t>危险废物</w:t>
            </w:r>
            <w:r>
              <w:rPr>
                <w:rFonts w:cs="Times New Roman" w:hint="eastAsia"/>
                <w:szCs w:val="24"/>
              </w:rPr>
              <w:t>贮存</w:t>
            </w:r>
            <w:r>
              <w:rPr>
                <w:rFonts w:cs="Times New Roman"/>
                <w:szCs w:val="24"/>
              </w:rPr>
              <w:t>库内进行，且废物运输委托具有危险废物运输资质的企业进行。因此，本评价仅对以上流程进行叙述，不进行环境影响评价；本评价将对危险废物接收、贮存过程进行环境影响评价。</w:t>
            </w:r>
          </w:p>
          <w:p w14:paraId="2669FF81" w14:textId="77777777" w:rsidR="003C4F46" w:rsidRDefault="004B6A81">
            <w:pPr>
              <w:ind w:firstLine="480"/>
              <w:textAlignment w:val="auto"/>
              <w:rPr>
                <w:rFonts w:cs="Times New Roman"/>
                <w:szCs w:val="24"/>
              </w:rPr>
            </w:pPr>
            <w:r>
              <w:rPr>
                <w:rFonts w:cs="Times New Roman"/>
                <w:szCs w:val="24"/>
              </w:rPr>
              <w:t>项目危废</w:t>
            </w:r>
            <w:r>
              <w:rPr>
                <w:rFonts w:cs="Times New Roman" w:hint="eastAsia"/>
                <w:szCs w:val="24"/>
              </w:rPr>
              <w:t>贮存</w:t>
            </w:r>
            <w:r>
              <w:rPr>
                <w:rFonts w:cs="Times New Roman"/>
                <w:szCs w:val="24"/>
              </w:rPr>
              <w:t>库营运期工艺流程及产污环节如下：</w:t>
            </w:r>
          </w:p>
          <w:p w14:paraId="4B7BB42E" w14:textId="778E8952" w:rsidR="003C4F46" w:rsidRDefault="00463EEE">
            <w:pPr>
              <w:ind w:firstLineChars="0" w:firstLine="0"/>
              <w:jc w:val="center"/>
              <w:textAlignment w:val="auto"/>
              <w:rPr>
                <w:rFonts w:cs="Times New Roman"/>
                <w:szCs w:val="24"/>
              </w:rPr>
            </w:pPr>
            <w:r>
              <w:rPr>
                <w:noProof/>
              </w:rPr>
              <w:drawing>
                <wp:inline distT="0" distB="0" distL="0" distR="0" wp14:anchorId="3236F48B" wp14:editId="31F856E0">
                  <wp:extent cx="5759450" cy="1329690"/>
                  <wp:effectExtent l="19050" t="19050" r="12700" b="2286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9450" cy="1329690"/>
                          </a:xfrm>
                          <a:prstGeom prst="rect">
                            <a:avLst/>
                          </a:prstGeom>
                          <a:ln>
                            <a:solidFill>
                              <a:schemeClr val="tx1"/>
                            </a:solidFill>
                          </a:ln>
                        </pic:spPr>
                      </pic:pic>
                    </a:graphicData>
                  </a:graphic>
                </wp:inline>
              </w:drawing>
            </w:r>
          </w:p>
          <w:p w14:paraId="63BC2B04" w14:textId="77777777" w:rsidR="003C4F46" w:rsidRDefault="004B6A81">
            <w:pPr>
              <w:spacing w:line="240" w:lineRule="auto"/>
              <w:ind w:firstLineChars="0" w:firstLine="0"/>
              <w:jc w:val="center"/>
              <w:textAlignment w:val="auto"/>
              <w:rPr>
                <w:rFonts w:cs="Times New Roman"/>
                <w:b/>
                <w:bCs/>
                <w:color w:val="000000"/>
                <w:sz w:val="21"/>
                <w:szCs w:val="21"/>
              </w:rPr>
            </w:pPr>
            <w:r>
              <w:rPr>
                <w:rFonts w:cs="Times New Roman"/>
                <w:b/>
                <w:bCs/>
                <w:color w:val="000000"/>
                <w:sz w:val="21"/>
                <w:szCs w:val="21"/>
              </w:rPr>
              <w:t>图</w:t>
            </w:r>
            <w:r>
              <w:rPr>
                <w:rFonts w:cs="Times New Roman"/>
                <w:b/>
                <w:bCs/>
                <w:color w:val="000000"/>
                <w:sz w:val="21"/>
                <w:szCs w:val="21"/>
              </w:rPr>
              <w:t xml:space="preserve">2-2  </w:t>
            </w:r>
            <w:r>
              <w:rPr>
                <w:rFonts w:cs="Times New Roman"/>
                <w:b/>
                <w:bCs/>
                <w:color w:val="000000"/>
                <w:sz w:val="21"/>
                <w:szCs w:val="21"/>
              </w:rPr>
              <w:t>危险废物</w:t>
            </w:r>
            <w:r>
              <w:rPr>
                <w:rFonts w:cs="Times New Roman" w:hint="eastAsia"/>
                <w:b/>
                <w:bCs/>
                <w:color w:val="000000"/>
                <w:sz w:val="21"/>
                <w:szCs w:val="21"/>
              </w:rPr>
              <w:t>贮存</w:t>
            </w:r>
            <w:r>
              <w:rPr>
                <w:rFonts w:cs="Times New Roman"/>
                <w:b/>
                <w:bCs/>
                <w:color w:val="000000"/>
                <w:sz w:val="21"/>
                <w:szCs w:val="21"/>
              </w:rPr>
              <w:t>库营运期工艺流程及产污环节</w:t>
            </w:r>
          </w:p>
          <w:p w14:paraId="44CB1E48"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bCs/>
                <w:szCs w:val="24"/>
              </w:rPr>
              <w:t>1</w:t>
            </w:r>
            <w:r>
              <w:rPr>
                <w:rFonts w:cs="Times New Roman"/>
                <w:bCs/>
                <w:szCs w:val="24"/>
              </w:rPr>
              <w:t>）收集</w:t>
            </w:r>
          </w:p>
          <w:p w14:paraId="3F55843A" w14:textId="77777777" w:rsidR="003C4F46" w:rsidRDefault="004B6A81">
            <w:pPr>
              <w:adjustRightInd w:val="0"/>
              <w:snapToGrid w:val="0"/>
              <w:ind w:firstLine="480"/>
              <w:textAlignment w:val="auto"/>
              <w:rPr>
                <w:rFonts w:cs="Times New Roman"/>
                <w:bCs/>
                <w:szCs w:val="24"/>
              </w:rPr>
            </w:pPr>
            <w:r>
              <w:rPr>
                <w:rFonts w:cs="Times New Roman"/>
                <w:bCs/>
                <w:szCs w:val="24"/>
              </w:rPr>
              <w:t>产生危险废物的单位可以自行委托专业运输机构将废物送达本项目或本项目与危险废物产生工业企业签订危险废物委托处置合同，采用定时上门收集运输。在与产废单位洽谈初期，应通过对废物产生单位所产生的废物进行取样分析，判断该废物是否满足本公司危废收集点的收集的要求及类别，经常规分析后不满足要求及类别的废物不予收集接收。</w:t>
            </w:r>
          </w:p>
          <w:p w14:paraId="4EBE7744" w14:textId="77777777" w:rsidR="003C4F46" w:rsidRDefault="004B6A81">
            <w:pPr>
              <w:adjustRightInd w:val="0"/>
              <w:snapToGrid w:val="0"/>
              <w:ind w:firstLine="480"/>
              <w:textAlignment w:val="auto"/>
              <w:rPr>
                <w:rFonts w:cs="Times New Roman"/>
                <w:bCs/>
                <w:szCs w:val="24"/>
              </w:rPr>
            </w:pPr>
            <w:r>
              <w:rPr>
                <w:rFonts w:cs="Times New Roman"/>
                <w:bCs/>
                <w:szCs w:val="24"/>
              </w:rPr>
              <w:t>在收集时应根据危险废物的种类、数量、危险特性、物理形态、运输要求等因素确定包装形式，采用符合《危险废物贮存污染控制标准》</w:t>
            </w:r>
            <w:r>
              <w:rPr>
                <w:rFonts w:cs="Times New Roman"/>
                <w:bCs/>
                <w:szCs w:val="24"/>
                <w:lang w:val="zh-CN"/>
              </w:rPr>
              <w:t>（</w:t>
            </w:r>
            <w:r>
              <w:rPr>
                <w:rFonts w:cs="Times New Roman"/>
                <w:bCs/>
                <w:szCs w:val="24"/>
                <w:lang w:val="zh-CN"/>
              </w:rPr>
              <w:t>GB18597-2023</w:t>
            </w:r>
            <w:r>
              <w:rPr>
                <w:rFonts w:cs="Times New Roman"/>
                <w:bCs/>
                <w:szCs w:val="24"/>
                <w:lang w:val="zh-CN"/>
              </w:rPr>
              <w:t>）</w:t>
            </w:r>
            <w:r>
              <w:rPr>
                <w:rFonts w:cs="Times New Roman"/>
                <w:bCs/>
                <w:szCs w:val="24"/>
              </w:rPr>
              <w:t>要求的专门容器分类收集。并根据危险废物的性质和形态，采用不同大小和不同材质的容器进行盛装。盛装危险废物的容器可以是铁桶、铁罐或塑料制品，且装有危险废物的容器必须贴有标</w:t>
            </w:r>
            <w:r>
              <w:rPr>
                <w:rFonts w:cs="Times New Roman"/>
                <w:bCs/>
                <w:szCs w:val="24"/>
              </w:rPr>
              <w:lastRenderedPageBreak/>
              <w:t>签，在标签上详细标明危险废物的名称、质量、成分、特性以及发生泄漏、扩散、污染事故时的应急措施和补救方法。</w:t>
            </w:r>
          </w:p>
          <w:p w14:paraId="7BF24F81" w14:textId="7F2B2D26" w:rsidR="003C4F46" w:rsidRDefault="00FE3E31">
            <w:pPr>
              <w:adjustRightInd w:val="0"/>
              <w:snapToGrid w:val="0"/>
              <w:ind w:firstLine="480"/>
              <w:textAlignment w:val="auto"/>
              <w:rPr>
                <w:rFonts w:cs="Times New Roman"/>
                <w:bCs/>
                <w:szCs w:val="24"/>
              </w:rPr>
            </w:pPr>
            <w:r>
              <w:rPr>
                <w:rFonts w:cs="Times New Roman"/>
                <w:szCs w:val="24"/>
              </w:rPr>
              <w:t>危险废物</w:t>
            </w:r>
            <w:r w:rsidR="004B6A81">
              <w:rPr>
                <w:rFonts w:cs="Times New Roman"/>
                <w:bCs/>
                <w:szCs w:val="24"/>
              </w:rPr>
              <w:t>收集时包装要求如下：</w:t>
            </w:r>
          </w:p>
          <w:p w14:paraId="19E105F8" w14:textId="0329A010" w:rsidR="003C4F46" w:rsidRDefault="004B6A81">
            <w:pPr>
              <w:adjustRightInd w:val="0"/>
              <w:snapToGrid w:val="0"/>
              <w:ind w:firstLine="480"/>
              <w:textAlignment w:val="auto"/>
              <w:rPr>
                <w:rFonts w:cs="Times New Roman"/>
                <w:bCs/>
                <w:szCs w:val="24"/>
              </w:rPr>
            </w:pPr>
            <w:r>
              <w:rPr>
                <w:rFonts w:cs="Times New Roman"/>
                <w:bCs/>
                <w:szCs w:val="24"/>
              </w:rPr>
              <w:t>1</w:t>
            </w:r>
            <w:r>
              <w:rPr>
                <w:rFonts w:cs="Times New Roman"/>
                <w:bCs/>
                <w:szCs w:val="24"/>
              </w:rPr>
              <w:t>）液体、半固体的</w:t>
            </w:r>
            <w:r w:rsidR="00FE3E31">
              <w:rPr>
                <w:rFonts w:cs="Times New Roman"/>
                <w:szCs w:val="24"/>
              </w:rPr>
              <w:t>危险废物</w:t>
            </w:r>
            <w:r>
              <w:rPr>
                <w:rFonts w:cs="Times New Roman"/>
                <w:bCs/>
                <w:szCs w:val="24"/>
              </w:rPr>
              <w:t>必须用包装容器（桶装）进行装盛，固态危险废物用包装容器或包装袋进行装盛。</w:t>
            </w:r>
          </w:p>
          <w:p w14:paraId="68AEC98B" w14:textId="77777777" w:rsidR="003C4F46" w:rsidRDefault="004B6A81">
            <w:pPr>
              <w:adjustRightInd w:val="0"/>
              <w:snapToGrid w:val="0"/>
              <w:ind w:firstLine="480"/>
              <w:textAlignment w:val="auto"/>
              <w:rPr>
                <w:rFonts w:cs="Times New Roman"/>
                <w:bCs/>
                <w:szCs w:val="24"/>
              </w:rPr>
            </w:pPr>
            <w:r>
              <w:rPr>
                <w:rFonts w:cs="Times New Roman"/>
                <w:bCs/>
                <w:szCs w:val="24"/>
              </w:rPr>
              <w:t>2</w:t>
            </w:r>
            <w:r>
              <w:rPr>
                <w:rFonts w:cs="Times New Roman"/>
                <w:bCs/>
                <w:szCs w:val="24"/>
              </w:rPr>
              <w:t>）包装容器必须完好无损，没有腐蚀、污染、损毁或其他</w:t>
            </w:r>
            <w:r>
              <w:rPr>
                <w:rFonts w:cs="Times New Roman" w:hint="eastAsia"/>
                <w:bCs/>
                <w:szCs w:val="24"/>
              </w:rPr>
              <w:t>可能</w:t>
            </w:r>
            <w:r>
              <w:rPr>
                <w:rFonts w:cs="Times New Roman"/>
                <w:bCs/>
                <w:szCs w:val="24"/>
              </w:rPr>
              <w:t>导致其包装效能减弱的缺陷。已装盛废物的包装容器应妥善盖好或密封，容器表面应保持清洁，不黏附任何危险废物。</w:t>
            </w:r>
          </w:p>
          <w:p w14:paraId="1476BA28" w14:textId="77777777" w:rsidR="003C4F46" w:rsidRDefault="004B6A81">
            <w:pPr>
              <w:adjustRightInd w:val="0"/>
              <w:snapToGrid w:val="0"/>
              <w:ind w:firstLine="480"/>
              <w:textAlignment w:val="auto"/>
              <w:rPr>
                <w:rFonts w:cs="Times New Roman"/>
                <w:bCs/>
                <w:szCs w:val="24"/>
              </w:rPr>
            </w:pPr>
            <w:r>
              <w:rPr>
                <w:rFonts w:cs="Times New Roman"/>
                <w:bCs/>
                <w:szCs w:val="24"/>
              </w:rPr>
              <w:t>3</w:t>
            </w:r>
            <w:r>
              <w:rPr>
                <w:rFonts w:cs="Times New Roman"/>
                <w:bCs/>
                <w:szCs w:val="24"/>
              </w:rPr>
              <w:t>）在危险废物的包装容器或储罐上清楚地标明内盛物的类别与危害说明，以及数量和包装日期。</w:t>
            </w:r>
          </w:p>
          <w:p w14:paraId="29D05026" w14:textId="77777777" w:rsidR="003C4F46" w:rsidRDefault="004B6A81">
            <w:pPr>
              <w:adjustRightInd w:val="0"/>
              <w:snapToGrid w:val="0"/>
              <w:ind w:firstLine="480"/>
              <w:textAlignment w:val="auto"/>
              <w:rPr>
                <w:rFonts w:cs="Times New Roman"/>
                <w:bCs/>
                <w:szCs w:val="24"/>
              </w:rPr>
            </w:pPr>
            <w:r>
              <w:rPr>
                <w:rFonts w:cs="Times New Roman"/>
                <w:bCs/>
                <w:szCs w:val="24"/>
              </w:rPr>
              <w:t>4</w:t>
            </w:r>
            <w:r>
              <w:rPr>
                <w:rFonts w:cs="Times New Roman"/>
                <w:bCs/>
                <w:szCs w:val="24"/>
              </w:rPr>
              <w:t>）同一包装容器、包装袋不能同时装盛两种以上不同性质或类别的危险废物。包装容器和包装袋应选用与装盛物相容（不起反应）的材料制成，包装容器必须坚固不易破碎，防渗性能良好。</w:t>
            </w:r>
          </w:p>
          <w:p w14:paraId="379F7D73" w14:textId="77777777" w:rsidR="003C4F46" w:rsidRDefault="004B6A81">
            <w:pPr>
              <w:adjustRightInd w:val="0"/>
              <w:snapToGrid w:val="0"/>
              <w:ind w:firstLine="480"/>
              <w:textAlignment w:val="auto"/>
              <w:rPr>
                <w:rFonts w:cs="Times New Roman"/>
                <w:bCs/>
                <w:szCs w:val="24"/>
              </w:rPr>
            </w:pPr>
            <w:r>
              <w:rPr>
                <w:rFonts w:cs="Times New Roman"/>
                <w:bCs/>
                <w:szCs w:val="24"/>
              </w:rPr>
              <w:t>5</w:t>
            </w:r>
            <w:r>
              <w:rPr>
                <w:rFonts w:cs="Times New Roman"/>
                <w:bCs/>
                <w:szCs w:val="24"/>
              </w:rPr>
              <w:t>）危险废物的盛装应足够安全，并经过周密检查，严防在转载、搬移或运输过程中出现渗漏、溢出、抛洒或挥发等情况。在危险废物收集、密封和移动等过程中，一定要小心操作，避免包装物损坏或割伤身体。</w:t>
            </w:r>
          </w:p>
          <w:p w14:paraId="7C9C6EBA"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bCs/>
                <w:szCs w:val="24"/>
              </w:rPr>
              <w:t>2</w:t>
            </w:r>
            <w:r>
              <w:rPr>
                <w:rFonts w:cs="Times New Roman"/>
                <w:bCs/>
                <w:szCs w:val="24"/>
              </w:rPr>
              <w:t>）外部运输</w:t>
            </w:r>
          </w:p>
          <w:p w14:paraId="1850E07D" w14:textId="77777777" w:rsidR="003C4F46" w:rsidRDefault="004B6A81">
            <w:pPr>
              <w:adjustRightInd w:val="0"/>
              <w:snapToGrid w:val="0"/>
              <w:ind w:firstLine="480"/>
              <w:textAlignment w:val="auto"/>
              <w:rPr>
                <w:rFonts w:cs="Times New Roman"/>
                <w:bCs/>
                <w:szCs w:val="24"/>
              </w:rPr>
            </w:pPr>
            <w:r>
              <w:rPr>
                <w:rFonts w:cs="Times New Roman"/>
                <w:bCs/>
                <w:szCs w:val="24"/>
              </w:rPr>
              <w:t>根据本项目运输物料形态及当地较为方便的运输方式，外部运输方式为道路汽车运输，禁止采用水运方式。由于收集的危险废物形态较为复杂，既有液态物料，又有固态和半固态物料，因此需选择合适的装运工具，针对本项目所收运的危险废物种类、状态和特性，拟委托专业危险货物运输公司的专用</w:t>
            </w:r>
            <w:r>
              <w:rPr>
                <w:rFonts w:cs="Times New Roman" w:hint="eastAsia"/>
                <w:bCs/>
                <w:szCs w:val="24"/>
              </w:rPr>
              <w:t>厢式</w:t>
            </w:r>
            <w:r>
              <w:rPr>
                <w:rFonts w:cs="Times New Roman"/>
                <w:bCs/>
                <w:szCs w:val="24"/>
              </w:rPr>
              <w:t>运输车。</w:t>
            </w:r>
          </w:p>
          <w:p w14:paraId="71C0EC41" w14:textId="77777777" w:rsidR="003C4F46" w:rsidRDefault="004B6A81">
            <w:pPr>
              <w:adjustRightInd w:val="0"/>
              <w:snapToGrid w:val="0"/>
              <w:ind w:firstLine="480"/>
              <w:textAlignment w:val="auto"/>
              <w:rPr>
                <w:rFonts w:cs="Times New Roman"/>
                <w:bCs/>
                <w:szCs w:val="24"/>
              </w:rPr>
            </w:pPr>
            <w:r>
              <w:rPr>
                <w:rFonts w:cs="Times New Roman"/>
                <w:bCs/>
                <w:szCs w:val="24"/>
              </w:rPr>
              <w:t>运输要求如下：</w:t>
            </w:r>
          </w:p>
          <w:p w14:paraId="11347972" w14:textId="77777777" w:rsidR="003C4F46" w:rsidRDefault="004B6A81">
            <w:pPr>
              <w:adjustRightInd w:val="0"/>
              <w:snapToGrid w:val="0"/>
              <w:ind w:firstLine="480"/>
              <w:textAlignment w:val="auto"/>
              <w:rPr>
                <w:rFonts w:cs="Times New Roman"/>
                <w:bCs/>
                <w:szCs w:val="24"/>
              </w:rPr>
            </w:pPr>
            <w:r>
              <w:rPr>
                <w:rFonts w:cs="Times New Roman"/>
                <w:bCs/>
                <w:szCs w:val="24"/>
              </w:rPr>
              <w:t>1</w:t>
            </w:r>
            <w:r>
              <w:rPr>
                <w:rFonts w:cs="Times New Roman"/>
                <w:bCs/>
                <w:szCs w:val="24"/>
              </w:rPr>
              <w:t>）危险废物运输转移过程控制应按《</w:t>
            </w:r>
            <w:r>
              <w:rPr>
                <w:rFonts w:cs="Times New Roman" w:hint="eastAsia"/>
                <w:bCs/>
                <w:szCs w:val="24"/>
              </w:rPr>
              <w:t>危险废物转移管理办法</w:t>
            </w:r>
            <w:r>
              <w:rPr>
                <w:rFonts w:cs="Times New Roman"/>
                <w:bCs/>
                <w:szCs w:val="24"/>
              </w:rPr>
              <w:t>》的规定执行。</w:t>
            </w:r>
          </w:p>
          <w:p w14:paraId="2523B965" w14:textId="77777777" w:rsidR="003C4F46" w:rsidRDefault="004B6A81">
            <w:pPr>
              <w:adjustRightInd w:val="0"/>
              <w:snapToGrid w:val="0"/>
              <w:ind w:firstLine="480"/>
              <w:textAlignment w:val="auto"/>
              <w:rPr>
                <w:rFonts w:cs="Times New Roman"/>
                <w:bCs/>
                <w:szCs w:val="24"/>
              </w:rPr>
            </w:pPr>
            <w:r>
              <w:rPr>
                <w:rFonts w:cs="Times New Roman"/>
                <w:bCs/>
                <w:szCs w:val="24"/>
              </w:rPr>
              <w:t>2</w:t>
            </w:r>
            <w:r>
              <w:rPr>
                <w:rFonts w:cs="Times New Roman"/>
                <w:bCs/>
                <w:szCs w:val="24"/>
              </w:rPr>
              <w:t>）危险废物运输转移应按《道路危险货物运输管理规定》的规定执行。</w:t>
            </w:r>
          </w:p>
          <w:p w14:paraId="668C2D42" w14:textId="77777777" w:rsidR="003C4F46" w:rsidRDefault="004B6A81">
            <w:pPr>
              <w:adjustRightInd w:val="0"/>
              <w:snapToGrid w:val="0"/>
              <w:ind w:firstLine="480"/>
              <w:textAlignment w:val="auto"/>
              <w:rPr>
                <w:rFonts w:cs="Times New Roman"/>
                <w:bCs/>
                <w:szCs w:val="24"/>
              </w:rPr>
            </w:pPr>
            <w:r>
              <w:rPr>
                <w:rFonts w:cs="Times New Roman"/>
                <w:bCs/>
                <w:szCs w:val="24"/>
              </w:rPr>
              <w:t>3</w:t>
            </w:r>
            <w:r>
              <w:rPr>
                <w:rFonts w:cs="Times New Roman"/>
                <w:bCs/>
                <w:szCs w:val="24"/>
              </w:rPr>
              <w:t>）危险废物转运前应检查危险废物转移联单、核对品名、数量和标志等。</w:t>
            </w:r>
          </w:p>
          <w:p w14:paraId="2AB12774" w14:textId="77777777" w:rsidR="003C4F46" w:rsidRDefault="004B6A81">
            <w:pPr>
              <w:adjustRightInd w:val="0"/>
              <w:snapToGrid w:val="0"/>
              <w:ind w:firstLine="480"/>
              <w:textAlignment w:val="auto"/>
              <w:rPr>
                <w:rFonts w:cs="Times New Roman"/>
                <w:bCs/>
                <w:szCs w:val="24"/>
              </w:rPr>
            </w:pPr>
            <w:r>
              <w:rPr>
                <w:rFonts w:cs="Times New Roman"/>
                <w:bCs/>
                <w:szCs w:val="24"/>
              </w:rPr>
              <w:t>4</w:t>
            </w:r>
            <w:r>
              <w:rPr>
                <w:rFonts w:cs="Times New Roman"/>
                <w:bCs/>
                <w:szCs w:val="24"/>
              </w:rPr>
              <w:t>）选择最佳的废物收运时间，运输线路尽量避开人口密集区域、交通拥堵道路和水源保护区；</w:t>
            </w:r>
          </w:p>
          <w:p w14:paraId="694344E3" w14:textId="77777777" w:rsidR="003C4F46" w:rsidRDefault="004B6A81">
            <w:pPr>
              <w:adjustRightInd w:val="0"/>
              <w:snapToGrid w:val="0"/>
              <w:ind w:firstLine="480"/>
              <w:textAlignment w:val="auto"/>
              <w:rPr>
                <w:rFonts w:cs="Times New Roman"/>
                <w:bCs/>
                <w:szCs w:val="24"/>
              </w:rPr>
            </w:pPr>
            <w:r>
              <w:rPr>
                <w:rFonts w:cs="Times New Roman"/>
                <w:bCs/>
                <w:szCs w:val="24"/>
              </w:rPr>
              <w:t>5</w:t>
            </w:r>
            <w:r>
              <w:rPr>
                <w:rFonts w:cs="Times New Roman"/>
                <w:bCs/>
                <w:szCs w:val="24"/>
              </w:rPr>
              <w:t>）在收运过程中应特别避免收运途中发生意外事故造成二次污染，并制定必要的应急处理计划，运输车辆配备必要的工器具和联络通讯设备（车辆配置车载</w:t>
            </w:r>
            <w:r>
              <w:rPr>
                <w:rFonts w:cs="Times New Roman"/>
                <w:bCs/>
                <w:szCs w:val="24"/>
              </w:rPr>
              <w:t>GPS</w:t>
            </w:r>
            <w:r>
              <w:rPr>
                <w:rFonts w:cs="Times New Roman"/>
                <w:bCs/>
                <w:szCs w:val="24"/>
              </w:rPr>
              <w:t>系统定位</w:t>
            </w:r>
            <w:r>
              <w:rPr>
                <w:rFonts w:cs="Times New Roman"/>
                <w:bCs/>
                <w:szCs w:val="24"/>
              </w:rPr>
              <w:lastRenderedPageBreak/>
              <w:t>跟踪系统及寻呼系统），以便意外事故发生时及时采取措施，消除或减轻对环境的污染危害。</w:t>
            </w:r>
          </w:p>
          <w:p w14:paraId="54B697B3"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bCs/>
                <w:szCs w:val="24"/>
              </w:rPr>
              <w:t>3</w:t>
            </w:r>
            <w:r>
              <w:rPr>
                <w:rFonts w:cs="Times New Roman"/>
                <w:bCs/>
                <w:szCs w:val="24"/>
              </w:rPr>
              <w:t>）接收</w:t>
            </w:r>
          </w:p>
          <w:p w14:paraId="7BE682B1" w14:textId="77777777" w:rsidR="003C4F46" w:rsidRDefault="004B6A81">
            <w:pPr>
              <w:adjustRightInd w:val="0"/>
              <w:snapToGrid w:val="0"/>
              <w:ind w:firstLine="480"/>
              <w:textAlignment w:val="auto"/>
              <w:rPr>
                <w:rFonts w:cs="Times New Roman"/>
                <w:bCs/>
                <w:szCs w:val="24"/>
              </w:rPr>
            </w:pPr>
            <w:r>
              <w:rPr>
                <w:rFonts w:cs="Times New Roman"/>
                <w:bCs/>
                <w:szCs w:val="24"/>
              </w:rPr>
              <w:t>危险废物接收认真执行危险废物转移联单制度。现场交接时认真核对危险废物的数量、种类、标识等，并确认与危险废物转移联单是否相符。进厂接收的危险废物及时登记，详细记载每日收集、贮存、利用或处置危险废物的类别、数量、危险废物的最终去向、有无事故或其他异常情况等，并按照危险废物转移联单的有关规定，保管需存档的转移联单，对危险废物包装发生破裂、泄漏或其他事故进行处理。危险废物经营活动记录档案和危险废物经营活动情况报告与转移联单同期保存。废物接收主要包括以下程序：</w:t>
            </w:r>
          </w:p>
          <w:p w14:paraId="5530CA3E" w14:textId="45ED287A" w:rsidR="003C4F46" w:rsidRDefault="004B6A81">
            <w:pPr>
              <w:adjustRightInd w:val="0"/>
              <w:snapToGrid w:val="0"/>
              <w:ind w:firstLine="480"/>
              <w:textAlignment w:val="auto"/>
              <w:rPr>
                <w:rFonts w:cs="Times New Roman"/>
                <w:bCs/>
                <w:szCs w:val="24"/>
              </w:rPr>
            </w:pPr>
            <w:r>
              <w:rPr>
                <w:rFonts w:cs="Times New Roman"/>
                <w:bCs/>
                <w:szCs w:val="24"/>
              </w:rPr>
              <w:t>1</w:t>
            </w:r>
            <w:r>
              <w:rPr>
                <w:rFonts w:cs="Times New Roman"/>
                <w:bCs/>
                <w:szCs w:val="24"/>
              </w:rPr>
              <w:t>）公司收到相关</w:t>
            </w:r>
            <w:r w:rsidR="00FE3E31">
              <w:rPr>
                <w:rFonts w:cs="Times New Roman"/>
                <w:szCs w:val="24"/>
              </w:rPr>
              <w:t>危险废物</w:t>
            </w:r>
            <w:r>
              <w:rPr>
                <w:rFonts w:cs="Times New Roman"/>
                <w:bCs/>
                <w:szCs w:val="24"/>
              </w:rPr>
              <w:t>信息后，对产废企业进行取样，并填写废物材料数据表。</w:t>
            </w:r>
          </w:p>
          <w:p w14:paraId="4BCB95CC" w14:textId="77777777" w:rsidR="003C4F46" w:rsidRDefault="004B6A81">
            <w:pPr>
              <w:adjustRightInd w:val="0"/>
              <w:snapToGrid w:val="0"/>
              <w:ind w:firstLine="480"/>
              <w:textAlignment w:val="auto"/>
              <w:rPr>
                <w:rFonts w:cs="Times New Roman"/>
                <w:bCs/>
                <w:szCs w:val="24"/>
              </w:rPr>
            </w:pPr>
            <w:r>
              <w:rPr>
                <w:rFonts w:cs="Times New Roman"/>
                <w:bCs/>
                <w:szCs w:val="24"/>
              </w:rPr>
              <w:t>2</w:t>
            </w:r>
            <w:r>
              <w:rPr>
                <w:rFonts w:cs="Times New Roman"/>
                <w:bCs/>
                <w:szCs w:val="24"/>
              </w:rPr>
              <w:t>）初次分析。针对废物中实际可能含有的物质种类确定分析参数及种类，分析废物的成分及性质，确定废物是否符合入厂处置要求。</w:t>
            </w:r>
          </w:p>
          <w:p w14:paraId="5C3E94D1" w14:textId="6A9DB364" w:rsidR="003C4F46" w:rsidRDefault="004B6A81">
            <w:pPr>
              <w:adjustRightInd w:val="0"/>
              <w:snapToGrid w:val="0"/>
              <w:ind w:firstLine="480"/>
              <w:textAlignment w:val="auto"/>
              <w:rPr>
                <w:rFonts w:cs="Times New Roman"/>
                <w:bCs/>
                <w:szCs w:val="24"/>
              </w:rPr>
            </w:pPr>
            <w:r>
              <w:rPr>
                <w:rFonts w:cs="Times New Roman"/>
                <w:bCs/>
                <w:szCs w:val="24"/>
              </w:rPr>
              <w:t>3</w:t>
            </w:r>
            <w:r>
              <w:rPr>
                <w:rFonts w:cs="Times New Roman"/>
                <w:bCs/>
                <w:szCs w:val="24"/>
              </w:rPr>
              <w:t>）如企业产生的废物本</w:t>
            </w:r>
            <w:r w:rsidR="00FE3E31">
              <w:rPr>
                <w:rFonts w:cs="Times New Roman"/>
                <w:szCs w:val="24"/>
              </w:rPr>
              <w:t>危险废物</w:t>
            </w:r>
            <w:r>
              <w:rPr>
                <w:rFonts w:cs="Times New Roman"/>
                <w:bCs/>
                <w:szCs w:val="24"/>
              </w:rPr>
              <w:t>收集点具备</w:t>
            </w:r>
            <w:r>
              <w:rPr>
                <w:rFonts w:cs="Times New Roman" w:hint="eastAsia"/>
                <w:bCs/>
                <w:szCs w:val="24"/>
              </w:rPr>
              <w:t>接受</w:t>
            </w:r>
            <w:r>
              <w:rPr>
                <w:rFonts w:cs="Times New Roman"/>
                <w:bCs/>
                <w:szCs w:val="24"/>
              </w:rPr>
              <w:t>能力，且符合许可证营业范围，本公司与产废单位签订废物接收协议。经常规分析后不满足处置要求的废物返回产废企业。</w:t>
            </w:r>
          </w:p>
          <w:p w14:paraId="67DFEA5E"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bCs/>
                <w:szCs w:val="24"/>
              </w:rPr>
              <w:t>4</w:t>
            </w:r>
            <w:r>
              <w:rPr>
                <w:rFonts w:cs="Times New Roman"/>
                <w:bCs/>
                <w:szCs w:val="24"/>
              </w:rPr>
              <w:t>）</w:t>
            </w:r>
            <w:r>
              <w:rPr>
                <w:rFonts w:cs="Times New Roman" w:hint="eastAsia"/>
                <w:bCs/>
                <w:szCs w:val="24"/>
              </w:rPr>
              <w:t>贮存</w:t>
            </w:r>
          </w:p>
          <w:p w14:paraId="142F0D30" w14:textId="77777777" w:rsidR="003C4F46" w:rsidRDefault="004B6A81">
            <w:pPr>
              <w:adjustRightInd w:val="0"/>
              <w:snapToGrid w:val="0"/>
              <w:ind w:firstLine="480"/>
              <w:textAlignment w:val="auto"/>
              <w:rPr>
                <w:rFonts w:cs="Times New Roman"/>
                <w:bCs/>
                <w:szCs w:val="24"/>
              </w:rPr>
            </w:pPr>
            <w:r>
              <w:rPr>
                <w:rFonts w:cs="Times New Roman"/>
                <w:bCs/>
                <w:szCs w:val="24"/>
              </w:rPr>
              <w:t>废物进厂后</w:t>
            </w:r>
            <w:r>
              <w:rPr>
                <w:rFonts w:cs="Times New Roman" w:hint="eastAsia"/>
                <w:bCs/>
                <w:szCs w:val="24"/>
              </w:rPr>
              <w:t>贮存</w:t>
            </w:r>
            <w:r>
              <w:rPr>
                <w:rFonts w:cs="Times New Roman"/>
                <w:bCs/>
                <w:szCs w:val="24"/>
              </w:rPr>
              <w:t>在收集点危废</w:t>
            </w:r>
            <w:r>
              <w:rPr>
                <w:rFonts w:cs="Times New Roman" w:hint="eastAsia"/>
                <w:bCs/>
                <w:szCs w:val="24"/>
              </w:rPr>
              <w:t>贮存</w:t>
            </w:r>
            <w:r>
              <w:rPr>
                <w:rFonts w:cs="Times New Roman"/>
                <w:bCs/>
                <w:szCs w:val="24"/>
              </w:rPr>
              <w:t>库，危废贮存管理要求如下：</w:t>
            </w:r>
          </w:p>
          <w:p w14:paraId="6C19B9A2" w14:textId="6F9589A7" w:rsidR="003C4F46" w:rsidRDefault="004B6A81">
            <w:pPr>
              <w:adjustRightInd w:val="0"/>
              <w:snapToGrid w:val="0"/>
              <w:ind w:firstLine="480"/>
              <w:textAlignment w:val="auto"/>
              <w:rPr>
                <w:rFonts w:cs="Times New Roman"/>
                <w:bCs/>
                <w:szCs w:val="24"/>
              </w:rPr>
            </w:pPr>
            <w:r>
              <w:rPr>
                <w:rFonts w:cs="Times New Roman"/>
                <w:bCs/>
                <w:szCs w:val="24"/>
              </w:rPr>
              <w:t>1</w:t>
            </w:r>
            <w:r>
              <w:rPr>
                <w:rFonts w:cs="Times New Roman"/>
                <w:bCs/>
                <w:szCs w:val="24"/>
              </w:rPr>
              <w:t>）</w:t>
            </w:r>
            <w:r>
              <w:rPr>
                <w:rFonts w:cs="Times New Roman" w:hint="eastAsia"/>
                <w:bCs/>
                <w:szCs w:val="24"/>
              </w:rPr>
              <w:t>根据《中华人民共和国生态环境法典》第五百三十五条规定，从事收集、贮存、利用、处置危险废物经营活动的单位，贮存危险废物不得超过一年。同时，根据《新疆维吾尔自治区小微企业危险废物收集试点工作方案》要求，试点单位最长贮存期限不超过半年。本项目综合从严执行“最长贮存期限不超过半年”的管控要求</w:t>
            </w:r>
            <w:r>
              <w:rPr>
                <w:rFonts w:cs="Times New Roman"/>
                <w:bCs/>
                <w:szCs w:val="24"/>
              </w:rPr>
              <w:t>，</w:t>
            </w:r>
            <w:r w:rsidR="00E82457" w:rsidRPr="00E82457">
              <w:rPr>
                <w:rFonts w:cs="Times New Roman" w:hint="eastAsia"/>
                <w:bCs/>
                <w:szCs w:val="24"/>
              </w:rPr>
              <w:t>确需延长期限的，应当报经颁发许可证的生态环境主管部门批准；法律、行政法规另有规定的除外</w:t>
            </w:r>
            <w:r>
              <w:rPr>
                <w:rFonts w:cs="Times New Roman"/>
                <w:bCs/>
                <w:szCs w:val="24"/>
              </w:rPr>
              <w:t>。</w:t>
            </w:r>
          </w:p>
          <w:p w14:paraId="31F37BD5" w14:textId="77777777" w:rsidR="003C4F46" w:rsidRDefault="004B6A81">
            <w:pPr>
              <w:adjustRightInd w:val="0"/>
              <w:snapToGrid w:val="0"/>
              <w:ind w:firstLine="480"/>
              <w:textAlignment w:val="auto"/>
              <w:rPr>
                <w:rFonts w:cs="Times New Roman"/>
                <w:bCs/>
                <w:szCs w:val="24"/>
              </w:rPr>
            </w:pPr>
            <w:r>
              <w:rPr>
                <w:rFonts w:cs="Times New Roman"/>
                <w:bCs/>
                <w:szCs w:val="24"/>
              </w:rPr>
              <w:t>2</w:t>
            </w:r>
            <w:r>
              <w:rPr>
                <w:rFonts w:cs="Times New Roman"/>
                <w:bCs/>
                <w:szCs w:val="24"/>
              </w:rPr>
              <w:t>）危险废物</w:t>
            </w:r>
            <w:r>
              <w:rPr>
                <w:rFonts w:cs="Times New Roman" w:hint="eastAsia"/>
                <w:bCs/>
                <w:szCs w:val="24"/>
              </w:rPr>
              <w:t>贮存库</w:t>
            </w:r>
            <w:r>
              <w:rPr>
                <w:rFonts w:cs="Times New Roman"/>
                <w:bCs/>
                <w:szCs w:val="24"/>
              </w:rPr>
              <w:t>不得放置非危险废物或其他危险物品，按规范配备相关的消防器材及危险废物标识。</w:t>
            </w:r>
          </w:p>
          <w:p w14:paraId="64E25725" w14:textId="77777777" w:rsidR="003C4F46" w:rsidRDefault="004B6A81">
            <w:pPr>
              <w:adjustRightInd w:val="0"/>
              <w:snapToGrid w:val="0"/>
              <w:ind w:firstLine="480"/>
              <w:textAlignment w:val="auto"/>
              <w:rPr>
                <w:rFonts w:cs="Times New Roman"/>
                <w:bCs/>
                <w:szCs w:val="24"/>
              </w:rPr>
            </w:pPr>
            <w:r>
              <w:rPr>
                <w:rFonts w:cs="Times New Roman"/>
                <w:bCs/>
                <w:szCs w:val="24"/>
              </w:rPr>
              <w:t>3</w:t>
            </w:r>
            <w:r>
              <w:rPr>
                <w:rFonts w:cs="Times New Roman"/>
                <w:bCs/>
                <w:szCs w:val="24"/>
              </w:rPr>
              <w:t>）安排专人管理</w:t>
            </w:r>
            <w:r>
              <w:rPr>
                <w:rFonts w:cs="Times New Roman" w:hint="eastAsia"/>
                <w:bCs/>
                <w:szCs w:val="24"/>
              </w:rPr>
              <w:t>危险废物贮存库</w:t>
            </w:r>
            <w:r>
              <w:rPr>
                <w:rFonts w:cs="Times New Roman"/>
                <w:bCs/>
                <w:szCs w:val="24"/>
              </w:rPr>
              <w:t>，每天必须对贮存的危险废物进行检查，仓管人员需每日对天气状况、</w:t>
            </w:r>
            <w:r>
              <w:rPr>
                <w:rFonts w:cs="Times New Roman" w:hint="eastAsia"/>
                <w:bCs/>
                <w:szCs w:val="24"/>
              </w:rPr>
              <w:t>危险废物贮存库</w:t>
            </w:r>
            <w:r>
              <w:rPr>
                <w:rFonts w:cs="Times New Roman"/>
                <w:bCs/>
                <w:szCs w:val="24"/>
              </w:rPr>
              <w:t>内货物状态、仓库状态、消防设施、报警仪等检查项目进行巡检并记录，贮存场所必须采取防扬散、防流失、防渗漏或者其他防止污染环境的措施；不得擅自倾倒、堆放、丢弃、</w:t>
            </w:r>
            <w:r>
              <w:rPr>
                <w:rFonts w:cs="Times New Roman" w:hint="eastAsia"/>
                <w:bCs/>
                <w:szCs w:val="24"/>
              </w:rPr>
              <w:t>遗撒</w:t>
            </w:r>
            <w:r>
              <w:rPr>
                <w:rFonts w:cs="Times New Roman"/>
                <w:bCs/>
                <w:szCs w:val="24"/>
              </w:rPr>
              <w:t>危险废物；装载危险废物的容器和包装物要求无破损、泄漏和其他缺陷问题。按照安全环保管理规范及应急处置要求及时处置。</w:t>
            </w:r>
          </w:p>
          <w:p w14:paraId="5A360C31" w14:textId="77777777" w:rsidR="003C4F46" w:rsidRDefault="004B6A81">
            <w:pPr>
              <w:adjustRightInd w:val="0"/>
              <w:snapToGrid w:val="0"/>
              <w:ind w:firstLine="480"/>
              <w:textAlignment w:val="auto"/>
              <w:rPr>
                <w:rFonts w:cs="Times New Roman"/>
                <w:bCs/>
                <w:szCs w:val="24"/>
              </w:rPr>
            </w:pPr>
            <w:r>
              <w:rPr>
                <w:rFonts w:cs="Times New Roman"/>
                <w:bCs/>
                <w:szCs w:val="24"/>
              </w:rPr>
              <w:t>4</w:t>
            </w:r>
            <w:r>
              <w:rPr>
                <w:rFonts w:cs="Times New Roman"/>
                <w:bCs/>
                <w:szCs w:val="24"/>
              </w:rPr>
              <w:t>）严格按照国家对危险废物的相关要求和公司的相关规定办理危险废物转移工作。</w:t>
            </w:r>
          </w:p>
          <w:p w14:paraId="667EA743" w14:textId="77777777" w:rsidR="003C4F46" w:rsidRDefault="004B6A81">
            <w:pPr>
              <w:adjustRightInd w:val="0"/>
              <w:snapToGrid w:val="0"/>
              <w:ind w:firstLine="480"/>
              <w:textAlignment w:val="auto"/>
              <w:rPr>
                <w:rFonts w:cs="Times New Roman"/>
                <w:bCs/>
                <w:szCs w:val="24"/>
              </w:rPr>
            </w:pPr>
            <w:r>
              <w:rPr>
                <w:rFonts w:cs="Times New Roman"/>
                <w:bCs/>
                <w:szCs w:val="24"/>
              </w:rPr>
              <w:lastRenderedPageBreak/>
              <w:t>5</w:t>
            </w:r>
            <w:r>
              <w:rPr>
                <w:rFonts w:cs="Times New Roman"/>
                <w:bCs/>
                <w:szCs w:val="24"/>
              </w:rPr>
              <w:t>）危险货物运输车辆装车、卸车之前，必须对车辆所运输的危险废物类别及其数量与转移联单进行核对确保无误。</w:t>
            </w:r>
          </w:p>
          <w:p w14:paraId="23E3B206" w14:textId="77777777" w:rsidR="003C4F46" w:rsidRDefault="004B6A81">
            <w:pPr>
              <w:adjustRightInd w:val="0"/>
              <w:snapToGrid w:val="0"/>
              <w:ind w:firstLine="480"/>
              <w:textAlignment w:val="auto"/>
              <w:rPr>
                <w:rFonts w:cs="Times New Roman"/>
                <w:bCs/>
                <w:szCs w:val="24"/>
              </w:rPr>
            </w:pPr>
            <w:r>
              <w:rPr>
                <w:rFonts w:cs="Times New Roman"/>
                <w:bCs/>
                <w:szCs w:val="24"/>
              </w:rPr>
              <w:t>6</w:t>
            </w:r>
            <w:r>
              <w:rPr>
                <w:rFonts w:cs="Times New Roman"/>
                <w:bCs/>
                <w:szCs w:val="24"/>
              </w:rPr>
              <w:t>）在危险废物仓库显眼位置必须设置危险废物标识，同时设置危险废物危险告知牌和相关管理制度。</w:t>
            </w:r>
          </w:p>
          <w:p w14:paraId="71314D3E"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bCs/>
                <w:szCs w:val="24"/>
              </w:rPr>
              <w:t>5</w:t>
            </w:r>
            <w:r>
              <w:rPr>
                <w:rFonts w:cs="Times New Roman"/>
                <w:bCs/>
                <w:szCs w:val="24"/>
              </w:rPr>
              <w:t>）转移处置</w:t>
            </w:r>
          </w:p>
          <w:p w14:paraId="0B6D4527" w14:textId="04AEFF33" w:rsidR="003C4F46" w:rsidRDefault="00FE3E31">
            <w:pPr>
              <w:adjustRightInd w:val="0"/>
              <w:snapToGrid w:val="0"/>
              <w:ind w:firstLine="480"/>
              <w:textAlignment w:val="auto"/>
              <w:rPr>
                <w:rFonts w:cs="Times New Roman"/>
                <w:bCs/>
                <w:szCs w:val="24"/>
              </w:rPr>
            </w:pPr>
            <w:r>
              <w:rPr>
                <w:rFonts w:ascii="Segoe UI" w:hAnsi="Segoe UI" w:cs="Segoe UI"/>
                <w:color w:val="0F1115"/>
                <w:shd w:val="clear" w:color="auto" w:fill="FFFFFF"/>
              </w:rPr>
              <w:t>当危险废物贮存量达到一定数量时</w:t>
            </w:r>
            <w:r w:rsidR="004B6A81">
              <w:rPr>
                <w:rFonts w:cs="Times New Roman" w:hint="eastAsia"/>
                <w:bCs/>
                <w:szCs w:val="24"/>
              </w:rPr>
              <w:t>，</w:t>
            </w:r>
            <w:r w:rsidR="004B6A81">
              <w:rPr>
                <w:rFonts w:cs="Times New Roman"/>
                <w:bCs/>
                <w:szCs w:val="24"/>
              </w:rPr>
              <w:t>委托具有专业运输资质的公司</w:t>
            </w:r>
            <w:r w:rsidR="004B6A81">
              <w:rPr>
                <w:rFonts w:cs="Times New Roman" w:hint="eastAsia"/>
                <w:bCs/>
                <w:szCs w:val="24"/>
              </w:rPr>
              <w:t>派专用车辆将贮存的</w:t>
            </w:r>
            <w:r>
              <w:rPr>
                <w:rFonts w:ascii="Segoe UI" w:hAnsi="Segoe UI" w:cs="Segoe UI"/>
                <w:color w:val="0F1115"/>
                <w:shd w:val="clear" w:color="auto" w:fill="FFFFFF"/>
              </w:rPr>
              <w:t>危险废物</w:t>
            </w:r>
            <w:r w:rsidR="004B6A81">
              <w:rPr>
                <w:rFonts w:cs="Times New Roman" w:hint="eastAsia"/>
                <w:bCs/>
                <w:szCs w:val="24"/>
              </w:rPr>
              <w:t>转运至有危险废物处置资质的单位进行处置。</w:t>
            </w:r>
            <w:r w:rsidR="004B6A81">
              <w:rPr>
                <w:rFonts w:hAnsi="宋体" w:cs="Times New Roman"/>
                <w:color w:val="000000"/>
                <w:szCs w:val="32"/>
              </w:rPr>
              <w:t>转运时优先安排破损的废电池及酸液经中和处理后的废物，以减少贮存车间内的硫酸雾产生及事故风险概率</w:t>
            </w:r>
            <w:r w:rsidR="004B6A81">
              <w:rPr>
                <w:rFonts w:hAnsi="宋体" w:cs="Times New Roman" w:hint="eastAsia"/>
                <w:color w:val="000000"/>
                <w:szCs w:val="32"/>
              </w:rPr>
              <w:t>，</w:t>
            </w:r>
            <w:r w:rsidR="004B6A81">
              <w:rPr>
                <w:rFonts w:cs="Times New Roman"/>
                <w:bCs/>
                <w:szCs w:val="24"/>
              </w:rPr>
              <w:t>转运出厂的</w:t>
            </w:r>
            <w:r>
              <w:rPr>
                <w:rFonts w:ascii="Segoe UI" w:hAnsi="Segoe UI" w:cs="Segoe UI"/>
                <w:color w:val="0F1115"/>
                <w:shd w:val="clear" w:color="auto" w:fill="FFFFFF"/>
              </w:rPr>
              <w:t>危险废物</w:t>
            </w:r>
            <w:r w:rsidR="004B6A81">
              <w:rPr>
                <w:rFonts w:cs="Times New Roman"/>
                <w:bCs/>
                <w:szCs w:val="24"/>
              </w:rPr>
              <w:t>做好台账登记管理工作。转运过程中严格按照</w:t>
            </w:r>
            <w:r w:rsidR="004B6A81">
              <w:rPr>
                <w:rFonts w:cs="Times New Roman" w:hint="eastAsia"/>
                <w:bCs/>
                <w:szCs w:val="24"/>
              </w:rPr>
              <w:t>《危险废物转移管理办法》</w:t>
            </w:r>
            <w:r w:rsidR="004B6A81">
              <w:rPr>
                <w:rFonts w:cs="Times New Roman"/>
                <w:bCs/>
                <w:szCs w:val="24"/>
              </w:rPr>
              <w:t>、《危险废物收集贮存运输技术规范》（</w:t>
            </w:r>
            <w:r w:rsidR="004B6A81">
              <w:rPr>
                <w:rFonts w:cs="Times New Roman"/>
                <w:bCs/>
                <w:szCs w:val="24"/>
              </w:rPr>
              <w:t>HJ2025-2012</w:t>
            </w:r>
            <w:r w:rsidR="004B6A81">
              <w:rPr>
                <w:rFonts w:cs="Times New Roman"/>
                <w:bCs/>
                <w:szCs w:val="24"/>
              </w:rPr>
              <w:t>）等要求执行，做好运输过程中的防泄漏、防爆、防雨、防污染等。</w:t>
            </w:r>
          </w:p>
          <w:p w14:paraId="7A02A5EE" w14:textId="0942B38A" w:rsidR="003C4F46" w:rsidRDefault="004B6A81">
            <w:pPr>
              <w:adjustRightInd w:val="0"/>
              <w:snapToGrid w:val="0"/>
              <w:ind w:firstLine="480"/>
              <w:textAlignment w:val="auto"/>
              <w:rPr>
                <w:rFonts w:cs="Times New Roman"/>
                <w:szCs w:val="24"/>
              </w:rPr>
            </w:pPr>
            <w:r>
              <w:rPr>
                <w:rFonts w:cs="Times New Roman"/>
                <w:szCs w:val="24"/>
              </w:rPr>
              <w:t>项目各工序产排污情况见表</w:t>
            </w:r>
            <w:r>
              <w:rPr>
                <w:rFonts w:cs="Times New Roman" w:hint="eastAsia"/>
                <w:szCs w:val="24"/>
              </w:rPr>
              <w:t>2-</w:t>
            </w:r>
            <w:r w:rsidR="008222DE">
              <w:rPr>
                <w:rFonts w:cs="Times New Roman"/>
                <w:szCs w:val="24"/>
              </w:rPr>
              <w:t>10</w:t>
            </w:r>
            <w:r>
              <w:rPr>
                <w:rFonts w:cs="Times New Roman" w:hint="eastAsia"/>
                <w:szCs w:val="24"/>
              </w:rPr>
              <w:t>。</w:t>
            </w:r>
          </w:p>
          <w:p w14:paraId="52A4A793" w14:textId="4F7601C7" w:rsidR="003C4F46" w:rsidRDefault="004B6A81">
            <w:pPr>
              <w:spacing w:line="240" w:lineRule="auto"/>
              <w:ind w:firstLineChars="0" w:firstLine="0"/>
              <w:jc w:val="center"/>
              <w:textAlignment w:val="auto"/>
              <w:rPr>
                <w:rFonts w:cs="Times New Roman"/>
                <w:b/>
                <w:bCs/>
                <w:color w:val="000000"/>
                <w:sz w:val="21"/>
                <w:szCs w:val="21"/>
              </w:rPr>
            </w:pPr>
            <w:r>
              <w:rPr>
                <w:rFonts w:cs="Times New Roman" w:hint="eastAsia"/>
                <w:b/>
                <w:bCs/>
                <w:color w:val="000000"/>
                <w:sz w:val="21"/>
                <w:szCs w:val="21"/>
              </w:rPr>
              <w:t>表</w:t>
            </w:r>
            <w:r>
              <w:rPr>
                <w:rFonts w:cs="Times New Roman" w:hint="eastAsia"/>
                <w:b/>
                <w:bCs/>
                <w:color w:val="000000"/>
                <w:sz w:val="21"/>
                <w:szCs w:val="21"/>
              </w:rPr>
              <w:t>2-</w:t>
            </w:r>
            <w:r w:rsidR="008222DE">
              <w:rPr>
                <w:rFonts w:cs="Times New Roman"/>
                <w:b/>
                <w:bCs/>
                <w:color w:val="000000"/>
                <w:sz w:val="21"/>
                <w:szCs w:val="21"/>
              </w:rPr>
              <w:t>10</w:t>
            </w:r>
            <w:r>
              <w:rPr>
                <w:rFonts w:cs="Times New Roman" w:hint="eastAsia"/>
                <w:b/>
                <w:bCs/>
                <w:color w:val="000000"/>
                <w:sz w:val="21"/>
                <w:szCs w:val="21"/>
              </w:rPr>
              <w:t xml:space="preserve">  </w:t>
            </w:r>
            <w:r>
              <w:rPr>
                <w:rFonts w:cs="Times New Roman"/>
                <w:b/>
                <w:bCs/>
                <w:color w:val="000000"/>
                <w:sz w:val="21"/>
                <w:szCs w:val="21"/>
              </w:rPr>
              <w:t>项目各工序产排污情况一览表</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09"/>
              <w:gridCol w:w="2931"/>
              <w:gridCol w:w="2763"/>
              <w:gridCol w:w="2587"/>
            </w:tblGrid>
            <w:tr w:rsidR="003C4F46" w14:paraId="3E622640" w14:textId="77777777">
              <w:trPr>
                <w:trHeight w:val="90"/>
              </w:trPr>
              <w:tc>
                <w:tcPr>
                  <w:tcW w:w="445" w:type="pct"/>
                  <w:vAlign w:val="center"/>
                </w:tcPr>
                <w:p w14:paraId="11BDA605"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类别</w:t>
                  </w:r>
                </w:p>
              </w:tc>
              <w:tc>
                <w:tcPr>
                  <w:tcW w:w="1612" w:type="pct"/>
                  <w:vAlign w:val="center"/>
                </w:tcPr>
                <w:p w14:paraId="3396CBB5"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主要污染因子</w:t>
                  </w:r>
                </w:p>
              </w:tc>
              <w:tc>
                <w:tcPr>
                  <w:tcW w:w="1520" w:type="pct"/>
                  <w:vAlign w:val="center"/>
                </w:tcPr>
                <w:p w14:paraId="3B11B9F1"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污染物名称</w:t>
                  </w:r>
                </w:p>
              </w:tc>
              <w:tc>
                <w:tcPr>
                  <w:tcW w:w="1423" w:type="pct"/>
                  <w:vAlign w:val="center"/>
                </w:tcPr>
                <w:p w14:paraId="32172E90" w14:textId="77777777" w:rsidR="003C4F46" w:rsidRDefault="004B6A81">
                  <w:pPr>
                    <w:adjustRightInd w:val="0"/>
                    <w:snapToGrid w:val="0"/>
                    <w:spacing w:line="240" w:lineRule="auto"/>
                    <w:ind w:firstLineChars="0" w:firstLine="0"/>
                    <w:jc w:val="center"/>
                    <w:textAlignment w:val="auto"/>
                    <w:rPr>
                      <w:rFonts w:cs="Times New Roman"/>
                      <w:b/>
                      <w:bCs/>
                      <w:sz w:val="21"/>
                      <w:szCs w:val="21"/>
                    </w:rPr>
                  </w:pPr>
                  <w:r>
                    <w:rPr>
                      <w:rFonts w:cs="Times New Roman"/>
                      <w:b/>
                      <w:bCs/>
                      <w:sz w:val="21"/>
                      <w:szCs w:val="21"/>
                    </w:rPr>
                    <w:t>产污节点</w:t>
                  </w:r>
                </w:p>
              </w:tc>
            </w:tr>
            <w:tr w:rsidR="003C4F46" w14:paraId="1575627E" w14:textId="77777777" w:rsidTr="000228A3">
              <w:trPr>
                <w:trHeight w:val="302"/>
              </w:trPr>
              <w:tc>
                <w:tcPr>
                  <w:tcW w:w="445" w:type="pct"/>
                  <w:vMerge w:val="restart"/>
                  <w:vAlign w:val="center"/>
                </w:tcPr>
                <w:p w14:paraId="56623A38"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废气</w:t>
                  </w:r>
                </w:p>
              </w:tc>
              <w:tc>
                <w:tcPr>
                  <w:tcW w:w="1612" w:type="pct"/>
                  <w:vAlign w:val="center"/>
                </w:tcPr>
                <w:p w14:paraId="11604F70" w14:textId="1E4DB634"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非甲烷总烃</w:t>
                  </w:r>
                </w:p>
              </w:tc>
              <w:tc>
                <w:tcPr>
                  <w:tcW w:w="1520" w:type="pct"/>
                  <w:vAlign w:val="center"/>
                </w:tcPr>
                <w:p w14:paraId="36D42E0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挥发性有机物</w:t>
                  </w:r>
                </w:p>
              </w:tc>
              <w:tc>
                <w:tcPr>
                  <w:tcW w:w="1423" w:type="pct"/>
                  <w:vAlign w:val="center"/>
                </w:tcPr>
                <w:p w14:paraId="04F711E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含有非甲烷总烃的危险废物</w:t>
                  </w:r>
                  <w:r>
                    <w:rPr>
                      <w:rFonts w:cs="Times New Roman" w:hint="eastAsia"/>
                      <w:sz w:val="21"/>
                      <w:szCs w:val="21"/>
                    </w:rPr>
                    <w:t>贮存</w:t>
                  </w:r>
                </w:p>
              </w:tc>
            </w:tr>
            <w:tr w:rsidR="003C4F46" w14:paraId="3CFAE028" w14:textId="77777777">
              <w:trPr>
                <w:trHeight w:val="337"/>
              </w:trPr>
              <w:tc>
                <w:tcPr>
                  <w:tcW w:w="445" w:type="pct"/>
                  <w:vMerge/>
                  <w:vAlign w:val="center"/>
                </w:tcPr>
                <w:p w14:paraId="53504461"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1612" w:type="pct"/>
                  <w:vAlign w:val="center"/>
                </w:tcPr>
                <w:p w14:paraId="495C1774"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硫酸雾</w:t>
                  </w:r>
                </w:p>
              </w:tc>
              <w:tc>
                <w:tcPr>
                  <w:tcW w:w="1520" w:type="pct"/>
                  <w:vAlign w:val="center"/>
                </w:tcPr>
                <w:p w14:paraId="6CFC8B4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破损废电池挥发气体</w:t>
                  </w:r>
                </w:p>
              </w:tc>
              <w:tc>
                <w:tcPr>
                  <w:tcW w:w="1423" w:type="pct"/>
                  <w:vAlign w:val="center"/>
                </w:tcPr>
                <w:p w14:paraId="2F788108"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破损废电池贮存</w:t>
                  </w:r>
                </w:p>
              </w:tc>
            </w:tr>
            <w:tr w:rsidR="003C4F46" w14:paraId="2F487491" w14:textId="77777777">
              <w:trPr>
                <w:trHeight w:val="295"/>
              </w:trPr>
              <w:tc>
                <w:tcPr>
                  <w:tcW w:w="445" w:type="pct"/>
                  <w:vAlign w:val="center"/>
                </w:tcPr>
                <w:p w14:paraId="7F76269C"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废水</w:t>
                  </w:r>
                </w:p>
              </w:tc>
              <w:tc>
                <w:tcPr>
                  <w:tcW w:w="1612" w:type="pct"/>
                  <w:vAlign w:val="center"/>
                </w:tcPr>
                <w:p w14:paraId="72B424D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生活污水</w:t>
                  </w:r>
                </w:p>
              </w:tc>
              <w:tc>
                <w:tcPr>
                  <w:tcW w:w="1520" w:type="pct"/>
                  <w:vAlign w:val="center"/>
                </w:tcPr>
                <w:p w14:paraId="03F5EA7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COD</w:t>
                  </w:r>
                  <w:r>
                    <w:rPr>
                      <w:rFonts w:cs="Times New Roman"/>
                      <w:sz w:val="21"/>
                      <w:szCs w:val="21"/>
                    </w:rPr>
                    <w:t>、</w:t>
                  </w:r>
                  <w:r>
                    <w:rPr>
                      <w:rFonts w:cs="Times New Roman"/>
                      <w:sz w:val="21"/>
                      <w:szCs w:val="21"/>
                    </w:rPr>
                    <w:t>SS</w:t>
                  </w:r>
                  <w:r>
                    <w:rPr>
                      <w:rFonts w:cs="Times New Roman"/>
                      <w:sz w:val="21"/>
                      <w:szCs w:val="21"/>
                    </w:rPr>
                    <w:t>、</w:t>
                  </w:r>
                  <w:r>
                    <w:rPr>
                      <w:rFonts w:cs="Times New Roman"/>
                      <w:sz w:val="21"/>
                      <w:szCs w:val="21"/>
                    </w:rPr>
                    <w:t>NH</w:t>
                  </w:r>
                  <w:r>
                    <w:rPr>
                      <w:rFonts w:cs="Times New Roman"/>
                      <w:sz w:val="21"/>
                      <w:szCs w:val="21"/>
                      <w:vertAlign w:val="subscript"/>
                    </w:rPr>
                    <w:t>3</w:t>
                  </w:r>
                  <w:r>
                    <w:rPr>
                      <w:rFonts w:cs="Times New Roman"/>
                      <w:sz w:val="21"/>
                      <w:szCs w:val="21"/>
                    </w:rPr>
                    <w:t>-N</w:t>
                  </w:r>
                  <w:r>
                    <w:rPr>
                      <w:rFonts w:cs="Times New Roman"/>
                      <w:sz w:val="21"/>
                      <w:szCs w:val="21"/>
                    </w:rPr>
                    <w:t>、</w:t>
                  </w:r>
                  <w:r>
                    <w:rPr>
                      <w:rFonts w:cs="Times New Roman"/>
                      <w:sz w:val="21"/>
                      <w:szCs w:val="21"/>
                    </w:rPr>
                    <w:t>TP</w:t>
                  </w:r>
                  <w:r>
                    <w:rPr>
                      <w:rFonts w:cs="Times New Roman"/>
                      <w:sz w:val="21"/>
                      <w:szCs w:val="21"/>
                    </w:rPr>
                    <w:t>、</w:t>
                  </w:r>
                  <w:r>
                    <w:rPr>
                      <w:rFonts w:cs="Times New Roman"/>
                      <w:sz w:val="21"/>
                      <w:szCs w:val="21"/>
                    </w:rPr>
                    <w:t>TN</w:t>
                  </w:r>
                </w:p>
              </w:tc>
              <w:tc>
                <w:tcPr>
                  <w:tcW w:w="1423" w:type="pct"/>
                  <w:vAlign w:val="center"/>
                </w:tcPr>
                <w:p w14:paraId="0C302D5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hint="eastAsia"/>
                      <w:color w:val="000000"/>
                      <w:sz w:val="21"/>
                      <w:szCs w:val="21"/>
                    </w:rPr>
                    <w:t>员工生活</w:t>
                  </w:r>
                </w:p>
              </w:tc>
            </w:tr>
            <w:tr w:rsidR="003C4F46" w14:paraId="020C21B4" w14:textId="77777777">
              <w:trPr>
                <w:trHeight w:val="60"/>
              </w:trPr>
              <w:tc>
                <w:tcPr>
                  <w:tcW w:w="445" w:type="pct"/>
                  <w:vAlign w:val="center"/>
                </w:tcPr>
                <w:p w14:paraId="09ACB23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噪声</w:t>
                  </w:r>
                </w:p>
              </w:tc>
              <w:tc>
                <w:tcPr>
                  <w:tcW w:w="4555" w:type="pct"/>
                  <w:gridSpan w:val="3"/>
                  <w:vAlign w:val="center"/>
                </w:tcPr>
                <w:p w14:paraId="413DFC7D" w14:textId="77777777" w:rsidR="003C4F46" w:rsidRDefault="004B6A81">
                  <w:pPr>
                    <w:adjustRightInd w:val="0"/>
                    <w:snapToGrid w:val="0"/>
                    <w:spacing w:line="240" w:lineRule="auto"/>
                    <w:ind w:firstLineChars="0" w:firstLine="0"/>
                    <w:textAlignment w:val="auto"/>
                    <w:rPr>
                      <w:rFonts w:cs="Times New Roman"/>
                      <w:sz w:val="21"/>
                      <w:szCs w:val="21"/>
                    </w:rPr>
                  </w:pPr>
                  <w:r>
                    <w:rPr>
                      <w:rFonts w:hint="eastAsia"/>
                      <w:color w:val="000000"/>
                      <w:sz w:val="21"/>
                      <w:szCs w:val="21"/>
                    </w:rPr>
                    <w:t>本项目运营期噪声污染源主要是来自生产设备的噪声</w:t>
                  </w:r>
                </w:p>
              </w:tc>
            </w:tr>
            <w:tr w:rsidR="003C4F46" w14:paraId="75584B20" w14:textId="77777777">
              <w:trPr>
                <w:trHeight w:val="367"/>
              </w:trPr>
              <w:tc>
                <w:tcPr>
                  <w:tcW w:w="445" w:type="pct"/>
                  <w:vMerge w:val="restart"/>
                  <w:vAlign w:val="center"/>
                </w:tcPr>
                <w:p w14:paraId="2675A526" w14:textId="77777777" w:rsidR="003C4F46" w:rsidRDefault="004B6A81">
                  <w:pPr>
                    <w:adjustRightInd w:val="0"/>
                    <w:snapToGrid w:val="0"/>
                    <w:spacing w:line="240" w:lineRule="auto"/>
                    <w:ind w:firstLineChars="0" w:firstLine="0"/>
                    <w:rPr>
                      <w:rFonts w:cs="Times New Roman"/>
                      <w:sz w:val="21"/>
                      <w:szCs w:val="21"/>
                    </w:rPr>
                  </w:pPr>
                  <w:r>
                    <w:rPr>
                      <w:rFonts w:cs="Times New Roman"/>
                      <w:sz w:val="21"/>
                      <w:szCs w:val="21"/>
                    </w:rPr>
                    <w:t>固废</w:t>
                  </w:r>
                </w:p>
              </w:tc>
              <w:tc>
                <w:tcPr>
                  <w:tcW w:w="1612" w:type="pct"/>
                  <w:vAlign w:val="center"/>
                </w:tcPr>
                <w:p w14:paraId="0A4D637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生活垃圾</w:t>
                  </w:r>
                </w:p>
              </w:tc>
              <w:tc>
                <w:tcPr>
                  <w:tcW w:w="1520" w:type="pct"/>
                  <w:vAlign w:val="center"/>
                </w:tcPr>
                <w:p w14:paraId="55EDDA1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hint="eastAsia"/>
                      <w:color w:val="000000"/>
                      <w:sz w:val="21"/>
                      <w:szCs w:val="21"/>
                    </w:rPr>
                    <w:t>生活垃圾</w:t>
                  </w:r>
                </w:p>
              </w:tc>
              <w:tc>
                <w:tcPr>
                  <w:tcW w:w="1423" w:type="pct"/>
                  <w:vAlign w:val="center"/>
                </w:tcPr>
                <w:p w14:paraId="20D3B876"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hint="eastAsia"/>
                      <w:color w:val="000000"/>
                      <w:sz w:val="21"/>
                      <w:szCs w:val="21"/>
                    </w:rPr>
                    <w:t>员工生活</w:t>
                  </w:r>
                </w:p>
              </w:tc>
            </w:tr>
            <w:tr w:rsidR="003C4F46" w14:paraId="2AC5C3EC" w14:textId="77777777">
              <w:trPr>
                <w:trHeight w:val="367"/>
              </w:trPr>
              <w:tc>
                <w:tcPr>
                  <w:tcW w:w="445" w:type="pct"/>
                  <w:vMerge/>
                  <w:vAlign w:val="center"/>
                </w:tcPr>
                <w:p w14:paraId="5746F6AC"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1612" w:type="pct"/>
                  <w:vAlign w:val="center"/>
                </w:tcPr>
                <w:p w14:paraId="5871FBA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废活性炭</w:t>
                  </w:r>
                </w:p>
              </w:tc>
              <w:tc>
                <w:tcPr>
                  <w:tcW w:w="1520" w:type="pct"/>
                  <w:vAlign w:val="center"/>
                </w:tcPr>
                <w:p w14:paraId="27CF0C7B"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废活性炭</w:t>
                  </w:r>
                </w:p>
              </w:tc>
              <w:tc>
                <w:tcPr>
                  <w:tcW w:w="1423" w:type="pct"/>
                  <w:vAlign w:val="center"/>
                </w:tcPr>
                <w:p w14:paraId="4D1E9EF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废气治理设施</w:t>
                  </w:r>
                </w:p>
              </w:tc>
            </w:tr>
            <w:tr w:rsidR="003C4F46" w14:paraId="23A941AF" w14:textId="77777777">
              <w:trPr>
                <w:trHeight w:val="407"/>
              </w:trPr>
              <w:tc>
                <w:tcPr>
                  <w:tcW w:w="445" w:type="pct"/>
                  <w:vMerge/>
                  <w:vAlign w:val="center"/>
                </w:tcPr>
                <w:p w14:paraId="7FFA0C2C"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1612" w:type="pct"/>
                  <w:vAlign w:val="center"/>
                </w:tcPr>
                <w:p w14:paraId="36B1F337"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color w:val="000000"/>
                      <w:sz w:val="21"/>
                      <w:szCs w:val="21"/>
                    </w:rPr>
                    <w:t>废含油抹布、废劳保用品</w:t>
                  </w:r>
                </w:p>
              </w:tc>
              <w:tc>
                <w:tcPr>
                  <w:tcW w:w="1520" w:type="pct"/>
                  <w:vAlign w:val="center"/>
                </w:tcPr>
                <w:p w14:paraId="63CC48F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color w:val="000000"/>
                      <w:sz w:val="21"/>
                      <w:szCs w:val="21"/>
                    </w:rPr>
                    <w:t>废含油抹布、废劳保用品</w:t>
                  </w:r>
                </w:p>
              </w:tc>
              <w:tc>
                <w:tcPr>
                  <w:tcW w:w="1423" w:type="pct"/>
                  <w:vAlign w:val="center"/>
                </w:tcPr>
                <w:p w14:paraId="2F1715B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搬运过程</w:t>
                  </w:r>
                </w:p>
              </w:tc>
            </w:tr>
            <w:bookmarkEnd w:id="17"/>
          </w:tbl>
          <w:p w14:paraId="2F49AA7F" w14:textId="77777777" w:rsidR="003C4F46" w:rsidRDefault="003C4F46">
            <w:pPr>
              <w:ind w:firstLine="480"/>
              <w:rPr>
                <w:rFonts w:cs="Times New Roman"/>
              </w:rPr>
            </w:pPr>
          </w:p>
        </w:tc>
      </w:tr>
      <w:tr w:rsidR="003C4F46" w14:paraId="338C6568" w14:textId="77777777">
        <w:trPr>
          <w:trHeight w:val="20"/>
        </w:trPr>
        <w:tc>
          <w:tcPr>
            <w:tcW w:w="457" w:type="dxa"/>
            <w:vAlign w:val="center"/>
          </w:tcPr>
          <w:p w14:paraId="0749A4BE" w14:textId="77777777" w:rsidR="003C4F46" w:rsidRDefault="004B6A81">
            <w:pPr>
              <w:widowControl/>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szCs w:val="24"/>
              </w:rPr>
              <w:lastRenderedPageBreak/>
              <w:t>与项目有关的原有环境污染问题</w:t>
            </w:r>
          </w:p>
        </w:tc>
        <w:tc>
          <w:tcPr>
            <w:tcW w:w="8603" w:type="dxa"/>
            <w:vAlign w:val="center"/>
          </w:tcPr>
          <w:p w14:paraId="2F41BDA7" w14:textId="77777777" w:rsidR="003C4F46" w:rsidRDefault="004B6A81">
            <w:pPr>
              <w:ind w:firstLineChars="0" w:firstLine="0"/>
              <w:rPr>
                <w:b/>
                <w:bCs/>
                <w:color w:val="000000" w:themeColor="text1"/>
              </w:rPr>
            </w:pPr>
            <w:r>
              <w:rPr>
                <w:rFonts w:hint="eastAsia"/>
                <w:b/>
                <w:bCs/>
                <w:color w:val="000000" w:themeColor="text1"/>
              </w:rPr>
              <w:t>1</w:t>
            </w:r>
            <w:r>
              <w:rPr>
                <w:rFonts w:hint="eastAsia"/>
                <w:b/>
                <w:bCs/>
                <w:color w:val="000000" w:themeColor="text1"/>
              </w:rPr>
              <w:t>、现有工程履行环评手续</w:t>
            </w:r>
          </w:p>
          <w:p w14:paraId="08158517" w14:textId="2751C33C" w:rsidR="003C4F46" w:rsidRDefault="004B6A81">
            <w:pPr>
              <w:ind w:firstLine="480"/>
            </w:pPr>
            <w:r>
              <w:rPr>
                <w:rFonts w:ascii="Segoe UI" w:hAnsi="Segoe UI" w:cs="Segoe UI"/>
                <w:color w:val="0F1115"/>
                <w:shd w:val="clear" w:color="auto" w:fill="FFFFFF"/>
              </w:rPr>
              <w:t>轮台塔中石油化工有限公司位于</w:t>
            </w:r>
            <w:r w:rsidR="008C10CB" w:rsidRPr="008C10CB">
              <w:rPr>
                <w:rFonts w:ascii="Segoe UI" w:hAnsi="Segoe UI" w:cs="Segoe UI" w:hint="eastAsia"/>
                <w:color w:val="0F1115"/>
                <w:shd w:val="clear" w:color="auto" w:fill="FFFFFF"/>
              </w:rPr>
              <w:t>轮台工业园区拉依苏石油化工区</w:t>
            </w:r>
            <w:r>
              <w:rPr>
                <w:rFonts w:ascii="Segoe UI" w:hAnsi="Segoe UI" w:cs="Segoe UI"/>
                <w:color w:val="0F1115"/>
                <w:shd w:val="clear" w:color="auto" w:fill="FFFFFF"/>
              </w:rPr>
              <w:t>，现有工程环保手续履行情况如下：</w:t>
            </w:r>
          </w:p>
          <w:p w14:paraId="3C9F7987" w14:textId="77777777" w:rsidR="003C4F46" w:rsidRDefault="004B6A81">
            <w:pPr>
              <w:ind w:firstLine="480"/>
            </w:pPr>
            <w:r>
              <w:rPr>
                <w:rFonts w:hint="eastAsia"/>
              </w:rPr>
              <w:t>（</w:t>
            </w:r>
            <w:r>
              <w:rPr>
                <w:rFonts w:hint="eastAsia"/>
              </w:rPr>
              <w:t>1</w:t>
            </w:r>
            <w:r>
              <w:rPr>
                <w:rFonts w:hint="eastAsia"/>
              </w:rPr>
              <w:t>）</w:t>
            </w:r>
            <w:r>
              <w:rPr>
                <w:rFonts w:hint="eastAsia"/>
              </w:rPr>
              <w:t>5</w:t>
            </w:r>
            <w:r>
              <w:rPr>
                <w:rFonts w:hint="eastAsia"/>
              </w:rPr>
              <w:t>万</w:t>
            </w:r>
            <w:r>
              <w:rPr>
                <w:rFonts w:hint="eastAsia"/>
              </w:rPr>
              <w:t>t/a</w:t>
            </w:r>
            <w:r>
              <w:rPr>
                <w:rFonts w:hint="eastAsia"/>
              </w:rPr>
              <w:t>废油再生利用项目</w:t>
            </w:r>
          </w:p>
          <w:p w14:paraId="4D061665" w14:textId="77777777" w:rsidR="003C4F46" w:rsidRDefault="004B6A81">
            <w:pPr>
              <w:ind w:firstLine="480"/>
            </w:pPr>
            <w:r>
              <w:rPr>
                <w:rFonts w:hint="eastAsia"/>
              </w:rPr>
              <w:t>2016</w:t>
            </w:r>
            <w:r>
              <w:rPr>
                <w:rFonts w:hint="eastAsia"/>
              </w:rPr>
              <w:t>年</w:t>
            </w:r>
            <w:r>
              <w:rPr>
                <w:rFonts w:hint="eastAsia"/>
              </w:rPr>
              <w:t>10</w:t>
            </w:r>
            <w:r>
              <w:rPr>
                <w:rFonts w:hint="eastAsia"/>
              </w:rPr>
              <w:t>月，委托宁夏智诚安环科技发展股份有限公司编制完成《轮台塔中石油化工有限公司</w:t>
            </w:r>
            <w:r>
              <w:rPr>
                <w:rFonts w:hint="eastAsia"/>
              </w:rPr>
              <w:t>5</w:t>
            </w:r>
            <w:r>
              <w:rPr>
                <w:rFonts w:hint="eastAsia"/>
              </w:rPr>
              <w:t>万</w:t>
            </w:r>
            <w:r>
              <w:rPr>
                <w:rFonts w:hint="eastAsia"/>
              </w:rPr>
              <w:t>t/a</w:t>
            </w:r>
            <w:r>
              <w:rPr>
                <w:rFonts w:hint="eastAsia"/>
              </w:rPr>
              <w:t>废油再生利用项目环境影响报告书》；</w:t>
            </w:r>
            <w:r>
              <w:rPr>
                <w:rFonts w:hint="eastAsia"/>
              </w:rPr>
              <w:t>2016</w:t>
            </w:r>
            <w:r>
              <w:rPr>
                <w:rFonts w:hint="eastAsia"/>
              </w:rPr>
              <w:t>年</w:t>
            </w:r>
            <w:r>
              <w:rPr>
                <w:rFonts w:hint="eastAsia"/>
              </w:rPr>
              <w:t>10</w:t>
            </w:r>
            <w:r>
              <w:rPr>
                <w:rFonts w:hint="eastAsia"/>
              </w:rPr>
              <w:t>月</w:t>
            </w:r>
            <w:r>
              <w:rPr>
                <w:rFonts w:hint="eastAsia"/>
              </w:rPr>
              <w:t>27</w:t>
            </w:r>
            <w:r>
              <w:rPr>
                <w:rFonts w:hint="eastAsia"/>
              </w:rPr>
              <w:t>日，取得原新疆维吾尔自治区环境保护厅批复（新环函〔</w:t>
            </w:r>
            <w:r>
              <w:rPr>
                <w:rFonts w:hint="eastAsia"/>
              </w:rPr>
              <w:t>2016</w:t>
            </w:r>
            <w:r>
              <w:rPr>
                <w:rFonts w:hint="eastAsia"/>
              </w:rPr>
              <w:t>〕</w:t>
            </w:r>
            <w:r>
              <w:rPr>
                <w:rFonts w:hint="eastAsia"/>
              </w:rPr>
              <w:t>1562</w:t>
            </w:r>
            <w:r>
              <w:rPr>
                <w:rFonts w:hint="eastAsia"/>
              </w:rPr>
              <w:t>号）。项目于</w:t>
            </w:r>
            <w:r>
              <w:rPr>
                <w:rFonts w:hint="eastAsia"/>
              </w:rPr>
              <w:t>2016</w:t>
            </w:r>
            <w:r>
              <w:rPr>
                <w:rFonts w:hint="eastAsia"/>
              </w:rPr>
              <w:t>年</w:t>
            </w:r>
            <w:r>
              <w:rPr>
                <w:rFonts w:hint="eastAsia"/>
              </w:rPr>
              <w:t>12</w:t>
            </w:r>
            <w:r>
              <w:rPr>
                <w:rFonts w:hint="eastAsia"/>
              </w:rPr>
              <w:t>月开工，</w:t>
            </w:r>
            <w:r>
              <w:rPr>
                <w:rFonts w:hint="eastAsia"/>
              </w:rPr>
              <w:t>2021</w:t>
            </w:r>
            <w:r>
              <w:rPr>
                <w:rFonts w:hint="eastAsia"/>
              </w:rPr>
              <w:t>年</w:t>
            </w:r>
            <w:r>
              <w:rPr>
                <w:rFonts w:hint="eastAsia"/>
              </w:rPr>
              <w:t>1</w:t>
            </w:r>
            <w:r>
              <w:rPr>
                <w:rFonts w:hint="eastAsia"/>
              </w:rPr>
              <w:t>月投入试运行，</w:t>
            </w:r>
            <w:r>
              <w:rPr>
                <w:rFonts w:hint="eastAsia"/>
              </w:rPr>
              <w:t>2021</w:t>
            </w:r>
            <w:r>
              <w:rPr>
                <w:rFonts w:hint="eastAsia"/>
              </w:rPr>
              <w:t>年</w:t>
            </w:r>
            <w:r>
              <w:rPr>
                <w:rFonts w:hint="eastAsia"/>
              </w:rPr>
              <w:t>4</w:t>
            </w:r>
            <w:r>
              <w:rPr>
                <w:rFonts w:hint="eastAsia"/>
              </w:rPr>
              <w:t>月</w:t>
            </w:r>
            <w:r>
              <w:rPr>
                <w:rFonts w:hint="eastAsia"/>
              </w:rPr>
              <w:t>10</w:t>
            </w:r>
            <w:r>
              <w:rPr>
                <w:rFonts w:hint="eastAsia"/>
              </w:rPr>
              <w:t>日通过竣工环境保护验收（巴州生态环境局备案，文号：第</w:t>
            </w:r>
            <w:r>
              <w:rPr>
                <w:rFonts w:hint="eastAsia"/>
              </w:rPr>
              <w:t>2021065</w:t>
            </w:r>
            <w:r>
              <w:rPr>
                <w:rFonts w:hint="eastAsia"/>
              </w:rPr>
              <w:t>号）。</w:t>
            </w:r>
          </w:p>
          <w:p w14:paraId="7D95FF2C" w14:textId="77777777" w:rsidR="003C4F46" w:rsidRDefault="004B6A81">
            <w:pPr>
              <w:ind w:firstLine="480"/>
            </w:pPr>
            <w:r>
              <w:rPr>
                <w:rFonts w:hint="eastAsia"/>
              </w:rPr>
              <w:lastRenderedPageBreak/>
              <w:t>（</w:t>
            </w:r>
            <w:r>
              <w:rPr>
                <w:rFonts w:hint="eastAsia"/>
              </w:rPr>
              <w:t>2</w:t>
            </w:r>
            <w:r>
              <w:rPr>
                <w:rFonts w:hint="eastAsia"/>
              </w:rPr>
              <w:t>）</w:t>
            </w:r>
            <w:r>
              <w:rPr>
                <w:rFonts w:hint="eastAsia"/>
              </w:rPr>
              <w:t>2</w:t>
            </w:r>
            <w:r>
              <w:rPr>
                <w:rFonts w:hint="eastAsia"/>
              </w:rPr>
              <w:t>万吨</w:t>
            </w:r>
            <w:r>
              <w:rPr>
                <w:rFonts w:hint="eastAsia"/>
              </w:rPr>
              <w:t>/</w:t>
            </w:r>
            <w:r>
              <w:rPr>
                <w:rFonts w:hint="eastAsia"/>
              </w:rPr>
              <w:t>年废包装桶及废机油滤芯再生利用扩建项目</w:t>
            </w:r>
          </w:p>
          <w:p w14:paraId="7E6B3D0E" w14:textId="1E7FD7BE" w:rsidR="003C4F46" w:rsidRDefault="004B6A81">
            <w:pPr>
              <w:ind w:firstLine="480"/>
            </w:pPr>
            <w:r>
              <w:rPr>
                <w:rFonts w:hint="eastAsia"/>
              </w:rPr>
              <w:t>随着市场发展，废机油多采用</w:t>
            </w:r>
            <w:r>
              <w:rPr>
                <w:rFonts w:hint="eastAsia"/>
              </w:rPr>
              <w:t>200L</w:t>
            </w:r>
            <w:r>
              <w:rPr>
                <w:rFonts w:hint="eastAsia"/>
              </w:rPr>
              <w:t>铁桶、塑料桶包装转运至厂区，废桶产生量较大。经综合</w:t>
            </w:r>
            <w:r w:rsidR="008222DE">
              <w:rPr>
                <w:rFonts w:hint="eastAsia"/>
              </w:rPr>
              <w:t>考虑</w:t>
            </w:r>
            <w:r>
              <w:rPr>
                <w:rFonts w:hint="eastAsia"/>
              </w:rPr>
              <w:t>，企业在现有厂区内建设</w:t>
            </w:r>
            <w:r>
              <w:rPr>
                <w:rFonts w:hint="eastAsia"/>
              </w:rPr>
              <w:t>2</w:t>
            </w:r>
            <w:r>
              <w:rPr>
                <w:rFonts w:hint="eastAsia"/>
              </w:rPr>
              <w:t>万吨</w:t>
            </w:r>
            <w:r>
              <w:rPr>
                <w:rFonts w:hint="eastAsia"/>
              </w:rPr>
              <w:t>/</w:t>
            </w:r>
            <w:r>
              <w:rPr>
                <w:rFonts w:hint="eastAsia"/>
              </w:rPr>
              <w:t>年废包装桶及废机油滤芯再生利用扩建项目。</w:t>
            </w:r>
            <w:r>
              <w:rPr>
                <w:rFonts w:hint="eastAsia"/>
              </w:rPr>
              <w:t>2022</w:t>
            </w:r>
            <w:r>
              <w:rPr>
                <w:rFonts w:hint="eastAsia"/>
              </w:rPr>
              <w:t>年</w:t>
            </w:r>
            <w:r>
              <w:rPr>
                <w:rFonts w:hint="eastAsia"/>
              </w:rPr>
              <w:t>11</w:t>
            </w:r>
            <w:r>
              <w:rPr>
                <w:rFonts w:hint="eastAsia"/>
              </w:rPr>
              <w:t>月，委托乌鲁木齐湘永丽景环保科技有限公司编制完成《轮台塔中石油化工有限公司</w:t>
            </w:r>
            <w:r>
              <w:rPr>
                <w:rFonts w:hint="eastAsia"/>
              </w:rPr>
              <w:t>2</w:t>
            </w:r>
            <w:r>
              <w:rPr>
                <w:rFonts w:hint="eastAsia"/>
              </w:rPr>
              <w:t>万吨</w:t>
            </w:r>
            <w:r>
              <w:rPr>
                <w:rFonts w:hint="eastAsia"/>
              </w:rPr>
              <w:t>/</w:t>
            </w:r>
            <w:r>
              <w:rPr>
                <w:rFonts w:hint="eastAsia"/>
              </w:rPr>
              <w:t>年废包装桶及废机油滤芯再生利用扩建项目环境影响报告书》；</w:t>
            </w:r>
            <w:r>
              <w:rPr>
                <w:rFonts w:hint="eastAsia"/>
              </w:rPr>
              <w:t>2022</w:t>
            </w:r>
            <w:r>
              <w:rPr>
                <w:rFonts w:hint="eastAsia"/>
              </w:rPr>
              <w:t>年</w:t>
            </w:r>
            <w:r>
              <w:rPr>
                <w:rFonts w:hint="eastAsia"/>
              </w:rPr>
              <w:t>12</w:t>
            </w:r>
            <w:r>
              <w:rPr>
                <w:rFonts w:hint="eastAsia"/>
              </w:rPr>
              <w:t>月</w:t>
            </w:r>
            <w:r>
              <w:rPr>
                <w:rFonts w:hint="eastAsia"/>
              </w:rPr>
              <w:t>19</w:t>
            </w:r>
            <w:r>
              <w:rPr>
                <w:rFonts w:hint="eastAsia"/>
              </w:rPr>
              <w:t>日，取得新疆维吾尔自治区生态环境厅批复（新环审〔</w:t>
            </w:r>
            <w:r>
              <w:rPr>
                <w:rFonts w:hint="eastAsia"/>
              </w:rPr>
              <w:t>2022</w:t>
            </w:r>
            <w:r>
              <w:rPr>
                <w:rFonts w:hint="eastAsia"/>
              </w:rPr>
              <w:t>〕</w:t>
            </w:r>
            <w:r>
              <w:rPr>
                <w:rFonts w:hint="eastAsia"/>
              </w:rPr>
              <w:t>267</w:t>
            </w:r>
            <w:r>
              <w:rPr>
                <w:rFonts w:hint="eastAsia"/>
              </w:rPr>
              <w:t>号）；</w:t>
            </w:r>
            <w:r>
              <w:rPr>
                <w:rFonts w:hint="eastAsia"/>
              </w:rPr>
              <w:t>2026</w:t>
            </w:r>
            <w:r>
              <w:rPr>
                <w:rFonts w:hint="eastAsia"/>
              </w:rPr>
              <w:t>年</w:t>
            </w:r>
            <w:r>
              <w:rPr>
                <w:rFonts w:hint="eastAsia"/>
              </w:rPr>
              <w:t>6</w:t>
            </w:r>
            <w:r>
              <w:rPr>
                <w:rFonts w:hint="eastAsia"/>
              </w:rPr>
              <w:t>月</w:t>
            </w:r>
            <w:r>
              <w:rPr>
                <w:rFonts w:hint="eastAsia"/>
              </w:rPr>
              <w:t>28</w:t>
            </w:r>
            <w:r>
              <w:rPr>
                <w:rFonts w:hint="eastAsia"/>
              </w:rPr>
              <w:t>日通过竣工环境保护验收。</w:t>
            </w:r>
          </w:p>
          <w:p w14:paraId="73124EE0" w14:textId="77777777" w:rsidR="003C4F46" w:rsidRDefault="004B6A81">
            <w:pPr>
              <w:ind w:firstLine="480"/>
            </w:pPr>
            <w:r>
              <w:rPr>
                <w:rFonts w:hint="eastAsia"/>
              </w:rPr>
              <w:t>（</w:t>
            </w:r>
            <w:r>
              <w:rPr>
                <w:rFonts w:hint="eastAsia"/>
              </w:rPr>
              <w:t>3</w:t>
            </w:r>
            <w:r>
              <w:rPr>
                <w:rFonts w:hint="eastAsia"/>
              </w:rPr>
              <w:t>）排污许可及应急预案</w:t>
            </w:r>
          </w:p>
          <w:p w14:paraId="2068CCE8" w14:textId="77777777" w:rsidR="003C4F46" w:rsidRDefault="004B6A81">
            <w:pPr>
              <w:ind w:firstLine="480"/>
              <w:rPr>
                <w:color w:val="000000" w:themeColor="text1"/>
              </w:rPr>
            </w:pPr>
            <w:r>
              <w:rPr>
                <w:rFonts w:hint="eastAsia"/>
                <w:color w:val="000000" w:themeColor="text1"/>
              </w:rPr>
              <w:t>企业已取得排污许可证（编号：</w:t>
            </w:r>
            <w:r>
              <w:rPr>
                <w:rFonts w:hint="eastAsia"/>
                <w:color w:val="000000" w:themeColor="text1"/>
              </w:rPr>
              <w:t>91652822673430240L001V</w:t>
            </w:r>
            <w:r>
              <w:rPr>
                <w:rFonts w:hint="eastAsia"/>
                <w:color w:val="000000" w:themeColor="text1"/>
              </w:rPr>
              <w:t>），有效期为</w:t>
            </w:r>
            <w:r>
              <w:rPr>
                <w:rFonts w:hint="eastAsia"/>
                <w:color w:val="000000" w:themeColor="text1"/>
              </w:rPr>
              <w:t>2026</w:t>
            </w:r>
            <w:r>
              <w:rPr>
                <w:rFonts w:hint="eastAsia"/>
                <w:color w:val="000000" w:themeColor="text1"/>
              </w:rPr>
              <w:t>年</w:t>
            </w:r>
            <w:r>
              <w:rPr>
                <w:rFonts w:hint="eastAsia"/>
                <w:color w:val="000000" w:themeColor="text1"/>
              </w:rPr>
              <w:t>6</w:t>
            </w:r>
            <w:r>
              <w:rPr>
                <w:rFonts w:hint="eastAsia"/>
                <w:color w:val="000000" w:themeColor="text1"/>
              </w:rPr>
              <w:t>月</w:t>
            </w:r>
            <w:r>
              <w:rPr>
                <w:rFonts w:hint="eastAsia"/>
                <w:color w:val="000000" w:themeColor="text1"/>
              </w:rPr>
              <w:t>3</w:t>
            </w:r>
            <w:r>
              <w:rPr>
                <w:rFonts w:hint="eastAsia"/>
                <w:color w:val="000000" w:themeColor="text1"/>
              </w:rPr>
              <w:t>日至</w:t>
            </w:r>
            <w:r>
              <w:rPr>
                <w:rFonts w:hint="eastAsia"/>
                <w:color w:val="000000" w:themeColor="text1"/>
              </w:rPr>
              <w:t>2031</w:t>
            </w:r>
            <w:r>
              <w:rPr>
                <w:rFonts w:hint="eastAsia"/>
                <w:color w:val="000000" w:themeColor="text1"/>
              </w:rPr>
              <w:t>年</w:t>
            </w:r>
            <w:r>
              <w:rPr>
                <w:rFonts w:hint="eastAsia"/>
                <w:color w:val="000000" w:themeColor="text1"/>
              </w:rPr>
              <w:t>6</w:t>
            </w:r>
            <w:r>
              <w:rPr>
                <w:rFonts w:hint="eastAsia"/>
                <w:color w:val="000000" w:themeColor="text1"/>
              </w:rPr>
              <w:t>月</w:t>
            </w:r>
            <w:r>
              <w:rPr>
                <w:rFonts w:hint="eastAsia"/>
                <w:color w:val="000000" w:themeColor="text1"/>
              </w:rPr>
              <w:t>2</w:t>
            </w:r>
            <w:r>
              <w:rPr>
                <w:rFonts w:hint="eastAsia"/>
                <w:color w:val="000000" w:themeColor="text1"/>
              </w:rPr>
              <w:t>日。企业按照排污许可证要求开展自行监测、环境管理台账记录等工作。</w:t>
            </w:r>
          </w:p>
          <w:p w14:paraId="6F89988D" w14:textId="77777777" w:rsidR="003C4F46" w:rsidRDefault="004B6A81">
            <w:pPr>
              <w:ind w:firstLine="480"/>
              <w:rPr>
                <w:color w:val="000000" w:themeColor="text1"/>
              </w:rPr>
            </w:pPr>
            <w:r>
              <w:rPr>
                <w:rFonts w:hint="eastAsia"/>
                <w:color w:val="000000" w:themeColor="text1"/>
              </w:rPr>
              <w:t>企业已编制《轮台塔中石油化工有限公司突发环境事件应急预案》（</w:t>
            </w:r>
            <w:r>
              <w:rPr>
                <w:rFonts w:hint="eastAsia"/>
                <w:color w:val="000000" w:themeColor="text1"/>
              </w:rPr>
              <w:t>2024</w:t>
            </w:r>
            <w:r>
              <w:rPr>
                <w:rFonts w:hint="eastAsia"/>
                <w:color w:val="000000" w:themeColor="text1"/>
              </w:rPr>
              <w:t>年</w:t>
            </w:r>
            <w:r>
              <w:rPr>
                <w:rFonts w:hint="eastAsia"/>
                <w:color w:val="000000" w:themeColor="text1"/>
              </w:rPr>
              <w:t>8</w:t>
            </w:r>
            <w:r>
              <w:rPr>
                <w:rFonts w:hint="eastAsia"/>
                <w:color w:val="000000" w:themeColor="text1"/>
              </w:rPr>
              <w:t>月），并在巴州生态环境局轮台县分局备案（备案编号：</w:t>
            </w:r>
            <w:r>
              <w:rPr>
                <w:rFonts w:hint="eastAsia"/>
                <w:color w:val="000000" w:themeColor="text1"/>
              </w:rPr>
              <w:t>652822-2024-56-L</w:t>
            </w:r>
            <w:r>
              <w:rPr>
                <w:rFonts w:hint="eastAsia"/>
                <w:color w:val="000000" w:themeColor="text1"/>
              </w:rPr>
              <w:t>），针对识别出的环境风险因素，采取了防止火灾、爆炸等事故的安全措施及环境风险防范措施。</w:t>
            </w:r>
          </w:p>
          <w:p w14:paraId="0CAE42E0" w14:textId="77777777" w:rsidR="003C4F46" w:rsidRDefault="004B6A81">
            <w:pPr>
              <w:ind w:firstLine="480"/>
              <w:rPr>
                <w:color w:val="000000" w:themeColor="text1"/>
              </w:rPr>
            </w:pPr>
            <w:r>
              <w:rPr>
                <w:rFonts w:hint="eastAsia"/>
              </w:rPr>
              <w:t>本项目建成后须对现有突发环境事件应急预案修订并重新备案，修订依据《中华人民共和国生态环境法典》第一百二十一条至第一百二十六条，并参照《危险废物经营单位编制应急预案指南》（原国家环境保护总局公告</w:t>
            </w:r>
            <w:r>
              <w:rPr>
                <w:rFonts w:hint="eastAsia"/>
              </w:rPr>
              <w:t>2007</w:t>
            </w:r>
            <w:r>
              <w:rPr>
                <w:rFonts w:hint="eastAsia"/>
              </w:rPr>
              <w:t>年第</w:t>
            </w:r>
            <w:r>
              <w:rPr>
                <w:rFonts w:hint="eastAsia"/>
              </w:rPr>
              <w:t>48</w:t>
            </w:r>
            <w:r>
              <w:rPr>
                <w:rFonts w:hint="eastAsia"/>
              </w:rPr>
              <w:t>号）。修订后的应急预案须补充储罐泄漏、硫酸泄漏、危废不相容混存等专项应急处置内容。本项目须在建成投入运行前完成应急预案修订及重新备案工作</w:t>
            </w:r>
            <w:r>
              <w:t>。</w:t>
            </w:r>
          </w:p>
          <w:p w14:paraId="14484359" w14:textId="77777777" w:rsidR="003C4F46" w:rsidRDefault="004B6A81">
            <w:pPr>
              <w:ind w:firstLineChars="0" w:firstLine="0"/>
              <w:rPr>
                <w:rFonts w:cs="Times New Roman"/>
                <w:b/>
                <w:bCs/>
                <w:szCs w:val="24"/>
              </w:rPr>
            </w:pPr>
            <w:r>
              <w:rPr>
                <w:rFonts w:cs="Times New Roman" w:hint="eastAsia"/>
                <w:b/>
                <w:bCs/>
                <w:szCs w:val="24"/>
              </w:rPr>
              <w:t>2</w:t>
            </w:r>
            <w:r>
              <w:rPr>
                <w:rFonts w:cs="Times New Roman" w:hint="eastAsia"/>
                <w:b/>
                <w:bCs/>
                <w:szCs w:val="24"/>
              </w:rPr>
              <w:t>、</w:t>
            </w:r>
            <w:r>
              <w:rPr>
                <w:rFonts w:cs="Times New Roman"/>
                <w:b/>
                <w:bCs/>
                <w:szCs w:val="24"/>
              </w:rPr>
              <w:t>现有工程产污环节及污染物排放情况</w:t>
            </w:r>
          </w:p>
          <w:p w14:paraId="334C7B1C" w14:textId="77777777" w:rsidR="003C4F46" w:rsidRDefault="004B6A81">
            <w:pPr>
              <w:ind w:firstLine="480"/>
              <w:rPr>
                <w:szCs w:val="24"/>
              </w:rPr>
            </w:pPr>
            <w:r>
              <w:rPr>
                <w:rFonts w:hint="eastAsia"/>
                <w:szCs w:val="24"/>
              </w:rPr>
              <w:t>根据《</w:t>
            </w:r>
            <w:r>
              <w:rPr>
                <w:rFonts w:hint="eastAsia"/>
                <w:szCs w:val="24"/>
              </w:rPr>
              <w:t>5</w:t>
            </w:r>
            <w:r>
              <w:rPr>
                <w:rFonts w:hint="eastAsia"/>
                <w:szCs w:val="24"/>
              </w:rPr>
              <w:t>万</w:t>
            </w:r>
            <w:r>
              <w:rPr>
                <w:rFonts w:hint="eastAsia"/>
                <w:szCs w:val="24"/>
              </w:rPr>
              <w:t>t/a</w:t>
            </w:r>
            <w:r>
              <w:rPr>
                <w:rFonts w:hint="eastAsia"/>
                <w:szCs w:val="24"/>
              </w:rPr>
              <w:t>废油再生利用项目》及《</w:t>
            </w:r>
            <w:r>
              <w:rPr>
                <w:rFonts w:hint="eastAsia"/>
                <w:szCs w:val="24"/>
              </w:rPr>
              <w:t>2</w:t>
            </w:r>
            <w:r>
              <w:rPr>
                <w:rFonts w:hint="eastAsia"/>
                <w:szCs w:val="24"/>
              </w:rPr>
              <w:t>万吨</w:t>
            </w:r>
            <w:r>
              <w:rPr>
                <w:rFonts w:hint="eastAsia"/>
                <w:szCs w:val="24"/>
              </w:rPr>
              <w:t>/</w:t>
            </w:r>
            <w:r>
              <w:rPr>
                <w:rFonts w:hint="eastAsia"/>
                <w:szCs w:val="24"/>
              </w:rPr>
              <w:t>年废包装桶及废机油滤芯再生利用扩建项目》的环评审批意见和竣工环保验收意见，现有工程与本项目有关的原有污染情况如下：</w:t>
            </w:r>
          </w:p>
          <w:p w14:paraId="181BA97B" w14:textId="77777777" w:rsidR="003C4F46" w:rsidRDefault="004B6A81">
            <w:pPr>
              <w:ind w:firstLine="482"/>
              <w:rPr>
                <w:szCs w:val="24"/>
              </w:rPr>
            </w:pPr>
            <w:r>
              <w:rPr>
                <w:b/>
                <w:bCs/>
                <w:szCs w:val="24"/>
              </w:rPr>
              <w:t>（</w:t>
            </w:r>
            <w:r>
              <w:rPr>
                <w:b/>
                <w:bCs/>
                <w:szCs w:val="24"/>
              </w:rPr>
              <w:t>1</w:t>
            </w:r>
            <w:r>
              <w:rPr>
                <w:b/>
                <w:bCs/>
                <w:szCs w:val="24"/>
              </w:rPr>
              <w:t>）废水</w:t>
            </w:r>
          </w:p>
          <w:p w14:paraId="78419205" w14:textId="77777777" w:rsidR="003C4F46" w:rsidRDefault="004B6A81">
            <w:pPr>
              <w:pStyle w:val="afffb"/>
              <w:ind w:firstLine="480"/>
              <w:jc w:val="both"/>
            </w:pPr>
            <w:r>
              <w:rPr>
                <w:rFonts w:hint="eastAsia"/>
              </w:rPr>
              <w:t>现有项目生活污水量</w:t>
            </w:r>
            <w:r>
              <w:rPr>
                <w:rFonts w:hint="eastAsia"/>
              </w:rPr>
              <w:t>720m</w:t>
            </w:r>
            <w:r>
              <w:rPr>
                <w:rFonts w:hint="eastAsia"/>
              </w:rPr>
              <w:t>³</w:t>
            </w:r>
            <w:r>
              <w:rPr>
                <w:rFonts w:hint="eastAsia"/>
              </w:rPr>
              <w:t>/a</w:t>
            </w:r>
            <w:r>
              <w:rPr>
                <w:rFonts w:hint="eastAsia"/>
              </w:rPr>
              <w:t>和循环冷却排污废水量</w:t>
            </w:r>
            <w:r>
              <w:rPr>
                <w:rFonts w:hint="eastAsia"/>
              </w:rPr>
              <w:t>5400m</w:t>
            </w:r>
            <w:r>
              <w:rPr>
                <w:rFonts w:hint="eastAsia"/>
              </w:rPr>
              <w:t>³</w:t>
            </w:r>
            <w:r>
              <w:rPr>
                <w:rFonts w:hint="eastAsia"/>
              </w:rPr>
              <w:t>/a</w:t>
            </w:r>
            <w:r>
              <w:rPr>
                <w:rFonts w:hint="eastAsia"/>
              </w:rPr>
              <w:t>均排入园区污水处理厂处理。</w:t>
            </w:r>
          </w:p>
          <w:p w14:paraId="068BCED1" w14:textId="77777777" w:rsidR="003C4F46" w:rsidRDefault="004B6A81">
            <w:pPr>
              <w:pStyle w:val="afffb"/>
              <w:ind w:firstLine="480"/>
              <w:jc w:val="both"/>
              <w:rPr>
                <w:color w:val="000000" w:themeColor="text1"/>
              </w:rPr>
            </w:pPr>
            <w:r>
              <w:rPr>
                <w:rFonts w:hint="eastAsia"/>
              </w:rPr>
              <w:t>现有项目含油废水量</w:t>
            </w:r>
            <w:r>
              <w:rPr>
                <w:rFonts w:hint="eastAsia"/>
              </w:rPr>
              <w:t>7079.6m</w:t>
            </w:r>
            <w:r>
              <w:rPr>
                <w:rFonts w:hint="eastAsia"/>
              </w:rPr>
              <w:t>³</w:t>
            </w:r>
            <w:r>
              <w:rPr>
                <w:rFonts w:hint="eastAsia"/>
              </w:rPr>
              <w:t>/a</w:t>
            </w:r>
            <w:r>
              <w:rPr>
                <w:rFonts w:hint="eastAsia"/>
              </w:rPr>
              <w:t>和清洗废水</w:t>
            </w:r>
            <w:r>
              <w:rPr>
                <w:rFonts w:hint="eastAsia"/>
              </w:rPr>
              <w:t>1560m</w:t>
            </w:r>
            <w:r>
              <w:rPr>
                <w:rFonts w:hint="eastAsia"/>
              </w:rPr>
              <w:t>³</w:t>
            </w:r>
            <w:r>
              <w:rPr>
                <w:rFonts w:hint="eastAsia"/>
              </w:rPr>
              <w:t>/a</w:t>
            </w:r>
            <w:r>
              <w:rPr>
                <w:rFonts w:hint="eastAsia"/>
              </w:rPr>
              <w:t>（来自废包装桶、废机油滤芯清洗），排入厂区现有污水处理站处理。污水处理站采用《石油炼制工业废水治理工程</w:t>
            </w:r>
            <w:r>
              <w:rPr>
                <w:rFonts w:hint="eastAsia"/>
              </w:rPr>
              <w:lastRenderedPageBreak/>
              <w:t>技术规范》（</w:t>
            </w:r>
            <w:r>
              <w:rPr>
                <w:rFonts w:hint="eastAsia"/>
              </w:rPr>
              <w:t>HJ2045-2014</w:t>
            </w:r>
            <w:r>
              <w:rPr>
                <w:rFonts w:hint="eastAsia"/>
              </w:rPr>
              <w:t>）中推荐的废水处理工艺，即“物化处理</w:t>
            </w:r>
            <w:r>
              <w:rPr>
                <w:rFonts w:hint="eastAsia"/>
              </w:rPr>
              <w:t>+</w:t>
            </w:r>
            <w:r>
              <w:rPr>
                <w:rFonts w:hint="eastAsia"/>
              </w:rPr>
              <w:t>生化处理”。物化处理单元工艺为“调节池→隔油池→中和池→均质池→气浮池”，生化处理单元工艺为“水解酸化→</w:t>
            </w:r>
            <w:r>
              <w:rPr>
                <w:rFonts w:hint="eastAsia"/>
              </w:rPr>
              <w:t>SBR</w:t>
            </w:r>
            <w:r>
              <w:rPr>
                <w:rFonts w:hint="eastAsia"/>
              </w:rPr>
              <w:t>→二沉池”。废水排放达到《石油炼制工业污染物排放标准》（</w:t>
            </w:r>
            <w:r>
              <w:rPr>
                <w:rFonts w:hint="eastAsia"/>
              </w:rPr>
              <w:t>GB31570-2015</w:t>
            </w:r>
            <w:r>
              <w:rPr>
                <w:rFonts w:hint="eastAsia"/>
              </w:rPr>
              <w:t>）表</w:t>
            </w:r>
            <w:r>
              <w:rPr>
                <w:rFonts w:hint="eastAsia"/>
              </w:rPr>
              <w:t>1</w:t>
            </w:r>
            <w:r>
              <w:rPr>
                <w:rFonts w:hint="eastAsia"/>
              </w:rPr>
              <w:t>间接排放标准，间接排放标准限值中未作规定污染物达到《污水综合排放标准》（</w:t>
            </w:r>
            <w:r>
              <w:rPr>
                <w:rFonts w:hint="eastAsia"/>
              </w:rPr>
              <w:t>GB8978-1996</w:t>
            </w:r>
            <w:r>
              <w:rPr>
                <w:rFonts w:hint="eastAsia"/>
              </w:rPr>
              <w:t>）三级标准</w:t>
            </w:r>
            <w:r>
              <w:rPr>
                <w:color w:val="000000" w:themeColor="text1"/>
              </w:rPr>
              <w:t>。</w:t>
            </w:r>
          </w:p>
          <w:p w14:paraId="3C89EB49" w14:textId="77777777" w:rsidR="003C4F46" w:rsidRDefault="004B6A81">
            <w:pPr>
              <w:pStyle w:val="afffb"/>
              <w:ind w:firstLine="480"/>
              <w:jc w:val="both"/>
              <w:rPr>
                <w:color w:val="000000" w:themeColor="text1"/>
              </w:rPr>
            </w:pPr>
            <w:r>
              <w:rPr>
                <w:rFonts w:hint="eastAsia"/>
                <w:color w:val="000000" w:themeColor="text1"/>
              </w:rPr>
              <w:t>根据监测结果，现有项目生产废水经厂区污水处理站处理后，主要污染物排放浓度满足《石油炼制工业污染物排放标准》（</w:t>
            </w:r>
            <w:r>
              <w:rPr>
                <w:rFonts w:hint="eastAsia"/>
                <w:color w:val="000000" w:themeColor="text1"/>
              </w:rPr>
              <w:t>GB31570-2015</w:t>
            </w:r>
            <w:r>
              <w:rPr>
                <w:rFonts w:hint="eastAsia"/>
                <w:color w:val="000000" w:themeColor="text1"/>
              </w:rPr>
              <w:t>）表</w:t>
            </w:r>
            <w:r>
              <w:rPr>
                <w:rFonts w:hint="eastAsia"/>
                <w:color w:val="000000" w:themeColor="text1"/>
              </w:rPr>
              <w:t>1</w:t>
            </w:r>
            <w:r>
              <w:rPr>
                <w:rFonts w:hint="eastAsia"/>
                <w:color w:val="000000" w:themeColor="text1"/>
              </w:rPr>
              <w:t>间接排放标准限值要求，间接排放标准限值中未作规定污染物符合《污水综合排放标准》（</w:t>
            </w:r>
            <w:r>
              <w:rPr>
                <w:rFonts w:hint="eastAsia"/>
                <w:color w:val="000000" w:themeColor="text1"/>
              </w:rPr>
              <w:t>GB8978-1996</w:t>
            </w:r>
            <w:r>
              <w:rPr>
                <w:rFonts w:hint="eastAsia"/>
                <w:color w:val="000000" w:themeColor="text1"/>
              </w:rPr>
              <w:t>）三级标准限值要求。</w:t>
            </w:r>
          </w:p>
          <w:p w14:paraId="121434AD" w14:textId="77777777" w:rsidR="003C4F46" w:rsidRDefault="004B6A81">
            <w:pPr>
              <w:ind w:firstLineChars="0" w:firstLine="0"/>
              <w:jc w:val="center"/>
            </w:pPr>
            <w:r>
              <w:rPr>
                <w:noProof/>
              </w:rPr>
              <w:drawing>
                <wp:inline distT="0" distB="0" distL="0" distR="0" wp14:anchorId="0539EAC6" wp14:editId="56B4B704">
                  <wp:extent cx="5133395" cy="1356078"/>
                  <wp:effectExtent l="19050" t="19050" r="10160" b="1587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8"/>
                          <a:stretch>
                            <a:fillRect/>
                          </a:stretch>
                        </pic:blipFill>
                        <pic:spPr>
                          <a:xfrm>
                            <a:off x="0" y="0"/>
                            <a:ext cx="5263293" cy="1390393"/>
                          </a:xfrm>
                          <a:prstGeom prst="rect">
                            <a:avLst/>
                          </a:prstGeom>
                          <a:ln>
                            <a:solidFill>
                              <a:schemeClr val="tx1"/>
                            </a:solidFill>
                          </a:ln>
                        </pic:spPr>
                      </pic:pic>
                    </a:graphicData>
                  </a:graphic>
                </wp:inline>
              </w:drawing>
            </w:r>
          </w:p>
          <w:p w14:paraId="2C358C91" w14:textId="77777777" w:rsidR="003C4F46" w:rsidRDefault="004B6A81">
            <w:pPr>
              <w:pStyle w:val="af6"/>
              <w:ind w:left="422" w:hanging="422"/>
              <w:jc w:val="center"/>
              <w:rPr>
                <w:rFonts w:cs="Times New Roman"/>
                <w:b/>
                <w:bCs/>
                <w:sz w:val="21"/>
                <w:szCs w:val="21"/>
              </w:rPr>
            </w:pPr>
            <w:r>
              <w:rPr>
                <w:rFonts w:cs="Times New Roman"/>
                <w:b/>
                <w:bCs/>
                <w:sz w:val="21"/>
                <w:szCs w:val="21"/>
              </w:rPr>
              <w:t>图</w:t>
            </w:r>
            <w:r>
              <w:rPr>
                <w:rFonts w:cs="Times New Roman"/>
                <w:b/>
                <w:bCs/>
                <w:sz w:val="21"/>
                <w:szCs w:val="21"/>
              </w:rPr>
              <w:t xml:space="preserve">2-3  </w:t>
            </w:r>
            <w:r>
              <w:rPr>
                <w:rFonts w:cs="Times New Roman"/>
                <w:b/>
                <w:bCs/>
                <w:sz w:val="21"/>
                <w:szCs w:val="21"/>
              </w:rPr>
              <w:t>现有污水处理站工艺流程图</w:t>
            </w:r>
          </w:p>
          <w:p w14:paraId="1D5E679A" w14:textId="77777777" w:rsidR="003C4F46" w:rsidRDefault="004B6A81">
            <w:pPr>
              <w:pStyle w:val="afffb"/>
              <w:ind w:firstLine="482"/>
              <w:rPr>
                <w:b/>
                <w:bCs/>
              </w:rPr>
            </w:pPr>
            <w:r>
              <w:rPr>
                <w:b/>
                <w:bCs/>
              </w:rPr>
              <w:t>（</w:t>
            </w:r>
            <w:r>
              <w:rPr>
                <w:b/>
                <w:bCs/>
              </w:rPr>
              <w:t>2</w:t>
            </w:r>
            <w:r>
              <w:rPr>
                <w:b/>
                <w:bCs/>
              </w:rPr>
              <w:t>）废气</w:t>
            </w:r>
          </w:p>
          <w:p w14:paraId="49B93904" w14:textId="77777777" w:rsidR="003C4F46" w:rsidRDefault="004B6A81">
            <w:pPr>
              <w:pStyle w:val="afffb"/>
              <w:ind w:firstLine="480"/>
              <w:jc w:val="both"/>
            </w:pPr>
            <w:r>
              <w:rPr>
                <w:rFonts w:hint="eastAsia"/>
              </w:rPr>
              <w:t>现有</w:t>
            </w:r>
            <w:r>
              <w:rPr>
                <w:rFonts w:hint="eastAsia"/>
              </w:rPr>
              <w:t>5</w:t>
            </w:r>
            <w:r>
              <w:rPr>
                <w:rFonts w:hint="eastAsia"/>
              </w:rPr>
              <w:t>万</w:t>
            </w:r>
            <w:r>
              <w:rPr>
                <w:rFonts w:hint="eastAsia"/>
              </w:rPr>
              <w:t>t/a</w:t>
            </w:r>
            <w:r>
              <w:rPr>
                <w:rFonts w:hint="eastAsia"/>
              </w:rPr>
              <w:t>废油再生利用项目有组织废气包括加热炉烟气和燃油蒸汽锅炉烟气。</w:t>
            </w:r>
          </w:p>
          <w:p w14:paraId="61CD1F86" w14:textId="77777777" w:rsidR="003C4F46" w:rsidRDefault="004B6A81">
            <w:pPr>
              <w:pStyle w:val="afffb"/>
              <w:ind w:firstLine="480"/>
              <w:jc w:val="both"/>
            </w:pPr>
            <w:r>
              <w:rPr>
                <w:rFonts w:hint="eastAsia"/>
              </w:rPr>
              <w:t>根据监测结果，现有项目加热炉烟气满足《石油炼制工业污染物排放标准》（</w:t>
            </w:r>
            <w:r>
              <w:rPr>
                <w:rFonts w:hint="eastAsia"/>
              </w:rPr>
              <w:t>GB31570-2015</w:t>
            </w:r>
            <w:r>
              <w:rPr>
                <w:rFonts w:hint="eastAsia"/>
              </w:rPr>
              <w:t>）中表</w:t>
            </w:r>
            <w:r>
              <w:rPr>
                <w:rFonts w:hint="eastAsia"/>
              </w:rPr>
              <w:t>3</w:t>
            </w:r>
            <w:r>
              <w:rPr>
                <w:rFonts w:hint="eastAsia"/>
              </w:rPr>
              <w:t>工艺加热炉要求；锅炉烟气满足《锅炉大气污染物排放标准》（</w:t>
            </w:r>
            <w:r>
              <w:rPr>
                <w:rFonts w:hint="eastAsia"/>
              </w:rPr>
              <w:t>GB13271-2014</w:t>
            </w:r>
            <w:r>
              <w:rPr>
                <w:rFonts w:hint="eastAsia"/>
              </w:rPr>
              <w:t>）表</w:t>
            </w:r>
            <w:r>
              <w:rPr>
                <w:rFonts w:hint="eastAsia"/>
              </w:rPr>
              <w:t>2</w:t>
            </w:r>
            <w:r>
              <w:rPr>
                <w:rFonts w:hint="eastAsia"/>
              </w:rPr>
              <w:t>燃油锅炉的排放限值要求。</w:t>
            </w:r>
          </w:p>
          <w:p w14:paraId="153F460D" w14:textId="77777777" w:rsidR="003C4F46" w:rsidRDefault="004B6A81">
            <w:pPr>
              <w:pStyle w:val="afffb"/>
              <w:ind w:firstLine="480"/>
              <w:jc w:val="both"/>
            </w:pPr>
            <w:r>
              <w:rPr>
                <w:rFonts w:hint="eastAsia"/>
              </w:rPr>
              <w:t>现有项目无组织废气主要是罐区、装置区、装卸系统无组织排放</w:t>
            </w:r>
            <w:r>
              <w:rPr>
                <w:rFonts w:hint="eastAsia"/>
              </w:rPr>
              <w:t>VOCs</w:t>
            </w:r>
            <w:r>
              <w:rPr>
                <w:rFonts w:hint="eastAsia"/>
              </w:rPr>
              <w:t>（以非甲烷总烃计）和白土在装卸、拆包及投送过程中产生的少量粉尘。</w:t>
            </w:r>
          </w:p>
          <w:p w14:paraId="376F298E" w14:textId="77777777" w:rsidR="003C4F46" w:rsidRDefault="004B6A81">
            <w:pPr>
              <w:pStyle w:val="afffb"/>
              <w:ind w:firstLine="480"/>
              <w:jc w:val="both"/>
            </w:pPr>
            <w:r>
              <w:rPr>
                <w:rFonts w:hint="eastAsia"/>
              </w:rPr>
              <w:t>根据监测结果，现有项目厂界无组织颗粒物、非甲烷总烃最高浓度均满足《石油炼制工业污染物排放标准》（</w:t>
            </w:r>
            <w:r>
              <w:rPr>
                <w:rFonts w:hint="eastAsia"/>
              </w:rPr>
              <w:t>GB31570-2015</w:t>
            </w:r>
            <w:r>
              <w:rPr>
                <w:rFonts w:hint="eastAsia"/>
              </w:rPr>
              <w:t>）中“表</w:t>
            </w:r>
            <w:r>
              <w:rPr>
                <w:rFonts w:hint="eastAsia"/>
              </w:rPr>
              <w:t>5</w:t>
            </w:r>
            <w:r>
              <w:rPr>
                <w:rFonts w:hint="eastAsia"/>
              </w:rPr>
              <w:t>企业边界大气污染物浓度限值”要求。</w:t>
            </w:r>
          </w:p>
          <w:p w14:paraId="3E99F557" w14:textId="77777777" w:rsidR="003C4F46" w:rsidRDefault="004B6A81">
            <w:pPr>
              <w:pStyle w:val="afffb"/>
              <w:ind w:firstLine="480"/>
              <w:jc w:val="both"/>
            </w:pPr>
            <w:r>
              <w:rPr>
                <w:rFonts w:hint="eastAsia"/>
              </w:rPr>
              <w:t>现有</w:t>
            </w:r>
            <w:r>
              <w:rPr>
                <w:rFonts w:hint="eastAsia"/>
              </w:rPr>
              <w:t>2</w:t>
            </w:r>
            <w:r>
              <w:rPr>
                <w:rFonts w:hint="eastAsia"/>
              </w:rPr>
              <w:t>万吨</w:t>
            </w:r>
            <w:r>
              <w:rPr>
                <w:rFonts w:hint="eastAsia"/>
              </w:rPr>
              <w:t>/</w:t>
            </w:r>
            <w:r>
              <w:rPr>
                <w:rFonts w:hint="eastAsia"/>
              </w:rPr>
              <w:t>年废包装桶及废机油滤芯再生利用扩建项目废气主要为：废油桶、废机油滤芯进厂卸货、去残后分拣归类，以及废铁质桶经压块机压块减容后分区存放于原料仓库等过程，残留的少量废机油挥发产生少量</w:t>
            </w:r>
            <w:r>
              <w:rPr>
                <w:rFonts w:hint="eastAsia"/>
              </w:rPr>
              <w:t>VOCs</w:t>
            </w:r>
            <w:r>
              <w:rPr>
                <w:rFonts w:hint="eastAsia"/>
              </w:rPr>
              <w:t>（以非甲烷总烃计）。由于废机油</w:t>
            </w:r>
            <w:r>
              <w:rPr>
                <w:rFonts w:hint="eastAsia"/>
              </w:rPr>
              <w:lastRenderedPageBreak/>
              <w:t>挥发性很低且残油量少，一期生产线产生</w:t>
            </w:r>
            <w:r>
              <w:rPr>
                <w:rFonts w:hint="eastAsia"/>
              </w:rPr>
              <w:t>VOCs</w:t>
            </w:r>
            <w:r>
              <w:rPr>
                <w:rFonts w:hint="eastAsia"/>
              </w:rPr>
              <w:t>（以非甲烷总烃计）经仓库密闭、机械抽风收集后进入二级活性炭吸附装置处理，处理后废气经</w:t>
            </w:r>
            <w:r>
              <w:rPr>
                <w:rFonts w:hint="eastAsia"/>
              </w:rPr>
              <w:t>15m</w:t>
            </w:r>
            <w:r>
              <w:rPr>
                <w:rFonts w:hint="eastAsia"/>
              </w:rPr>
              <w:t>高排气筒（</w:t>
            </w:r>
            <w:r>
              <w:rPr>
                <w:rFonts w:hint="eastAsia"/>
              </w:rPr>
              <w:t>DA00</w:t>
            </w:r>
            <w:r>
              <w:t>5</w:t>
            </w:r>
            <w:r>
              <w:rPr>
                <w:rFonts w:hint="eastAsia"/>
              </w:rPr>
              <w:t>）排放；撕碎机、破碎机为封闭设备，设置吸风口，有机废气经收集管道引至两级活性炭吸附设备处理，处理后废气也经同一根</w:t>
            </w:r>
            <w:r>
              <w:rPr>
                <w:rFonts w:hint="eastAsia"/>
              </w:rPr>
              <w:t>15m</w:t>
            </w:r>
            <w:r>
              <w:rPr>
                <w:rFonts w:hint="eastAsia"/>
              </w:rPr>
              <w:t>高排气筒（</w:t>
            </w:r>
            <w:r>
              <w:rPr>
                <w:rFonts w:hint="eastAsia"/>
              </w:rPr>
              <w:t>DA005</w:t>
            </w:r>
            <w:r>
              <w:rPr>
                <w:rFonts w:hint="eastAsia"/>
              </w:rPr>
              <w:t>）排放。</w:t>
            </w:r>
          </w:p>
          <w:p w14:paraId="691EC262" w14:textId="77777777" w:rsidR="003C4F46" w:rsidRDefault="004B6A81">
            <w:pPr>
              <w:pStyle w:val="affc"/>
              <w:ind w:firstLine="502"/>
              <w:rPr>
                <w:rFonts w:ascii="Times New Roman" w:hAnsi="Times New Roman"/>
                <w:b/>
                <w:bCs/>
                <w:sz w:val="24"/>
                <w:szCs w:val="24"/>
              </w:rPr>
            </w:pPr>
            <w:r>
              <w:rPr>
                <w:rFonts w:ascii="Times New Roman" w:hAnsi="Times New Roman"/>
                <w:b/>
                <w:bCs/>
                <w:sz w:val="24"/>
                <w:szCs w:val="24"/>
              </w:rPr>
              <w:t>（</w:t>
            </w:r>
            <w:r>
              <w:rPr>
                <w:rFonts w:ascii="Times New Roman" w:hAnsi="Times New Roman"/>
                <w:b/>
                <w:bCs/>
                <w:sz w:val="24"/>
                <w:szCs w:val="24"/>
              </w:rPr>
              <w:t>3</w:t>
            </w:r>
            <w:r>
              <w:rPr>
                <w:rFonts w:ascii="Times New Roman" w:hAnsi="Times New Roman"/>
                <w:b/>
                <w:bCs/>
                <w:sz w:val="24"/>
                <w:szCs w:val="24"/>
              </w:rPr>
              <w:t>）噪声</w:t>
            </w:r>
          </w:p>
          <w:p w14:paraId="5C14157F" w14:textId="77777777" w:rsidR="003C4F46" w:rsidRDefault="004B6A81">
            <w:pPr>
              <w:ind w:firstLine="480"/>
              <w:rPr>
                <w:color w:val="000000"/>
                <w:szCs w:val="24"/>
              </w:rPr>
            </w:pPr>
            <w:r>
              <w:rPr>
                <w:rFonts w:hint="eastAsia"/>
                <w:color w:val="000000"/>
                <w:szCs w:val="24"/>
              </w:rPr>
              <w:t>现有项目噪声主要来自于各类生产设备运行时产生的机械噪声，采取隔声、基础减振、消声等措施，通过墙体隔声和距离衰减后排放。</w:t>
            </w:r>
          </w:p>
          <w:p w14:paraId="0989988F" w14:textId="77777777" w:rsidR="003C4F46" w:rsidRDefault="004B6A81">
            <w:pPr>
              <w:ind w:firstLine="480"/>
              <w:rPr>
                <w:color w:val="000000"/>
                <w:szCs w:val="24"/>
              </w:rPr>
            </w:pPr>
            <w:r>
              <w:rPr>
                <w:rFonts w:hint="eastAsia"/>
                <w:color w:val="000000"/>
                <w:szCs w:val="24"/>
              </w:rPr>
              <w:t>验收监测期间，项目区厂界外昼间、夜间噪声值均符合《工业企业厂界环境噪声排放标准》（</w:t>
            </w:r>
            <w:r>
              <w:rPr>
                <w:rFonts w:hint="eastAsia"/>
                <w:color w:val="000000"/>
                <w:szCs w:val="24"/>
              </w:rPr>
              <w:t>GB12348-2008</w:t>
            </w:r>
            <w:r>
              <w:rPr>
                <w:rFonts w:hint="eastAsia"/>
                <w:color w:val="000000"/>
                <w:szCs w:val="24"/>
              </w:rPr>
              <w:t>）中</w:t>
            </w:r>
            <w:r>
              <w:rPr>
                <w:rFonts w:hint="eastAsia"/>
                <w:color w:val="000000"/>
                <w:szCs w:val="24"/>
              </w:rPr>
              <w:t>3</w:t>
            </w:r>
            <w:r>
              <w:rPr>
                <w:rFonts w:hint="eastAsia"/>
                <w:color w:val="000000"/>
                <w:szCs w:val="24"/>
              </w:rPr>
              <w:t>类标准要求。</w:t>
            </w:r>
            <w:bookmarkStart w:id="18" w:name="_Toc18915013"/>
            <w:bookmarkStart w:id="19" w:name="_Toc19724966"/>
          </w:p>
          <w:p w14:paraId="7EAE5D3E" w14:textId="77777777" w:rsidR="003C4F46" w:rsidRDefault="004B6A81">
            <w:pPr>
              <w:ind w:firstLine="482"/>
              <w:rPr>
                <w:color w:val="000000"/>
                <w:szCs w:val="24"/>
              </w:rPr>
            </w:pPr>
            <w:r>
              <w:rPr>
                <w:b/>
                <w:bCs/>
                <w:szCs w:val="24"/>
              </w:rPr>
              <w:t>（</w:t>
            </w:r>
            <w:r>
              <w:rPr>
                <w:b/>
                <w:bCs/>
                <w:szCs w:val="24"/>
              </w:rPr>
              <w:t>4</w:t>
            </w:r>
            <w:r>
              <w:rPr>
                <w:b/>
                <w:bCs/>
                <w:szCs w:val="24"/>
              </w:rPr>
              <w:t>）固体废物</w:t>
            </w:r>
            <w:bookmarkEnd w:id="18"/>
            <w:bookmarkEnd w:id="19"/>
          </w:p>
          <w:p w14:paraId="023C15AE" w14:textId="77777777" w:rsidR="003C4F46" w:rsidRDefault="004B6A81">
            <w:pPr>
              <w:pStyle w:val="affc"/>
              <w:ind w:firstLine="500"/>
              <w:rPr>
                <w:rFonts w:ascii="Times New Roman" w:hAnsi="Times New Roman"/>
                <w:sz w:val="24"/>
                <w:szCs w:val="24"/>
              </w:rPr>
            </w:pPr>
            <w:r>
              <w:rPr>
                <w:rFonts w:ascii="Times New Roman" w:hAnsi="Times New Roman" w:hint="eastAsia"/>
                <w:sz w:val="24"/>
                <w:szCs w:val="24"/>
              </w:rPr>
              <w:t>现项目固体废物分为一般固废、危险废物。</w:t>
            </w:r>
          </w:p>
          <w:p w14:paraId="561854F4" w14:textId="77777777" w:rsidR="003C4F46" w:rsidRDefault="004B6A81">
            <w:pPr>
              <w:pStyle w:val="affc"/>
              <w:ind w:firstLine="500"/>
              <w:rPr>
                <w:rFonts w:ascii="Times New Roman" w:hAnsi="Times New Roman"/>
                <w:sz w:val="24"/>
                <w:szCs w:val="24"/>
              </w:rPr>
            </w:pPr>
            <w:r>
              <w:rPr>
                <w:rFonts w:ascii="Times New Roman" w:hAnsi="Times New Roman" w:hint="eastAsia"/>
                <w:sz w:val="24"/>
                <w:szCs w:val="24"/>
              </w:rPr>
              <w:t>危险废物主要为废白土、含油污泥、废催化剂、废活性炭、废油桶等，贮存于厂区内现有的一座建筑面积</w:t>
            </w:r>
            <w:r>
              <w:rPr>
                <w:rFonts w:ascii="Times New Roman" w:hAnsi="Times New Roman" w:hint="eastAsia"/>
                <w:sz w:val="24"/>
                <w:szCs w:val="24"/>
              </w:rPr>
              <w:t>20m</w:t>
            </w:r>
            <w:r>
              <w:rPr>
                <w:rFonts w:ascii="Times New Roman" w:hAnsi="Times New Roman" w:hint="eastAsia"/>
                <w:sz w:val="24"/>
                <w:szCs w:val="24"/>
              </w:rPr>
              <w:t>²的危废暂存库，交有资质的危废处置单位去处理；一般工业固体废物有废包装袋，废包装袋由废品回收站回收；生活垃圾交由当地环卫部门统一进行处理。</w:t>
            </w:r>
          </w:p>
          <w:p w14:paraId="7E7FFCF1" w14:textId="77777777" w:rsidR="003C4F46" w:rsidRDefault="004B6A81">
            <w:pPr>
              <w:pStyle w:val="affc"/>
              <w:ind w:firstLine="502"/>
              <w:rPr>
                <w:rFonts w:ascii="Times New Roman" w:hAnsi="Times New Roman"/>
                <w:b/>
                <w:bCs/>
                <w:sz w:val="24"/>
                <w:szCs w:val="24"/>
              </w:rPr>
            </w:pPr>
            <w:r>
              <w:rPr>
                <w:rFonts w:ascii="Times New Roman" w:hAnsi="Times New Roman" w:hint="eastAsia"/>
                <w:b/>
                <w:bCs/>
                <w:sz w:val="24"/>
                <w:szCs w:val="24"/>
              </w:rPr>
              <w:t>（</w:t>
            </w:r>
            <w:r>
              <w:rPr>
                <w:rFonts w:ascii="Times New Roman" w:hAnsi="Times New Roman" w:hint="eastAsia"/>
                <w:b/>
                <w:bCs/>
                <w:sz w:val="24"/>
                <w:szCs w:val="24"/>
              </w:rPr>
              <w:t>5</w:t>
            </w:r>
            <w:r>
              <w:rPr>
                <w:rFonts w:ascii="Times New Roman" w:hAnsi="Times New Roman" w:hint="eastAsia"/>
                <w:b/>
                <w:bCs/>
                <w:sz w:val="24"/>
                <w:szCs w:val="24"/>
              </w:rPr>
              <w:t>）现厂区地下水分区防渗措施</w:t>
            </w:r>
          </w:p>
          <w:p w14:paraId="0F179467" w14:textId="565FF6DF" w:rsidR="003C4F46" w:rsidRDefault="004B6A81">
            <w:pPr>
              <w:pStyle w:val="affc"/>
              <w:ind w:firstLine="500"/>
              <w:rPr>
                <w:rFonts w:ascii="Times New Roman" w:hAnsi="Times New Roman"/>
                <w:sz w:val="24"/>
                <w:szCs w:val="24"/>
              </w:rPr>
            </w:pPr>
            <w:r>
              <w:rPr>
                <w:rFonts w:ascii="Times New Roman" w:hAnsi="Times New Roman"/>
                <w:sz w:val="24"/>
                <w:szCs w:val="24"/>
              </w:rPr>
              <w:t>轮台塔中石油化工有限公司根据《石油化工工程防渗技术规范》</w:t>
            </w:r>
            <w:r>
              <w:rPr>
                <w:rFonts w:ascii="Times New Roman" w:hAnsi="Times New Roman" w:hint="eastAsia"/>
                <w:sz w:val="24"/>
                <w:szCs w:val="24"/>
              </w:rPr>
              <w:t>，</w:t>
            </w:r>
            <w:r>
              <w:rPr>
                <w:rFonts w:ascii="Times New Roman" w:hAnsi="Times New Roman"/>
                <w:sz w:val="24"/>
                <w:szCs w:val="24"/>
              </w:rPr>
              <w:t>按照装置、单元的特点和部位，将建设场地划分为非污染防治区、一般污染防治区和重点污染防治区。其中绿化带属于非防渗区；生活办公区属于一般防渗区；生产装置区、污水处理站、罐区、</w:t>
            </w:r>
            <w:r>
              <w:rPr>
                <w:rFonts w:ascii="Times New Roman" w:hAnsi="Times New Roman" w:hint="eastAsia"/>
                <w:sz w:val="24"/>
                <w:szCs w:val="24"/>
              </w:rPr>
              <w:t>危险废物贮存</w:t>
            </w:r>
            <w:r w:rsidR="00FB3999">
              <w:rPr>
                <w:rFonts w:ascii="Times New Roman" w:hAnsi="Times New Roman" w:hint="eastAsia"/>
                <w:sz w:val="24"/>
                <w:szCs w:val="24"/>
              </w:rPr>
              <w:t>库</w:t>
            </w:r>
            <w:r>
              <w:rPr>
                <w:rFonts w:ascii="Times New Roman" w:hAnsi="Times New Roman"/>
                <w:sz w:val="24"/>
                <w:szCs w:val="24"/>
              </w:rPr>
              <w:t>等属于重点防渗区。</w:t>
            </w:r>
          </w:p>
          <w:p w14:paraId="16A4E7CC" w14:textId="77777777" w:rsidR="003C4F46" w:rsidRDefault="004B6A81">
            <w:pPr>
              <w:spacing w:before="55" w:line="217" w:lineRule="auto"/>
              <w:ind w:left="2267" w:firstLine="410"/>
              <w:rPr>
                <w:rFonts w:cs="Times New Roman"/>
                <w:sz w:val="21"/>
                <w:szCs w:val="21"/>
              </w:rPr>
            </w:pPr>
            <w:r>
              <w:rPr>
                <w:rFonts w:cs="Times New Roman"/>
                <w:b/>
                <w:bCs/>
                <w:spacing w:val="-3"/>
                <w:sz w:val="21"/>
                <w:szCs w:val="21"/>
              </w:rPr>
              <w:t>表</w:t>
            </w:r>
            <w:r>
              <w:rPr>
                <w:rFonts w:cs="Times New Roman"/>
                <w:b/>
                <w:bCs/>
                <w:spacing w:val="-3"/>
                <w:sz w:val="21"/>
                <w:szCs w:val="21"/>
              </w:rPr>
              <w:t xml:space="preserve">2-11  </w:t>
            </w:r>
            <w:r>
              <w:rPr>
                <w:rFonts w:cs="Times New Roman"/>
                <w:b/>
                <w:bCs/>
                <w:spacing w:val="-3"/>
                <w:sz w:val="21"/>
                <w:szCs w:val="21"/>
              </w:rPr>
              <w:t>厂区分区防渗表</w:t>
            </w:r>
          </w:p>
          <w:tbl>
            <w:tblPr>
              <w:tblStyle w:val="TableNormal"/>
              <w:tblW w:w="5000" w:type="pct"/>
              <w:tblInd w:w="0" w:type="dxa"/>
              <w:tblBorders>
                <w:top w:val="single" w:sz="12" w:space="0" w:color="000000"/>
                <w:left w:val="single" w:sz="12" w:space="0" w:color="000000"/>
                <w:bottom w:val="single" w:sz="12" w:space="0" w:color="000000"/>
                <w:right w:val="single" w:sz="12" w:space="0" w:color="000000"/>
                <w:insideH w:val="single" w:sz="8" w:space="0" w:color="000000"/>
                <w:insideV w:val="single" w:sz="4" w:space="0" w:color="000000"/>
              </w:tblBorders>
              <w:tblLook w:val="04A0" w:firstRow="1" w:lastRow="0" w:firstColumn="1" w:lastColumn="0" w:noHBand="0" w:noVBand="1"/>
            </w:tblPr>
            <w:tblGrid>
              <w:gridCol w:w="1547"/>
              <w:gridCol w:w="1398"/>
              <w:gridCol w:w="6145"/>
            </w:tblGrid>
            <w:tr w:rsidR="003C4F46" w:rsidRPr="00A70388" w14:paraId="0C850B16" w14:textId="77777777">
              <w:trPr>
                <w:trHeight w:val="214"/>
              </w:trPr>
              <w:tc>
                <w:tcPr>
                  <w:tcW w:w="851" w:type="pct"/>
                  <w:vAlign w:val="center"/>
                </w:tcPr>
                <w:p w14:paraId="4F5D2F50" w14:textId="77777777" w:rsidR="003C4F46" w:rsidRPr="00A70388" w:rsidRDefault="004B6A81">
                  <w:pPr>
                    <w:pStyle w:val="TableText"/>
                    <w:spacing w:line="197" w:lineRule="auto"/>
                    <w:ind w:firstLineChars="0" w:firstLine="0"/>
                    <w:jc w:val="center"/>
                    <w:rPr>
                      <w:rFonts w:ascii="Times New Roman" w:eastAsia="宋体" w:hAnsi="Times New Roman" w:cs="Times New Roman"/>
                      <w:sz w:val="21"/>
                      <w:szCs w:val="21"/>
                      <w:lang w:eastAsia="zh-CN"/>
                    </w:rPr>
                  </w:pPr>
                  <w:r w:rsidRPr="00A70388">
                    <w:rPr>
                      <w:rFonts w:ascii="Times New Roman" w:eastAsia="宋体" w:hAnsi="Times New Roman" w:cs="Times New Roman"/>
                      <w:spacing w:val="2"/>
                      <w:sz w:val="21"/>
                      <w:szCs w:val="21"/>
                      <w:lang w:eastAsia="zh-CN"/>
                    </w:rPr>
                    <w:t>区域名称</w:t>
                  </w:r>
                </w:p>
              </w:tc>
              <w:tc>
                <w:tcPr>
                  <w:tcW w:w="769" w:type="pct"/>
                  <w:vAlign w:val="center"/>
                </w:tcPr>
                <w:p w14:paraId="44ECDE5D" w14:textId="77777777" w:rsidR="003C4F46" w:rsidRPr="00A70388" w:rsidRDefault="004B6A81">
                  <w:pPr>
                    <w:pStyle w:val="TableText"/>
                    <w:spacing w:line="198" w:lineRule="auto"/>
                    <w:ind w:firstLineChars="0" w:firstLine="0"/>
                    <w:jc w:val="center"/>
                    <w:rPr>
                      <w:rFonts w:ascii="Times New Roman" w:eastAsia="宋体" w:hAnsi="Times New Roman" w:cs="Times New Roman"/>
                      <w:sz w:val="21"/>
                      <w:szCs w:val="21"/>
                      <w:lang w:eastAsia="zh-CN"/>
                    </w:rPr>
                  </w:pPr>
                  <w:r w:rsidRPr="00A70388">
                    <w:rPr>
                      <w:rFonts w:ascii="Times New Roman" w:eastAsia="宋体" w:hAnsi="Times New Roman" w:cs="Times New Roman"/>
                      <w:spacing w:val="3"/>
                      <w:sz w:val="21"/>
                      <w:szCs w:val="21"/>
                      <w:lang w:eastAsia="zh-CN"/>
                    </w:rPr>
                    <w:t>防渗类别</w:t>
                  </w:r>
                </w:p>
              </w:tc>
              <w:tc>
                <w:tcPr>
                  <w:tcW w:w="3380" w:type="pct"/>
                  <w:vAlign w:val="center"/>
                </w:tcPr>
                <w:p w14:paraId="4E1B6881" w14:textId="77777777" w:rsidR="003C4F46" w:rsidRPr="00A70388" w:rsidRDefault="004B6A81">
                  <w:pPr>
                    <w:pStyle w:val="TableText"/>
                    <w:spacing w:line="197" w:lineRule="auto"/>
                    <w:ind w:firstLineChars="0" w:firstLine="0"/>
                    <w:jc w:val="center"/>
                    <w:rPr>
                      <w:rFonts w:ascii="Times New Roman" w:eastAsia="宋体" w:hAnsi="Times New Roman" w:cs="Times New Roman"/>
                      <w:sz w:val="21"/>
                      <w:szCs w:val="21"/>
                      <w:lang w:eastAsia="zh-CN"/>
                    </w:rPr>
                  </w:pPr>
                  <w:r w:rsidRPr="00A70388">
                    <w:rPr>
                      <w:rFonts w:ascii="Times New Roman" w:eastAsia="宋体" w:hAnsi="Times New Roman" w:cs="Times New Roman"/>
                      <w:spacing w:val="1"/>
                      <w:sz w:val="21"/>
                      <w:szCs w:val="21"/>
                      <w:lang w:eastAsia="zh-CN"/>
                    </w:rPr>
                    <w:t>防渗措施</w:t>
                  </w:r>
                </w:p>
              </w:tc>
            </w:tr>
            <w:tr w:rsidR="003C4F46" w:rsidRPr="00A70388" w14:paraId="7388F804" w14:textId="77777777">
              <w:trPr>
                <w:trHeight w:val="209"/>
              </w:trPr>
              <w:tc>
                <w:tcPr>
                  <w:tcW w:w="851" w:type="pct"/>
                  <w:vAlign w:val="center"/>
                </w:tcPr>
                <w:p w14:paraId="670705E2"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罐区</w:t>
                  </w:r>
                </w:p>
              </w:tc>
              <w:tc>
                <w:tcPr>
                  <w:tcW w:w="769" w:type="pct"/>
                  <w:vAlign w:val="center"/>
                </w:tcPr>
                <w:p w14:paraId="1379A677" w14:textId="77777777" w:rsidR="003C4F46" w:rsidRPr="00A70388" w:rsidRDefault="004B6A81">
                  <w:pPr>
                    <w:pStyle w:val="TableText"/>
                    <w:spacing w:line="196" w:lineRule="auto"/>
                    <w:ind w:firstLineChars="0" w:firstLine="0"/>
                    <w:jc w:val="center"/>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重点防渗</w:t>
                  </w:r>
                </w:p>
              </w:tc>
              <w:tc>
                <w:tcPr>
                  <w:tcW w:w="3380" w:type="pct"/>
                  <w:vMerge w:val="restart"/>
                  <w:vAlign w:val="center"/>
                </w:tcPr>
                <w:p w14:paraId="3CF3E445" w14:textId="77777777" w:rsidR="003C4F46" w:rsidRPr="00A70388" w:rsidRDefault="004B6A81">
                  <w:pPr>
                    <w:pStyle w:val="TableText"/>
                    <w:spacing w:line="197" w:lineRule="auto"/>
                    <w:ind w:firstLineChars="0" w:firstLine="0"/>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地坪使用原土回填压实，压实系数</w:t>
                  </w:r>
                  <w:r w:rsidRPr="00A70388">
                    <w:rPr>
                      <w:rFonts w:ascii="Times New Roman" w:eastAsia="宋体" w:hAnsi="Times New Roman" w:cs="Times New Roman"/>
                      <w:spacing w:val="2"/>
                      <w:sz w:val="21"/>
                      <w:szCs w:val="21"/>
                      <w:lang w:eastAsia="zh-CN"/>
                    </w:rPr>
                    <w:t>≥93%</w:t>
                  </w:r>
                  <w:r w:rsidRPr="00A70388">
                    <w:rPr>
                      <w:rFonts w:ascii="Times New Roman" w:eastAsia="宋体" w:hAnsi="Times New Roman" w:cs="Times New Roman"/>
                      <w:spacing w:val="2"/>
                      <w:sz w:val="21"/>
                      <w:szCs w:val="21"/>
                      <w:lang w:eastAsia="zh-CN"/>
                    </w:rPr>
                    <w:t>，然后铺设一道长丝无纺土工布，上层铺设</w:t>
                  </w:r>
                  <w:r w:rsidRPr="00A70388">
                    <w:rPr>
                      <w:rFonts w:ascii="Times New Roman" w:eastAsia="宋体" w:hAnsi="Times New Roman" w:cs="Times New Roman"/>
                      <w:spacing w:val="2"/>
                      <w:sz w:val="21"/>
                      <w:szCs w:val="21"/>
                      <w:lang w:eastAsia="zh-CN"/>
                    </w:rPr>
                    <w:t>2mm</w:t>
                  </w:r>
                  <w:r w:rsidRPr="00A70388">
                    <w:rPr>
                      <w:rFonts w:ascii="Times New Roman" w:eastAsia="宋体" w:hAnsi="Times New Roman" w:cs="Times New Roman"/>
                      <w:spacing w:val="2"/>
                      <w:sz w:val="21"/>
                      <w:szCs w:val="21"/>
                      <w:lang w:eastAsia="zh-CN"/>
                    </w:rPr>
                    <w:t>厚</w:t>
                  </w:r>
                  <w:r w:rsidRPr="00A70388">
                    <w:rPr>
                      <w:rFonts w:ascii="Times New Roman" w:eastAsia="宋体" w:hAnsi="Times New Roman" w:cs="Times New Roman"/>
                      <w:spacing w:val="2"/>
                      <w:sz w:val="21"/>
                      <w:szCs w:val="21"/>
                      <w:lang w:eastAsia="zh-CN"/>
                    </w:rPr>
                    <w:t>HDPE</w:t>
                  </w:r>
                  <w:r w:rsidRPr="00A70388">
                    <w:rPr>
                      <w:rFonts w:ascii="Times New Roman" w:eastAsia="宋体" w:hAnsi="Times New Roman" w:cs="Times New Roman"/>
                      <w:spacing w:val="2"/>
                      <w:sz w:val="21"/>
                      <w:szCs w:val="21"/>
                      <w:lang w:eastAsia="zh-CN"/>
                    </w:rPr>
                    <w:t>膜，上方再加一道长丝无纺土工布，最上面浇筑</w:t>
                  </w:r>
                  <w:r w:rsidRPr="00A70388">
                    <w:rPr>
                      <w:rFonts w:ascii="Times New Roman" w:eastAsia="宋体" w:hAnsi="Times New Roman" w:cs="Times New Roman"/>
                      <w:spacing w:val="2"/>
                      <w:sz w:val="21"/>
                      <w:szCs w:val="21"/>
                      <w:lang w:eastAsia="zh-CN"/>
                    </w:rPr>
                    <w:t>100mm</w:t>
                  </w:r>
                  <w:r w:rsidRPr="00A70388">
                    <w:rPr>
                      <w:rFonts w:ascii="Times New Roman" w:eastAsia="宋体" w:hAnsi="Times New Roman" w:cs="Times New Roman"/>
                      <w:spacing w:val="2"/>
                      <w:sz w:val="21"/>
                      <w:szCs w:val="21"/>
                      <w:lang w:eastAsia="zh-CN"/>
                    </w:rPr>
                    <w:t>厚</w:t>
                  </w:r>
                  <w:r w:rsidRPr="00A70388">
                    <w:rPr>
                      <w:rFonts w:ascii="Times New Roman" w:eastAsia="宋体" w:hAnsi="Times New Roman" w:cs="Times New Roman"/>
                      <w:spacing w:val="2"/>
                      <w:sz w:val="21"/>
                      <w:szCs w:val="21"/>
                      <w:lang w:eastAsia="zh-CN"/>
                    </w:rPr>
                    <w:t>C30</w:t>
                  </w:r>
                  <w:r w:rsidRPr="00A70388">
                    <w:rPr>
                      <w:rFonts w:ascii="Times New Roman" w:eastAsia="宋体" w:hAnsi="Times New Roman" w:cs="Times New Roman"/>
                      <w:spacing w:val="2"/>
                      <w:sz w:val="21"/>
                      <w:szCs w:val="21"/>
                      <w:lang w:eastAsia="zh-CN"/>
                    </w:rPr>
                    <w:t>抗渗混凝土面层</w:t>
                  </w:r>
                </w:p>
              </w:tc>
            </w:tr>
            <w:tr w:rsidR="003C4F46" w:rsidRPr="00A70388" w14:paraId="4DA6C86B" w14:textId="77777777">
              <w:trPr>
                <w:trHeight w:val="598"/>
              </w:trPr>
              <w:tc>
                <w:tcPr>
                  <w:tcW w:w="851" w:type="pct"/>
                  <w:vAlign w:val="center"/>
                </w:tcPr>
                <w:p w14:paraId="689FA032"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装置区</w:t>
                  </w:r>
                </w:p>
              </w:tc>
              <w:tc>
                <w:tcPr>
                  <w:tcW w:w="769" w:type="pct"/>
                  <w:vAlign w:val="center"/>
                </w:tcPr>
                <w:p w14:paraId="4ED189FC"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重点防渗</w:t>
                  </w:r>
                </w:p>
              </w:tc>
              <w:tc>
                <w:tcPr>
                  <w:tcW w:w="3380" w:type="pct"/>
                  <w:vMerge/>
                  <w:vAlign w:val="center"/>
                </w:tcPr>
                <w:p w14:paraId="57A770FF" w14:textId="77777777" w:rsidR="003C4F46" w:rsidRPr="00A70388" w:rsidRDefault="003C4F46">
                  <w:pPr>
                    <w:pStyle w:val="TableText"/>
                    <w:spacing w:line="197" w:lineRule="auto"/>
                    <w:ind w:firstLineChars="0" w:firstLine="0"/>
                    <w:jc w:val="center"/>
                    <w:rPr>
                      <w:rFonts w:ascii="Times New Roman" w:eastAsia="宋体" w:hAnsi="Times New Roman" w:cs="Times New Roman"/>
                      <w:spacing w:val="2"/>
                      <w:sz w:val="21"/>
                      <w:szCs w:val="21"/>
                    </w:rPr>
                  </w:pPr>
                </w:p>
              </w:tc>
            </w:tr>
            <w:tr w:rsidR="003C4F46" w:rsidRPr="00A70388" w14:paraId="17C1B56A" w14:textId="77777777">
              <w:trPr>
                <w:trHeight w:val="209"/>
              </w:trPr>
              <w:tc>
                <w:tcPr>
                  <w:tcW w:w="851" w:type="pct"/>
                  <w:vAlign w:val="center"/>
                </w:tcPr>
                <w:p w14:paraId="12638C49"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车间</w:t>
                  </w:r>
                </w:p>
              </w:tc>
              <w:tc>
                <w:tcPr>
                  <w:tcW w:w="769" w:type="pct"/>
                  <w:vAlign w:val="center"/>
                </w:tcPr>
                <w:p w14:paraId="10099714"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重点防渗</w:t>
                  </w:r>
                </w:p>
              </w:tc>
              <w:tc>
                <w:tcPr>
                  <w:tcW w:w="3380" w:type="pct"/>
                  <w:vMerge w:val="restart"/>
                  <w:vAlign w:val="center"/>
                </w:tcPr>
                <w:p w14:paraId="5AF5837A" w14:textId="77777777" w:rsidR="003C4F46" w:rsidRPr="00A70388" w:rsidRDefault="004B6A81">
                  <w:pPr>
                    <w:pStyle w:val="TableText"/>
                    <w:spacing w:line="197" w:lineRule="auto"/>
                    <w:ind w:firstLineChars="0" w:firstLine="0"/>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地坪使用原土回填压实，压实系数</w:t>
                  </w:r>
                  <w:r w:rsidRPr="00A70388">
                    <w:rPr>
                      <w:rFonts w:ascii="Times New Roman" w:eastAsia="宋体" w:hAnsi="Times New Roman" w:cs="Times New Roman"/>
                      <w:spacing w:val="2"/>
                      <w:sz w:val="21"/>
                      <w:szCs w:val="21"/>
                      <w:lang w:eastAsia="zh-CN"/>
                    </w:rPr>
                    <w:t>≥93%,</w:t>
                  </w:r>
                  <w:r w:rsidRPr="00A70388">
                    <w:rPr>
                      <w:rFonts w:ascii="Times New Roman" w:eastAsia="宋体" w:hAnsi="Times New Roman" w:cs="Times New Roman"/>
                      <w:spacing w:val="2"/>
                      <w:sz w:val="21"/>
                      <w:szCs w:val="21"/>
                      <w:lang w:eastAsia="zh-CN"/>
                    </w:rPr>
                    <w:t>然后浇筑一道</w:t>
                  </w:r>
                  <w:r w:rsidRPr="00A70388">
                    <w:rPr>
                      <w:rFonts w:ascii="Times New Roman" w:eastAsia="宋体" w:hAnsi="Times New Roman" w:cs="Times New Roman"/>
                      <w:spacing w:val="2"/>
                      <w:sz w:val="21"/>
                      <w:szCs w:val="21"/>
                      <w:lang w:eastAsia="zh-CN"/>
                    </w:rPr>
                    <w:t xml:space="preserve"> 150mm</w:t>
                  </w:r>
                  <w:r w:rsidRPr="00A70388">
                    <w:rPr>
                      <w:rFonts w:ascii="Times New Roman" w:eastAsia="宋体" w:hAnsi="Times New Roman" w:cs="Times New Roman"/>
                      <w:spacing w:val="2"/>
                      <w:sz w:val="21"/>
                      <w:szCs w:val="21"/>
                      <w:lang w:eastAsia="zh-CN"/>
                    </w:rPr>
                    <w:t>厚戈壁料垫层，铺设一道长丝无纺土工布，上层铺设</w:t>
                  </w:r>
                  <w:r w:rsidRPr="00A70388">
                    <w:rPr>
                      <w:rFonts w:ascii="Times New Roman" w:eastAsia="宋体" w:hAnsi="Times New Roman" w:cs="Times New Roman"/>
                      <w:spacing w:val="2"/>
                      <w:sz w:val="21"/>
                      <w:szCs w:val="21"/>
                      <w:lang w:eastAsia="zh-CN"/>
                    </w:rPr>
                    <w:t>2</w:t>
                  </w:r>
                  <w:r w:rsidRPr="00A70388">
                    <w:rPr>
                      <w:rFonts w:ascii="Times New Roman" w:eastAsia="宋体" w:hAnsi="Times New Roman" w:cs="Times New Roman"/>
                      <w:spacing w:val="2"/>
                      <w:sz w:val="21"/>
                      <w:szCs w:val="21"/>
                      <w:lang w:eastAsia="zh-CN"/>
                    </w:rPr>
                    <w:t>厚</w:t>
                  </w:r>
                  <w:r w:rsidRPr="00A70388">
                    <w:rPr>
                      <w:rFonts w:ascii="Times New Roman" w:eastAsia="宋体" w:hAnsi="Times New Roman" w:cs="Times New Roman"/>
                      <w:spacing w:val="2"/>
                      <w:sz w:val="21"/>
                      <w:szCs w:val="21"/>
                      <w:lang w:eastAsia="zh-CN"/>
                    </w:rPr>
                    <w:t>HDPE</w:t>
                  </w:r>
                  <w:r w:rsidRPr="00A70388">
                    <w:rPr>
                      <w:rFonts w:ascii="Times New Roman" w:eastAsia="宋体" w:hAnsi="Times New Roman" w:cs="Times New Roman"/>
                      <w:spacing w:val="2"/>
                      <w:sz w:val="21"/>
                      <w:szCs w:val="21"/>
                      <w:lang w:eastAsia="zh-CN"/>
                    </w:rPr>
                    <w:t>膜，上方再加一道长丝无纺土工布，最上面浇筑</w:t>
                  </w:r>
                  <w:r w:rsidRPr="00A70388">
                    <w:rPr>
                      <w:rFonts w:ascii="Times New Roman" w:eastAsia="宋体" w:hAnsi="Times New Roman" w:cs="Times New Roman"/>
                      <w:spacing w:val="2"/>
                      <w:sz w:val="21"/>
                      <w:szCs w:val="21"/>
                      <w:lang w:eastAsia="zh-CN"/>
                    </w:rPr>
                    <w:t>150</w:t>
                  </w:r>
                  <w:r w:rsidRPr="00A70388">
                    <w:rPr>
                      <w:rFonts w:ascii="Times New Roman" w:eastAsia="宋体" w:hAnsi="Times New Roman" w:cs="Times New Roman"/>
                      <w:spacing w:val="2"/>
                      <w:sz w:val="21"/>
                      <w:szCs w:val="21"/>
                      <w:lang w:eastAsia="zh-CN"/>
                    </w:rPr>
                    <w:t>厚</w:t>
                  </w:r>
                  <w:r w:rsidRPr="00A70388">
                    <w:rPr>
                      <w:rFonts w:ascii="Times New Roman" w:eastAsia="宋体" w:hAnsi="Times New Roman" w:cs="Times New Roman"/>
                      <w:spacing w:val="2"/>
                      <w:sz w:val="21"/>
                      <w:szCs w:val="21"/>
                      <w:lang w:eastAsia="zh-CN"/>
                    </w:rPr>
                    <w:t>C30</w:t>
                  </w:r>
                  <w:r w:rsidRPr="00A70388">
                    <w:rPr>
                      <w:rFonts w:ascii="Times New Roman" w:eastAsia="宋体" w:hAnsi="Times New Roman" w:cs="Times New Roman"/>
                      <w:spacing w:val="2"/>
                      <w:sz w:val="21"/>
                      <w:szCs w:val="21"/>
                      <w:lang w:eastAsia="zh-CN"/>
                    </w:rPr>
                    <w:t>抗渗混凝土面层</w:t>
                  </w:r>
                </w:p>
              </w:tc>
            </w:tr>
            <w:tr w:rsidR="003C4F46" w:rsidRPr="00A70388" w14:paraId="3D34C7AB" w14:textId="77777777">
              <w:trPr>
                <w:trHeight w:val="199"/>
              </w:trPr>
              <w:tc>
                <w:tcPr>
                  <w:tcW w:w="851" w:type="pct"/>
                  <w:vAlign w:val="center"/>
                </w:tcPr>
                <w:p w14:paraId="7D597207"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装卸区</w:t>
                  </w:r>
                </w:p>
              </w:tc>
              <w:tc>
                <w:tcPr>
                  <w:tcW w:w="769" w:type="pct"/>
                  <w:vAlign w:val="center"/>
                </w:tcPr>
                <w:p w14:paraId="6B788488"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重点防渗</w:t>
                  </w:r>
                </w:p>
              </w:tc>
              <w:tc>
                <w:tcPr>
                  <w:tcW w:w="3380" w:type="pct"/>
                  <w:vMerge/>
                  <w:vAlign w:val="center"/>
                </w:tcPr>
                <w:p w14:paraId="09813757" w14:textId="77777777" w:rsidR="003C4F46" w:rsidRPr="00A70388" w:rsidRDefault="003C4F46">
                  <w:pPr>
                    <w:pStyle w:val="TableText"/>
                    <w:spacing w:line="197" w:lineRule="auto"/>
                    <w:ind w:firstLineChars="0" w:firstLine="0"/>
                    <w:jc w:val="center"/>
                    <w:rPr>
                      <w:rFonts w:ascii="Times New Roman" w:eastAsia="宋体" w:hAnsi="Times New Roman" w:cs="Times New Roman"/>
                      <w:spacing w:val="2"/>
                      <w:sz w:val="21"/>
                      <w:szCs w:val="21"/>
                    </w:rPr>
                  </w:pPr>
                </w:p>
              </w:tc>
            </w:tr>
            <w:tr w:rsidR="003C4F46" w:rsidRPr="00A70388" w14:paraId="363E0798" w14:textId="77777777">
              <w:trPr>
                <w:trHeight w:val="388"/>
              </w:trPr>
              <w:tc>
                <w:tcPr>
                  <w:tcW w:w="851" w:type="pct"/>
                  <w:vAlign w:val="center"/>
                </w:tcPr>
                <w:p w14:paraId="2CDCB467" w14:textId="0C9A3BEA"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lang w:eastAsia="zh-CN"/>
                    </w:rPr>
                    <w:t>危险废物贮存</w:t>
                  </w:r>
                  <w:r w:rsidR="00FB3999">
                    <w:rPr>
                      <w:rFonts w:ascii="Times New Roman" w:eastAsia="宋体" w:hAnsi="Times New Roman" w:cs="Times New Roman" w:hint="eastAsia"/>
                      <w:spacing w:val="2"/>
                      <w:sz w:val="21"/>
                      <w:szCs w:val="21"/>
                      <w:lang w:eastAsia="zh-CN"/>
                    </w:rPr>
                    <w:t>库</w:t>
                  </w:r>
                </w:p>
              </w:tc>
              <w:tc>
                <w:tcPr>
                  <w:tcW w:w="769" w:type="pct"/>
                  <w:vAlign w:val="center"/>
                </w:tcPr>
                <w:p w14:paraId="2A019F9F"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重点防渗</w:t>
                  </w:r>
                </w:p>
              </w:tc>
              <w:tc>
                <w:tcPr>
                  <w:tcW w:w="3380" w:type="pct"/>
                  <w:vMerge/>
                  <w:vAlign w:val="center"/>
                </w:tcPr>
                <w:p w14:paraId="1B556630" w14:textId="77777777" w:rsidR="003C4F46" w:rsidRPr="00A70388" w:rsidRDefault="003C4F46">
                  <w:pPr>
                    <w:pStyle w:val="TableText"/>
                    <w:spacing w:line="197" w:lineRule="auto"/>
                    <w:ind w:firstLineChars="0" w:firstLine="0"/>
                    <w:jc w:val="center"/>
                    <w:rPr>
                      <w:rFonts w:ascii="Times New Roman" w:eastAsia="宋体" w:hAnsi="Times New Roman" w:cs="Times New Roman"/>
                      <w:spacing w:val="2"/>
                      <w:sz w:val="21"/>
                      <w:szCs w:val="21"/>
                    </w:rPr>
                  </w:pPr>
                </w:p>
              </w:tc>
            </w:tr>
            <w:tr w:rsidR="003C4F46" w:rsidRPr="00A70388" w14:paraId="3D4BF795" w14:textId="77777777">
              <w:trPr>
                <w:trHeight w:val="209"/>
              </w:trPr>
              <w:tc>
                <w:tcPr>
                  <w:tcW w:w="851" w:type="pct"/>
                  <w:vAlign w:val="center"/>
                </w:tcPr>
                <w:p w14:paraId="04B628FD"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事故水池</w:t>
                  </w:r>
                </w:p>
              </w:tc>
              <w:tc>
                <w:tcPr>
                  <w:tcW w:w="769" w:type="pct"/>
                  <w:vAlign w:val="center"/>
                </w:tcPr>
                <w:p w14:paraId="5B4F326C"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rPr>
                  </w:pPr>
                  <w:r w:rsidRPr="00A70388">
                    <w:rPr>
                      <w:rFonts w:ascii="Times New Roman" w:eastAsia="宋体" w:hAnsi="Times New Roman" w:cs="Times New Roman"/>
                      <w:spacing w:val="2"/>
                      <w:sz w:val="21"/>
                      <w:szCs w:val="21"/>
                    </w:rPr>
                    <w:t>重点防渗</w:t>
                  </w:r>
                </w:p>
              </w:tc>
              <w:tc>
                <w:tcPr>
                  <w:tcW w:w="3380" w:type="pct"/>
                  <w:vMerge w:val="restart"/>
                  <w:vAlign w:val="center"/>
                </w:tcPr>
                <w:p w14:paraId="084E4223" w14:textId="735054BA" w:rsidR="003C4F46" w:rsidRPr="00A70388" w:rsidRDefault="004B6A81">
                  <w:pPr>
                    <w:pStyle w:val="TableText"/>
                    <w:spacing w:line="197" w:lineRule="auto"/>
                    <w:ind w:firstLineChars="0" w:firstLine="0"/>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采用</w:t>
                  </w:r>
                  <w:r w:rsidRPr="00A70388">
                    <w:rPr>
                      <w:rFonts w:ascii="Times New Roman" w:eastAsia="宋体" w:hAnsi="Times New Roman" w:cs="Times New Roman"/>
                      <w:spacing w:val="2"/>
                      <w:sz w:val="21"/>
                      <w:szCs w:val="21"/>
                      <w:lang w:eastAsia="zh-CN"/>
                    </w:rPr>
                    <w:t>100mm</w:t>
                  </w:r>
                  <w:r w:rsidRPr="00A70388">
                    <w:rPr>
                      <w:rFonts w:ascii="Times New Roman" w:eastAsia="宋体" w:hAnsi="Times New Roman" w:cs="Times New Roman"/>
                      <w:spacing w:val="2"/>
                      <w:sz w:val="21"/>
                      <w:szCs w:val="21"/>
                      <w:lang w:eastAsia="zh-CN"/>
                    </w:rPr>
                    <w:t>厚</w:t>
                  </w:r>
                  <w:r w:rsidRPr="00A70388">
                    <w:rPr>
                      <w:rFonts w:ascii="Times New Roman" w:eastAsia="宋体" w:hAnsi="Times New Roman" w:cs="Times New Roman"/>
                      <w:spacing w:val="2"/>
                      <w:sz w:val="21"/>
                      <w:szCs w:val="21"/>
                      <w:lang w:eastAsia="zh-CN"/>
                    </w:rPr>
                    <w:t>C15</w:t>
                  </w:r>
                  <w:r w:rsidRPr="00A70388">
                    <w:rPr>
                      <w:rFonts w:ascii="Times New Roman" w:eastAsia="宋体" w:hAnsi="Times New Roman" w:cs="Times New Roman"/>
                      <w:spacing w:val="2"/>
                      <w:sz w:val="21"/>
                      <w:szCs w:val="21"/>
                      <w:lang w:eastAsia="zh-CN"/>
                    </w:rPr>
                    <w:t>混凝土垫层，池体为</w:t>
                  </w:r>
                  <w:r w:rsidRPr="00A70388">
                    <w:rPr>
                      <w:rFonts w:ascii="Times New Roman" w:eastAsia="宋体" w:hAnsi="Times New Roman" w:cs="Times New Roman"/>
                      <w:spacing w:val="2"/>
                      <w:sz w:val="21"/>
                      <w:szCs w:val="21"/>
                      <w:lang w:eastAsia="zh-CN"/>
                    </w:rPr>
                    <w:t>C30</w:t>
                  </w:r>
                  <w:r w:rsidRPr="00A70388">
                    <w:rPr>
                      <w:rFonts w:ascii="Times New Roman" w:eastAsia="宋体" w:hAnsi="Times New Roman" w:cs="Times New Roman"/>
                      <w:spacing w:val="2"/>
                      <w:sz w:val="21"/>
                      <w:szCs w:val="21"/>
                      <w:lang w:eastAsia="zh-CN"/>
                    </w:rPr>
                    <w:t>混凝土，抗渗等级为</w:t>
                  </w:r>
                  <w:r w:rsidRPr="00A70388">
                    <w:rPr>
                      <w:rFonts w:ascii="Times New Roman" w:eastAsia="宋体" w:hAnsi="Times New Roman" w:cs="Times New Roman"/>
                      <w:spacing w:val="2"/>
                      <w:sz w:val="21"/>
                      <w:szCs w:val="21"/>
                      <w:lang w:eastAsia="zh-CN"/>
                    </w:rPr>
                    <w:t>P8</w:t>
                  </w:r>
                  <w:r w:rsidRPr="00A70388">
                    <w:rPr>
                      <w:rFonts w:ascii="Times New Roman" w:eastAsia="宋体" w:hAnsi="Times New Roman" w:cs="Times New Roman"/>
                      <w:spacing w:val="2"/>
                      <w:sz w:val="21"/>
                      <w:szCs w:val="21"/>
                      <w:lang w:eastAsia="zh-CN"/>
                    </w:rPr>
                    <w:t>，然后表面刷</w:t>
                  </w:r>
                  <w:r w:rsidRPr="00A70388">
                    <w:rPr>
                      <w:rFonts w:ascii="Times New Roman" w:eastAsia="宋体" w:hAnsi="Times New Roman" w:cs="Times New Roman"/>
                      <w:spacing w:val="2"/>
                      <w:sz w:val="21"/>
                      <w:szCs w:val="21"/>
                      <w:lang w:eastAsia="zh-CN"/>
                    </w:rPr>
                    <w:t>1.5mm</w:t>
                  </w:r>
                  <w:r w:rsidRPr="00A70388">
                    <w:rPr>
                      <w:rFonts w:ascii="Times New Roman" w:eastAsia="宋体" w:hAnsi="Times New Roman" w:cs="Times New Roman"/>
                      <w:spacing w:val="2"/>
                      <w:sz w:val="21"/>
                      <w:szCs w:val="21"/>
                      <w:lang w:eastAsia="zh-CN"/>
                    </w:rPr>
                    <w:t>水泥基渗透结晶性防水涂料，在使用前已进行注水试验</w:t>
                  </w:r>
                </w:p>
              </w:tc>
            </w:tr>
            <w:tr w:rsidR="003C4F46" w:rsidRPr="00A70388" w14:paraId="5D77B9CA" w14:textId="77777777">
              <w:trPr>
                <w:trHeight w:val="393"/>
              </w:trPr>
              <w:tc>
                <w:tcPr>
                  <w:tcW w:w="851" w:type="pct"/>
                  <w:vAlign w:val="center"/>
                </w:tcPr>
                <w:p w14:paraId="2665D1D1"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污水处理站</w:t>
                  </w:r>
                </w:p>
              </w:tc>
              <w:tc>
                <w:tcPr>
                  <w:tcW w:w="769" w:type="pct"/>
                  <w:vAlign w:val="center"/>
                </w:tcPr>
                <w:p w14:paraId="2B2F0BBB" w14:textId="77777777" w:rsidR="003C4F46" w:rsidRPr="00A70388" w:rsidRDefault="004B6A81">
                  <w:pPr>
                    <w:pStyle w:val="TableText"/>
                    <w:spacing w:line="197" w:lineRule="auto"/>
                    <w:ind w:firstLineChars="0" w:firstLine="0"/>
                    <w:jc w:val="center"/>
                    <w:rPr>
                      <w:rFonts w:ascii="Times New Roman" w:eastAsia="宋体" w:hAnsi="Times New Roman" w:cs="Times New Roman"/>
                      <w:spacing w:val="2"/>
                      <w:sz w:val="21"/>
                      <w:szCs w:val="21"/>
                      <w:lang w:eastAsia="zh-CN"/>
                    </w:rPr>
                  </w:pPr>
                  <w:r w:rsidRPr="00A70388">
                    <w:rPr>
                      <w:rFonts w:ascii="Times New Roman" w:eastAsia="宋体" w:hAnsi="Times New Roman" w:cs="Times New Roman"/>
                      <w:spacing w:val="2"/>
                      <w:sz w:val="21"/>
                      <w:szCs w:val="21"/>
                      <w:lang w:eastAsia="zh-CN"/>
                    </w:rPr>
                    <w:t>重点防渗</w:t>
                  </w:r>
                </w:p>
              </w:tc>
              <w:tc>
                <w:tcPr>
                  <w:tcW w:w="3380" w:type="pct"/>
                  <w:vMerge/>
                  <w:vAlign w:val="center"/>
                </w:tcPr>
                <w:p w14:paraId="46E1BF61" w14:textId="77777777" w:rsidR="003C4F46" w:rsidRPr="00A70388" w:rsidRDefault="003C4F46">
                  <w:pPr>
                    <w:ind w:firstLine="420"/>
                    <w:jc w:val="center"/>
                    <w:rPr>
                      <w:rFonts w:ascii="Times New Roman" w:eastAsia="宋体" w:hAnsi="Times New Roman" w:cs="Times New Roman"/>
                      <w:sz w:val="21"/>
                      <w:szCs w:val="21"/>
                      <w:lang w:eastAsia="zh-CN"/>
                    </w:rPr>
                  </w:pPr>
                </w:p>
              </w:tc>
            </w:tr>
          </w:tbl>
          <w:p w14:paraId="551F5425" w14:textId="77777777" w:rsidR="003C4F46" w:rsidRDefault="004B6A81">
            <w:pPr>
              <w:spacing w:line="520" w:lineRule="exact"/>
              <w:ind w:firstLine="482"/>
              <w:textAlignment w:val="auto"/>
              <w:rPr>
                <w:rFonts w:cs="Times New Roman"/>
                <w:b/>
                <w:bCs/>
                <w:color w:val="000000"/>
                <w:szCs w:val="24"/>
              </w:rPr>
            </w:pPr>
            <w:r>
              <w:rPr>
                <w:rFonts w:cs="Times New Roman" w:hint="eastAsia"/>
                <w:b/>
                <w:bCs/>
                <w:color w:val="000000"/>
                <w:szCs w:val="24"/>
              </w:rPr>
              <w:lastRenderedPageBreak/>
              <w:t>（</w:t>
            </w:r>
            <w:r>
              <w:rPr>
                <w:rFonts w:cs="Times New Roman" w:hint="eastAsia"/>
                <w:b/>
                <w:bCs/>
                <w:color w:val="000000"/>
                <w:szCs w:val="24"/>
              </w:rPr>
              <w:t>6</w:t>
            </w:r>
            <w:r>
              <w:rPr>
                <w:rFonts w:cs="Times New Roman" w:hint="eastAsia"/>
                <w:b/>
                <w:bCs/>
                <w:color w:val="000000"/>
                <w:szCs w:val="24"/>
              </w:rPr>
              <w:t>）现厂区环境风险防范措施</w:t>
            </w:r>
          </w:p>
          <w:p w14:paraId="2DEC0082" w14:textId="77777777" w:rsidR="003C4F46" w:rsidRDefault="004B6A81">
            <w:pPr>
              <w:spacing w:line="520" w:lineRule="exact"/>
              <w:ind w:firstLine="480"/>
              <w:textAlignment w:val="auto"/>
              <w:rPr>
                <w:rFonts w:cs="Times New Roman"/>
                <w:color w:val="000000"/>
                <w:szCs w:val="24"/>
              </w:rPr>
            </w:pPr>
            <w:r>
              <w:rPr>
                <w:rFonts w:ascii="Segoe UI" w:hAnsi="Segoe UI" w:cs="Segoe UI"/>
                <w:color w:val="0F1115"/>
                <w:shd w:val="clear" w:color="auto" w:fill="FFFFFF"/>
              </w:rPr>
              <w:t>现有项目涉及的环境风险主要为油品泄漏以及火灾事故。现有厂区已采取的环境风险防范措施包括</w:t>
            </w:r>
            <w:r>
              <w:rPr>
                <w:rFonts w:cs="Times New Roman" w:hint="eastAsia"/>
                <w:color w:val="000000"/>
                <w:szCs w:val="24"/>
              </w:rPr>
              <w:t>：</w:t>
            </w:r>
          </w:p>
          <w:p w14:paraId="51DC58BC" w14:textId="77777777" w:rsidR="003C4F46" w:rsidRDefault="004B6A81">
            <w:pPr>
              <w:spacing w:line="520" w:lineRule="exact"/>
              <w:ind w:firstLine="480"/>
              <w:textAlignment w:val="auto"/>
              <w:rPr>
                <w:rFonts w:cs="Times New Roman"/>
                <w:color w:val="000000"/>
                <w:szCs w:val="24"/>
              </w:rPr>
            </w:pPr>
            <w:r>
              <w:rPr>
                <w:rFonts w:cs="Times New Roman" w:hint="eastAsia"/>
                <w:color w:val="000000"/>
                <w:szCs w:val="24"/>
              </w:rPr>
              <w:t>①</w:t>
            </w:r>
            <w:r>
              <w:rPr>
                <w:rFonts w:ascii="Segoe UI" w:hAnsi="Segoe UI" w:cs="Segoe UI"/>
                <w:color w:val="0F1115"/>
                <w:shd w:val="clear" w:color="auto" w:fill="FFFFFF"/>
              </w:rPr>
              <w:t>储罐区地面防渗并设置围堰，围堰内初期雨水切换至污水处理站处理</w:t>
            </w:r>
            <w:r>
              <w:rPr>
                <w:rFonts w:cs="Times New Roman" w:hint="eastAsia"/>
                <w:color w:val="000000"/>
                <w:szCs w:val="24"/>
              </w:rPr>
              <w:t>；</w:t>
            </w:r>
          </w:p>
          <w:p w14:paraId="0D451884" w14:textId="77777777" w:rsidR="003C4F46" w:rsidRDefault="004B6A81">
            <w:pPr>
              <w:spacing w:line="520" w:lineRule="exact"/>
              <w:ind w:firstLine="480"/>
              <w:textAlignment w:val="auto"/>
              <w:rPr>
                <w:rFonts w:cs="Times New Roman"/>
                <w:color w:val="000000"/>
                <w:szCs w:val="24"/>
              </w:rPr>
            </w:pPr>
            <w:r>
              <w:rPr>
                <w:rFonts w:cs="Times New Roman" w:hint="eastAsia"/>
                <w:color w:val="000000"/>
                <w:szCs w:val="24"/>
              </w:rPr>
              <w:t>②</w:t>
            </w:r>
            <w:r>
              <w:rPr>
                <w:rFonts w:ascii="Segoe UI" w:hAnsi="Segoe UI" w:cs="Segoe UI"/>
                <w:color w:val="0F1115"/>
                <w:shd w:val="clear" w:color="auto" w:fill="FFFFFF"/>
              </w:rPr>
              <w:t>装置区地面防渗并设置导流沟，事故状态下自流进入事故池</w:t>
            </w:r>
            <w:r>
              <w:rPr>
                <w:rFonts w:cs="Times New Roman" w:hint="eastAsia"/>
                <w:color w:val="000000"/>
                <w:szCs w:val="24"/>
              </w:rPr>
              <w:t>；</w:t>
            </w:r>
          </w:p>
          <w:p w14:paraId="2ECA28DE" w14:textId="77777777" w:rsidR="003C4F46" w:rsidRDefault="004B6A81">
            <w:pPr>
              <w:spacing w:line="520" w:lineRule="exact"/>
              <w:ind w:firstLine="480"/>
              <w:textAlignment w:val="auto"/>
              <w:rPr>
                <w:rFonts w:cs="Times New Roman"/>
                <w:color w:val="000000"/>
                <w:szCs w:val="24"/>
              </w:rPr>
            </w:pPr>
            <w:r>
              <w:rPr>
                <w:rFonts w:cs="Times New Roman" w:hint="eastAsia"/>
                <w:color w:val="000000"/>
                <w:szCs w:val="24"/>
              </w:rPr>
              <w:t>③建设</w:t>
            </w:r>
            <w:r>
              <w:rPr>
                <w:rFonts w:cs="Times New Roman" w:hint="eastAsia"/>
                <w:color w:val="000000"/>
                <w:szCs w:val="24"/>
              </w:rPr>
              <w:t>800m</w:t>
            </w:r>
            <w:r>
              <w:rPr>
                <w:rFonts w:cs="Times New Roman" w:hint="eastAsia"/>
                <w:color w:val="000000"/>
                <w:szCs w:val="24"/>
              </w:rPr>
              <w:t>³事故水池</w:t>
            </w:r>
            <w:r>
              <w:rPr>
                <w:rFonts w:cs="Times New Roman" w:hint="eastAsia"/>
                <w:color w:val="000000"/>
                <w:szCs w:val="24"/>
              </w:rPr>
              <w:t>1</w:t>
            </w:r>
            <w:r>
              <w:rPr>
                <w:rFonts w:cs="Times New Roman" w:hint="eastAsia"/>
                <w:color w:val="000000"/>
                <w:szCs w:val="24"/>
              </w:rPr>
              <w:t>座，并配有事故水切断阀；</w:t>
            </w:r>
          </w:p>
          <w:p w14:paraId="1C8E86DF" w14:textId="77777777" w:rsidR="003C4F46" w:rsidRDefault="004B6A81">
            <w:pPr>
              <w:spacing w:line="520" w:lineRule="exact"/>
              <w:ind w:firstLine="480"/>
              <w:textAlignment w:val="auto"/>
              <w:rPr>
                <w:rFonts w:cs="Times New Roman"/>
                <w:color w:val="000000"/>
                <w:szCs w:val="24"/>
              </w:rPr>
            </w:pPr>
            <w:r>
              <w:rPr>
                <w:rFonts w:ascii="宋体" w:hAnsi="宋体" w:cs="宋体" w:hint="eastAsia"/>
                <w:color w:val="000000"/>
                <w:szCs w:val="24"/>
              </w:rPr>
              <w:t>④</w:t>
            </w:r>
            <w:r>
              <w:rPr>
                <w:rFonts w:cs="Times New Roman"/>
                <w:color w:val="0F1115"/>
                <w:shd w:val="clear" w:color="auto" w:fill="FFFFFF"/>
              </w:rPr>
              <w:t>已编制《轮台塔中石油化工有限公司突发环境事件应急预案》，并完成备案登记</w:t>
            </w:r>
            <w:r>
              <w:rPr>
                <w:rFonts w:cs="Times New Roman"/>
                <w:color w:val="000000"/>
                <w:szCs w:val="24"/>
              </w:rPr>
              <w:t>。</w:t>
            </w:r>
          </w:p>
          <w:p w14:paraId="22D8D1A9" w14:textId="77777777" w:rsidR="003C4F46" w:rsidRDefault="004B6A81">
            <w:pPr>
              <w:spacing w:line="520" w:lineRule="exact"/>
              <w:ind w:firstLine="480"/>
              <w:textAlignment w:val="auto"/>
              <w:rPr>
                <w:rFonts w:cs="Times New Roman"/>
              </w:rPr>
            </w:pPr>
            <w:r>
              <w:rPr>
                <w:rFonts w:cs="Times New Roman"/>
              </w:rPr>
              <w:t>本项目建成后，厂区危险废物种类和贮存量增加，现有厂区应强化危险废物台账管理、分区分类贮存和日常巡检制度，完善应急物资配备。</w:t>
            </w:r>
          </w:p>
          <w:p w14:paraId="72F00028" w14:textId="77777777" w:rsidR="003C4F46" w:rsidRDefault="004B6A81">
            <w:pPr>
              <w:spacing w:line="520" w:lineRule="exact"/>
              <w:ind w:firstLine="480"/>
              <w:textAlignment w:val="auto"/>
              <w:rPr>
                <w:rFonts w:cs="Times New Roman"/>
                <w:color w:val="000000"/>
                <w:szCs w:val="24"/>
              </w:rPr>
            </w:pPr>
            <w:r>
              <w:rPr>
                <w:rFonts w:cs="Times New Roman"/>
                <w:color w:val="0F1115"/>
                <w:shd w:val="clear" w:color="auto" w:fill="FFFFFF"/>
              </w:rPr>
              <w:t>本项目事故废水收集依托厂区现有</w:t>
            </w:r>
            <w:r>
              <w:rPr>
                <w:rFonts w:cs="Times New Roman"/>
                <w:color w:val="0F1115"/>
                <w:shd w:val="clear" w:color="auto" w:fill="FFFFFF"/>
              </w:rPr>
              <w:t>800m³</w:t>
            </w:r>
            <w:r>
              <w:rPr>
                <w:rFonts w:cs="Times New Roman"/>
                <w:color w:val="0F1115"/>
                <w:shd w:val="clear" w:color="auto" w:fill="FFFFFF"/>
              </w:rPr>
              <w:t>事故池。根据本次环评风险评价章节核算（详见</w:t>
            </w:r>
            <w:r>
              <w:rPr>
                <w:rFonts w:cs="Times New Roman"/>
                <w:color w:val="0F1115"/>
                <w:shd w:val="clear" w:color="auto" w:fill="FFFFFF"/>
              </w:rPr>
              <w:t>4.3</w:t>
            </w:r>
            <w:r>
              <w:rPr>
                <w:rFonts w:cs="Times New Roman"/>
                <w:color w:val="0F1115"/>
                <w:shd w:val="clear" w:color="auto" w:fill="FFFFFF"/>
              </w:rPr>
              <w:t>节），本项目事故状态下产生的废水总量为</w:t>
            </w:r>
            <w:r>
              <w:rPr>
                <w:rFonts w:cs="Times New Roman"/>
                <w:color w:val="0F1115"/>
                <w:shd w:val="clear" w:color="auto" w:fill="FFFFFF"/>
              </w:rPr>
              <w:t>477.6m³</w:t>
            </w:r>
            <w:r>
              <w:rPr>
                <w:rFonts w:cs="Times New Roman"/>
                <w:color w:val="0F1115"/>
                <w:shd w:val="clear" w:color="auto" w:fill="FFFFFF"/>
              </w:rPr>
              <w:t>，小于事故池有效容积</w:t>
            </w:r>
            <w:r>
              <w:rPr>
                <w:rFonts w:cs="Times New Roman"/>
                <w:color w:val="0F1115"/>
                <w:shd w:val="clear" w:color="auto" w:fill="FFFFFF"/>
              </w:rPr>
              <w:t>800m³</w:t>
            </w:r>
            <w:r>
              <w:rPr>
                <w:rFonts w:cs="Times New Roman"/>
                <w:color w:val="0F1115"/>
                <w:shd w:val="clear" w:color="auto" w:fill="FFFFFF"/>
              </w:rPr>
              <w:t>，容量满足要求</w:t>
            </w:r>
            <w:r>
              <w:rPr>
                <w:rFonts w:cs="Times New Roman"/>
              </w:rPr>
              <w:t>。现有工程均已通过竣工环境保护验收，验收监测表明废气、废水、噪声、地下水、土壤均达标，环保设施运行正常，有能力接纳本项目新增的环境风险负荷。</w:t>
            </w:r>
          </w:p>
          <w:p w14:paraId="7C42EE79" w14:textId="77777777" w:rsidR="003C4F46" w:rsidRDefault="004B6A81">
            <w:pPr>
              <w:spacing w:line="520" w:lineRule="exact"/>
              <w:ind w:firstLine="482"/>
              <w:textAlignment w:val="auto"/>
              <w:rPr>
                <w:rFonts w:cs="Times New Roman"/>
                <w:b/>
                <w:bCs/>
                <w:color w:val="000000"/>
                <w:szCs w:val="24"/>
              </w:rPr>
            </w:pPr>
            <w:r>
              <w:rPr>
                <w:rFonts w:cs="Times New Roman" w:hint="eastAsia"/>
                <w:b/>
                <w:bCs/>
                <w:color w:val="000000"/>
                <w:szCs w:val="24"/>
              </w:rPr>
              <w:t>（</w:t>
            </w:r>
            <w:r>
              <w:rPr>
                <w:rFonts w:cs="Times New Roman" w:hint="eastAsia"/>
                <w:b/>
                <w:bCs/>
                <w:color w:val="000000"/>
                <w:szCs w:val="24"/>
              </w:rPr>
              <w:t>7</w:t>
            </w:r>
            <w:r>
              <w:rPr>
                <w:rFonts w:cs="Times New Roman" w:hint="eastAsia"/>
                <w:b/>
                <w:bCs/>
                <w:color w:val="000000"/>
                <w:szCs w:val="24"/>
              </w:rPr>
              <w:t>）</w:t>
            </w:r>
            <w:r>
              <w:rPr>
                <w:rFonts w:cs="Times New Roman"/>
                <w:b/>
                <w:bCs/>
                <w:color w:val="000000"/>
                <w:szCs w:val="24"/>
              </w:rPr>
              <w:t>现有工程排污许可、环境监测执行情况</w:t>
            </w:r>
          </w:p>
          <w:p w14:paraId="2EC3802F" w14:textId="77777777" w:rsidR="003C4F46" w:rsidRDefault="004B6A81">
            <w:pPr>
              <w:spacing w:line="520" w:lineRule="exact"/>
              <w:ind w:firstLine="480"/>
              <w:textAlignment w:val="auto"/>
              <w:rPr>
                <w:rFonts w:cs="Times New Roman"/>
                <w:color w:val="000000"/>
                <w:szCs w:val="24"/>
              </w:rPr>
            </w:pPr>
            <w:r>
              <w:rPr>
                <w:rFonts w:cs="Times New Roman" w:hint="eastAsia"/>
                <w:color w:val="000000"/>
                <w:szCs w:val="24"/>
              </w:rPr>
              <w:t>轮台塔中石油化工有限公司于</w:t>
            </w:r>
            <w:r>
              <w:rPr>
                <w:rFonts w:cs="Times New Roman" w:hint="eastAsia"/>
                <w:color w:val="000000"/>
                <w:szCs w:val="24"/>
              </w:rPr>
              <w:t>2020</w:t>
            </w:r>
            <w:r>
              <w:rPr>
                <w:rFonts w:cs="Times New Roman" w:hint="eastAsia"/>
                <w:color w:val="000000"/>
                <w:szCs w:val="24"/>
              </w:rPr>
              <w:t>年申领了排污许可证，证书编号为</w:t>
            </w:r>
            <w:r>
              <w:rPr>
                <w:rFonts w:cs="Times New Roman" w:hint="eastAsia"/>
                <w:color w:val="000000"/>
                <w:szCs w:val="24"/>
              </w:rPr>
              <w:t>91652822673430240L001V</w:t>
            </w:r>
            <w:r>
              <w:rPr>
                <w:rFonts w:cs="Times New Roman" w:hint="eastAsia"/>
                <w:color w:val="000000"/>
                <w:szCs w:val="24"/>
              </w:rPr>
              <w:t>。企业按要求公开了排污许可证执行报告季报、年报，并制定了《轮台塔中石油化工有限公司企业自行监测方案》。企业按要求建立了监测档案信息管理制度，保存了原始监测记录、监测数据报告、监测期间生产记录以及企业委托手工监测的委托合同、承担委托任务单位的资质和单位基本情况等资料。</w:t>
            </w:r>
          </w:p>
          <w:p w14:paraId="1D195807" w14:textId="77777777" w:rsidR="003C4F46" w:rsidRDefault="004B6A81">
            <w:pPr>
              <w:ind w:firstLine="482"/>
              <w:textAlignment w:val="auto"/>
              <w:rPr>
                <w:rFonts w:cs="Times New Roman"/>
                <w:color w:val="000000"/>
                <w:szCs w:val="24"/>
              </w:rPr>
            </w:pPr>
            <w:r>
              <w:rPr>
                <w:rFonts w:hint="eastAsia"/>
                <w:b/>
                <w:bCs/>
                <w:szCs w:val="24"/>
              </w:rPr>
              <w:t>3</w:t>
            </w:r>
            <w:r>
              <w:rPr>
                <w:rFonts w:hint="eastAsia"/>
                <w:b/>
                <w:bCs/>
                <w:szCs w:val="24"/>
              </w:rPr>
              <w:t>、现有存在问题及解决方案</w:t>
            </w:r>
          </w:p>
          <w:p w14:paraId="7052CCEC" w14:textId="77777777" w:rsidR="003C4F46" w:rsidRDefault="004B6A81">
            <w:pPr>
              <w:pStyle w:val="23"/>
            </w:pPr>
            <w:r>
              <w:rPr>
                <w:szCs w:val="24"/>
              </w:rPr>
              <w:t>经</w:t>
            </w:r>
            <w:r>
              <w:rPr>
                <w:rFonts w:hint="eastAsia"/>
                <w:szCs w:val="24"/>
              </w:rPr>
              <w:t>现场勘查</w:t>
            </w:r>
            <w:r>
              <w:rPr>
                <w:szCs w:val="24"/>
              </w:rPr>
              <w:t>，当前未发现问题。</w:t>
            </w:r>
          </w:p>
        </w:tc>
      </w:tr>
    </w:tbl>
    <w:p w14:paraId="2C1B215F" w14:textId="77777777" w:rsidR="003C4F46" w:rsidRDefault="003C4F46">
      <w:pPr>
        <w:ind w:firstLine="480"/>
        <w:rPr>
          <w:color w:val="000000" w:themeColor="text1"/>
        </w:rPr>
        <w:sectPr w:rsidR="003C4F46">
          <w:pgSz w:w="11906" w:h="16838"/>
          <w:pgMar w:top="1418" w:right="1418" w:bottom="1418" w:left="1418" w:header="851" w:footer="992" w:gutter="0"/>
          <w:pgNumType w:start="1"/>
          <w:cols w:space="425"/>
          <w:docGrid w:type="lines" w:linePitch="326"/>
        </w:sectPr>
      </w:pPr>
    </w:p>
    <w:p w14:paraId="27DC0424" w14:textId="77777777" w:rsidR="003C4F46" w:rsidRDefault="004B6A81">
      <w:pPr>
        <w:pStyle w:val="1"/>
        <w:rPr>
          <w:color w:val="000000" w:themeColor="text1"/>
        </w:rPr>
      </w:pPr>
      <w:r>
        <w:rPr>
          <w:rFonts w:hint="eastAsia"/>
          <w:color w:val="000000" w:themeColor="text1"/>
        </w:rPr>
        <w:lastRenderedPageBreak/>
        <w:t>三、区域环境质量现状、环境保护目标及评价标准</w:t>
      </w:r>
    </w:p>
    <w:tbl>
      <w:tblPr>
        <w:tblW w:w="488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7"/>
        <w:gridCol w:w="8381"/>
      </w:tblGrid>
      <w:tr w:rsidR="003C4F46" w14:paraId="74082024" w14:textId="77777777">
        <w:trPr>
          <w:trHeight w:val="1719"/>
          <w:jc w:val="center"/>
        </w:trPr>
        <w:tc>
          <w:tcPr>
            <w:tcW w:w="233" w:type="pct"/>
            <w:vAlign w:val="center"/>
          </w:tcPr>
          <w:p w14:paraId="3E97AF9F"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区域</w:t>
            </w:r>
          </w:p>
          <w:p w14:paraId="5C3938BB"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环境</w:t>
            </w:r>
          </w:p>
          <w:p w14:paraId="1A425333"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质量</w:t>
            </w:r>
          </w:p>
          <w:p w14:paraId="7D7E8944"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现状</w:t>
            </w:r>
          </w:p>
        </w:tc>
        <w:tc>
          <w:tcPr>
            <w:tcW w:w="4767" w:type="pct"/>
            <w:vAlign w:val="center"/>
          </w:tcPr>
          <w:p w14:paraId="7A64E950" w14:textId="40DC90F7" w:rsidR="003C4F46" w:rsidRDefault="004B6A81">
            <w:pPr>
              <w:pStyle w:val="2"/>
              <w:rPr>
                <w:color w:val="000000" w:themeColor="text1"/>
              </w:rPr>
            </w:pPr>
            <w:r>
              <w:rPr>
                <w:rFonts w:hint="eastAsia"/>
                <w:color w:val="000000" w:themeColor="text1"/>
              </w:rPr>
              <w:t>3.</w:t>
            </w:r>
            <w:r w:rsidR="009C4C8C">
              <w:rPr>
                <w:color w:val="000000" w:themeColor="text1"/>
              </w:rPr>
              <w:t>1</w:t>
            </w:r>
            <w:r>
              <w:rPr>
                <w:rFonts w:hint="eastAsia"/>
                <w:color w:val="000000" w:themeColor="text1"/>
              </w:rPr>
              <w:t>环境空气质量评价</w:t>
            </w:r>
          </w:p>
          <w:p w14:paraId="0C57ACC2" w14:textId="62622060" w:rsidR="003C4F46" w:rsidRDefault="004B6A81">
            <w:pPr>
              <w:ind w:firstLine="480"/>
              <w:rPr>
                <w:rFonts w:cs="Times New Roman"/>
                <w:szCs w:val="24"/>
              </w:rPr>
            </w:pPr>
            <w:r>
              <w:rPr>
                <w:rFonts w:cs="Times New Roman"/>
              </w:rPr>
              <w:t>根据《</w:t>
            </w:r>
            <w:r>
              <w:rPr>
                <w:rFonts w:cs="Times New Roman" w:hint="eastAsia"/>
              </w:rPr>
              <w:t>巴音郭楞蒙古自治州</w:t>
            </w:r>
            <w:r>
              <w:rPr>
                <w:rFonts w:cs="Times New Roman" w:hint="eastAsia"/>
              </w:rPr>
              <w:t>2024</w:t>
            </w:r>
            <w:r>
              <w:rPr>
                <w:rFonts w:cs="Times New Roman" w:hint="eastAsia"/>
              </w:rPr>
              <w:t>年生态环境状况公报</w:t>
            </w:r>
            <w:r>
              <w:rPr>
                <w:rFonts w:cs="Times New Roman"/>
              </w:rPr>
              <w:t>》，</w:t>
            </w:r>
            <w:r>
              <w:rPr>
                <w:rFonts w:cs="Times New Roman" w:hint="eastAsia"/>
              </w:rPr>
              <w:t>2024</w:t>
            </w:r>
            <w:r>
              <w:rPr>
                <w:rFonts w:cs="Times New Roman" w:hint="eastAsia"/>
              </w:rPr>
              <w:t>年，全州空气质量综合指数为</w:t>
            </w:r>
            <w:r>
              <w:rPr>
                <w:rFonts w:cs="Times New Roman" w:hint="eastAsia"/>
              </w:rPr>
              <w:t>5.22</w:t>
            </w:r>
            <w:r>
              <w:rPr>
                <w:rFonts w:cs="Times New Roman" w:hint="eastAsia"/>
              </w:rPr>
              <w:t>，同比下降</w:t>
            </w:r>
            <w:r>
              <w:rPr>
                <w:rFonts w:cs="Times New Roman" w:hint="eastAsia"/>
              </w:rPr>
              <w:t>7.9%</w:t>
            </w:r>
            <w:r>
              <w:rPr>
                <w:rFonts w:cs="Times New Roman" w:hint="eastAsia"/>
              </w:rPr>
              <w:t>，空气质量明显好于</w:t>
            </w:r>
            <w:r>
              <w:rPr>
                <w:rFonts w:cs="Times New Roman" w:hint="eastAsia"/>
              </w:rPr>
              <w:t>2023</w:t>
            </w:r>
            <w:r>
              <w:rPr>
                <w:rFonts w:cs="Times New Roman" w:hint="eastAsia"/>
              </w:rPr>
              <w:t>年。全州平均优良天数比例为</w:t>
            </w:r>
            <w:r>
              <w:rPr>
                <w:rFonts w:cs="Times New Roman" w:hint="eastAsia"/>
              </w:rPr>
              <w:t>62%</w:t>
            </w:r>
            <w:r>
              <w:rPr>
                <w:rFonts w:cs="Times New Roman" w:hint="eastAsia"/>
              </w:rPr>
              <w:t>，同比增加</w:t>
            </w:r>
            <w:r>
              <w:rPr>
                <w:rFonts w:cs="Times New Roman" w:hint="eastAsia"/>
              </w:rPr>
              <w:t>15.7%</w:t>
            </w:r>
            <w:r>
              <w:rPr>
                <w:rFonts w:cs="Times New Roman" w:hint="eastAsia"/>
              </w:rPr>
              <w:t>，</w:t>
            </w:r>
            <w:r>
              <w:rPr>
                <w:rFonts w:cs="Times New Roman" w:hint="eastAsia"/>
              </w:rPr>
              <w:t>PM</w:t>
            </w:r>
            <w:r>
              <w:rPr>
                <w:rFonts w:cs="Times New Roman" w:hint="eastAsia"/>
                <w:vertAlign w:val="subscript"/>
              </w:rPr>
              <w:t>10</w:t>
            </w:r>
            <w:r>
              <w:rPr>
                <w:rFonts w:cs="Times New Roman" w:hint="eastAsia"/>
              </w:rPr>
              <w:t>为首要污染物，未出现</w:t>
            </w:r>
            <w:r>
              <w:rPr>
                <w:rFonts w:cs="Times New Roman" w:hint="eastAsia"/>
              </w:rPr>
              <w:t>PM</w:t>
            </w:r>
            <w:r>
              <w:rPr>
                <w:rFonts w:cs="Times New Roman" w:hint="eastAsia"/>
                <w:vertAlign w:val="subscript"/>
              </w:rPr>
              <w:t>2.5</w:t>
            </w:r>
            <w:r>
              <w:rPr>
                <w:rFonts w:cs="Times New Roman" w:hint="eastAsia"/>
              </w:rPr>
              <w:t>、</w:t>
            </w:r>
            <w:r>
              <w:rPr>
                <w:rFonts w:cs="Times New Roman" w:hint="eastAsia"/>
              </w:rPr>
              <w:t>O</w:t>
            </w:r>
            <w:r>
              <w:rPr>
                <w:rFonts w:cs="Times New Roman" w:hint="eastAsia"/>
                <w:vertAlign w:val="subscript"/>
              </w:rPr>
              <w:t>3</w:t>
            </w:r>
            <w:r>
              <w:rPr>
                <w:rFonts w:cs="Times New Roman" w:hint="eastAsia"/>
              </w:rPr>
              <w:t>-8</w:t>
            </w:r>
            <w:r>
              <w:rPr>
                <w:rFonts w:cs="Times New Roman"/>
              </w:rPr>
              <w:t>h</w:t>
            </w:r>
            <w:r>
              <w:rPr>
                <w:rFonts w:cs="Times New Roman" w:hint="eastAsia"/>
              </w:rPr>
              <w:t>、</w:t>
            </w:r>
            <w:r>
              <w:rPr>
                <w:rFonts w:cs="Times New Roman" w:hint="eastAsia"/>
              </w:rPr>
              <w:t>SO</w:t>
            </w:r>
            <w:r>
              <w:rPr>
                <w:rFonts w:cs="Times New Roman" w:hint="eastAsia"/>
                <w:vertAlign w:val="subscript"/>
              </w:rPr>
              <w:t>2</w:t>
            </w:r>
            <w:r>
              <w:rPr>
                <w:rFonts w:cs="Times New Roman" w:hint="eastAsia"/>
              </w:rPr>
              <w:t>、</w:t>
            </w:r>
            <w:r>
              <w:rPr>
                <w:rFonts w:cs="Times New Roman" w:hint="eastAsia"/>
              </w:rPr>
              <w:t>NO</w:t>
            </w:r>
            <w:r>
              <w:rPr>
                <w:rFonts w:cs="Times New Roman" w:hint="eastAsia"/>
                <w:vertAlign w:val="subscript"/>
              </w:rPr>
              <w:t>2</w:t>
            </w:r>
            <w:r>
              <w:rPr>
                <w:rFonts w:cs="Times New Roman" w:hint="eastAsia"/>
              </w:rPr>
              <w:t>、</w:t>
            </w:r>
            <w:r>
              <w:rPr>
                <w:rFonts w:cs="Times New Roman" w:hint="eastAsia"/>
              </w:rPr>
              <w:t>CO</w:t>
            </w:r>
            <w:r>
              <w:rPr>
                <w:rFonts w:cs="Times New Roman" w:hint="eastAsia"/>
              </w:rPr>
              <w:t>为首要污染物的超标天</w:t>
            </w:r>
            <w:r>
              <w:rPr>
                <w:rFonts w:hint="eastAsia"/>
              </w:rPr>
              <w:t>。</w:t>
            </w:r>
          </w:p>
          <w:p w14:paraId="1A8B4A59" w14:textId="48DCC931" w:rsidR="003C4F46" w:rsidRDefault="004B6A81">
            <w:pPr>
              <w:ind w:firstLine="480"/>
            </w:pPr>
            <w:r>
              <w:t>本项目所在区域为</w:t>
            </w:r>
            <w:r w:rsidR="008222DE" w:rsidRPr="008222DE">
              <w:rPr>
                <w:rFonts w:hint="eastAsia"/>
              </w:rPr>
              <w:t>不达标区域</w:t>
            </w:r>
            <w:r>
              <w:rPr>
                <w:rFonts w:hint="eastAsia"/>
              </w:rPr>
              <w:t>。对于环境空气质量不达标区域需提交《大气环境不达标区域削减方案》，根据关于将巴音郭楞蒙古自治州</w:t>
            </w:r>
            <w:r w:rsidR="008222DE">
              <w:rPr>
                <w:rFonts w:hint="eastAsia"/>
              </w:rPr>
              <w:t xml:space="preserve"> </w:t>
            </w:r>
            <w:r>
              <w:rPr>
                <w:rFonts w:hint="eastAsia"/>
              </w:rPr>
              <w:t>吐鲁番市</w:t>
            </w:r>
            <w:r w:rsidR="008222DE">
              <w:rPr>
                <w:rFonts w:hint="eastAsia"/>
              </w:rPr>
              <w:t xml:space="preserve"> </w:t>
            </w:r>
            <w:r>
              <w:rPr>
                <w:rFonts w:hint="eastAsia"/>
              </w:rPr>
              <w:t>哈密市纳入执行《环境影响评价技术导则大气环境（</w:t>
            </w:r>
            <w:r>
              <w:rPr>
                <w:rFonts w:hint="eastAsia"/>
              </w:rPr>
              <w:t>HJ2.2-2018</w:t>
            </w:r>
            <w:r>
              <w:rPr>
                <w:rFonts w:hint="eastAsia"/>
              </w:rPr>
              <w:t>）》差别化政策范围的复函（环办环评函〔</w:t>
            </w:r>
            <w:r>
              <w:rPr>
                <w:rFonts w:hint="eastAsia"/>
              </w:rPr>
              <w:t>2020</w:t>
            </w:r>
            <w:r>
              <w:rPr>
                <w:rFonts w:hint="eastAsia"/>
              </w:rPr>
              <w:t>〕</w:t>
            </w:r>
            <w:r>
              <w:rPr>
                <w:rFonts w:hint="eastAsia"/>
              </w:rPr>
              <w:t>341</w:t>
            </w:r>
            <w:r>
              <w:rPr>
                <w:rFonts w:hint="eastAsia"/>
              </w:rPr>
              <w:t>号），本地区项目可不提供颗粒物区域削减方案。</w:t>
            </w:r>
          </w:p>
          <w:p w14:paraId="6CAFF0D3" w14:textId="77777777" w:rsidR="003C4F46" w:rsidRDefault="004B6A81">
            <w:pPr>
              <w:ind w:firstLineChars="0" w:firstLine="0"/>
              <w:rPr>
                <w:color w:val="000000" w:themeColor="text1"/>
              </w:rPr>
            </w:pPr>
            <w:r>
              <w:rPr>
                <w:rFonts w:hint="eastAsia"/>
                <w:b/>
                <w:color w:val="000000" w:themeColor="text1"/>
              </w:rPr>
              <w:t>3.2</w:t>
            </w:r>
            <w:r>
              <w:rPr>
                <w:rFonts w:hint="eastAsia"/>
                <w:b/>
                <w:color w:val="000000" w:themeColor="text1"/>
              </w:rPr>
              <w:t>地表水环境质量现状</w:t>
            </w:r>
          </w:p>
          <w:p w14:paraId="34B6CD35" w14:textId="77777777" w:rsidR="003C4F46" w:rsidRDefault="004B6A81">
            <w:pPr>
              <w:ind w:firstLine="480"/>
              <w:rPr>
                <w:rFonts w:cs="Times New Roman"/>
                <w:bCs/>
              </w:rPr>
            </w:pPr>
            <w:bookmarkStart w:id="20" w:name="_Hlk97245670"/>
            <w:r>
              <w:rPr>
                <w:rFonts w:cs="Times New Roman" w:hint="eastAsia"/>
                <w:color w:val="000000"/>
              </w:rPr>
              <w:t>项目区附近无地表水体，由于项目不与地表水体发生联系，同时项目不属于地表水和地下水总量控制区。项目的施工及运营对地表水体无影响。故本次环评未开展地表水现状监测</w:t>
            </w:r>
            <w:r>
              <w:rPr>
                <w:rFonts w:cs="Times New Roman"/>
                <w:color w:val="000000"/>
              </w:rPr>
              <w:t>。</w:t>
            </w:r>
          </w:p>
          <w:bookmarkEnd w:id="20"/>
          <w:p w14:paraId="63EB3C26" w14:textId="77777777" w:rsidR="003C4F46" w:rsidRDefault="004B6A81">
            <w:pPr>
              <w:pStyle w:val="2"/>
              <w:rPr>
                <w:color w:val="000000" w:themeColor="text1"/>
              </w:rPr>
            </w:pPr>
            <w:r>
              <w:rPr>
                <w:rFonts w:hint="eastAsia"/>
                <w:color w:val="000000" w:themeColor="text1"/>
              </w:rPr>
              <w:t>3.3</w:t>
            </w:r>
            <w:r>
              <w:rPr>
                <w:rFonts w:hint="eastAsia"/>
                <w:color w:val="000000" w:themeColor="text1"/>
              </w:rPr>
              <w:t>声环境质量现状</w:t>
            </w:r>
          </w:p>
          <w:p w14:paraId="526F6C19" w14:textId="77777777" w:rsidR="003C4F46" w:rsidRDefault="004B6A81">
            <w:pPr>
              <w:ind w:firstLine="480"/>
              <w:rPr>
                <w:rFonts w:cs="Times New Roman"/>
                <w:color w:val="000000"/>
              </w:rPr>
            </w:pPr>
            <w:r>
              <w:rPr>
                <w:rFonts w:cs="Times New Roman" w:hint="eastAsia"/>
                <w:color w:val="000000"/>
              </w:rPr>
              <w:t>根据</w:t>
            </w:r>
            <w:r>
              <w:rPr>
                <w:rFonts w:cs="Times New Roman" w:hint="eastAsia"/>
                <w:color w:val="000000"/>
                <w:lang w:val="zh-CN"/>
              </w:rPr>
              <w:t>《建设项目环境影响报告表编制技术指南（污染影响类）（试行）》</w:t>
            </w:r>
            <w:r>
              <w:rPr>
                <w:rFonts w:cs="Times New Roman" w:hint="eastAsia"/>
                <w:color w:val="000000"/>
              </w:rPr>
              <w:t>要求，本项目厂界外</w:t>
            </w:r>
            <w:r>
              <w:rPr>
                <w:rFonts w:cs="Times New Roman" w:hint="eastAsia"/>
                <w:color w:val="000000"/>
              </w:rPr>
              <w:t>50m</w:t>
            </w:r>
            <w:r>
              <w:rPr>
                <w:rFonts w:cs="Times New Roman" w:hint="eastAsia"/>
                <w:color w:val="000000"/>
              </w:rPr>
              <w:t>范围内无声环境敏感目标，无需开展保护目标声环境质量现状监测。</w:t>
            </w:r>
          </w:p>
          <w:p w14:paraId="1792E34F" w14:textId="77777777" w:rsidR="003C4F46" w:rsidRDefault="004B6A81">
            <w:pPr>
              <w:pStyle w:val="3"/>
              <w:rPr>
                <w:color w:val="000000" w:themeColor="text1"/>
              </w:rPr>
            </w:pPr>
            <w:r>
              <w:rPr>
                <w:rFonts w:hint="eastAsia"/>
              </w:rPr>
              <w:t>3.4</w:t>
            </w:r>
            <w:r>
              <w:rPr>
                <w:rFonts w:hint="eastAsia"/>
              </w:rPr>
              <w:t>地下水</w:t>
            </w:r>
            <w:r>
              <w:rPr>
                <w:rFonts w:hint="eastAsia"/>
                <w:color w:val="000000" w:themeColor="text1"/>
              </w:rPr>
              <w:t>环境质量现状</w:t>
            </w:r>
          </w:p>
          <w:p w14:paraId="79271A93" w14:textId="77777777" w:rsidR="003C4F46" w:rsidRDefault="004B6A81">
            <w:pPr>
              <w:ind w:firstLine="480"/>
              <w:rPr>
                <w:rFonts w:cs="Times New Roman"/>
                <w:color w:val="000000"/>
              </w:rPr>
            </w:pPr>
            <w:r>
              <w:rPr>
                <w:rFonts w:cs="Times New Roman"/>
                <w:bCs/>
              </w:rPr>
              <w:t>建设项目存在土壤、地下水环境污染途径的，应结合污染源、保护目标分布情况开展现状调查以留作背景值</w:t>
            </w:r>
            <w:r>
              <w:rPr>
                <w:rFonts w:cs="Times New Roman" w:hint="eastAsia"/>
                <w:bCs/>
              </w:rPr>
              <w:t>。</w:t>
            </w:r>
            <w:r>
              <w:rPr>
                <w:rFonts w:cs="Times New Roman" w:hint="eastAsia"/>
                <w:color w:val="000000"/>
              </w:rPr>
              <w:t>本项目地下水污染途径主要为废矿物油泄漏。项目区</w:t>
            </w:r>
            <w:r>
              <w:rPr>
                <w:rFonts w:cs="Times New Roman" w:hint="eastAsia"/>
                <w:color w:val="000000"/>
              </w:rPr>
              <w:t>500m</w:t>
            </w:r>
            <w:r>
              <w:rPr>
                <w:rFonts w:cs="Times New Roman" w:hint="eastAsia"/>
                <w:color w:val="000000"/>
              </w:rPr>
              <w:t>范围内无地下水环境敏感目标。根据《环境影响评价技术导则</w:t>
            </w:r>
            <w:r>
              <w:rPr>
                <w:rFonts w:cs="Times New Roman" w:hint="eastAsia"/>
                <w:color w:val="000000"/>
              </w:rPr>
              <w:t xml:space="preserve"> </w:t>
            </w:r>
            <w:r>
              <w:rPr>
                <w:rFonts w:cs="Times New Roman" w:hint="eastAsia"/>
                <w:color w:val="000000"/>
              </w:rPr>
              <w:t>地下水环境》（</w:t>
            </w:r>
            <w:r>
              <w:rPr>
                <w:rFonts w:cs="Times New Roman" w:hint="eastAsia"/>
                <w:color w:val="000000"/>
              </w:rPr>
              <w:t>HJ610-2016</w:t>
            </w:r>
            <w:r>
              <w:rPr>
                <w:rFonts w:cs="Times New Roman" w:hint="eastAsia"/>
                <w:color w:val="000000"/>
              </w:rPr>
              <w:t>）要求，本次地下水环境质量现状引用新疆绿格洁瑞环境检测技术有限公司于</w:t>
            </w:r>
            <w:r>
              <w:rPr>
                <w:rFonts w:cs="Times New Roman" w:hint="eastAsia"/>
                <w:color w:val="000000"/>
              </w:rPr>
              <w:t>2026</w:t>
            </w:r>
            <w:r>
              <w:rPr>
                <w:rFonts w:cs="Times New Roman" w:hint="eastAsia"/>
                <w:color w:val="000000"/>
              </w:rPr>
              <w:t>年</w:t>
            </w:r>
            <w:r>
              <w:rPr>
                <w:rFonts w:cs="Times New Roman" w:hint="eastAsia"/>
                <w:color w:val="000000"/>
              </w:rPr>
              <w:t>6</w:t>
            </w:r>
            <w:r>
              <w:rPr>
                <w:rFonts w:cs="Times New Roman" w:hint="eastAsia"/>
                <w:color w:val="000000"/>
              </w:rPr>
              <w:t>月</w:t>
            </w:r>
            <w:r>
              <w:rPr>
                <w:rFonts w:cs="Times New Roman" w:hint="eastAsia"/>
                <w:color w:val="000000"/>
              </w:rPr>
              <w:t>14</w:t>
            </w:r>
            <w:r>
              <w:rPr>
                <w:rFonts w:cs="Times New Roman" w:hint="eastAsia"/>
                <w:color w:val="000000"/>
              </w:rPr>
              <w:t>日对轮台塔中石油化工有限公司</w:t>
            </w:r>
            <w:r>
              <w:rPr>
                <w:rFonts w:cs="Times New Roman" w:hint="eastAsia"/>
                <w:color w:val="000000"/>
              </w:rPr>
              <w:t>2</w:t>
            </w:r>
            <w:r>
              <w:rPr>
                <w:rFonts w:cs="Times New Roman" w:hint="eastAsia"/>
                <w:color w:val="000000"/>
              </w:rPr>
              <w:t>万吨</w:t>
            </w:r>
            <w:r>
              <w:rPr>
                <w:rFonts w:cs="Times New Roman" w:hint="eastAsia"/>
                <w:color w:val="000000"/>
              </w:rPr>
              <w:t>/</w:t>
            </w:r>
            <w:r>
              <w:rPr>
                <w:rFonts w:cs="Times New Roman" w:hint="eastAsia"/>
                <w:color w:val="000000"/>
              </w:rPr>
              <w:t>年废包装桶及废机油滤芯再生利用扩建项目（一期）竣工环境保护验收监测数据。</w:t>
            </w:r>
          </w:p>
          <w:p w14:paraId="6C33612D" w14:textId="77777777" w:rsidR="003C4F46" w:rsidRDefault="004B6A81">
            <w:pPr>
              <w:ind w:firstLine="480"/>
            </w:pPr>
            <w:r>
              <w:rPr>
                <w:rFonts w:hint="eastAsia"/>
              </w:rPr>
              <w:lastRenderedPageBreak/>
              <w:t>（</w:t>
            </w:r>
            <w:r>
              <w:rPr>
                <w:rFonts w:hint="eastAsia"/>
              </w:rPr>
              <w:t>1</w:t>
            </w:r>
            <w:r>
              <w:rPr>
                <w:rFonts w:hint="eastAsia"/>
              </w:rPr>
              <w:t>）数据来源</w:t>
            </w:r>
          </w:p>
          <w:p w14:paraId="0A23EB38" w14:textId="60BF9DE5" w:rsidR="003C4F46" w:rsidRDefault="004B6A81">
            <w:pPr>
              <w:ind w:firstLine="480"/>
            </w:pPr>
            <w:r>
              <w:rPr>
                <w:rFonts w:hint="eastAsia"/>
              </w:rPr>
              <w:t>本项目地下水环境质量现状评价引用了本公司于</w:t>
            </w:r>
            <w:r>
              <w:rPr>
                <w:rFonts w:hint="eastAsia"/>
              </w:rPr>
              <w:t>202</w:t>
            </w:r>
            <w:r w:rsidR="00345B75">
              <w:t>6</w:t>
            </w:r>
            <w:r>
              <w:rPr>
                <w:rFonts w:hint="eastAsia"/>
              </w:rPr>
              <w:t>年</w:t>
            </w:r>
            <w:r>
              <w:t>6</w:t>
            </w:r>
            <w:r>
              <w:rPr>
                <w:rFonts w:hint="eastAsia"/>
              </w:rPr>
              <w:t>月</w:t>
            </w:r>
            <w:r>
              <w:rPr>
                <w:rFonts w:hint="eastAsia"/>
              </w:rPr>
              <w:t>1</w:t>
            </w:r>
            <w:r>
              <w:t>4</w:t>
            </w:r>
            <w:r>
              <w:rPr>
                <w:rFonts w:hint="eastAsia"/>
              </w:rPr>
              <w:t>日开展的地下水水质监测数据，用于说明项目区域的地下水环境质量现状。</w:t>
            </w:r>
          </w:p>
          <w:p w14:paraId="1F037E2A" w14:textId="77777777" w:rsidR="003C4F46" w:rsidRDefault="004B6A81">
            <w:pPr>
              <w:ind w:firstLine="480"/>
            </w:pPr>
            <w:r>
              <w:rPr>
                <w:rFonts w:hint="eastAsia"/>
              </w:rPr>
              <w:t>（</w:t>
            </w:r>
            <w:r>
              <w:rPr>
                <w:rFonts w:hint="eastAsia"/>
              </w:rPr>
              <w:t>2</w:t>
            </w:r>
            <w:r>
              <w:rPr>
                <w:rFonts w:hint="eastAsia"/>
              </w:rPr>
              <w:t>）监测点位</w:t>
            </w:r>
          </w:p>
          <w:p w14:paraId="640BDB49" w14:textId="77777777" w:rsidR="003C4F46" w:rsidRDefault="004B6A81">
            <w:pPr>
              <w:ind w:firstLine="464"/>
              <w:rPr>
                <w:rFonts w:ascii="宋体" w:hAnsi="宋体"/>
                <w:szCs w:val="21"/>
              </w:rPr>
            </w:pPr>
            <w:r>
              <w:rPr>
                <w:rFonts w:ascii="宋体" w:hAnsi="宋体" w:cs="宋体" w:hint="eastAsia"/>
                <w:color w:val="000000"/>
                <w:spacing w:val="-4"/>
              </w:rPr>
              <w:t>本次评价引用各监测点位与本项目关系见表</w:t>
            </w:r>
            <w:r>
              <w:rPr>
                <w:rFonts w:eastAsia="Times New Roman" w:cs="Times New Roman"/>
                <w:color w:val="000000"/>
                <w:spacing w:val="-4"/>
              </w:rPr>
              <w:t>3-1</w:t>
            </w:r>
            <w:r>
              <w:rPr>
                <w:rFonts w:ascii="宋体" w:hAnsi="宋体" w:cs="宋体" w:hint="eastAsia"/>
                <w:color w:val="000000"/>
                <w:spacing w:val="-4"/>
              </w:rPr>
              <w:t>。</w:t>
            </w:r>
          </w:p>
          <w:p w14:paraId="35E86B0B" w14:textId="77777777" w:rsidR="003C4F46" w:rsidRDefault="004B6A81">
            <w:pPr>
              <w:keepNext/>
              <w:keepLines/>
              <w:adjustRightInd w:val="0"/>
              <w:snapToGrid w:val="0"/>
              <w:spacing w:line="240" w:lineRule="auto"/>
              <w:ind w:firstLine="422"/>
              <w:jc w:val="center"/>
              <w:textAlignment w:val="auto"/>
              <w:outlineLvl w:val="3"/>
              <w:rPr>
                <w:rFonts w:cs="Times New Roman"/>
                <w:b/>
                <w:color w:val="000000"/>
                <w:sz w:val="21"/>
                <w:szCs w:val="21"/>
              </w:rPr>
            </w:pPr>
            <w:r>
              <w:rPr>
                <w:rFonts w:cs="Times New Roman" w:hint="eastAsia"/>
                <w:b/>
                <w:color w:val="000000"/>
                <w:sz w:val="21"/>
                <w:szCs w:val="21"/>
              </w:rPr>
              <w:t>表</w:t>
            </w:r>
            <w:r>
              <w:rPr>
                <w:rFonts w:cs="Times New Roman"/>
                <w:b/>
                <w:color w:val="000000"/>
                <w:sz w:val="21"/>
                <w:szCs w:val="21"/>
              </w:rPr>
              <w:t xml:space="preserve">3-1  </w:t>
            </w:r>
            <w:r>
              <w:rPr>
                <w:rFonts w:cs="Times New Roman" w:hint="eastAsia"/>
                <w:b/>
                <w:color w:val="000000"/>
                <w:sz w:val="21"/>
                <w:szCs w:val="21"/>
              </w:rPr>
              <w:t>地下水监测点与项目厂区关系一览表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3"/>
              <w:gridCol w:w="2189"/>
              <w:gridCol w:w="2516"/>
              <w:gridCol w:w="1298"/>
              <w:gridCol w:w="1589"/>
            </w:tblGrid>
            <w:tr w:rsidR="003C4F46" w14:paraId="3DE3ED19" w14:textId="77777777">
              <w:trPr>
                <w:trHeight w:val="327"/>
                <w:jc w:val="center"/>
              </w:trPr>
              <w:tc>
                <w:tcPr>
                  <w:tcW w:w="543" w:type="dxa"/>
                  <w:vMerge w:val="restart"/>
                  <w:tcBorders>
                    <w:top w:val="single" w:sz="12" w:space="0" w:color="auto"/>
                    <w:left w:val="single" w:sz="12" w:space="0" w:color="auto"/>
                    <w:bottom w:val="single" w:sz="4" w:space="0" w:color="auto"/>
                    <w:right w:val="single" w:sz="4" w:space="0" w:color="auto"/>
                  </w:tcBorders>
                  <w:vAlign w:val="center"/>
                </w:tcPr>
                <w:p w14:paraId="305F519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序号</w:t>
                  </w:r>
                </w:p>
              </w:tc>
              <w:tc>
                <w:tcPr>
                  <w:tcW w:w="2189" w:type="dxa"/>
                  <w:vMerge w:val="restart"/>
                  <w:tcBorders>
                    <w:top w:val="single" w:sz="12" w:space="0" w:color="auto"/>
                    <w:left w:val="single" w:sz="4" w:space="0" w:color="auto"/>
                    <w:bottom w:val="single" w:sz="4" w:space="0" w:color="auto"/>
                    <w:right w:val="single" w:sz="4" w:space="0" w:color="auto"/>
                  </w:tcBorders>
                  <w:vAlign w:val="center"/>
                </w:tcPr>
                <w:p w14:paraId="53C9404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监测点位</w:t>
                  </w:r>
                </w:p>
              </w:tc>
              <w:tc>
                <w:tcPr>
                  <w:tcW w:w="2516" w:type="dxa"/>
                  <w:vMerge w:val="restart"/>
                  <w:tcBorders>
                    <w:top w:val="single" w:sz="12" w:space="0" w:color="auto"/>
                    <w:left w:val="single" w:sz="4" w:space="0" w:color="auto"/>
                    <w:bottom w:val="single" w:sz="4" w:space="0" w:color="auto"/>
                    <w:right w:val="single" w:sz="4" w:space="0" w:color="auto"/>
                  </w:tcBorders>
                  <w:vAlign w:val="center"/>
                </w:tcPr>
                <w:p w14:paraId="6AB4CA3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监测点坐标</w:t>
                  </w:r>
                </w:p>
              </w:tc>
              <w:tc>
                <w:tcPr>
                  <w:tcW w:w="2887" w:type="dxa"/>
                  <w:gridSpan w:val="2"/>
                  <w:tcBorders>
                    <w:top w:val="single" w:sz="12" w:space="0" w:color="auto"/>
                    <w:left w:val="single" w:sz="4" w:space="0" w:color="auto"/>
                    <w:bottom w:val="single" w:sz="4" w:space="0" w:color="auto"/>
                    <w:right w:val="single" w:sz="12" w:space="0" w:color="auto"/>
                  </w:tcBorders>
                  <w:vAlign w:val="center"/>
                </w:tcPr>
                <w:p w14:paraId="34BFD1E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与本项目位置关系</w:t>
                  </w:r>
                </w:p>
              </w:tc>
            </w:tr>
            <w:tr w:rsidR="003C4F46" w14:paraId="6955C885" w14:textId="77777777">
              <w:trPr>
                <w:trHeight w:val="79"/>
                <w:jc w:val="center"/>
              </w:trPr>
              <w:tc>
                <w:tcPr>
                  <w:tcW w:w="543" w:type="dxa"/>
                  <w:vMerge/>
                  <w:tcBorders>
                    <w:top w:val="single" w:sz="12" w:space="0" w:color="auto"/>
                    <w:left w:val="single" w:sz="12" w:space="0" w:color="auto"/>
                    <w:bottom w:val="single" w:sz="4" w:space="0" w:color="auto"/>
                    <w:right w:val="single" w:sz="4" w:space="0" w:color="auto"/>
                  </w:tcBorders>
                  <w:vAlign w:val="center"/>
                </w:tcPr>
                <w:p w14:paraId="6C0BA6AE"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2189" w:type="dxa"/>
                  <w:vMerge/>
                  <w:tcBorders>
                    <w:top w:val="single" w:sz="12" w:space="0" w:color="auto"/>
                    <w:left w:val="single" w:sz="4" w:space="0" w:color="auto"/>
                    <w:bottom w:val="single" w:sz="4" w:space="0" w:color="auto"/>
                    <w:right w:val="single" w:sz="4" w:space="0" w:color="auto"/>
                  </w:tcBorders>
                  <w:vAlign w:val="center"/>
                </w:tcPr>
                <w:p w14:paraId="16064FCF"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2516" w:type="dxa"/>
                  <w:vMerge/>
                  <w:tcBorders>
                    <w:top w:val="single" w:sz="12" w:space="0" w:color="auto"/>
                    <w:left w:val="single" w:sz="4" w:space="0" w:color="auto"/>
                    <w:bottom w:val="single" w:sz="4" w:space="0" w:color="auto"/>
                    <w:right w:val="single" w:sz="4" w:space="0" w:color="auto"/>
                  </w:tcBorders>
                  <w:vAlign w:val="center"/>
                </w:tcPr>
                <w:p w14:paraId="0B306F93"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1298" w:type="dxa"/>
                  <w:tcBorders>
                    <w:top w:val="single" w:sz="4" w:space="0" w:color="auto"/>
                    <w:left w:val="single" w:sz="4" w:space="0" w:color="auto"/>
                    <w:bottom w:val="single" w:sz="4" w:space="0" w:color="auto"/>
                    <w:right w:val="single" w:sz="4" w:space="0" w:color="auto"/>
                  </w:tcBorders>
                  <w:vAlign w:val="center"/>
                </w:tcPr>
                <w:p w14:paraId="5C3516CB" w14:textId="77777777" w:rsidR="003C4F46" w:rsidRDefault="004B6A81">
                  <w:pPr>
                    <w:pStyle w:val="afffd"/>
                    <w:adjustRightInd w:val="0"/>
                    <w:snapToGrid w:val="0"/>
                    <w:spacing w:line="240" w:lineRule="auto"/>
                    <w:ind w:firstLineChars="0" w:firstLine="0"/>
                    <w:outlineLvl w:val="3"/>
                    <w:rPr>
                      <w:rFonts w:cs="Times New Roman"/>
                      <w:bCs/>
                      <w:kern w:val="2"/>
                      <w:sz w:val="21"/>
                      <w:szCs w:val="21"/>
                    </w:rPr>
                  </w:pPr>
                  <w:r>
                    <w:rPr>
                      <w:rFonts w:cs="Times New Roman"/>
                      <w:bCs/>
                      <w:kern w:val="2"/>
                      <w:sz w:val="21"/>
                      <w:szCs w:val="21"/>
                    </w:rPr>
                    <w:t>方向</w:t>
                  </w:r>
                </w:p>
              </w:tc>
              <w:tc>
                <w:tcPr>
                  <w:tcW w:w="1589" w:type="dxa"/>
                  <w:tcBorders>
                    <w:top w:val="single" w:sz="4" w:space="0" w:color="auto"/>
                    <w:left w:val="single" w:sz="4" w:space="0" w:color="auto"/>
                    <w:bottom w:val="single" w:sz="4" w:space="0" w:color="auto"/>
                    <w:right w:val="single" w:sz="12" w:space="0" w:color="auto"/>
                  </w:tcBorders>
                  <w:vAlign w:val="center"/>
                </w:tcPr>
                <w:p w14:paraId="7BB85304" w14:textId="77777777" w:rsidR="003C4F46" w:rsidRDefault="004B6A81">
                  <w:pPr>
                    <w:pStyle w:val="afffd"/>
                    <w:adjustRightInd w:val="0"/>
                    <w:snapToGrid w:val="0"/>
                    <w:spacing w:line="240" w:lineRule="auto"/>
                    <w:ind w:firstLineChars="0" w:firstLine="0"/>
                    <w:outlineLvl w:val="3"/>
                    <w:rPr>
                      <w:rFonts w:cs="Times New Roman"/>
                      <w:bCs/>
                      <w:kern w:val="2"/>
                      <w:sz w:val="21"/>
                      <w:szCs w:val="21"/>
                    </w:rPr>
                  </w:pPr>
                  <w:r>
                    <w:rPr>
                      <w:rFonts w:cs="Times New Roman"/>
                      <w:bCs/>
                      <w:kern w:val="2"/>
                      <w:sz w:val="21"/>
                      <w:szCs w:val="21"/>
                    </w:rPr>
                    <w:t>距离</w:t>
                  </w:r>
                </w:p>
              </w:tc>
            </w:tr>
            <w:tr w:rsidR="003C4F46" w14:paraId="148628E0"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1AFA912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p>
              </w:tc>
              <w:tc>
                <w:tcPr>
                  <w:tcW w:w="2189" w:type="dxa"/>
                  <w:tcBorders>
                    <w:top w:val="single" w:sz="4" w:space="0" w:color="auto"/>
                    <w:left w:val="single" w:sz="4" w:space="0" w:color="auto"/>
                    <w:bottom w:val="single" w:sz="4" w:space="0" w:color="auto"/>
                    <w:right w:val="single" w:sz="4" w:space="0" w:color="auto"/>
                  </w:tcBorders>
                  <w:vAlign w:val="center"/>
                </w:tcPr>
                <w:p w14:paraId="199E474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hint="eastAsia"/>
                      <w:color w:val="000000"/>
                      <w:sz w:val="21"/>
                      <w:szCs w:val="21"/>
                    </w:rPr>
                    <w:t>东侧正源化工水井</w:t>
                  </w:r>
                </w:p>
              </w:tc>
              <w:tc>
                <w:tcPr>
                  <w:tcW w:w="2516" w:type="dxa"/>
                  <w:tcBorders>
                    <w:top w:val="single" w:sz="4" w:space="0" w:color="auto"/>
                    <w:left w:val="single" w:sz="4" w:space="0" w:color="auto"/>
                    <w:bottom w:val="single" w:sz="4" w:space="0" w:color="auto"/>
                    <w:right w:val="single" w:sz="4" w:space="0" w:color="auto"/>
                  </w:tcBorders>
                  <w:vAlign w:val="center"/>
                </w:tcPr>
                <w:p w14:paraId="6822242B" w14:textId="697D5DB8" w:rsidR="003C4F46" w:rsidRDefault="003C4F46">
                  <w:pPr>
                    <w:spacing w:line="240" w:lineRule="auto"/>
                    <w:ind w:firstLineChars="0" w:firstLine="0"/>
                    <w:jc w:val="center"/>
                    <w:rPr>
                      <w:rFonts w:cs="Times New Roman"/>
                      <w:color w:val="000000"/>
                      <w:sz w:val="21"/>
                      <w:szCs w:val="21"/>
                    </w:rPr>
                  </w:pPr>
                </w:p>
              </w:tc>
              <w:tc>
                <w:tcPr>
                  <w:tcW w:w="1298" w:type="dxa"/>
                  <w:tcBorders>
                    <w:top w:val="single" w:sz="4" w:space="0" w:color="auto"/>
                    <w:left w:val="single" w:sz="4" w:space="0" w:color="auto"/>
                    <w:bottom w:val="single" w:sz="4" w:space="0" w:color="auto"/>
                    <w:right w:val="single" w:sz="4" w:space="0" w:color="auto"/>
                  </w:tcBorders>
                  <w:vAlign w:val="center"/>
                </w:tcPr>
                <w:p w14:paraId="00D2859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东侧</w:t>
                  </w:r>
                </w:p>
              </w:tc>
              <w:tc>
                <w:tcPr>
                  <w:tcW w:w="1589" w:type="dxa"/>
                  <w:tcBorders>
                    <w:top w:val="single" w:sz="4" w:space="0" w:color="auto"/>
                    <w:left w:val="single" w:sz="4" w:space="0" w:color="auto"/>
                    <w:bottom w:val="single" w:sz="4" w:space="0" w:color="auto"/>
                    <w:right w:val="single" w:sz="12" w:space="0" w:color="auto"/>
                  </w:tcBorders>
                  <w:vAlign w:val="center"/>
                </w:tcPr>
                <w:p w14:paraId="275C21B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2.58km</w:t>
                  </w:r>
                </w:p>
              </w:tc>
            </w:tr>
            <w:tr w:rsidR="003C4F46" w14:paraId="08968AF9"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79DACB9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p>
              </w:tc>
              <w:tc>
                <w:tcPr>
                  <w:tcW w:w="2189" w:type="dxa"/>
                  <w:tcBorders>
                    <w:top w:val="single" w:sz="4" w:space="0" w:color="auto"/>
                    <w:left w:val="single" w:sz="4" w:space="0" w:color="auto"/>
                    <w:bottom w:val="single" w:sz="4" w:space="0" w:color="auto"/>
                    <w:right w:val="single" w:sz="4" w:space="0" w:color="auto"/>
                  </w:tcBorders>
                  <w:vAlign w:val="center"/>
                </w:tcPr>
                <w:p w14:paraId="59C22B0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hint="eastAsia"/>
                      <w:color w:val="000000"/>
                      <w:sz w:val="21"/>
                      <w:szCs w:val="21"/>
                    </w:rPr>
                    <w:t>西侧塔星水井</w:t>
                  </w:r>
                </w:p>
              </w:tc>
              <w:tc>
                <w:tcPr>
                  <w:tcW w:w="2516" w:type="dxa"/>
                  <w:tcBorders>
                    <w:top w:val="single" w:sz="4" w:space="0" w:color="auto"/>
                    <w:left w:val="single" w:sz="4" w:space="0" w:color="auto"/>
                    <w:bottom w:val="single" w:sz="4" w:space="0" w:color="auto"/>
                    <w:right w:val="single" w:sz="4" w:space="0" w:color="auto"/>
                  </w:tcBorders>
                  <w:vAlign w:val="center"/>
                </w:tcPr>
                <w:p w14:paraId="08F882E2" w14:textId="098138FC" w:rsidR="003C4F46" w:rsidRDefault="003C4F46">
                  <w:pPr>
                    <w:spacing w:line="240" w:lineRule="auto"/>
                    <w:ind w:firstLineChars="0" w:firstLine="0"/>
                    <w:jc w:val="center"/>
                    <w:rPr>
                      <w:rFonts w:cs="Times New Roman"/>
                      <w:color w:val="000000"/>
                      <w:sz w:val="21"/>
                      <w:szCs w:val="21"/>
                    </w:rPr>
                  </w:pPr>
                </w:p>
              </w:tc>
              <w:tc>
                <w:tcPr>
                  <w:tcW w:w="1298" w:type="dxa"/>
                  <w:tcBorders>
                    <w:top w:val="single" w:sz="4" w:space="0" w:color="auto"/>
                    <w:left w:val="single" w:sz="4" w:space="0" w:color="auto"/>
                    <w:bottom w:val="single" w:sz="4" w:space="0" w:color="auto"/>
                    <w:right w:val="single" w:sz="4" w:space="0" w:color="auto"/>
                  </w:tcBorders>
                  <w:vAlign w:val="center"/>
                </w:tcPr>
                <w:p w14:paraId="40C1D07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西侧</w:t>
                  </w:r>
                </w:p>
              </w:tc>
              <w:tc>
                <w:tcPr>
                  <w:tcW w:w="1589" w:type="dxa"/>
                  <w:tcBorders>
                    <w:top w:val="single" w:sz="4" w:space="0" w:color="auto"/>
                    <w:left w:val="single" w:sz="4" w:space="0" w:color="auto"/>
                    <w:bottom w:val="single" w:sz="4" w:space="0" w:color="auto"/>
                    <w:right w:val="single" w:sz="12" w:space="0" w:color="auto"/>
                  </w:tcBorders>
                  <w:vAlign w:val="center"/>
                </w:tcPr>
                <w:p w14:paraId="6666960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.721</w:t>
                  </w:r>
                  <w:r>
                    <w:rPr>
                      <w:rFonts w:cs="Times New Roman" w:hint="eastAsia"/>
                      <w:bCs/>
                      <w:sz w:val="21"/>
                      <w:szCs w:val="21"/>
                    </w:rPr>
                    <w:t>k</w:t>
                  </w:r>
                  <w:r>
                    <w:rPr>
                      <w:rFonts w:cs="Times New Roman"/>
                      <w:bCs/>
                      <w:sz w:val="21"/>
                      <w:szCs w:val="21"/>
                    </w:rPr>
                    <w:t>m</w:t>
                  </w:r>
                </w:p>
              </w:tc>
            </w:tr>
            <w:tr w:rsidR="003C4F46" w14:paraId="0DC0C51B"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125E32A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p>
              </w:tc>
              <w:tc>
                <w:tcPr>
                  <w:tcW w:w="2189" w:type="dxa"/>
                  <w:tcBorders>
                    <w:top w:val="single" w:sz="4" w:space="0" w:color="auto"/>
                    <w:left w:val="single" w:sz="4" w:space="0" w:color="auto"/>
                    <w:bottom w:val="single" w:sz="4" w:space="0" w:color="auto"/>
                    <w:right w:val="single" w:sz="4" w:space="0" w:color="auto"/>
                  </w:tcBorders>
                  <w:vAlign w:val="center"/>
                </w:tcPr>
                <w:p w14:paraId="42CABD8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hint="eastAsia"/>
                      <w:color w:val="000000"/>
                      <w:sz w:val="21"/>
                      <w:szCs w:val="21"/>
                    </w:rPr>
                    <w:t>下游凯涟捷石化水井</w:t>
                  </w:r>
                </w:p>
              </w:tc>
              <w:tc>
                <w:tcPr>
                  <w:tcW w:w="2516" w:type="dxa"/>
                  <w:tcBorders>
                    <w:top w:val="single" w:sz="4" w:space="0" w:color="auto"/>
                    <w:left w:val="single" w:sz="4" w:space="0" w:color="auto"/>
                    <w:bottom w:val="single" w:sz="4" w:space="0" w:color="auto"/>
                    <w:right w:val="single" w:sz="4" w:space="0" w:color="auto"/>
                  </w:tcBorders>
                  <w:vAlign w:val="center"/>
                </w:tcPr>
                <w:p w14:paraId="76D519F0" w14:textId="3D73C68E" w:rsidR="003C4F46" w:rsidRDefault="003C4F46">
                  <w:pPr>
                    <w:spacing w:line="240" w:lineRule="auto"/>
                    <w:ind w:firstLineChars="0" w:firstLine="0"/>
                    <w:jc w:val="center"/>
                    <w:rPr>
                      <w:rFonts w:cs="Times New Roman"/>
                      <w:color w:val="000000"/>
                      <w:sz w:val="21"/>
                      <w:szCs w:val="21"/>
                    </w:rPr>
                  </w:pPr>
                </w:p>
              </w:tc>
              <w:tc>
                <w:tcPr>
                  <w:tcW w:w="1298" w:type="dxa"/>
                  <w:tcBorders>
                    <w:top w:val="single" w:sz="4" w:space="0" w:color="auto"/>
                    <w:left w:val="single" w:sz="4" w:space="0" w:color="auto"/>
                    <w:bottom w:val="single" w:sz="4" w:space="0" w:color="auto"/>
                    <w:right w:val="single" w:sz="4" w:space="0" w:color="auto"/>
                  </w:tcBorders>
                  <w:vAlign w:val="center"/>
                </w:tcPr>
                <w:p w14:paraId="6850F3B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南侧</w:t>
                  </w:r>
                </w:p>
              </w:tc>
              <w:tc>
                <w:tcPr>
                  <w:tcW w:w="1589" w:type="dxa"/>
                  <w:tcBorders>
                    <w:top w:val="single" w:sz="4" w:space="0" w:color="auto"/>
                    <w:left w:val="single" w:sz="4" w:space="0" w:color="auto"/>
                    <w:bottom w:val="single" w:sz="4" w:space="0" w:color="auto"/>
                    <w:right w:val="single" w:sz="12" w:space="0" w:color="auto"/>
                  </w:tcBorders>
                  <w:vAlign w:val="center"/>
                </w:tcPr>
                <w:p w14:paraId="04A374B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131m</w:t>
                  </w:r>
                </w:p>
              </w:tc>
            </w:tr>
            <w:tr w:rsidR="003C4F46" w14:paraId="1CF7F5AE" w14:textId="77777777">
              <w:trPr>
                <w:trHeight w:val="129"/>
                <w:jc w:val="center"/>
              </w:trPr>
              <w:tc>
                <w:tcPr>
                  <w:tcW w:w="543" w:type="dxa"/>
                  <w:tcBorders>
                    <w:top w:val="single" w:sz="4" w:space="0" w:color="auto"/>
                    <w:left w:val="single" w:sz="12" w:space="0" w:color="auto"/>
                    <w:bottom w:val="single" w:sz="4" w:space="0" w:color="auto"/>
                    <w:right w:val="single" w:sz="4" w:space="0" w:color="auto"/>
                  </w:tcBorders>
                  <w:vAlign w:val="center"/>
                </w:tcPr>
                <w:p w14:paraId="37565AA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4</w:t>
                  </w:r>
                </w:p>
              </w:tc>
              <w:tc>
                <w:tcPr>
                  <w:tcW w:w="2189" w:type="dxa"/>
                  <w:tcBorders>
                    <w:top w:val="single" w:sz="4" w:space="0" w:color="auto"/>
                    <w:left w:val="single" w:sz="4" w:space="0" w:color="auto"/>
                    <w:bottom w:val="single" w:sz="4" w:space="0" w:color="auto"/>
                    <w:right w:val="single" w:sz="4" w:space="0" w:color="auto"/>
                  </w:tcBorders>
                  <w:vAlign w:val="center"/>
                </w:tcPr>
                <w:p w14:paraId="06DF8059" w14:textId="77777777" w:rsidR="003C4F46" w:rsidRDefault="004B6A81">
                  <w:pPr>
                    <w:adjustRightInd w:val="0"/>
                    <w:snapToGrid w:val="0"/>
                    <w:spacing w:line="240" w:lineRule="auto"/>
                    <w:ind w:firstLineChars="0" w:firstLine="0"/>
                    <w:jc w:val="center"/>
                    <w:outlineLvl w:val="3"/>
                    <w:rPr>
                      <w:color w:val="000000"/>
                      <w:sz w:val="21"/>
                      <w:szCs w:val="21"/>
                    </w:rPr>
                  </w:pPr>
                  <w:r>
                    <w:rPr>
                      <w:rFonts w:hint="eastAsia"/>
                      <w:color w:val="000000"/>
                      <w:sz w:val="21"/>
                      <w:szCs w:val="21"/>
                    </w:rPr>
                    <w:t>塔中石油化工水井</w:t>
                  </w:r>
                </w:p>
              </w:tc>
              <w:tc>
                <w:tcPr>
                  <w:tcW w:w="2516" w:type="dxa"/>
                  <w:tcBorders>
                    <w:top w:val="single" w:sz="4" w:space="0" w:color="auto"/>
                    <w:left w:val="single" w:sz="4" w:space="0" w:color="auto"/>
                    <w:bottom w:val="single" w:sz="4" w:space="0" w:color="auto"/>
                    <w:right w:val="single" w:sz="4" w:space="0" w:color="auto"/>
                  </w:tcBorders>
                  <w:vAlign w:val="center"/>
                </w:tcPr>
                <w:p w14:paraId="474B901A" w14:textId="1D951978" w:rsidR="003C4F46" w:rsidRDefault="003C4F46">
                  <w:pPr>
                    <w:spacing w:line="240" w:lineRule="auto"/>
                    <w:ind w:firstLineChars="0" w:firstLine="0"/>
                    <w:jc w:val="center"/>
                    <w:rPr>
                      <w:rFonts w:ascii="Times New Roman PS MT" w:hAnsi="Times New Roman PS MT" w:hint="eastAsia"/>
                      <w:color w:val="000000"/>
                      <w:sz w:val="21"/>
                      <w:szCs w:val="21"/>
                    </w:rPr>
                  </w:pPr>
                </w:p>
              </w:tc>
              <w:tc>
                <w:tcPr>
                  <w:tcW w:w="1298" w:type="dxa"/>
                  <w:tcBorders>
                    <w:top w:val="single" w:sz="4" w:space="0" w:color="auto"/>
                    <w:left w:val="single" w:sz="4" w:space="0" w:color="auto"/>
                    <w:bottom w:val="single" w:sz="4" w:space="0" w:color="auto"/>
                    <w:right w:val="single" w:sz="4" w:space="0" w:color="auto"/>
                  </w:tcBorders>
                  <w:vAlign w:val="center"/>
                </w:tcPr>
                <w:p w14:paraId="38E4110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北侧</w:t>
                  </w:r>
                </w:p>
              </w:tc>
              <w:tc>
                <w:tcPr>
                  <w:tcW w:w="1589" w:type="dxa"/>
                  <w:tcBorders>
                    <w:top w:val="single" w:sz="4" w:space="0" w:color="auto"/>
                    <w:left w:val="single" w:sz="4" w:space="0" w:color="auto"/>
                    <w:bottom w:val="single" w:sz="4" w:space="0" w:color="auto"/>
                    <w:right w:val="single" w:sz="12" w:space="0" w:color="auto"/>
                  </w:tcBorders>
                  <w:vAlign w:val="center"/>
                </w:tcPr>
                <w:p w14:paraId="206D523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32m</w:t>
                  </w:r>
                </w:p>
              </w:tc>
            </w:tr>
          </w:tbl>
          <w:p w14:paraId="6F98C4B0" w14:textId="77777777" w:rsidR="003C4F46" w:rsidRDefault="004B6A81">
            <w:pPr>
              <w:keepNext/>
              <w:keepLines/>
              <w:adjustRightInd w:val="0"/>
              <w:snapToGrid w:val="0"/>
              <w:spacing w:line="240" w:lineRule="auto"/>
              <w:ind w:firstLine="422"/>
              <w:jc w:val="center"/>
              <w:textAlignment w:val="auto"/>
              <w:outlineLvl w:val="3"/>
              <w:rPr>
                <w:rFonts w:cs="Times New Roman"/>
                <w:b/>
                <w:color w:val="000000"/>
                <w:sz w:val="21"/>
                <w:szCs w:val="21"/>
              </w:rPr>
            </w:pPr>
            <w:r>
              <w:rPr>
                <w:rFonts w:cs="Times New Roman" w:hint="eastAsia"/>
                <w:b/>
                <w:color w:val="000000"/>
                <w:sz w:val="21"/>
                <w:szCs w:val="21"/>
              </w:rPr>
              <w:t>表</w:t>
            </w:r>
            <w:r>
              <w:rPr>
                <w:rFonts w:cs="Times New Roman"/>
                <w:b/>
                <w:color w:val="000000"/>
                <w:sz w:val="21"/>
                <w:szCs w:val="21"/>
              </w:rPr>
              <w:t>3-</w:t>
            </w:r>
            <w:r>
              <w:rPr>
                <w:rFonts w:cs="Times New Roman" w:hint="eastAsia"/>
                <w:b/>
                <w:color w:val="000000"/>
                <w:sz w:val="21"/>
                <w:szCs w:val="21"/>
              </w:rPr>
              <w:t>2</w:t>
            </w:r>
            <w:r>
              <w:rPr>
                <w:rFonts w:cs="Times New Roman"/>
                <w:b/>
                <w:color w:val="000000"/>
                <w:sz w:val="21"/>
                <w:szCs w:val="21"/>
              </w:rPr>
              <w:t xml:space="preserve">  </w:t>
            </w:r>
            <w:r>
              <w:rPr>
                <w:rFonts w:cs="Times New Roman" w:hint="eastAsia"/>
                <w:b/>
                <w:color w:val="000000"/>
                <w:sz w:val="21"/>
                <w:szCs w:val="21"/>
              </w:rPr>
              <w:t>引用地下水监测点位与本项目罐区位置关系一览表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3"/>
              <w:gridCol w:w="2189"/>
              <w:gridCol w:w="1547"/>
              <w:gridCol w:w="2267"/>
              <w:gridCol w:w="1589"/>
            </w:tblGrid>
            <w:tr w:rsidR="003C4F46" w14:paraId="00B5FED6" w14:textId="77777777">
              <w:trPr>
                <w:trHeight w:val="327"/>
                <w:jc w:val="center"/>
              </w:trPr>
              <w:tc>
                <w:tcPr>
                  <w:tcW w:w="543" w:type="dxa"/>
                  <w:vMerge w:val="restart"/>
                  <w:tcBorders>
                    <w:top w:val="single" w:sz="12" w:space="0" w:color="auto"/>
                    <w:left w:val="single" w:sz="12" w:space="0" w:color="auto"/>
                    <w:bottom w:val="single" w:sz="4" w:space="0" w:color="auto"/>
                    <w:right w:val="single" w:sz="4" w:space="0" w:color="auto"/>
                  </w:tcBorders>
                  <w:vAlign w:val="center"/>
                </w:tcPr>
                <w:p w14:paraId="52BE81C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序号</w:t>
                  </w:r>
                </w:p>
              </w:tc>
              <w:tc>
                <w:tcPr>
                  <w:tcW w:w="2189" w:type="dxa"/>
                  <w:vMerge w:val="restart"/>
                  <w:tcBorders>
                    <w:top w:val="single" w:sz="12" w:space="0" w:color="auto"/>
                    <w:left w:val="single" w:sz="4" w:space="0" w:color="auto"/>
                    <w:bottom w:val="single" w:sz="4" w:space="0" w:color="auto"/>
                    <w:right w:val="single" w:sz="4" w:space="0" w:color="auto"/>
                  </w:tcBorders>
                  <w:vAlign w:val="center"/>
                </w:tcPr>
                <w:p w14:paraId="7185BA9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监测点位</w:t>
                  </w:r>
                </w:p>
              </w:tc>
              <w:tc>
                <w:tcPr>
                  <w:tcW w:w="1547" w:type="dxa"/>
                  <w:vMerge w:val="restart"/>
                  <w:tcBorders>
                    <w:top w:val="single" w:sz="12" w:space="0" w:color="auto"/>
                    <w:left w:val="single" w:sz="4" w:space="0" w:color="auto"/>
                    <w:bottom w:val="single" w:sz="4" w:space="0" w:color="auto"/>
                    <w:right w:val="single" w:sz="4" w:space="0" w:color="auto"/>
                  </w:tcBorders>
                  <w:vAlign w:val="center"/>
                </w:tcPr>
                <w:p w14:paraId="3253D9A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地下水流向关系</w:t>
                  </w:r>
                </w:p>
              </w:tc>
              <w:tc>
                <w:tcPr>
                  <w:tcW w:w="3856" w:type="dxa"/>
                  <w:gridSpan w:val="2"/>
                  <w:tcBorders>
                    <w:top w:val="single" w:sz="12" w:space="0" w:color="auto"/>
                    <w:left w:val="single" w:sz="4" w:space="0" w:color="auto"/>
                    <w:bottom w:val="single" w:sz="4" w:space="0" w:color="auto"/>
                    <w:right w:val="single" w:sz="12" w:space="0" w:color="auto"/>
                  </w:tcBorders>
                  <w:vAlign w:val="center"/>
                </w:tcPr>
                <w:p w14:paraId="55D2528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与本项目</w:t>
                  </w:r>
                  <w:r>
                    <w:rPr>
                      <w:rFonts w:cs="Times New Roman" w:hint="eastAsia"/>
                      <w:bCs/>
                      <w:sz w:val="21"/>
                      <w:szCs w:val="21"/>
                    </w:rPr>
                    <w:t>罐区</w:t>
                  </w:r>
                  <w:r>
                    <w:rPr>
                      <w:rFonts w:cs="Times New Roman"/>
                      <w:bCs/>
                      <w:sz w:val="21"/>
                      <w:szCs w:val="21"/>
                    </w:rPr>
                    <w:t>位置关系</w:t>
                  </w:r>
                </w:p>
              </w:tc>
            </w:tr>
            <w:tr w:rsidR="003C4F46" w14:paraId="371DCCDD" w14:textId="77777777">
              <w:trPr>
                <w:trHeight w:val="79"/>
                <w:jc w:val="center"/>
              </w:trPr>
              <w:tc>
                <w:tcPr>
                  <w:tcW w:w="543" w:type="dxa"/>
                  <w:vMerge/>
                  <w:tcBorders>
                    <w:top w:val="single" w:sz="12" w:space="0" w:color="auto"/>
                    <w:left w:val="single" w:sz="12" w:space="0" w:color="auto"/>
                    <w:bottom w:val="single" w:sz="4" w:space="0" w:color="auto"/>
                    <w:right w:val="single" w:sz="4" w:space="0" w:color="auto"/>
                  </w:tcBorders>
                  <w:vAlign w:val="center"/>
                </w:tcPr>
                <w:p w14:paraId="60FE04C6"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2189" w:type="dxa"/>
                  <w:vMerge/>
                  <w:tcBorders>
                    <w:top w:val="single" w:sz="12" w:space="0" w:color="auto"/>
                    <w:left w:val="single" w:sz="4" w:space="0" w:color="auto"/>
                    <w:bottom w:val="single" w:sz="4" w:space="0" w:color="auto"/>
                    <w:right w:val="single" w:sz="4" w:space="0" w:color="auto"/>
                  </w:tcBorders>
                  <w:vAlign w:val="center"/>
                </w:tcPr>
                <w:p w14:paraId="0C0A0024"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1547" w:type="dxa"/>
                  <w:vMerge/>
                  <w:tcBorders>
                    <w:top w:val="single" w:sz="12" w:space="0" w:color="auto"/>
                    <w:left w:val="single" w:sz="4" w:space="0" w:color="auto"/>
                    <w:bottom w:val="single" w:sz="4" w:space="0" w:color="auto"/>
                    <w:right w:val="single" w:sz="4" w:space="0" w:color="auto"/>
                  </w:tcBorders>
                  <w:vAlign w:val="center"/>
                </w:tcPr>
                <w:p w14:paraId="76B42CB5"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2267" w:type="dxa"/>
                  <w:tcBorders>
                    <w:top w:val="single" w:sz="4" w:space="0" w:color="auto"/>
                    <w:left w:val="single" w:sz="4" w:space="0" w:color="auto"/>
                    <w:bottom w:val="single" w:sz="4" w:space="0" w:color="auto"/>
                    <w:right w:val="single" w:sz="4" w:space="0" w:color="auto"/>
                  </w:tcBorders>
                  <w:vAlign w:val="center"/>
                </w:tcPr>
                <w:p w14:paraId="79240E77" w14:textId="77777777" w:rsidR="003C4F46" w:rsidRDefault="004B6A81">
                  <w:pPr>
                    <w:pStyle w:val="afffd"/>
                    <w:adjustRightInd w:val="0"/>
                    <w:snapToGrid w:val="0"/>
                    <w:spacing w:line="240" w:lineRule="auto"/>
                    <w:ind w:firstLineChars="0" w:firstLine="0"/>
                    <w:outlineLvl w:val="3"/>
                    <w:rPr>
                      <w:rFonts w:cs="Times New Roman"/>
                      <w:bCs/>
                      <w:kern w:val="2"/>
                      <w:sz w:val="21"/>
                      <w:szCs w:val="21"/>
                    </w:rPr>
                  </w:pPr>
                  <w:r>
                    <w:rPr>
                      <w:rFonts w:cs="Times New Roman"/>
                      <w:bCs/>
                      <w:kern w:val="2"/>
                      <w:sz w:val="21"/>
                      <w:szCs w:val="21"/>
                    </w:rPr>
                    <w:t>方向</w:t>
                  </w:r>
                </w:p>
              </w:tc>
              <w:tc>
                <w:tcPr>
                  <w:tcW w:w="1589" w:type="dxa"/>
                  <w:tcBorders>
                    <w:top w:val="single" w:sz="4" w:space="0" w:color="auto"/>
                    <w:left w:val="single" w:sz="4" w:space="0" w:color="auto"/>
                    <w:bottom w:val="single" w:sz="4" w:space="0" w:color="auto"/>
                    <w:right w:val="single" w:sz="12" w:space="0" w:color="auto"/>
                  </w:tcBorders>
                  <w:vAlign w:val="center"/>
                </w:tcPr>
                <w:p w14:paraId="774BEF07" w14:textId="77777777" w:rsidR="003C4F46" w:rsidRDefault="004B6A81">
                  <w:pPr>
                    <w:pStyle w:val="afffd"/>
                    <w:adjustRightInd w:val="0"/>
                    <w:snapToGrid w:val="0"/>
                    <w:spacing w:line="240" w:lineRule="auto"/>
                    <w:ind w:firstLineChars="0" w:firstLine="0"/>
                    <w:outlineLvl w:val="3"/>
                    <w:rPr>
                      <w:rFonts w:cs="Times New Roman"/>
                      <w:bCs/>
                      <w:kern w:val="2"/>
                      <w:sz w:val="21"/>
                      <w:szCs w:val="21"/>
                    </w:rPr>
                  </w:pPr>
                  <w:r>
                    <w:rPr>
                      <w:rFonts w:cs="Times New Roman"/>
                      <w:bCs/>
                      <w:kern w:val="2"/>
                      <w:sz w:val="21"/>
                      <w:szCs w:val="21"/>
                    </w:rPr>
                    <w:t>距离</w:t>
                  </w:r>
                </w:p>
              </w:tc>
            </w:tr>
            <w:tr w:rsidR="003C4F46" w14:paraId="65BD2DE1"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0D4914B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p>
              </w:tc>
              <w:tc>
                <w:tcPr>
                  <w:tcW w:w="2189" w:type="dxa"/>
                  <w:tcBorders>
                    <w:top w:val="single" w:sz="4" w:space="0" w:color="auto"/>
                    <w:left w:val="single" w:sz="4" w:space="0" w:color="auto"/>
                    <w:bottom w:val="single" w:sz="4" w:space="0" w:color="auto"/>
                    <w:right w:val="single" w:sz="4" w:space="0" w:color="auto"/>
                  </w:tcBorders>
                  <w:vAlign w:val="center"/>
                </w:tcPr>
                <w:p w14:paraId="47ACE04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hint="eastAsia"/>
                      <w:color w:val="000000"/>
                      <w:sz w:val="21"/>
                      <w:szCs w:val="21"/>
                    </w:rPr>
                    <w:t>东侧正源化工水井</w:t>
                  </w:r>
                </w:p>
              </w:tc>
              <w:tc>
                <w:tcPr>
                  <w:tcW w:w="1547" w:type="dxa"/>
                  <w:tcBorders>
                    <w:top w:val="single" w:sz="4" w:space="0" w:color="auto"/>
                    <w:left w:val="single" w:sz="4" w:space="0" w:color="auto"/>
                    <w:bottom w:val="single" w:sz="4" w:space="0" w:color="auto"/>
                    <w:right w:val="single" w:sz="4" w:space="0" w:color="auto"/>
                  </w:tcBorders>
                  <w:vAlign w:val="center"/>
                </w:tcPr>
                <w:p w14:paraId="4E244920" w14:textId="77777777" w:rsidR="003C4F46" w:rsidRDefault="004B6A81">
                  <w:pPr>
                    <w:spacing w:line="240" w:lineRule="auto"/>
                    <w:ind w:firstLineChars="0" w:firstLine="0"/>
                    <w:jc w:val="center"/>
                    <w:rPr>
                      <w:rFonts w:cs="Times New Roman"/>
                      <w:color w:val="000000"/>
                      <w:sz w:val="21"/>
                      <w:szCs w:val="21"/>
                    </w:rPr>
                  </w:pPr>
                  <w:r>
                    <w:rPr>
                      <w:rFonts w:cs="Times New Roman" w:hint="eastAsia"/>
                      <w:color w:val="000000"/>
                      <w:sz w:val="21"/>
                      <w:szCs w:val="21"/>
                    </w:rPr>
                    <w:t>侧向</w:t>
                  </w:r>
                </w:p>
              </w:tc>
              <w:tc>
                <w:tcPr>
                  <w:tcW w:w="2267" w:type="dxa"/>
                  <w:tcBorders>
                    <w:top w:val="single" w:sz="4" w:space="0" w:color="auto"/>
                    <w:left w:val="single" w:sz="4" w:space="0" w:color="auto"/>
                    <w:bottom w:val="single" w:sz="4" w:space="0" w:color="auto"/>
                    <w:right w:val="single" w:sz="4" w:space="0" w:color="auto"/>
                  </w:tcBorders>
                  <w:vAlign w:val="center"/>
                </w:tcPr>
                <w:p w14:paraId="611621D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东侧</w:t>
                  </w:r>
                </w:p>
              </w:tc>
              <w:tc>
                <w:tcPr>
                  <w:tcW w:w="1589" w:type="dxa"/>
                  <w:tcBorders>
                    <w:top w:val="single" w:sz="4" w:space="0" w:color="auto"/>
                    <w:left w:val="single" w:sz="4" w:space="0" w:color="auto"/>
                    <w:bottom w:val="single" w:sz="4" w:space="0" w:color="auto"/>
                    <w:right w:val="single" w:sz="12" w:space="0" w:color="auto"/>
                  </w:tcBorders>
                  <w:vAlign w:val="center"/>
                </w:tcPr>
                <w:p w14:paraId="291D57C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2.6</w:t>
                  </w:r>
                  <w:r>
                    <w:rPr>
                      <w:rFonts w:cs="Times New Roman"/>
                      <w:bCs/>
                      <w:sz w:val="21"/>
                      <w:szCs w:val="21"/>
                    </w:rPr>
                    <w:t>km</w:t>
                  </w:r>
                </w:p>
              </w:tc>
            </w:tr>
            <w:tr w:rsidR="003C4F46" w14:paraId="6B73A683"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2596009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p>
              </w:tc>
              <w:tc>
                <w:tcPr>
                  <w:tcW w:w="2189" w:type="dxa"/>
                  <w:tcBorders>
                    <w:top w:val="single" w:sz="4" w:space="0" w:color="auto"/>
                    <w:left w:val="single" w:sz="4" w:space="0" w:color="auto"/>
                    <w:bottom w:val="single" w:sz="4" w:space="0" w:color="auto"/>
                    <w:right w:val="single" w:sz="4" w:space="0" w:color="auto"/>
                  </w:tcBorders>
                  <w:vAlign w:val="center"/>
                </w:tcPr>
                <w:p w14:paraId="06A21B6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hint="eastAsia"/>
                      <w:color w:val="000000"/>
                      <w:sz w:val="21"/>
                      <w:szCs w:val="21"/>
                    </w:rPr>
                    <w:t>西侧塔星水井</w:t>
                  </w:r>
                </w:p>
              </w:tc>
              <w:tc>
                <w:tcPr>
                  <w:tcW w:w="1547" w:type="dxa"/>
                  <w:tcBorders>
                    <w:top w:val="single" w:sz="4" w:space="0" w:color="auto"/>
                    <w:left w:val="single" w:sz="4" w:space="0" w:color="auto"/>
                    <w:bottom w:val="single" w:sz="4" w:space="0" w:color="auto"/>
                    <w:right w:val="single" w:sz="4" w:space="0" w:color="auto"/>
                  </w:tcBorders>
                  <w:vAlign w:val="center"/>
                </w:tcPr>
                <w:p w14:paraId="14029AEF" w14:textId="77777777" w:rsidR="003C4F46" w:rsidRDefault="004B6A81">
                  <w:pPr>
                    <w:spacing w:line="240" w:lineRule="auto"/>
                    <w:ind w:firstLineChars="0" w:firstLine="0"/>
                    <w:jc w:val="center"/>
                    <w:rPr>
                      <w:rFonts w:cs="Times New Roman"/>
                      <w:color w:val="000000"/>
                      <w:sz w:val="21"/>
                      <w:szCs w:val="21"/>
                    </w:rPr>
                  </w:pPr>
                  <w:r>
                    <w:rPr>
                      <w:rFonts w:cs="Times New Roman" w:hint="eastAsia"/>
                      <w:color w:val="000000"/>
                      <w:sz w:val="21"/>
                      <w:szCs w:val="21"/>
                    </w:rPr>
                    <w:t>侧向</w:t>
                  </w:r>
                </w:p>
              </w:tc>
              <w:tc>
                <w:tcPr>
                  <w:tcW w:w="2267" w:type="dxa"/>
                  <w:tcBorders>
                    <w:top w:val="single" w:sz="4" w:space="0" w:color="auto"/>
                    <w:left w:val="single" w:sz="4" w:space="0" w:color="auto"/>
                    <w:bottom w:val="single" w:sz="4" w:space="0" w:color="auto"/>
                    <w:right w:val="single" w:sz="4" w:space="0" w:color="auto"/>
                  </w:tcBorders>
                  <w:vAlign w:val="center"/>
                </w:tcPr>
                <w:p w14:paraId="42FE8C1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西侧</w:t>
                  </w:r>
                </w:p>
              </w:tc>
              <w:tc>
                <w:tcPr>
                  <w:tcW w:w="1589" w:type="dxa"/>
                  <w:tcBorders>
                    <w:top w:val="single" w:sz="4" w:space="0" w:color="auto"/>
                    <w:left w:val="single" w:sz="4" w:space="0" w:color="auto"/>
                    <w:bottom w:val="single" w:sz="4" w:space="0" w:color="auto"/>
                    <w:right w:val="single" w:sz="12" w:space="0" w:color="auto"/>
                  </w:tcBorders>
                  <w:vAlign w:val="center"/>
                </w:tcPr>
                <w:p w14:paraId="3A51B40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1.6k</w:t>
                  </w:r>
                  <w:r>
                    <w:rPr>
                      <w:rFonts w:cs="Times New Roman"/>
                      <w:bCs/>
                      <w:sz w:val="21"/>
                      <w:szCs w:val="21"/>
                    </w:rPr>
                    <w:t>m</w:t>
                  </w:r>
                </w:p>
              </w:tc>
            </w:tr>
            <w:tr w:rsidR="003C4F46" w14:paraId="6FE33162"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4EC7DE1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p>
              </w:tc>
              <w:tc>
                <w:tcPr>
                  <w:tcW w:w="2189" w:type="dxa"/>
                  <w:tcBorders>
                    <w:top w:val="single" w:sz="4" w:space="0" w:color="auto"/>
                    <w:left w:val="single" w:sz="4" w:space="0" w:color="auto"/>
                    <w:bottom w:val="single" w:sz="4" w:space="0" w:color="auto"/>
                    <w:right w:val="single" w:sz="4" w:space="0" w:color="auto"/>
                  </w:tcBorders>
                  <w:vAlign w:val="center"/>
                </w:tcPr>
                <w:p w14:paraId="64A0AF0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hint="eastAsia"/>
                      <w:color w:val="000000"/>
                      <w:sz w:val="21"/>
                      <w:szCs w:val="21"/>
                    </w:rPr>
                    <w:t>下游凯涟捷石化水井</w:t>
                  </w:r>
                </w:p>
              </w:tc>
              <w:tc>
                <w:tcPr>
                  <w:tcW w:w="1547" w:type="dxa"/>
                  <w:tcBorders>
                    <w:top w:val="single" w:sz="4" w:space="0" w:color="auto"/>
                    <w:left w:val="single" w:sz="4" w:space="0" w:color="auto"/>
                    <w:bottom w:val="single" w:sz="4" w:space="0" w:color="auto"/>
                    <w:right w:val="single" w:sz="4" w:space="0" w:color="auto"/>
                  </w:tcBorders>
                  <w:vAlign w:val="center"/>
                </w:tcPr>
                <w:p w14:paraId="0366F3F0" w14:textId="77777777" w:rsidR="003C4F46" w:rsidRDefault="004B6A81">
                  <w:pPr>
                    <w:spacing w:line="240" w:lineRule="auto"/>
                    <w:ind w:firstLineChars="0" w:firstLine="0"/>
                    <w:jc w:val="center"/>
                    <w:rPr>
                      <w:rFonts w:cs="Times New Roman"/>
                      <w:color w:val="000000"/>
                      <w:sz w:val="21"/>
                      <w:szCs w:val="21"/>
                    </w:rPr>
                  </w:pPr>
                  <w:r>
                    <w:rPr>
                      <w:rFonts w:cs="Times New Roman" w:hint="eastAsia"/>
                      <w:color w:val="000000"/>
                      <w:sz w:val="21"/>
                      <w:szCs w:val="21"/>
                    </w:rPr>
                    <w:t>下游</w:t>
                  </w:r>
                </w:p>
              </w:tc>
              <w:tc>
                <w:tcPr>
                  <w:tcW w:w="2267" w:type="dxa"/>
                  <w:tcBorders>
                    <w:top w:val="single" w:sz="4" w:space="0" w:color="auto"/>
                    <w:left w:val="single" w:sz="4" w:space="0" w:color="auto"/>
                    <w:bottom w:val="single" w:sz="4" w:space="0" w:color="auto"/>
                    <w:right w:val="single" w:sz="4" w:space="0" w:color="auto"/>
                  </w:tcBorders>
                  <w:vAlign w:val="center"/>
                </w:tcPr>
                <w:p w14:paraId="1FA8FC9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南侧</w:t>
                  </w:r>
                </w:p>
              </w:tc>
              <w:tc>
                <w:tcPr>
                  <w:tcW w:w="1589" w:type="dxa"/>
                  <w:tcBorders>
                    <w:top w:val="single" w:sz="4" w:space="0" w:color="auto"/>
                    <w:left w:val="single" w:sz="4" w:space="0" w:color="auto"/>
                    <w:bottom w:val="single" w:sz="4" w:space="0" w:color="auto"/>
                    <w:right w:val="single" w:sz="12" w:space="0" w:color="auto"/>
                  </w:tcBorders>
                  <w:vAlign w:val="center"/>
                </w:tcPr>
                <w:p w14:paraId="30EF858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303</w:t>
                  </w:r>
                  <w:r>
                    <w:rPr>
                      <w:rFonts w:cs="Times New Roman"/>
                      <w:bCs/>
                      <w:sz w:val="21"/>
                      <w:szCs w:val="21"/>
                    </w:rPr>
                    <w:t>m</w:t>
                  </w:r>
                </w:p>
              </w:tc>
            </w:tr>
            <w:tr w:rsidR="003C4F46" w14:paraId="72DAFD80" w14:textId="77777777">
              <w:trPr>
                <w:trHeight w:val="129"/>
                <w:jc w:val="center"/>
              </w:trPr>
              <w:tc>
                <w:tcPr>
                  <w:tcW w:w="543" w:type="dxa"/>
                  <w:tcBorders>
                    <w:top w:val="single" w:sz="4" w:space="0" w:color="auto"/>
                    <w:left w:val="single" w:sz="12" w:space="0" w:color="auto"/>
                    <w:bottom w:val="single" w:sz="4" w:space="0" w:color="auto"/>
                    <w:right w:val="single" w:sz="4" w:space="0" w:color="auto"/>
                  </w:tcBorders>
                  <w:vAlign w:val="center"/>
                </w:tcPr>
                <w:p w14:paraId="79EA818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4</w:t>
                  </w:r>
                </w:p>
              </w:tc>
              <w:tc>
                <w:tcPr>
                  <w:tcW w:w="2189" w:type="dxa"/>
                  <w:tcBorders>
                    <w:top w:val="single" w:sz="4" w:space="0" w:color="auto"/>
                    <w:left w:val="single" w:sz="4" w:space="0" w:color="auto"/>
                    <w:bottom w:val="single" w:sz="4" w:space="0" w:color="auto"/>
                    <w:right w:val="single" w:sz="4" w:space="0" w:color="auto"/>
                  </w:tcBorders>
                  <w:vAlign w:val="center"/>
                </w:tcPr>
                <w:p w14:paraId="3477D483" w14:textId="77777777" w:rsidR="003C4F46" w:rsidRDefault="004B6A81">
                  <w:pPr>
                    <w:adjustRightInd w:val="0"/>
                    <w:snapToGrid w:val="0"/>
                    <w:spacing w:line="240" w:lineRule="auto"/>
                    <w:ind w:firstLineChars="0" w:firstLine="0"/>
                    <w:jc w:val="center"/>
                    <w:outlineLvl w:val="3"/>
                    <w:rPr>
                      <w:color w:val="000000"/>
                      <w:sz w:val="21"/>
                      <w:szCs w:val="21"/>
                    </w:rPr>
                  </w:pPr>
                  <w:r>
                    <w:rPr>
                      <w:rFonts w:hint="eastAsia"/>
                      <w:color w:val="000000"/>
                      <w:sz w:val="21"/>
                      <w:szCs w:val="21"/>
                    </w:rPr>
                    <w:t>塔中石油化工水井</w:t>
                  </w:r>
                </w:p>
              </w:tc>
              <w:tc>
                <w:tcPr>
                  <w:tcW w:w="1547" w:type="dxa"/>
                  <w:tcBorders>
                    <w:top w:val="single" w:sz="4" w:space="0" w:color="auto"/>
                    <w:left w:val="single" w:sz="4" w:space="0" w:color="auto"/>
                    <w:bottom w:val="single" w:sz="4" w:space="0" w:color="auto"/>
                    <w:right w:val="single" w:sz="4" w:space="0" w:color="auto"/>
                  </w:tcBorders>
                  <w:vAlign w:val="center"/>
                </w:tcPr>
                <w:p w14:paraId="74206F8B" w14:textId="77777777" w:rsidR="003C4F46" w:rsidRDefault="004B6A81">
                  <w:pPr>
                    <w:spacing w:line="240" w:lineRule="auto"/>
                    <w:ind w:firstLineChars="0" w:firstLine="0"/>
                    <w:jc w:val="center"/>
                    <w:rPr>
                      <w:rFonts w:ascii="Times New Roman PS MT" w:hAnsi="Times New Roman PS MT" w:hint="eastAsia"/>
                      <w:color w:val="000000"/>
                      <w:sz w:val="21"/>
                      <w:szCs w:val="21"/>
                    </w:rPr>
                  </w:pPr>
                  <w:r>
                    <w:rPr>
                      <w:rFonts w:ascii="Times New Roman PS MT" w:hAnsi="Times New Roman PS MT" w:hint="eastAsia"/>
                      <w:color w:val="000000"/>
                      <w:sz w:val="21"/>
                      <w:szCs w:val="21"/>
                    </w:rPr>
                    <w:t>上游</w:t>
                  </w:r>
                </w:p>
              </w:tc>
              <w:tc>
                <w:tcPr>
                  <w:tcW w:w="2267" w:type="dxa"/>
                  <w:tcBorders>
                    <w:top w:val="single" w:sz="4" w:space="0" w:color="auto"/>
                    <w:left w:val="single" w:sz="4" w:space="0" w:color="auto"/>
                    <w:bottom w:val="single" w:sz="4" w:space="0" w:color="auto"/>
                    <w:right w:val="single" w:sz="4" w:space="0" w:color="auto"/>
                  </w:tcBorders>
                  <w:vAlign w:val="center"/>
                </w:tcPr>
                <w:p w14:paraId="1B640C0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北侧</w:t>
                  </w:r>
                </w:p>
              </w:tc>
              <w:tc>
                <w:tcPr>
                  <w:tcW w:w="1589" w:type="dxa"/>
                  <w:tcBorders>
                    <w:top w:val="single" w:sz="4" w:space="0" w:color="auto"/>
                    <w:left w:val="single" w:sz="4" w:space="0" w:color="auto"/>
                    <w:bottom w:val="single" w:sz="4" w:space="0" w:color="auto"/>
                    <w:right w:val="single" w:sz="12" w:space="0" w:color="auto"/>
                  </w:tcBorders>
                  <w:vAlign w:val="center"/>
                </w:tcPr>
                <w:p w14:paraId="682F1F9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60.19</w:t>
                  </w:r>
                  <w:r>
                    <w:rPr>
                      <w:rFonts w:cs="Times New Roman"/>
                      <w:bCs/>
                      <w:sz w:val="21"/>
                      <w:szCs w:val="21"/>
                    </w:rPr>
                    <w:t>m</w:t>
                  </w:r>
                </w:p>
              </w:tc>
            </w:tr>
          </w:tbl>
          <w:p w14:paraId="563C130E" w14:textId="77777777" w:rsidR="003C4F46" w:rsidRDefault="004B6A81">
            <w:pPr>
              <w:ind w:firstLine="480"/>
              <w:rPr>
                <w:color w:val="000000"/>
              </w:rPr>
            </w:pPr>
            <w:r>
              <w:rPr>
                <w:rFonts w:hint="eastAsia"/>
                <w:color w:val="000000"/>
              </w:rPr>
              <w:t>根据《环境影响评价技术导则</w:t>
            </w:r>
            <w:r>
              <w:rPr>
                <w:rFonts w:hint="eastAsia"/>
                <w:color w:val="000000"/>
              </w:rPr>
              <w:t xml:space="preserve"> </w:t>
            </w:r>
            <w:r>
              <w:rPr>
                <w:rFonts w:hint="eastAsia"/>
                <w:color w:val="000000"/>
              </w:rPr>
              <w:t>地下水环境》（</w:t>
            </w:r>
            <w:r>
              <w:rPr>
                <w:rFonts w:hint="eastAsia"/>
                <w:color w:val="000000"/>
              </w:rPr>
              <w:t>HJ610-2016</w:t>
            </w:r>
            <w:r>
              <w:rPr>
                <w:rFonts w:hint="eastAsia"/>
                <w:color w:val="000000"/>
              </w:rPr>
              <w:t>）附录</w:t>
            </w:r>
            <w:r>
              <w:rPr>
                <w:rFonts w:hint="eastAsia"/>
                <w:color w:val="000000"/>
              </w:rPr>
              <w:t>A</w:t>
            </w:r>
            <w:r>
              <w:rPr>
                <w:rFonts w:hint="eastAsia"/>
                <w:color w:val="000000"/>
              </w:rPr>
              <w:t>，本项目无直接对应类别。考虑到本项目为危险废物收集、贮存项目（报告表），仅涉及危险废物的临时中转贮存，不涉及加工、利用或处置，对地下水影响程度相对较低，参照附录</w:t>
            </w:r>
            <w:r>
              <w:rPr>
                <w:rFonts w:hint="eastAsia"/>
                <w:color w:val="000000"/>
              </w:rPr>
              <w:t>A</w:t>
            </w:r>
            <w:r>
              <w:rPr>
                <w:rFonts w:hint="eastAsia"/>
                <w:color w:val="000000"/>
              </w:rPr>
              <w:t>中“</w:t>
            </w:r>
            <w:r>
              <w:rPr>
                <w:rFonts w:hint="eastAsia"/>
                <w:color w:val="000000"/>
              </w:rPr>
              <w:t>154</w:t>
            </w:r>
            <w:r>
              <w:rPr>
                <w:rFonts w:hint="eastAsia"/>
                <w:color w:val="000000"/>
              </w:rPr>
              <w:t>、仓储（不含油库、气库、煤炭储存）”中报告表项目类别，确定本项目地下水环境影响评价项目类别为</w:t>
            </w:r>
            <w:r>
              <w:rPr>
                <w:rFonts w:hint="eastAsia"/>
                <w:color w:val="000000"/>
              </w:rPr>
              <w:t>III</w:t>
            </w:r>
            <w:r>
              <w:rPr>
                <w:rFonts w:hint="eastAsia"/>
                <w:color w:val="000000"/>
              </w:rPr>
              <w:t>类。项目所在区域地下水环境敏感程度为不敏感，评价工作等级为三级。</w:t>
            </w:r>
          </w:p>
          <w:p w14:paraId="59B3EE28" w14:textId="77777777" w:rsidR="003C4F46" w:rsidRDefault="004B6A81">
            <w:pPr>
              <w:ind w:firstLine="480"/>
              <w:rPr>
                <w:color w:val="000000"/>
              </w:rPr>
            </w:pPr>
            <w:r>
              <w:rPr>
                <w:rFonts w:hint="eastAsia"/>
                <w:color w:val="000000"/>
              </w:rPr>
              <w:t>本次评价引用</w:t>
            </w:r>
            <w:r>
              <w:rPr>
                <w:rFonts w:hint="eastAsia"/>
                <w:color w:val="000000"/>
              </w:rPr>
              <w:t>4</w:t>
            </w:r>
            <w:r>
              <w:rPr>
                <w:rFonts w:hint="eastAsia"/>
                <w:color w:val="000000"/>
              </w:rPr>
              <w:t>个地下水监测点（上游</w:t>
            </w:r>
            <w:r>
              <w:rPr>
                <w:rFonts w:hint="eastAsia"/>
                <w:color w:val="000000"/>
              </w:rPr>
              <w:t>1</w:t>
            </w:r>
            <w:r>
              <w:rPr>
                <w:rFonts w:hint="eastAsia"/>
                <w:color w:val="000000"/>
              </w:rPr>
              <w:t>个、下游</w:t>
            </w:r>
            <w:r>
              <w:rPr>
                <w:rFonts w:hint="eastAsia"/>
                <w:color w:val="000000"/>
              </w:rPr>
              <w:t>1</w:t>
            </w:r>
            <w:r>
              <w:rPr>
                <w:rFonts w:hint="eastAsia"/>
                <w:color w:val="000000"/>
              </w:rPr>
              <w:t>个、侧向</w:t>
            </w:r>
            <w:r>
              <w:rPr>
                <w:rFonts w:hint="eastAsia"/>
                <w:color w:val="000000"/>
              </w:rPr>
              <w:t>2</w:t>
            </w:r>
            <w:r>
              <w:rPr>
                <w:rFonts w:hint="eastAsia"/>
                <w:color w:val="000000"/>
              </w:rPr>
              <w:t>个），满足三级评价不少于</w:t>
            </w:r>
            <w:r>
              <w:rPr>
                <w:rFonts w:hint="eastAsia"/>
                <w:color w:val="000000"/>
              </w:rPr>
              <w:t>3</w:t>
            </w:r>
            <w:r>
              <w:rPr>
                <w:rFonts w:hint="eastAsia"/>
                <w:color w:val="000000"/>
              </w:rPr>
              <w:t>个点位的要求，可有效反映区域地下水环境现状；监测时间为</w:t>
            </w:r>
            <w:r>
              <w:rPr>
                <w:rFonts w:hint="eastAsia"/>
                <w:color w:val="000000"/>
              </w:rPr>
              <w:t>2026</w:t>
            </w:r>
            <w:r>
              <w:rPr>
                <w:rFonts w:hint="eastAsia"/>
                <w:color w:val="000000"/>
              </w:rPr>
              <w:t>年</w:t>
            </w:r>
            <w:r>
              <w:rPr>
                <w:rFonts w:hint="eastAsia"/>
                <w:color w:val="000000"/>
              </w:rPr>
              <w:t>6</w:t>
            </w:r>
            <w:r>
              <w:rPr>
                <w:rFonts w:hint="eastAsia"/>
                <w:color w:val="000000"/>
              </w:rPr>
              <w:t>月</w:t>
            </w:r>
            <w:r>
              <w:rPr>
                <w:rFonts w:hint="eastAsia"/>
                <w:color w:val="000000"/>
              </w:rPr>
              <w:t>14</w:t>
            </w:r>
            <w:r>
              <w:rPr>
                <w:rFonts w:hint="eastAsia"/>
                <w:color w:val="000000"/>
              </w:rPr>
              <w:t>日，数据时效性满足要求。</w:t>
            </w:r>
          </w:p>
          <w:p w14:paraId="66C447D9" w14:textId="77777777" w:rsidR="003C4F46" w:rsidRDefault="004B6A81">
            <w:pPr>
              <w:ind w:firstLine="480"/>
              <w:rPr>
                <w:color w:val="000000"/>
              </w:rPr>
            </w:pPr>
            <w:r>
              <w:rPr>
                <w:rFonts w:hint="eastAsia"/>
                <w:color w:val="000000"/>
              </w:rPr>
              <w:t>（</w:t>
            </w:r>
            <w:r>
              <w:rPr>
                <w:color w:val="000000"/>
              </w:rPr>
              <w:t>3</w:t>
            </w:r>
            <w:r>
              <w:rPr>
                <w:rFonts w:hint="eastAsia"/>
                <w:color w:val="000000"/>
              </w:rPr>
              <w:t>）</w:t>
            </w:r>
            <w:r>
              <w:rPr>
                <w:rFonts w:hint="eastAsia"/>
              </w:rPr>
              <w:t>监测项目</w:t>
            </w:r>
          </w:p>
          <w:p w14:paraId="13054F70" w14:textId="5485FF84" w:rsidR="003C4F46" w:rsidRDefault="004B6A81">
            <w:pPr>
              <w:ind w:firstLine="480"/>
            </w:pPr>
            <w:r>
              <w:rPr>
                <w:rFonts w:hint="eastAsia"/>
              </w:rPr>
              <w:t>根据《地下水环境监测技术规范》（</w:t>
            </w:r>
            <w:r>
              <w:rPr>
                <w:rFonts w:hint="eastAsia"/>
              </w:rPr>
              <w:t>HJ164-2020</w:t>
            </w:r>
            <w:r>
              <w:rPr>
                <w:rFonts w:hint="eastAsia"/>
              </w:rPr>
              <w:t>），结合《地下水质量标准》（</w:t>
            </w:r>
            <w:r>
              <w:t>GB/T14848-2017</w:t>
            </w:r>
            <w:r>
              <w:rPr>
                <w:rFonts w:hint="eastAsia"/>
              </w:rPr>
              <w:t>）和本地区的实际情况，确定监测项目为：</w:t>
            </w:r>
            <w:r>
              <w:rPr>
                <w:rFonts w:hint="eastAsia"/>
              </w:rPr>
              <w:t>pH</w:t>
            </w:r>
            <w:r>
              <w:rPr>
                <w:rFonts w:hint="eastAsia"/>
              </w:rPr>
              <w:t>值、阴离子表面活性剂、氨氮、挥发酚、氰化物、硫化物、溶解性总固体、总硬度、硫酸盐、铁、氯化物、锌、铜、锰、钠离子、总大肠菌群、亚硝酸盐、硝酸盐、</w:t>
            </w:r>
            <w:r>
              <w:rPr>
                <w:rFonts w:hint="eastAsia"/>
              </w:rPr>
              <w:lastRenderedPageBreak/>
              <w:t>氟化物、汞、镉、铅、六价铬、砷、</w:t>
            </w:r>
            <w:r w:rsidR="007258DB" w:rsidRPr="007258DB">
              <w:rPr>
                <w:rFonts w:hint="eastAsia"/>
              </w:rPr>
              <w:t>耗氧量</w:t>
            </w:r>
            <w:r>
              <w:rPr>
                <w:rFonts w:hint="eastAsia"/>
              </w:rPr>
              <w:t>、钾离子、钙离子、镁离子、碳酸氢根离子、碳酸盐、石油类。</w:t>
            </w:r>
          </w:p>
          <w:p w14:paraId="4DC53BFA" w14:textId="77777777" w:rsidR="003C4F46" w:rsidRDefault="004B6A81">
            <w:pPr>
              <w:ind w:firstLine="480"/>
            </w:pPr>
            <w:r>
              <w:rPr>
                <w:rFonts w:hint="eastAsia"/>
              </w:rPr>
              <w:t>（</w:t>
            </w:r>
            <w:r>
              <w:rPr>
                <w:rFonts w:hint="eastAsia"/>
              </w:rPr>
              <w:t>4</w:t>
            </w:r>
            <w:r>
              <w:rPr>
                <w:rFonts w:hint="eastAsia"/>
              </w:rPr>
              <w:t>）监测频次</w:t>
            </w:r>
          </w:p>
          <w:p w14:paraId="229AB9D1" w14:textId="77777777" w:rsidR="003C4F46" w:rsidRDefault="004B6A81">
            <w:pPr>
              <w:ind w:firstLine="480"/>
            </w:pPr>
            <w:r>
              <w:rPr>
                <w:rFonts w:hint="eastAsia"/>
              </w:rPr>
              <w:t>监测</w:t>
            </w:r>
            <w:r>
              <w:t>1</w:t>
            </w:r>
            <w:r>
              <w:rPr>
                <w:rFonts w:hint="eastAsia"/>
              </w:rPr>
              <w:t>天，一次取样。</w:t>
            </w:r>
          </w:p>
          <w:p w14:paraId="24D75228" w14:textId="77777777" w:rsidR="003C4F46" w:rsidRDefault="004B6A81">
            <w:pPr>
              <w:ind w:firstLine="480"/>
            </w:pPr>
            <w:r>
              <w:rPr>
                <w:rFonts w:hint="eastAsia"/>
              </w:rPr>
              <w:t>（</w:t>
            </w:r>
            <w:r>
              <w:t>5</w:t>
            </w:r>
            <w:r>
              <w:rPr>
                <w:rFonts w:hint="eastAsia"/>
              </w:rPr>
              <w:t>）评价方法</w:t>
            </w:r>
          </w:p>
          <w:p w14:paraId="73778A17" w14:textId="77777777" w:rsidR="003C4F46" w:rsidRDefault="004B6A81">
            <w:pPr>
              <w:ind w:firstLine="480"/>
            </w:pPr>
            <w:r>
              <w:rPr>
                <w:rFonts w:hint="eastAsia"/>
              </w:rPr>
              <w:t>水环境评价采用单因子标准指数法评价，公式如下：</w:t>
            </w:r>
          </w:p>
          <w:p w14:paraId="4BF99216" w14:textId="77777777" w:rsidR="003C4F46" w:rsidRDefault="004B6A81">
            <w:pPr>
              <w:ind w:firstLine="480"/>
              <w:jc w:val="center"/>
            </w:pPr>
            <w:r>
              <w:rPr>
                <w:rFonts w:hint="eastAsia"/>
              </w:rPr>
              <w:t>Pi</w:t>
            </w:r>
            <w:r>
              <w:rPr>
                <w:rFonts w:hint="eastAsia"/>
              </w:rPr>
              <w:t>＝</w:t>
            </w:r>
            <w:r>
              <w:rPr>
                <w:rFonts w:hint="eastAsia"/>
              </w:rPr>
              <w:t>Ci</w:t>
            </w:r>
            <w:r>
              <w:rPr>
                <w:rFonts w:hint="eastAsia"/>
              </w:rPr>
              <w:t>／</w:t>
            </w:r>
            <w:r>
              <w:rPr>
                <w:rFonts w:hint="eastAsia"/>
              </w:rPr>
              <w:t>C</w:t>
            </w:r>
            <w:r>
              <w:rPr>
                <w:rFonts w:hint="eastAsia"/>
                <w:vertAlign w:val="subscript"/>
              </w:rPr>
              <w:t>0i</w:t>
            </w:r>
          </w:p>
          <w:p w14:paraId="4066280A" w14:textId="77777777" w:rsidR="003C4F46" w:rsidRDefault="004B6A81">
            <w:pPr>
              <w:ind w:firstLine="480"/>
            </w:pPr>
            <w:r>
              <w:rPr>
                <w:rFonts w:hint="eastAsia"/>
              </w:rPr>
              <w:t>式中：</w:t>
            </w:r>
            <w:r>
              <w:rPr>
                <w:rFonts w:hint="eastAsia"/>
              </w:rPr>
              <w:t>Pi</w:t>
            </w:r>
            <w:r>
              <w:rPr>
                <w:rFonts w:hint="eastAsia"/>
              </w:rPr>
              <w:t>一某监测点</w:t>
            </w:r>
            <w:proofErr w:type="spellStart"/>
            <w:r>
              <w:rPr>
                <w:rFonts w:hint="eastAsia"/>
              </w:rPr>
              <w:t>i</w:t>
            </w:r>
            <w:proofErr w:type="spellEnd"/>
            <w:r>
              <w:rPr>
                <w:rFonts w:hint="eastAsia"/>
              </w:rPr>
              <w:t>污染物标准指数；</w:t>
            </w:r>
          </w:p>
          <w:p w14:paraId="2A1ADD81" w14:textId="77777777" w:rsidR="003C4F46" w:rsidRDefault="004B6A81">
            <w:pPr>
              <w:ind w:firstLine="480"/>
            </w:pPr>
            <w:r>
              <w:rPr>
                <w:rFonts w:hint="eastAsia"/>
              </w:rPr>
              <w:t>Ci</w:t>
            </w:r>
            <w:r>
              <w:rPr>
                <w:rFonts w:hint="eastAsia"/>
              </w:rPr>
              <w:t>一第</w:t>
            </w:r>
            <w:proofErr w:type="spellStart"/>
            <w:r>
              <w:rPr>
                <w:rFonts w:hint="eastAsia"/>
              </w:rPr>
              <w:t>i</w:t>
            </w:r>
            <w:proofErr w:type="spellEnd"/>
            <w:r>
              <w:rPr>
                <w:rFonts w:hint="eastAsia"/>
              </w:rPr>
              <w:t>种污染物测定浓度值，单位</w:t>
            </w:r>
            <w:r>
              <w:rPr>
                <w:rFonts w:hint="eastAsia"/>
              </w:rPr>
              <w:t>mg/L</w:t>
            </w:r>
            <w:r>
              <w:rPr>
                <w:rFonts w:hint="eastAsia"/>
              </w:rPr>
              <w:t>；</w:t>
            </w:r>
          </w:p>
          <w:p w14:paraId="63B0577B" w14:textId="77777777" w:rsidR="003C4F46" w:rsidRDefault="004B6A81">
            <w:pPr>
              <w:ind w:firstLine="480"/>
            </w:pPr>
            <w:proofErr w:type="spellStart"/>
            <w:r>
              <w:rPr>
                <w:rFonts w:hint="eastAsia"/>
              </w:rPr>
              <w:t>Coi</w:t>
            </w:r>
            <w:proofErr w:type="spellEnd"/>
            <w:r>
              <w:rPr>
                <w:rFonts w:hint="eastAsia"/>
              </w:rPr>
              <w:t>一第</w:t>
            </w:r>
            <w:proofErr w:type="spellStart"/>
            <w:r>
              <w:rPr>
                <w:rFonts w:hint="eastAsia"/>
              </w:rPr>
              <w:t>i</w:t>
            </w:r>
            <w:proofErr w:type="spellEnd"/>
            <w:r>
              <w:rPr>
                <w:rFonts w:hint="eastAsia"/>
              </w:rPr>
              <w:t>种污染物评价标准，单位</w:t>
            </w:r>
            <w:r>
              <w:rPr>
                <w:rFonts w:hint="eastAsia"/>
              </w:rPr>
              <w:t>mg/L</w:t>
            </w:r>
            <w:r>
              <w:rPr>
                <w:rFonts w:hint="eastAsia"/>
              </w:rPr>
              <w:t>。</w:t>
            </w:r>
          </w:p>
          <w:p w14:paraId="7F18FDAB" w14:textId="77777777" w:rsidR="003C4F46" w:rsidRDefault="004B6A81">
            <w:pPr>
              <w:ind w:firstLine="480"/>
            </w:pPr>
            <w:r>
              <w:rPr>
                <w:rFonts w:hint="eastAsia"/>
              </w:rPr>
              <w:t>对于以评价标准为区间值的水质参数（如</w:t>
            </w:r>
            <w:r>
              <w:rPr>
                <w:rFonts w:hint="eastAsia"/>
              </w:rPr>
              <w:t>pH</w:t>
            </w:r>
            <w:r>
              <w:rPr>
                <w:rFonts w:hint="eastAsia"/>
              </w:rPr>
              <w:t>为</w:t>
            </w:r>
            <w:r>
              <w:rPr>
                <w:rFonts w:hint="eastAsia"/>
              </w:rPr>
              <w:t>6</w:t>
            </w:r>
            <w:r>
              <w:rPr>
                <w:rFonts w:hint="eastAsia"/>
              </w:rPr>
              <w:t>）时，其单项指数为：</w:t>
            </w:r>
          </w:p>
          <w:p w14:paraId="7CC89037" w14:textId="77777777" w:rsidR="003C4F46" w:rsidRDefault="004B6A81">
            <w:pPr>
              <w:ind w:firstLine="480"/>
              <w:jc w:val="center"/>
            </w:pPr>
            <w:r>
              <w:rPr>
                <w:rFonts w:hint="eastAsia"/>
                <w:noProof/>
              </w:rPr>
              <w:drawing>
                <wp:inline distT="0" distB="0" distL="0" distR="0" wp14:anchorId="3323C37E" wp14:editId="7E0F89C4">
                  <wp:extent cx="1724025" cy="400050"/>
                  <wp:effectExtent l="0" t="0" r="0" b="1143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724025" cy="400050"/>
                          </a:xfrm>
                          <a:prstGeom prst="rect">
                            <a:avLst/>
                          </a:prstGeom>
                          <a:noFill/>
                          <a:ln>
                            <a:noFill/>
                          </a:ln>
                        </pic:spPr>
                      </pic:pic>
                    </a:graphicData>
                  </a:graphic>
                </wp:inline>
              </w:drawing>
            </w:r>
          </w:p>
          <w:p w14:paraId="35517B01" w14:textId="77777777" w:rsidR="003C4F46" w:rsidRDefault="004B6A81">
            <w:pPr>
              <w:ind w:firstLine="480"/>
              <w:jc w:val="center"/>
            </w:pPr>
            <w:r>
              <w:rPr>
                <w:rFonts w:hint="eastAsia"/>
                <w:noProof/>
              </w:rPr>
              <w:drawing>
                <wp:inline distT="0" distB="0" distL="0" distR="0" wp14:anchorId="352531F8" wp14:editId="6EFAC40B">
                  <wp:extent cx="1781175" cy="419100"/>
                  <wp:effectExtent l="0" t="0" r="0" b="698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781175" cy="419100"/>
                          </a:xfrm>
                          <a:prstGeom prst="rect">
                            <a:avLst/>
                          </a:prstGeom>
                          <a:noFill/>
                          <a:ln>
                            <a:noFill/>
                          </a:ln>
                        </pic:spPr>
                      </pic:pic>
                    </a:graphicData>
                  </a:graphic>
                </wp:inline>
              </w:drawing>
            </w:r>
          </w:p>
          <w:p w14:paraId="11E893EE" w14:textId="77777777" w:rsidR="003C4F46" w:rsidRDefault="004B6A81">
            <w:pPr>
              <w:ind w:firstLine="480"/>
              <w:rPr>
                <w:rFonts w:cs="Times New Roman"/>
              </w:rPr>
            </w:pPr>
            <w:r>
              <w:rPr>
                <w:rFonts w:cs="Times New Roman"/>
              </w:rPr>
              <w:t>式中：</w:t>
            </w:r>
            <w:proofErr w:type="spellStart"/>
            <w:r>
              <w:rPr>
                <w:rFonts w:cs="Times New Roman"/>
              </w:rPr>
              <w:t>SpH</w:t>
            </w:r>
            <w:r>
              <w:rPr>
                <w:rFonts w:cs="Times New Roman"/>
                <w:vertAlign w:val="subscript"/>
              </w:rPr>
              <w:t>,j</w:t>
            </w:r>
            <w:proofErr w:type="spellEnd"/>
            <w:r>
              <w:rPr>
                <w:rFonts w:cs="Times New Roman"/>
              </w:rPr>
              <w:t>—pH</w:t>
            </w:r>
            <w:r>
              <w:rPr>
                <w:rFonts w:cs="Times New Roman"/>
              </w:rPr>
              <w:t>标准指数；</w:t>
            </w:r>
          </w:p>
          <w:p w14:paraId="227FDEA4" w14:textId="77777777" w:rsidR="003C4F46" w:rsidRDefault="004B6A81">
            <w:pPr>
              <w:ind w:firstLineChars="500" w:firstLine="1200"/>
              <w:rPr>
                <w:rFonts w:cs="Times New Roman"/>
              </w:rPr>
            </w:pPr>
            <w:proofErr w:type="spellStart"/>
            <w:r>
              <w:rPr>
                <w:rFonts w:cs="Times New Roman"/>
              </w:rPr>
              <w:t>pH</w:t>
            </w:r>
            <w:r>
              <w:rPr>
                <w:rFonts w:cs="Times New Roman"/>
                <w:vertAlign w:val="subscript"/>
              </w:rPr>
              <w:t>j</w:t>
            </w:r>
            <w:proofErr w:type="spellEnd"/>
            <w:r>
              <w:rPr>
                <w:rFonts w:cs="Times New Roman"/>
              </w:rPr>
              <w:t>—j</w:t>
            </w:r>
            <w:r>
              <w:rPr>
                <w:rFonts w:cs="Times New Roman"/>
              </w:rPr>
              <w:t>点实测</w:t>
            </w:r>
            <w:r>
              <w:rPr>
                <w:rFonts w:cs="Times New Roman"/>
              </w:rPr>
              <w:t>pH</w:t>
            </w:r>
            <w:r>
              <w:rPr>
                <w:rFonts w:cs="Times New Roman"/>
              </w:rPr>
              <w:t>值；</w:t>
            </w:r>
          </w:p>
          <w:p w14:paraId="1E8CF081" w14:textId="77777777" w:rsidR="003C4F46" w:rsidRDefault="004B6A81">
            <w:pPr>
              <w:ind w:firstLine="480"/>
              <w:rPr>
                <w:rFonts w:cs="Times New Roman"/>
              </w:rPr>
            </w:pPr>
            <w:r>
              <w:rPr>
                <w:rFonts w:cs="Times New Roman"/>
              </w:rPr>
              <w:t xml:space="preserve">      </w:t>
            </w:r>
            <w:proofErr w:type="spellStart"/>
            <w:r>
              <w:rPr>
                <w:rFonts w:cs="Times New Roman"/>
              </w:rPr>
              <w:t>pH</w:t>
            </w:r>
            <w:r>
              <w:rPr>
                <w:rFonts w:cs="Times New Roman"/>
                <w:vertAlign w:val="subscript"/>
              </w:rPr>
              <w:t>sd</w:t>
            </w:r>
            <w:proofErr w:type="spellEnd"/>
            <w:r>
              <w:rPr>
                <w:rFonts w:cs="Times New Roman"/>
              </w:rPr>
              <w:t>—</w:t>
            </w:r>
            <w:r>
              <w:rPr>
                <w:rFonts w:cs="Times New Roman"/>
              </w:rPr>
              <w:t>标准中的</w:t>
            </w:r>
            <w:r>
              <w:rPr>
                <w:rFonts w:cs="Times New Roman"/>
              </w:rPr>
              <w:t>pH</w:t>
            </w:r>
            <w:r>
              <w:rPr>
                <w:rFonts w:cs="Times New Roman"/>
              </w:rPr>
              <w:t>的下限值；</w:t>
            </w:r>
          </w:p>
          <w:p w14:paraId="1FF33DD0" w14:textId="77777777" w:rsidR="003C4F46" w:rsidRDefault="004B6A81">
            <w:pPr>
              <w:ind w:firstLine="480"/>
              <w:rPr>
                <w:rFonts w:cs="Times New Roman"/>
              </w:rPr>
            </w:pPr>
            <w:r>
              <w:rPr>
                <w:rFonts w:cs="Times New Roman"/>
              </w:rPr>
              <w:t xml:space="preserve">      </w:t>
            </w:r>
            <w:proofErr w:type="spellStart"/>
            <w:r>
              <w:rPr>
                <w:rFonts w:cs="Times New Roman"/>
              </w:rPr>
              <w:t>pH</w:t>
            </w:r>
            <w:r>
              <w:rPr>
                <w:rFonts w:cs="Times New Roman"/>
                <w:vertAlign w:val="subscript"/>
              </w:rPr>
              <w:t>su</w:t>
            </w:r>
            <w:proofErr w:type="spellEnd"/>
            <w:r>
              <w:rPr>
                <w:rFonts w:cs="Times New Roman"/>
              </w:rPr>
              <w:t>—</w:t>
            </w:r>
            <w:r>
              <w:rPr>
                <w:rFonts w:cs="Times New Roman"/>
              </w:rPr>
              <w:t>标准中的</w:t>
            </w:r>
            <w:r>
              <w:rPr>
                <w:rFonts w:cs="Times New Roman"/>
              </w:rPr>
              <w:t>pH</w:t>
            </w:r>
            <w:r>
              <w:rPr>
                <w:rFonts w:cs="Times New Roman"/>
              </w:rPr>
              <w:t>的上限值；</w:t>
            </w:r>
          </w:p>
          <w:p w14:paraId="519709D6" w14:textId="77777777" w:rsidR="003C4F46" w:rsidRDefault="004B6A81">
            <w:pPr>
              <w:ind w:left="480" w:firstLineChars="0" w:firstLine="0"/>
              <w:textAlignment w:val="auto"/>
            </w:pPr>
            <w:r>
              <w:rPr>
                <w:rFonts w:hint="eastAsia"/>
              </w:rPr>
              <w:t>（</w:t>
            </w:r>
            <w:r>
              <w:rPr>
                <w:rFonts w:hint="eastAsia"/>
              </w:rPr>
              <w:t>6</w:t>
            </w:r>
            <w:r>
              <w:rPr>
                <w:rFonts w:hint="eastAsia"/>
              </w:rPr>
              <w:t>）监测结果</w:t>
            </w:r>
          </w:p>
          <w:p w14:paraId="2A613634" w14:textId="77777777" w:rsidR="003C4F46" w:rsidRDefault="004B6A81">
            <w:pPr>
              <w:ind w:firstLine="480"/>
            </w:pPr>
            <w:r>
              <w:rPr>
                <w:rFonts w:hint="eastAsia"/>
              </w:rPr>
              <w:t>地下水监测结果见下表。</w:t>
            </w:r>
          </w:p>
          <w:p w14:paraId="6E692C19" w14:textId="77777777" w:rsidR="003C4F46" w:rsidRDefault="004B6A81">
            <w:pPr>
              <w:pStyle w:val="aff6"/>
              <w:spacing w:before="163"/>
              <w:ind w:firstLine="480"/>
            </w:pPr>
            <w:r>
              <w:rPr>
                <w:rFonts w:hint="eastAsia"/>
              </w:rPr>
              <w:t>表</w:t>
            </w:r>
            <w:r>
              <w:rPr>
                <w:rFonts w:eastAsia="Times New Roman" w:cs="Times New Roman"/>
                <w:bCs/>
                <w:szCs w:val="21"/>
              </w:rPr>
              <w:t>3-</w:t>
            </w:r>
            <w:r>
              <w:rPr>
                <w:rFonts w:cs="Times New Roman" w:hint="eastAsia"/>
                <w:bCs/>
                <w:szCs w:val="21"/>
              </w:rPr>
              <w:t>3</w:t>
            </w:r>
            <w:r>
              <w:t xml:space="preserve">  </w:t>
            </w:r>
            <w:r>
              <w:rPr>
                <w:rFonts w:hint="eastAsia"/>
              </w:rPr>
              <w:t>地下水监测结果一览表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86"/>
              <w:gridCol w:w="992"/>
              <w:gridCol w:w="1134"/>
              <w:gridCol w:w="1167"/>
              <w:gridCol w:w="1401"/>
              <w:gridCol w:w="1119"/>
              <w:gridCol w:w="936"/>
            </w:tblGrid>
            <w:tr w:rsidR="003C4F46" w:rsidRPr="00AD32F2" w14:paraId="4F472261" w14:textId="77777777">
              <w:trPr>
                <w:trHeight w:val="292"/>
                <w:tblHeader/>
                <w:jc w:val="center"/>
              </w:trPr>
              <w:tc>
                <w:tcPr>
                  <w:tcW w:w="852" w:type="pct"/>
                  <w:vMerge w:val="restart"/>
                  <w:vAlign w:val="center"/>
                </w:tcPr>
                <w:p w14:paraId="53CDB8A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lastRenderedPageBreak/>
                    <w:t>采样地点</w:t>
                  </w:r>
                </w:p>
              </w:tc>
              <w:tc>
                <w:tcPr>
                  <w:tcW w:w="610" w:type="pct"/>
                  <w:vMerge w:val="restart"/>
                  <w:vAlign w:val="center"/>
                </w:tcPr>
                <w:p w14:paraId="163215B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单位</w:t>
                  </w:r>
                </w:p>
              </w:tc>
              <w:tc>
                <w:tcPr>
                  <w:tcW w:w="2963" w:type="pct"/>
                  <w:gridSpan w:val="4"/>
                  <w:vAlign w:val="center"/>
                </w:tcPr>
                <w:p w14:paraId="1A78040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监测结果</w:t>
                  </w:r>
                </w:p>
              </w:tc>
              <w:tc>
                <w:tcPr>
                  <w:tcW w:w="575" w:type="pct"/>
                  <w:vMerge w:val="restart"/>
                  <w:vAlign w:val="center"/>
                </w:tcPr>
                <w:p w14:paraId="093EF4E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Ⅲ</w:t>
                  </w:r>
                  <w:r w:rsidRPr="00AD32F2">
                    <w:rPr>
                      <w:rFonts w:cs="Times New Roman"/>
                      <w:bCs/>
                      <w:sz w:val="21"/>
                      <w:szCs w:val="21"/>
                    </w:rPr>
                    <w:t>类</w:t>
                  </w:r>
                </w:p>
              </w:tc>
            </w:tr>
            <w:tr w:rsidR="003C4F46" w:rsidRPr="00AD32F2" w14:paraId="35B2B0A3" w14:textId="77777777">
              <w:trPr>
                <w:trHeight w:val="292"/>
                <w:tblHeader/>
                <w:jc w:val="center"/>
              </w:trPr>
              <w:tc>
                <w:tcPr>
                  <w:tcW w:w="852" w:type="pct"/>
                  <w:vMerge/>
                  <w:vAlign w:val="center"/>
                </w:tcPr>
                <w:p w14:paraId="76FECDDC" w14:textId="77777777" w:rsidR="003C4F46" w:rsidRPr="00AD32F2" w:rsidRDefault="003C4F46">
                  <w:pPr>
                    <w:adjustRightInd w:val="0"/>
                    <w:snapToGrid w:val="0"/>
                    <w:spacing w:line="240" w:lineRule="auto"/>
                    <w:ind w:firstLineChars="0" w:firstLine="0"/>
                    <w:jc w:val="center"/>
                    <w:outlineLvl w:val="3"/>
                    <w:rPr>
                      <w:rFonts w:cs="Times New Roman"/>
                      <w:bCs/>
                      <w:sz w:val="21"/>
                      <w:szCs w:val="21"/>
                    </w:rPr>
                  </w:pPr>
                </w:p>
              </w:tc>
              <w:tc>
                <w:tcPr>
                  <w:tcW w:w="610" w:type="pct"/>
                  <w:vMerge/>
                  <w:vAlign w:val="center"/>
                </w:tcPr>
                <w:p w14:paraId="282C5CF8" w14:textId="77777777" w:rsidR="003C4F46" w:rsidRPr="00AD32F2" w:rsidRDefault="003C4F46">
                  <w:pPr>
                    <w:adjustRightInd w:val="0"/>
                    <w:snapToGrid w:val="0"/>
                    <w:spacing w:line="240" w:lineRule="auto"/>
                    <w:ind w:firstLineChars="0" w:firstLine="0"/>
                    <w:jc w:val="center"/>
                    <w:outlineLvl w:val="3"/>
                    <w:rPr>
                      <w:rFonts w:cs="Times New Roman"/>
                      <w:bCs/>
                      <w:sz w:val="21"/>
                      <w:szCs w:val="21"/>
                    </w:rPr>
                  </w:pPr>
                </w:p>
              </w:tc>
              <w:tc>
                <w:tcPr>
                  <w:tcW w:w="697" w:type="pct"/>
                  <w:vAlign w:val="center"/>
                </w:tcPr>
                <w:p w14:paraId="48F76D3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西侧塔星水井</w:t>
                  </w:r>
                </w:p>
              </w:tc>
              <w:tc>
                <w:tcPr>
                  <w:tcW w:w="717" w:type="pct"/>
                  <w:vAlign w:val="center"/>
                </w:tcPr>
                <w:p w14:paraId="57267A2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下游凯涟捷石化水井</w:t>
                  </w:r>
                </w:p>
              </w:tc>
              <w:tc>
                <w:tcPr>
                  <w:tcW w:w="861" w:type="pct"/>
                  <w:vAlign w:val="center"/>
                </w:tcPr>
                <w:p w14:paraId="7A28FE7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东侧正源化工水井</w:t>
                  </w:r>
                </w:p>
              </w:tc>
              <w:tc>
                <w:tcPr>
                  <w:tcW w:w="688" w:type="pct"/>
                  <w:vAlign w:val="center"/>
                </w:tcPr>
                <w:p w14:paraId="11B6DBF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塔中石油化工水井</w:t>
                  </w:r>
                </w:p>
              </w:tc>
              <w:tc>
                <w:tcPr>
                  <w:tcW w:w="575" w:type="pct"/>
                  <w:vMerge/>
                  <w:vAlign w:val="center"/>
                </w:tcPr>
                <w:p w14:paraId="2F219089" w14:textId="77777777" w:rsidR="003C4F46" w:rsidRPr="00AD32F2" w:rsidRDefault="003C4F46">
                  <w:pPr>
                    <w:adjustRightInd w:val="0"/>
                    <w:snapToGrid w:val="0"/>
                    <w:spacing w:line="240" w:lineRule="auto"/>
                    <w:ind w:firstLineChars="0" w:firstLine="0"/>
                    <w:jc w:val="center"/>
                    <w:outlineLvl w:val="3"/>
                    <w:rPr>
                      <w:rFonts w:cs="Times New Roman"/>
                      <w:bCs/>
                      <w:sz w:val="21"/>
                      <w:szCs w:val="21"/>
                    </w:rPr>
                  </w:pPr>
                </w:p>
              </w:tc>
            </w:tr>
            <w:tr w:rsidR="003C4F46" w:rsidRPr="00AD32F2" w14:paraId="5FCC6C3C" w14:textId="77777777">
              <w:trPr>
                <w:tblHeader/>
                <w:jc w:val="center"/>
              </w:trPr>
              <w:tc>
                <w:tcPr>
                  <w:tcW w:w="852" w:type="pct"/>
                  <w:vAlign w:val="center"/>
                </w:tcPr>
                <w:p w14:paraId="232F210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pH</w:t>
                  </w:r>
                </w:p>
              </w:tc>
              <w:tc>
                <w:tcPr>
                  <w:tcW w:w="610" w:type="pct"/>
                  <w:vAlign w:val="center"/>
                </w:tcPr>
                <w:p w14:paraId="6212CBC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无量纲</w:t>
                  </w:r>
                </w:p>
              </w:tc>
              <w:tc>
                <w:tcPr>
                  <w:tcW w:w="697" w:type="pct"/>
                  <w:vAlign w:val="center"/>
                </w:tcPr>
                <w:p w14:paraId="0620810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7.9</w:t>
                  </w:r>
                </w:p>
              </w:tc>
              <w:tc>
                <w:tcPr>
                  <w:tcW w:w="717" w:type="pct"/>
                  <w:vAlign w:val="center"/>
                </w:tcPr>
                <w:p w14:paraId="2802234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8.1</w:t>
                  </w:r>
                </w:p>
              </w:tc>
              <w:tc>
                <w:tcPr>
                  <w:tcW w:w="861" w:type="pct"/>
                  <w:vAlign w:val="center"/>
                </w:tcPr>
                <w:p w14:paraId="750F8CA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7.8</w:t>
                  </w:r>
                </w:p>
              </w:tc>
              <w:tc>
                <w:tcPr>
                  <w:tcW w:w="688" w:type="pct"/>
                  <w:vAlign w:val="center"/>
                </w:tcPr>
                <w:p w14:paraId="70935E7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7.9</w:t>
                  </w:r>
                </w:p>
              </w:tc>
              <w:tc>
                <w:tcPr>
                  <w:tcW w:w="575" w:type="pct"/>
                  <w:vAlign w:val="center"/>
                </w:tcPr>
                <w:p w14:paraId="609C1B3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6.5-8.5</w:t>
                  </w:r>
                </w:p>
              </w:tc>
            </w:tr>
            <w:tr w:rsidR="003C4F46" w:rsidRPr="00AD32F2" w14:paraId="0BFE9140" w14:textId="77777777">
              <w:trPr>
                <w:tblHeader/>
                <w:jc w:val="center"/>
              </w:trPr>
              <w:tc>
                <w:tcPr>
                  <w:tcW w:w="852" w:type="pct"/>
                  <w:vAlign w:val="center"/>
                </w:tcPr>
                <w:p w14:paraId="40612B8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sz w:val="21"/>
                      <w:szCs w:val="21"/>
                    </w:rPr>
                    <w:t>总硬度</w:t>
                  </w:r>
                </w:p>
              </w:tc>
              <w:tc>
                <w:tcPr>
                  <w:tcW w:w="610" w:type="pct"/>
                  <w:vAlign w:val="center"/>
                </w:tcPr>
                <w:p w14:paraId="6AD01CA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4CE741F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328</w:t>
                  </w:r>
                </w:p>
              </w:tc>
              <w:tc>
                <w:tcPr>
                  <w:tcW w:w="717" w:type="pct"/>
                  <w:vAlign w:val="center"/>
                </w:tcPr>
                <w:p w14:paraId="5EDAE67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478</w:t>
                  </w:r>
                </w:p>
              </w:tc>
              <w:tc>
                <w:tcPr>
                  <w:tcW w:w="861" w:type="pct"/>
                  <w:vAlign w:val="center"/>
                </w:tcPr>
                <w:p w14:paraId="0EC84A7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510</w:t>
                  </w:r>
                </w:p>
              </w:tc>
              <w:tc>
                <w:tcPr>
                  <w:tcW w:w="688" w:type="pct"/>
                  <w:vAlign w:val="center"/>
                </w:tcPr>
                <w:p w14:paraId="34DE361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349</w:t>
                  </w:r>
                </w:p>
              </w:tc>
              <w:tc>
                <w:tcPr>
                  <w:tcW w:w="575" w:type="pct"/>
                  <w:vAlign w:val="center"/>
                </w:tcPr>
                <w:p w14:paraId="4BCCD46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≤450</w:t>
                  </w:r>
                </w:p>
              </w:tc>
            </w:tr>
            <w:tr w:rsidR="003C4F46" w:rsidRPr="00AD32F2" w14:paraId="0FDFC8F3" w14:textId="77777777">
              <w:trPr>
                <w:tblHeader/>
                <w:jc w:val="center"/>
              </w:trPr>
              <w:tc>
                <w:tcPr>
                  <w:tcW w:w="852" w:type="pct"/>
                  <w:vAlign w:val="center"/>
                </w:tcPr>
                <w:p w14:paraId="4016FF7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sz w:val="21"/>
                      <w:szCs w:val="21"/>
                    </w:rPr>
                    <w:t>溶解性总固体</w:t>
                  </w:r>
                </w:p>
              </w:tc>
              <w:tc>
                <w:tcPr>
                  <w:tcW w:w="610" w:type="pct"/>
                  <w:vAlign w:val="center"/>
                </w:tcPr>
                <w:p w14:paraId="4D527EE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70DBFAA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1069</w:t>
                  </w:r>
                </w:p>
              </w:tc>
              <w:tc>
                <w:tcPr>
                  <w:tcW w:w="717" w:type="pct"/>
                  <w:vAlign w:val="center"/>
                </w:tcPr>
                <w:p w14:paraId="422BA71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1098</w:t>
                  </w:r>
                </w:p>
              </w:tc>
              <w:tc>
                <w:tcPr>
                  <w:tcW w:w="861" w:type="pct"/>
                  <w:vAlign w:val="center"/>
                </w:tcPr>
                <w:p w14:paraId="1FB70AA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1626</w:t>
                  </w:r>
                </w:p>
              </w:tc>
              <w:tc>
                <w:tcPr>
                  <w:tcW w:w="688" w:type="pct"/>
                  <w:vAlign w:val="center"/>
                </w:tcPr>
                <w:p w14:paraId="4C1FAF6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766</w:t>
                  </w:r>
                </w:p>
              </w:tc>
              <w:tc>
                <w:tcPr>
                  <w:tcW w:w="575" w:type="pct"/>
                  <w:vAlign w:val="center"/>
                </w:tcPr>
                <w:p w14:paraId="769A133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≤1000</w:t>
                  </w:r>
                </w:p>
              </w:tc>
            </w:tr>
            <w:tr w:rsidR="003C4F46" w:rsidRPr="00AD32F2" w14:paraId="0103CDDC" w14:textId="77777777">
              <w:trPr>
                <w:tblHeader/>
                <w:jc w:val="center"/>
              </w:trPr>
              <w:tc>
                <w:tcPr>
                  <w:tcW w:w="852" w:type="pct"/>
                  <w:vAlign w:val="center"/>
                </w:tcPr>
                <w:p w14:paraId="172CCCF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sz w:val="21"/>
                      <w:szCs w:val="21"/>
                    </w:rPr>
                    <w:t>挥发酚</w:t>
                  </w:r>
                </w:p>
              </w:tc>
              <w:tc>
                <w:tcPr>
                  <w:tcW w:w="610" w:type="pct"/>
                  <w:vAlign w:val="center"/>
                </w:tcPr>
                <w:p w14:paraId="2CBF425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406203E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0.0003</w:t>
                  </w:r>
                </w:p>
              </w:tc>
              <w:tc>
                <w:tcPr>
                  <w:tcW w:w="717" w:type="pct"/>
                  <w:vAlign w:val="center"/>
                </w:tcPr>
                <w:p w14:paraId="0B3CF3D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0.0003</w:t>
                  </w:r>
                </w:p>
              </w:tc>
              <w:tc>
                <w:tcPr>
                  <w:tcW w:w="861" w:type="pct"/>
                  <w:vAlign w:val="center"/>
                </w:tcPr>
                <w:p w14:paraId="3C632BB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0.0003</w:t>
                  </w:r>
                </w:p>
              </w:tc>
              <w:tc>
                <w:tcPr>
                  <w:tcW w:w="688" w:type="pct"/>
                  <w:vAlign w:val="center"/>
                </w:tcPr>
                <w:p w14:paraId="438FDBB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0.0003</w:t>
                  </w:r>
                </w:p>
              </w:tc>
              <w:tc>
                <w:tcPr>
                  <w:tcW w:w="575" w:type="pct"/>
                  <w:vAlign w:val="center"/>
                </w:tcPr>
                <w:p w14:paraId="00EC36E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≤0.002</w:t>
                  </w:r>
                </w:p>
              </w:tc>
            </w:tr>
            <w:tr w:rsidR="003C4F46" w:rsidRPr="00AD32F2" w14:paraId="5682F1FA" w14:textId="77777777">
              <w:trPr>
                <w:trHeight w:val="402"/>
                <w:tblHeader/>
                <w:jc w:val="center"/>
              </w:trPr>
              <w:tc>
                <w:tcPr>
                  <w:tcW w:w="852" w:type="pct"/>
                  <w:vAlign w:val="center"/>
                </w:tcPr>
                <w:p w14:paraId="09FD276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sz w:val="21"/>
                      <w:szCs w:val="21"/>
                    </w:rPr>
                    <w:t>阴离子表面活性剂</w:t>
                  </w:r>
                </w:p>
              </w:tc>
              <w:tc>
                <w:tcPr>
                  <w:tcW w:w="610" w:type="pct"/>
                  <w:vAlign w:val="center"/>
                </w:tcPr>
                <w:p w14:paraId="4FDD350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74491FB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0.05</w:t>
                  </w:r>
                </w:p>
              </w:tc>
              <w:tc>
                <w:tcPr>
                  <w:tcW w:w="717" w:type="pct"/>
                  <w:vAlign w:val="center"/>
                </w:tcPr>
                <w:p w14:paraId="34538B9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0.05</w:t>
                  </w:r>
                </w:p>
              </w:tc>
              <w:tc>
                <w:tcPr>
                  <w:tcW w:w="861" w:type="pct"/>
                  <w:vAlign w:val="center"/>
                </w:tcPr>
                <w:p w14:paraId="041F42D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0.05</w:t>
                  </w:r>
                </w:p>
              </w:tc>
              <w:tc>
                <w:tcPr>
                  <w:tcW w:w="688" w:type="pct"/>
                  <w:vAlign w:val="center"/>
                </w:tcPr>
                <w:p w14:paraId="3E53751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0.05</w:t>
                  </w:r>
                </w:p>
              </w:tc>
              <w:tc>
                <w:tcPr>
                  <w:tcW w:w="575" w:type="pct"/>
                  <w:vAlign w:val="center"/>
                </w:tcPr>
                <w:p w14:paraId="22C0B8E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≤0.3</w:t>
                  </w:r>
                </w:p>
              </w:tc>
            </w:tr>
            <w:tr w:rsidR="003C4F46" w:rsidRPr="00AD32F2" w14:paraId="1C2C8B9F" w14:textId="77777777">
              <w:trPr>
                <w:tblHeader/>
                <w:jc w:val="center"/>
              </w:trPr>
              <w:tc>
                <w:tcPr>
                  <w:tcW w:w="852" w:type="pct"/>
                  <w:vAlign w:val="center"/>
                </w:tcPr>
                <w:p w14:paraId="7889DF2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sz w:val="21"/>
                      <w:szCs w:val="21"/>
                    </w:rPr>
                    <w:t>氨氮</w:t>
                  </w:r>
                </w:p>
              </w:tc>
              <w:tc>
                <w:tcPr>
                  <w:tcW w:w="610" w:type="pct"/>
                  <w:vAlign w:val="center"/>
                </w:tcPr>
                <w:p w14:paraId="5C42EB7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0E50A18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0.091</w:t>
                  </w:r>
                </w:p>
              </w:tc>
              <w:tc>
                <w:tcPr>
                  <w:tcW w:w="717" w:type="pct"/>
                  <w:vAlign w:val="center"/>
                </w:tcPr>
                <w:p w14:paraId="46519BB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0.123</w:t>
                  </w:r>
                </w:p>
              </w:tc>
              <w:tc>
                <w:tcPr>
                  <w:tcW w:w="861" w:type="pct"/>
                  <w:vAlign w:val="center"/>
                </w:tcPr>
                <w:p w14:paraId="43CEEBD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0.120</w:t>
                  </w:r>
                </w:p>
              </w:tc>
              <w:tc>
                <w:tcPr>
                  <w:tcW w:w="688" w:type="pct"/>
                  <w:vAlign w:val="center"/>
                </w:tcPr>
                <w:p w14:paraId="743A20F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0.143</w:t>
                  </w:r>
                </w:p>
              </w:tc>
              <w:tc>
                <w:tcPr>
                  <w:tcW w:w="575" w:type="pct"/>
                  <w:vAlign w:val="center"/>
                </w:tcPr>
                <w:p w14:paraId="7510AF9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≤0.5</w:t>
                  </w:r>
                </w:p>
              </w:tc>
            </w:tr>
            <w:tr w:rsidR="003C4F46" w:rsidRPr="00AD32F2" w14:paraId="20B67314" w14:textId="77777777">
              <w:trPr>
                <w:tblHeader/>
                <w:jc w:val="center"/>
              </w:trPr>
              <w:tc>
                <w:tcPr>
                  <w:tcW w:w="852" w:type="pct"/>
                  <w:vAlign w:val="center"/>
                </w:tcPr>
                <w:p w14:paraId="73F517E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sz w:val="21"/>
                      <w:szCs w:val="21"/>
                    </w:rPr>
                    <w:t>硫化物</w:t>
                  </w:r>
                </w:p>
              </w:tc>
              <w:tc>
                <w:tcPr>
                  <w:tcW w:w="610" w:type="pct"/>
                  <w:vAlign w:val="center"/>
                </w:tcPr>
                <w:p w14:paraId="1CA3855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483E1A1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0.003</w:t>
                  </w:r>
                </w:p>
              </w:tc>
              <w:tc>
                <w:tcPr>
                  <w:tcW w:w="717" w:type="pct"/>
                  <w:vAlign w:val="center"/>
                </w:tcPr>
                <w:p w14:paraId="117CB26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0.003</w:t>
                  </w:r>
                </w:p>
              </w:tc>
              <w:tc>
                <w:tcPr>
                  <w:tcW w:w="861" w:type="pct"/>
                  <w:vAlign w:val="center"/>
                </w:tcPr>
                <w:p w14:paraId="77D4505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0.003</w:t>
                  </w:r>
                </w:p>
              </w:tc>
              <w:tc>
                <w:tcPr>
                  <w:tcW w:w="688" w:type="pct"/>
                  <w:vAlign w:val="center"/>
                </w:tcPr>
                <w:p w14:paraId="271BD5C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0.003</w:t>
                  </w:r>
                </w:p>
              </w:tc>
              <w:tc>
                <w:tcPr>
                  <w:tcW w:w="575" w:type="pct"/>
                  <w:vAlign w:val="center"/>
                </w:tcPr>
                <w:p w14:paraId="71E6076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≤0.02</w:t>
                  </w:r>
                </w:p>
              </w:tc>
            </w:tr>
            <w:tr w:rsidR="003C4F46" w:rsidRPr="00AD32F2" w14:paraId="5A606194" w14:textId="77777777">
              <w:trPr>
                <w:trHeight w:val="428"/>
                <w:tblHeader/>
                <w:jc w:val="center"/>
              </w:trPr>
              <w:tc>
                <w:tcPr>
                  <w:tcW w:w="852" w:type="pct"/>
                  <w:vAlign w:val="center"/>
                </w:tcPr>
                <w:p w14:paraId="1269818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氰化物</w:t>
                  </w:r>
                </w:p>
              </w:tc>
              <w:tc>
                <w:tcPr>
                  <w:tcW w:w="610" w:type="pct"/>
                  <w:vAlign w:val="center"/>
                </w:tcPr>
                <w:p w14:paraId="749B323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00E36DB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未检出</w:t>
                  </w:r>
                </w:p>
              </w:tc>
              <w:tc>
                <w:tcPr>
                  <w:tcW w:w="717" w:type="pct"/>
                  <w:vAlign w:val="center"/>
                </w:tcPr>
                <w:p w14:paraId="2FF3A17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未检出</w:t>
                  </w:r>
                </w:p>
              </w:tc>
              <w:tc>
                <w:tcPr>
                  <w:tcW w:w="861" w:type="pct"/>
                  <w:vAlign w:val="center"/>
                </w:tcPr>
                <w:p w14:paraId="3086831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未检出</w:t>
                  </w:r>
                </w:p>
              </w:tc>
              <w:tc>
                <w:tcPr>
                  <w:tcW w:w="688" w:type="pct"/>
                  <w:vAlign w:val="center"/>
                </w:tcPr>
                <w:p w14:paraId="335ED59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未检出</w:t>
                  </w:r>
                </w:p>
              </w:tc>
              <w:tc>
                <w:tcPr>
                  <w:tcW w:w="575" w:type="pct"/>
                  <w:vAlign w:val="center"/>
                </w:tcPr>
                <w:p w14:paraId="5833E83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≤0.05</w:t>
                  </w:r>
                </w:p>
              </w:tc>
            </w:tr>
            <w:tr w:rsidR="003C4F46" w:rsidRPr="00AD32F2" w14:paraId="78DD7668" w14:textId="77777777">
              <w:trPr>
                <w:tblHeader/>
                <w:jc w:val="center"/>
              </w:trPr>
              <w:tc>
                <w:tcPr>
                  <w:tcW w:w="852" w:type="pct"/>
                  <w:vAlign w:val="center"/>
                </w:tcPr>
                <w:p w14:paraId="3E8C59F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六价铬</w:t>
                  </w:r>
                </w:p>
              </w:tc>
              <w:tc>
                <w:tcPr>
                  <w:tcW w:w="610" w:type="pct"/>
                  <w:vAlign w:val="center"/>
                </w:tcPr>
                <w:p w14:paraId="2963FB2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7BA5BC6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0.002</w:t>
                  </w:r>
                </w:p>
              </w:tc>
              <w:tc>
                <w:tcPr>
                  <w:tcW w:w="717" w:type="pct"/>
                  <w:vAlign w:val="center"/>
                </w:tcPr>
                <w:p w14:paraId="2039F46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0.003</w:t>
                  </w:r>
                </w:p>
              </w:tc>
              <w:tc>
                <w:tcPr>
                  <w:tcW w:w="861" w:type="pct"/>
                  <w:vAlign w:val="center"/>
                </w:tcPr>
                <w:p w14:paraId="6A62727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0.001</w:t>
                  </w:r>
                </w:p>
              </w:tc>
              <w:tc>
                <w:tcPr>
                  <w:tcW w:w="688" w:type="pct"/>
                  <w:vAlign w:val="center"/>
                </w:tcPr>
                <w:p w14:paraId="5DCEA8B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0.005</w:t>
                  </w:r>
                </w:p>
              </w:tc>
              <w:tc>
                <w:tcPr>
                  <w:tcW w:w="575" w:type="pct"/>
                  <w:vAlign w:val="center"/>
                </w:tcPr>
                <w:p w14:paraId="5C2B014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≤0.05</w:t>
                  </w:r>
                </w:p>
              </w:tc>
            </w:tr>
            <w:tr w:rsidR="003C4F46" w:rsidRPr="00AD32F2" w14:paraId="3F3DEA26" w14:textId="77777777">
              <w:trPr>
                <w:tblHeader/>
                <w:jc w:val="center"/>
              </w:trPr>
              <w:tc>
                <w:tcPr>
                  <w:tcW w:w="852" w:type="pct"/>
                  <w:vAlign w:val="center"/>
                </w:tcPr>
                <w:p w14:paraId="63145DA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硫酸盐</w:t>
                  </w:r>
                </w:p>
              </w:tc>
              <w:tc>
                <w:tcPr>
                  <w:tcW w:w="610" w:type="pct"/>
                  <w:vAlign w:val="center"/>
                </w:tcPr>
                <w:p w14:paraId="1F59C2D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5194462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290</w:t>
                  </w:r>
                </w:p>
              </w:tc>
              <w:tc>
                <w:tcPr>
                  <w:tcW w:w="717" w:type="pct"/>
                  <w:vAlign w:val="center"/>
                </w:tcPr>
                <w:p w14:paraId="40556CF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423</w:t>
                  </w:r>
                </w:p>
              </w:tc>
              <w:tc>
                <w:tcPr>
                  <w:tcW w:w="861" w:type="pct"/>
                  <w:vAlign w:val="center"/>
                </w:tcPr>
                <w:p w14:paraId="2842FFA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365</w:t>
                  </w:r>
                </w:p>
              </w:tc>
              <w:tc>
                <w:tcPr>
                  <w:tcW w:w="688" w:type="pct"/>
                  <w:vAlign w:val="center"/>
                </w:tcPr>
                <w:p w14:paraId="2D575A8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316</w:t>
                  </w:r>
                </w:p>
              </w:tc>
              <w:tc>
                <w:tcPr>
                  <w:tcW w:w="575" w:type="pct"/>
                  <w:vAlign w:val="center"/>
                </w:tcPr>
                <w:p w14:paraId="0B39B0B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≤250</w:t>
                  </w:r>
                </w:p>
              </w:tc>
            </w:tr>
            <w:tr w:rsidR="003C4F46" w:rsidRPr="00AD32F2" w14:paraId="1417C8FD" w14:textId="77777777">
              <w:trPr>
                <w:tblHeader/>
                <w:jc w:val="center"/>
              </w:trPr>
              <w:tc>
                <w:tcPr>
                  <w:tcW w:w="852" w:type="pct"/>
                  <w:vAlign w:val="center"/>
                </w:tcPr>
                <w:p w14:paraId="454C831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氯化物</w:t>
                  </w:r>
                </w:p>
              </w:tc>
              <w:tc>
                <w:tcPr>
                  <w:tcW w:w="610" w:type="pct"/>
                  <w:vAlign w:val="center"/>
                </w:tcPr>
                <w:p w14:paraId="234D76D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6DD541D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87.0</w:t>
                  </w:r>
                </w:p>
              </w:tc>
              <w:tc>
                <w:tcPr>
                  <w:tcW w:w="717" w:type="pct"/>
                  <w:vAlign w:val="center"/>
                </w:tcPr>
                <w:p w14:paraId="294BBB3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208</w:t>
                  </w:r>
                </w:p>
              </w:tc>
              <w:tc>
                <w:tcPr>
                  <w:tcW w:w="861" w:type="pct"/>
                  <w:vAlign w:val="center"/>
                </w:tcPr>
                <w:p w14:paraId="595AB67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344</w:t>
                  </w:r>
                </w:p>
              </w:tc>
              <w:tc>
                <w:tcPr>
                  <w:tcW w:w="688" w:type="pct"/>
                  <w:vAlign w:val="center"/>
                </w:tcPr>
                <w:p w14:paraId="081648D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93.1</w:t>
                  </w:r>
                </w:p>
              </w:tc>
              <w:tc>
                <w:tcPr>
                  <w:tcW w:w="575" w:type="pct"/>
                  <w:vAlign w:val="center"/>
                </w:tcPr>
                <w:p w14:paraId="59F4817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≤250</w:t>
                  </w:r>
                </w:p>
              </w:tc>
            </w:tr>
            <w:tr w:rsidR="003C4F46" w:rsidRPr="00AD32F2" w14:paraId="3F1D5B31" w14:textId="77777777">
              <w:trPr>
                <w:tblHeader/>
                <w:jc w:val="center"/>
              </w:trPr>
              <w:tc>
                <w:tcPr>
                  <w:tcW w:w="852" w:type="pct"/>
                  <w:vAlign w:val="center"/>
                </w:tcPr>
                <w:p w14:paraId="6F86571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硝酸盐</w:t>
                  </w:r>
                </w:p>
              </w:tc>
              <w:tc>
                <w:tcPr>
                  <w:tcW w:w="610" w:type="pct"/>
                  <w:vAlign w:val="center"/>
                </w:tcPr>
                <w:p w14:paraId="0FC71A1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6441BCF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1.36</w:t>
                  </w:r>
                </w:p>
              </w:tc>
              <w:tc>
                <w:tcPr>
                  <w:tcW w:w="717" w:type="pct"/>
                  <w:vAlign w:val="center"/>
                </w:tcPr>
                <w:p w14:paraId="48FA9E2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2.11</w:t>
                  </w:r>
                </w:p>
              </w:tc>
              <w:tc>
                <w:tcPr>
                  <w:tcW w:w="861" w:type="pct"/>
                  <w:vAlign w:val="center"/>
                </w:tcPr>
                <w:p w14:paraId="5191286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2.37</w:t>
                  </w:r>
                </w:p>
              </w:tc>
              <w:tc>
                <w:tcPr>
                  <w:tcW w:w="688" w:type="pct"/>
                  <w:vAlign w:val="center"/>
                </w:tcPr>
                <w:p w14:paraId="48C733F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1.66</w:t>
                  </w:r>
                </w:p>
              </w:tc>
              <w:tc>
                <w:tcPr>
                  <w:tcW w:w="575" w:type="pct"/>
                  <w:vAlign w:val="center"/>
                </w:tcPr>
                <w:p w14:paraId="1D22121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≤20</w:t>
                  </w:r>
                </w:p>
              </w:tc>
            </w:tr>
            <w:tr w:rsidR="003C4F46" w:rsidRPr="00AD32F2" w14:paraId="6566FD03" w14:textId="77777777">
              <w:trPr>
                <w:tblHeader/>
                <w:jc w:val="center"/>
              </w:trPr>
              <w:tc>
                <w:tcPr>
                  <w:tcW w:w="852" w:type="pct"/>
                  <w:vAlign w:val="center"/>
                </w:tcPr>
                <w:p w14:paraId="6440484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亚硝酸盐</w:t>
                  </w:r>
                </w:p>
              </w:tc>
              <w:tc>
                <w:tcPr>
                  <w:tcW w:w="610" w:type="pct"/>
                  <w:vAlign w:val="center"/>
                </w:tcPr>
                <w:p w14:paraId="1121D81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5A6A927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0.016</w:t>
                  </w:r>
                </w:p>
              </w:tc>
              <w:tc>
                <w:tcPr>
                  <w:tcW w:w="717" w:type="pct"/>
                  <w:vAlign w:val="center"/>
                </w:tcPr>
                <w:p w14:paraId="4582937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0.016</w:t>
                  </w:r>
                </w:p>
              </w:tc>
              <w:tc>
                <w:tcPr>
                  <w:tcW w:w="861" w:type="pct"/>
                  <w:vAlign w:val="center"/>
                </w:tcPr>
                <w:p w14:paraId="3D60E03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0.016</w:t>
                  </w:r>
                </w:p>
              </w:tc>
              <w:tc>
                <w:tcPr>
                  <w:tcW w:w="688" w:type="pct"/>
                  <w:vAlign w:val="center"/>
                </w:tcPr>
                <w:p w14:paraId="4886E54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0.016</w:t>
                  </w:r>
                </w:p>
              </w:tc>
              <w:tc>
                <w:tcPr>
                  <w:tcW w:w="575" w:type="pct"/>
                  <w:vAlign w:val="center"/>
                </w:tcPr>
                <w:p w14:paraId="7A17280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w:t>
                  </w:r>
                </w:p>
              </w:tc>
            </w:tr>
            <w:tr w:rsidR="003C4F46" w:rsidRPr="00AD32F2" w14:paraId="506115CA" w14:textId="77777777">
              <w:trPr>
                <w:tblHeader/>
                <w:jc w:val="center"/>
              </w:trPr>
              <w:tc>
                <w:tcPr>
                  <w:tcW w:w="852" w:type="pct"/>
                  <w:vAlign w:val="center"/>
                </w:tcPr>
                <w:p w14:paraId="3B055B1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氟化物</w:t>
                  </w:r>
                </w:p>
              </w:tc>
              <w:tc>
                <w:tcPr>
                  <w:tcW w:w="610" w:type="pct"/>
                  <w:vAlign w:val="center"/>
                </w:tcPr>
                <w:p w14:paraId="57847CF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10BBC48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0.344</w:t>
                  </w:r>
                </w:p>
              </w:tc>
              <w:tc>
                <w:tcPr>
                  <w:tcW w:w="717" w:type="pct"/>
                  <w:vAlign w:val="center"/>
                </w:tcPr>
                <w:p w14:paraId="0E6E9DD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0.661</w:t>
                  </w:r>
                </w:p>
              </w:tc>
              <w:tc>
                <w:tcPr>
                  <w:tcW w:w="861" w:type="pct"/>
                  <w:vAlign w:val="center"/>
                </w:tcPr>
                <w:p w14:paraId="44A95F0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0.319</w:t>
                  </w:r>
                </w:p>
              </w:tc>
              <w:tc>
                <w:tcPr>
                  <w:tcW w:w="688" w:type="pct"/>
                  <w:vAlign w:val="center"/>
                </w:tcPr>
                <w:p w14:paraId="30AF4BF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0.431</w:t>
                  </w:r>
                </w:p>
              </w:tc>
              <w:tc>
                <w:tcPr>
                  <w:tcW w:w="575" w:type="pct"/>
                  <w:vAlign w:val="center"/>
                </w:tcPr>
                <w:p w14:paraId="5000F91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w:t>
                  </w:r>
                </w:p>
              </w:tc>
            </w:tr>
            <w:tr w:rsidR="003C4F46" w:rsidRPr="00AD32F2" w14:paraId="47F9E69E" w14:textId="77777777">
              <w:trPr>
                <w:tblHeader/>
                <w:jc w:val="center"/>
              </w:trPr>
              <w:tc>
                <w:tcPr>
                  <w:tcW w:w="852" w:type="pct"/>
                  <w:vAlign w:val="center"/>
                </w:tcPr>
                <w:p w14:paraId="378DBAD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钠离子</w:t>
                  </w:r>
                </w:p>
              </w:tc>
              <w:tc>
                <w:tcPr>
                  <w:tcW w:w="610" w:type="pct"/>
                  <w:vAlign w:val="center"/>
                </w:tcPr>
                <w:p w14:paraId="534525B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1EC3C68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142</w:t>
                  </w:r>
                </w:p>
              </w:tc>
              <w:tc>
                <w:tcPr>
                  <w:tcW w:w="717" w:type="pct"/>
                  <w:vAlign w:val="center"/>
                </w:tcPr>
                <w:p w14:paraId="57A2F61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206</w:t>
                  </w:r>
                </w:p>
              </w:tc>
              <w:tc>
                <w:tcPr>
                  <w:tcW w:w="861" w:type="pct"/>
                  <w:vAlign w:val="center"/>
                </w:tcPr>
                <w:p w14:paraId="21C899A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389</w:t>
                  </w:r>
                </w:p>
              </w:tc>
              <w:tc>
                <w:tcPr>
                  <w:tcW w:w="688" w:type="pct"/>
                  <w:vAlign w:val="center"/>
                </w:tcPr>
                <w:p w14:paraId="27BBF48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147</w:t>
                  </w:r>
                </w:p>
              </w:tc>
              <w:tc>
                <w:tcPr>
                  <w:tcW w:w="575" w:type="pct"/>
                  <w:vAlign w:val="center"/>
                </w:tcPr>
                <w:p w14:paraId="70A012B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≤200</w:t>
                  </w:r>
                </w:p>
              </w:tc>
            </w:tr>
            <w:tr w:rsidR="003C4F46" w:rsidRPr="00AD32F2" w14:paraId="38E6EAAE" w14:textId="77777777">
              <w:trPr>
                <w:tblHeader/>
                <w:jc w:val="center"/>
              </w:trPr>
              <w:tc>
                <w:tcPr>
                  <w:tcW w:w="852" w:type="pct"/>
                  <w:vAlign w:val="center"/>
                </w:tcPr>
                <w:p w14:paraId="59111ED4" w14:textId="520D65E6" w:rsidR="003C4F46" w:rsidRPr="00AD32F2" w:rsidRDefault="007258DB">
                  <w:pPr>
                    <w:adjustRightInd w:val="0"/>
                    <w:snapToGrid w:val="0"/>
                    <w:spacing w:line="240" w:lineRule="auto"/>
                    <w:ind w:firstLineChars="0" w:firstLine="0"/>
                    <w:jc w:val="center"/>
                    <w:outlineLvl w:val="3"/>
                    <w:rPr>
                      <w:rFonts w:cs="Times New Roman"/>
                      <w:bCs/>
                      <w:sz w:val="21"/>
                      <w:szCs w:val="21"/>
                    </w:rPr>
                  </w:pPr>
                  <w:r w:rsidRPr="007258DB">
                    <w:rPr>
                      <w:rFonts w:cs="Times New Roman" w:hint="eastAsia"/>
                      <w:bCs/>
                      <w:sz w:val="21"/>
                      <w:szCs w:val="21"/>
                    </w:rPr>
                    <w:t>耗氧量</w:t>
                  </w:r>
                </w:p>
              </w:tc>
              <w:tc>
                <w:tcPr>
                  <w:tcW w:w="610" w:type="pct"/>
                  <w:vAlign w:val="center"/>
                </w:tcPr>
                <w:p w14:paraId="00D8864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0DA434C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0.7</w:t>
                  </w:r>
                </w:p>
              </w:tc>
              <w:tc>
                <w:tcPr>
                  <w:tcW w:w="717" w:type="pct"/>
                  <w:vAlign w:val="center"/>
                </w:tcPr>
                <w:p w14:paraId="6F8967B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0.9</w:t>
                  </w:r>
                </w:p>
              </w:tc>
              <w:tc>
                <w:tcPr>
                  <w:tcW w:w="861" w:type="pct"/>
                  <w:vAlign w:val="center"/>
                </w:tcPr>
                <w:p w14:paraId="055DEB3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w:t>
                  </w:r>
                </w:p>
              </w:tc>
              <w:tc>
                <w:tcPr>
                  <w:tcW w:w="688" w:type="pct"/>
                  <w:vAlign w:val="center"/>
                </w:tcPr>
                <w:p w14:paraId="7F161AC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0.6</w:t>
                  </w:r>
                </w:p>
              </w:tc>
              <w:tc>
                <w:tcPr>
                  <w:tcW w:w="575" w:type="pct"/>
                  <w:vAlign w:val="center"/>
                </w:tcPr>
                <w:p w14:paraId="0E0D8D0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≤3.0</w:t>
                  </w:r>
                </w:p>
              </w:tc>
            </w:tr>
            <w:tr w:rsidR="003C4F46" w:rsidRPr="00AD32F2" w14:paraId="4280E201" w14:textId="77777777">
              <w:trPr>
                <w:tblHeader/>
                <w:jc w:val="center"/>
              </w:trPr>
              <w:tc>
                <w:tcPr>
                  <w:tcW w:w="852" w:type="pct"/>
                  <w:vAlign w:val="center"/>
                </w:tcPr>
                <w:p w14:paraId="0DC5D91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总大肠菌群</w:t>
                  </w:r>
                </w:p>
              </w:tc>
              <w:tc>
                <w:tcPr>
                  <w:tcW w:w="610" w:type="pct"/>
                  <w:vAlign w:val="center"/>
                </w:tcPr>
                <w:p w14:paraId="7A265D4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MPN/L</w:t>
                  </w:r>
                </w:p>
              </w:tc>
              <w:tc>
                <w:tcPr>
                  <w:tcW w:w="697" w:type="pct"/>
                  <w:vAlign w:val="center"/>
                </w:tcPr>
                <w:p w14:paraId="2CD5A51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20</w:t>
                  </w:r>
                </w:p>
              </w:tc>
              <w:tc>
                <w:tcPr>
                  <w:tcW w:w="717" w:type="pct"/>
                  <w:vAlign w:val="center"/>
                </w:tcPr>
                <w:p w14:paraId="1B2C437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20</w:t>
                  </w:r>
                </w:p>
              </w:tc>
              <w:tc>
                <w:tcPr>
                  <w:tcW w:w="861" w:type="pct"/>
                  <w:vAlign w:val="center"/>
                </w:tcPr>
                <w:p w14:paraId="0C24343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20</w:t>
                  </w:r>
                </w:p>
              </w:tc>
              <w:tc>
                <w:tcPr>
                  <w:tcW w:w="688" w:type="pct"/>
                  <w:vAlign w:val="center"/>
                </w:tcPr>
                <w:p w14:paraId="63F33C7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20</w:t>
                  </w:r>
                </w:p>
              </w:tc>
              <w:tc>
                <w:tcPr>
                  <w:tcW w:w="575" w:type="pct"/>
                  <w:vAlign w:val="center"/>
                </w:tcPr>
                <w:p w14:paraId="0563034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≤3.0</w:t>
                  </w:r>
                </w:p>
              </w:tc>
            </w:tr>
            <w:tr w:rsidR="003C4F46" w:rsidRPr="00AD32F2" w14:paraId="0027F04A" w14:textId="77777777">
              <w:trPr>
                <w:tblHeader/>
                <w:jc w:val="center"/>
              </w:trPr>
              <w:tc>
                <w:tcPr>
                  <w:tcW w:w="852" w:type="pct"/>
                  <w:vAlign w:val="center"/>
                </w:tcPr>
                <w:p w14:paraId="656B10D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铜</w:t>
                  </w:r>
                </w:p>
              </w:tc>
              <w:tc>
                <w:tcPr>
                  <w:tcW w:w="610" w:type="pct"/>
                  <w:vAlign w:val="center"/>
                </w:tcPr>
                <w:p w14:paraId="5771BEB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proofErr w:type="spellStart"/>
                  <w:r w:rsidRPr="00AD32F2">
                    <w:rPr>
                      <w:rFonts w:cs="Times New Roman"/>
                      <w:bCs/>
                      <w:sz w:val="21"/>
                      <w:szCs w:val="21"/>
                    </w:rPr>
                    <w:t>μg</w:t>
                  </w:r>
                  <w:proofErr w:type="spellEnd"/>
                  <w:r w:rsidRPr="00AD32F2">
                    <w:rPr>
                      <w:rFonts w:cs="Times New Roman"/>
                      <w:bCs/>
                      <w:sz w:val="21"/>
                      <w:szCs w:val="21"/>
                    </w:rPr>
                    <w:t>/L</w:t>
                  </w:r>
                </w:p>
              </w:tc>
              <w:tc>
                <w:tcPr>
                  <w:tcW w:w="697" w:type="pct"/>
                  <w:vAlign w:val="center"/>
                </w:tcPr>
                <w:p w14:paraId="41AECF5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0.33</w:t>
                  </w:r>
                </w:p>
              </w:tc>
              <w:tc>
                <w:tcPr>
                  <w:tcW w:w="717" w:type="pct"/>
                  <w:vAlign w:val="center"/>
                </w:tcPr>
                <w:p w14:paraId="6A56354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0.33</w:t>
                  </w:r>
                </w:p>
              </w:tc>
              <w:tc>
                <w:tcPr>
                  <w:tcW w:w="861" w:type="pct"/>
                  <w:vAlign w:val="center"/>
                </w:tcPr>
                <w:p w14:paraId="0846760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0.33</w:t>
                  </w:r>
                </w:p>
              </w:tc>
              <w:tc>
                <w:tcPr>
                  <w:tcW w:w="688" w:type="pct"/>
                  <w:vAlign w:val="center"/>
                </w:tcPr>
                <w:p w14:paraId="122ABBD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0.33</w:t>
                  </w:r>
                </w:p>
              </w:tc>
              <w:tc>
                <w:tcPr>
                  <w:tcW w:w="575" w:type="pct"/>
                  <w:vAlign w:val="center"/>
                </w:tcPr>
                <w:p w14:paraId="0C75040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≤1.00</w:t>
                  </w:r>
                </w:p>
              </w:tc>
            </w:tr>
            <w:tr w:rsidR="003C4F46" w:rsidRPr="00AD32F2" w14:paraId="582A0D7C" w14:textId="77777777">
              <w:trPr>
                <w:tblHeader/>
                <w:jc w:val="center"/>
              </w:trPr>
              <w:tc>
                <w:tcPr>
                  <w:tcW w:w="852" w:type="pct"/>
                  <w:vAlign w:val="center"/>
                </w:tcPr>
                <w:p w14:paraId="1739EA6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铅</w:t>
                  </w:r>
                </w:p>
              </w:tc>
              <w:tc>
                <w:tcPr>
                  <w:tcW w:w="610" w:type="pct"/>
                  <w:vAlign w:val="center"/>
                </w:tcPr>
                <w:p w14:paraId="23E228A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proofErr w:type="spellStart"/>
                  <w:r w:rsidRPr="00AD32F2">
                    <w:rPr>
                      <w:rFonts w:cs="Times New Roman"/>
                      <w:bCs/>
                      <w:sz w:val="21"/>
                      <w:szCs w:val="21"/>
                    </w:rPr>
                    <w:t>μg</w:t>
                  </w:r>
                  <w:proofErr w:type="spellEnd"/>
                  <w:r w:rsidRPr="00AD32F2">
                    <w:rPr>
                      <w:rFonts w:cs="Times New Roman"/>
                      <w:bCs/>
                      <w:sz w:val="21"/>
                      <w:szCs w:val="21"/>
                    </w:rPr>
                    <w:t>/L</w:t>
                  </w:r>
                </w:p>
              </w:tc>
              <w:tc>
                <w:tcPr>
                  <w:tcW w:w="697" w:type="pct"/>
                  <w:vAlign w:val="center"/>
                </w:tcPr>
                <w:p w14:paraId="363DFEC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1.24</w:t>
                  </w:r>
                </w:p>
              </w:tc>
              <w:tc>
                <w:tcPr>
                  <w:tcW w:w="717" w:type="pct"/>
                  <w:vAlign w:val="center"/>
                </w:tcPr>
                <w:p w14:paraId="0363736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1.24</w:t>
                  </w:r>
                </w:p>
              </w:tc>
              <w:tc>
                <w:tcPr>
                  <w:tcW w:w="861" w:type="pct"/>
                  <w:vAlign w:val="center"/>
                </w:tcPr>
                <w:p w14:paraId="19500EB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1.24</w:t>
                  </w:r>
                </w:p>
              </w:tc>
              <w:tc>
                <w:tcPr>
                  <w:tcW w:w="688" w:type="pct"/>
                  <w:vAlign w:val="center"/>
                </w:tcPr>
                <w:p w14:paraId="2F514E7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1.24</w:t>
                  </w:r>
                </w:p>
              </w:tc>
              <w:tc>
                <w:tcPr>
                  <w:tcW w:w="575" w:type="pct"/>
                  <w:vAlign w:val="center"/>
                </w:tcPr>
                <w:p w14:paraId="5D3BBF6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≤20.0</w:t>
                  </w:r>
                </w:p>
              </w:tc>
            </w:tr>
            <w:tr w:rsidR="003C4F46" w:rsidRPr="00AD32F2" w14:paraId="1A38AC56" w14:textId="77777777">
              <w:trPr>
                <w:tblHeader/>
                <w:jc w:val="center"/>
              </w:trPr>
              <w:tc>
                <w:tcPr>
                  <w:tcW w:w="852" w:type="pct"/>
                  <w:vAlign w:val="center"/>
                </w:tcPr>
                <w:p w14:paraId="605423B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镉</w:t>
                  </w:r>
                </w:p>
              </w:tc>
              <w:tc>
                <w:tcPr>
                  <w:tcW w:w="610" w:type="pct"/>
                  <w:vAlign w:val="center"/>
                </w:tcPr>
                <w:p w14:paraId="16EA086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proofErr w:type="spellStart"/>
                  <w:r w:rsidRPr="00AD32F2">
                    <w:rPr>
                      <w:rFonts w:cs="Times New Roman"/>
                      <w:bCs/>
                      <w:sz w:val="21"/>
                      <w:szCs w:val="21"/>
                    </w:rPr>
                    <w:t>μg</w:t>
                  </w:r>
                  <w:proofErr w:type="spellEnd"/>
                  <w:r w:rsidRPr="00AD32F2">
                    <w:rPr>
                      <w:rFonts w:cs="Times New Roman"/>
                      <w:bCs/>
                      <w:sz w:val="21"/>
                      <w:szCs w:val="21"/>
                    </w:rPr>
                    <w:t>/L</w:t>
                  </w:r>
                </w:p>
              </w:tc>
              <w:tc>
                <w:tcPr>
                  <w:tcW w:w="697" w:type="pct"/>
                  <w:vAlign w:val="center"/>
                </w:tcPr>
                <w:p w14:paraId="2B504B3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0.17</w:t>
                  </w:r>
                </w:p>
              </w:tc>
              <w:tc>
                <w:tcPr>
                  <w:tcW w:w="717" w:type="pct"/>
                  <w:vAlign w:val="center"/>
                </w:tcPr>
                <w:p w14:paraId="4262CFA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0.17</w:t>
                  </w:r>
                </w:p>
              </w:tc>
              <w:tc>
                <w:tcPr>
                  <w:tcW w:w="861" w:type="pct"/>
                  <w:vAlign w:val="center"/>
                </w:tcPr>
                <w:p w14:paraId="63C6175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0.17</w:t>
                  </w:r>
                </w:p>
              </w:tc>
              <w:tc>
                <w:tcPr>
                  <w:tcW w:w="688" w:type="pct"/>
                  <w:vAlign w:val="center"/>
                </w:tcPr>
                <w:p w14:paraId="417AF36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0.17</w:t>
                  </w:r>
                </w:p>
              </w:tc>
              <w:tc>
                <w:tcPr>
                  <w:tcW w:w="575" w:type="pct"/>
                  <w:vAlign w:val="center"/>
                </w:tcPr>
                <w:p w14:paraId="24D854C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≤0.005</w:t>
                  </w:r>
                </w:p>
              </w:tc>
            </w:tr>
            <w:tr w:rsidR="003C4F46" w:rsidRPr="00AD32F2" w14:paraId="14A5F1AE" w14:textId="77777777">
              <w:trPr>
                <w:tblHeader/>
                <w:jc w:val="center"/>
              </w:trPr>
              <w:tc>
                <w:tcPr>
                  <w:tcW w:w="852" w:type="pct"/>
                  <w:vAlign w:val="center"/>
                </w:tcPr>
                <w:p w14:paraId="0B381D8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锌</w:t>
                  </w:r>
                </w:p>
              </w:tc>
              <w:tc>
                <w:tcPr>
                  <w:tcW w:w="610" w:type="pct"/>
                  <w:vAlign w:val="center"/>
                </w:tcPr>
                <w:p w14:paraId="02D0DBE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2190A79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0.05</w:t>
                  </w:r>
                </w:p>
              </w:tc>
              <w:tc>
                <w:tcPr>
                  <w:tcW w:w="717" w:type="pct"/>
                  <w:vAlign w:val="center"/>
                </w:tcPr>
                <w:p w14:paraId="457A766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0.05</w:t>
                  </w:r>
                </w:p>
              </w:tc>
              <w:tc>
                <w:tcPr>
                  <w:tcW w:w="861" w:type="pct"/>
                  <w:vAlign w:val="center"/>
                </w:tcPr>
                <w:p w14:paraId="061CDB0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0.05</w:t>
                  </w:r>
                </w:p>
              </w:tc>
              <w:tc>
                <w:tcPr>
                  <w:tcW w:w="688" w:type="pct"/>
                  <w:vAlign w:val="center"/>
                </w:tcPr>
                <w:p w14:paraId="1C0C842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0.05</w:t>
                  </w:r>
                </w:p>
              </w:tc>
              <w:tc>
                <w:tcPr>
                  <w:tcW w:w="575" w:type="pct"/>
                  <w:vAlign w:val="center"/>
                </w:tcPr>
                <w:p w14:paraId="27376EE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≤1.0</w:t>
                  </w:r>
                </w:p>
              </w:tc>
            </w:tr>
            <w:tr w:rsidR="003C4F46" w:rsidRPr="00AD32F2" w14:paraId="68214A6E" w14:textId="77777777">
              <w:trPr>
                <w:tblHeader/>
                <w:jc w:val="center"/>
              </w:trPr>
              <w:tc>
                <w:tcPr>
                  <w:tcW w:w="852" w:type="pct"/>
                  <w:vAlign w:val="center"/>
                </w:tcPr>
                <w:p w14:paraId="3D35535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铁</w:t>
                  </w:r>
                </w:p>
              </w:tc>
              <w:tc>
                <w:tcPr>
                  <w:tcW w:w="610" w:type="pct"/>
                  <w:vAlign w:val="center"/>
                </w:tcPr>
                <w:p w14:paraId="41C9F94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7C6C209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0.03</w:t>
                  </w:r>
                </w:p>
              </w:tc>
              <w:tc>
                <w:tcPr>
                  <w:tcW w:w="717" w:type="pct"/>
                  <w:vAlign w:val="center"/>
                </w:tcPr>
                <w:p w14:paraId="5B2BCD0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0.03</w:t>
                  </w:r>
                </w:p>
              </w:tc>
              <w:tc>
                <w:tcPr>
                  <w:tcW w:w="861" w:type="pct"/>
                  <w:vAlign w:val="center"/>
                </w:tcPr>
                <w:p w14:paraId="3A653C9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0.03</w:t>
                  </w:r>
                </w:p>
              </w:tc>
              <w:tc>
                <w:tcPr>
                  <w:tcW w:w="688" w:type="pct"/>
                  <w:vAlign w:val="center"/>
                </w:tcPr>
                <w:p w14:paraId="58D3404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r w:rsidRPr="00AD32F2">
                    <w:rPr>
                      <w:rFonts w:cs="Times New Roman"/>
                      <w:bCs/>
                      <w:sz w:val="21"/>
                      <w:szCs w:val="21"/>
                    </w:rPr>
                    <w:t>0.03</w:t>
                  </w:r>
                </w:p>
              </w:tc>
              <w:tc>
                <w:tcPr>
                  <w:tcW w:w="575" w:type="pct"/>
                  <w:vAlign w:val="center"/>
                </w:tcPr>
                <w:p w14:paraId="3B55DD8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≤0.3</w:t>
                  </w:r>
                </w:p>
              </w:tc>
            </w:tr>
            <w:tr w:rsidR="003C4F46" w:rsidRPr="00AD32F2" w14:paraId="2CCC5F4E" w14:textId="77777777">
              <w:trPr>
                <w:tblHeader/>
                <w:jc w:val="center"/>
              </w:trPr>
              <w:tc>
                <w:tcPr>
                  <w:tcW w:w="852" w:type="pct"/>
                  <w:vAlign w:val="center"/>
                </w:tcPr>
                <w:p w14:paraId="6031407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锰</w:t>
                  </w:r>
                </w:p>
              </w:tc>
              <w:tc>
                <w:tcPr>
                  <w:tcW w:w="610" w:type="pct"/>
                  <w:vAlign w:val="center"/>
                </w:tcPr>
                <w:p w14:paraId="5C83F62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4D86B12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717" w:type="pct"/>
                  <w:vAlign w:val="center"/>
                </w:tcPr>
                <w:p w14:paraId="4346D22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861" w:type="pct"/>
                  <w:vAlign w:val="center"/>
                </w:tcPr>
                <w:p w14:paraId="0EF7EED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688" w:type="pct"/>
                  <w:vAlign w:val="center"/>
                </w:tcPr>
                <w:p w14:paraId="58937AF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575" w:type="pct"/>
                  <w:vAlign w:val="center"/>
                </w:tcPr>
                <w:p w14:paraId="2CE01D2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≤0.1</w:t>
                  </w:r>
                </w:p>
              </w:tc>
            </w:tr>
            <w:tr w:rsidR="003C4F46" w:rsidRPr="00AD32F2" w14:paraId="14F609D5" w14:textId="77777777">
              <w:trPr>
                <w:tblHeader/>
                <w:jc w:val="center"/>
              </w:trPr>
              <w:tc>
                <w:tcPr>
                  <w:tcW w:w="852" w:type="pct"/>
                  <w:vAlign w:val="center"/>
                </w:tcPr>
                <w:p w14:paraId="3770F4E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汞</w:t>
                  </w:r>
                </w:p>
              </w:tc>
              <w:tc>
                <w:tcPr>
                  <w:tcW w:w="610" w:type="pct"/>
                  <w:vAlign w:val="center"/>
                </w:tcPr>
                <w:p w14:paraId="036FF2E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proofErr w:type="spellStart"/>
                  <w:r w:rsidRPr="00AD32F2">
                    <w:rPr>
                      <w:rFonts w:cs="Times New Roman"/>
                      <w:bCs/>
                      <w:sz w:val="21"/>
                      <w:szCs w:val="21"/>
                    </w:rPr>
                    <w:t>μg</w:t>
                  </w:r>
                  <w:proofErr w:type="spellEnd"/>
                  <w:r w:rsidRPr="00AD32F2">
                    <w:rPr>
                      <w:rFonts w:cs="Times New Roman"/>
                      <w:bCs/>
                      <w:sz w:val="21"/>
                      <w:szCs w:val="21"/>
                    </w:rPr>
                    <w:t>/L</w:t>
                  </w:r>
                </w:p>
              </w:tc>
              <w:tc>
                <w:tcPr>
                  <w:tcW w:w="697" w:type="pct"/>
                  <w:vAlign w:val="center"/>
                </w:tcPr>
                <w:p w14:paraId="78C719A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0.04</w:t>
                  </w:r>
                </w:p>
              </w:tc>
              <w:tc>
                <w:tcPr>
                  <w:tcW w:w="717" w:type="pct"/>
                  <w:vAlign w:val="center"/>
                </w:tcPr>
                <w:p w14:paraId="092F23C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0.04</w:t>
                  </w:r>
                </w:p>
              </w:tc>
              <w:tc>
                <w:tcPr>
                  <w:tcW w:w="861" w:type="pct"/>
                  <w:vAlign w:val="center"/>
                </w:tcPr>
                <w:p w14:paraId="707C97E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0.04</w:t>
                  </w:r>
                </w:p>
              </w:tc>
              <w:tc>
                <w:tcPr>
                  <w:tcW w:w="688" w:type="pct"/>
                  <w:vAlign w:val="center"/>
                </w:tcPr>
                <w:p w14:paraId="76DB85F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0.04</w:t>
                  </w:r>
                </w:p>
              </w:tc>
              <w:tc>
                <w:tcPr>
                  <w:tcW w:w="575" w:type="pct"/>
                  <w:vAlign w:val="center"/>
                </w:tcPr>
                <w:p w14:paraId="5EAFAFB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≤0.001</w:t>
                  </w:r>
                </w:p>
              </w:tc>
            </w:tr>
            <w:tr w:rsidR="003C4F46" w:rsidRPr="00AD32F2" w14:paraId="4E365F06" w14:textId="77777777">
              <w:trPr>
                <w:tblHeader/>
                <w:jc w:val="center"/>
              </w:trPr>
              <w:tc>
                <w:tcPr>
                  <w:tcW w:w="852" w:type="pct"/>
                  <w:vAlign w:val="center"/>
                </w:tcPr>
                <w:p w14:paraId="3DE3E2E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砷</w:t>
                  </w:r>
                </w:p>
              </w:tc>
              <w:tc>
                <w:tcPr>
                  <w:tcW w:w="610" w:type="pct"/>
                  <w:vAlign w:val="center"/>
                </w:tcPr>
                <w:p w14:paraId="6A83BBE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proofErr w:type="spellStart"/>
                  <w:r w:rsidRPr="00AD32F2">
                    <w:rPr>
                      <w:rFonts w:cs="Times New Roman"/>
                      <w:bCs/>
                      <w:sz w:val="21"/>
                      <w:szCs w:val="21"/>
                    </w:rPr>
                    <w:t>μg</w:t>
                  </w:r>
                  <w:proofErr w:type="spellEnd"/>
                  <w:r w:rsidRPr="00AD32F2">
                    <w:rPr>
                      <w:rFonts w:cs="Times New Roman"/>
                      <w:bCs/>
                      <w:sz w:val="21"/>
                      <w:szCs w:val="21"/>
                    </w:rPr>
                    <w:t>/L</w:t>
                  </w:r>
                </w:p>
              </w:tc>
              <w:tc>
                <w:tcPr>
                  <w:tcW w:w="697" w:type="pct"/>
                  <w:vAlign w:val="center"/>
                </w:tcPr>
                <w:p w14:paraId="5ACCC23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w:t>
                  </w:r>
                </w:p>
              </w:tc>
              <w:tc>
                <w:tcPr>
                  <w:tcW w:w="717" w:type="pct"/>
                  <w:vAlign w:val="center"/>
                </w:tcPr>
                <w:p w14:paraId="7C44B43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w:t>
                  </w:r>
                </w:p>
              </w:tc>
              <w:tc>
                <w:tcPr>
                  <w:tcW w:w="861" w:type="pct"/>
                  <w:vAlign w:val="center"/>
                </w:tcPr>
                <w:p w14:paraId="72C381B1"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w:t>
                  </w:r>
                </w:p>
              </w:tc>
              <w:tc>
                <w:tcPr>
                  <w:tcW w:w="688" w:type="pct"/>
                  <w:vAlign w:val="center"/>
                </w:tcPr>
                <w:p w14:paraId="5153551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0.3</w:t>
                  </w:r>
                </w:p>
              </w:tc>
              <w:tc>
                <w:tcPr>
                  <w:tcW w:w="575" w:type="pct"/>
                  <w:vAlign w:val="center"/>
                </w:tcPr>
                <w:p w14:paraId="04F5367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≤0.01</w:t>
                  </w:r>
                </w:p>
              </w:tc>
            </w:tr>
            <w:tr w:rsidR="003C4F46" w:rsidRPr="00AD32F2" w14:paraId="5050E250" w14:textId="77777777">
              <w:trPr>
                <w:tblHeader/>
                <w:jc w:val="center"/>
              </w:trPr>
              <w:tc>
                <w:tcPr>
                  <w:tcW w:w="852" w:type="pct"/>
                  <w:vAlign w:val="center"/>
                </w:tcPr>
                <w:p w14:paraId="16E8381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钾离子</w:t>
                  </w:r>
                </w:p>
              </w:tc>
              <w:tc>
                <w:tcPr>
                  <w:tcW w:w="610" w:type="pct"/>
                  <w:vAlign w:val="center"/>
                </w:tcPr>
                <w:p w14:paraId="65BC3B5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013E78C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0.90</w:t>
                  </w:r>
                </w:p>
              </w:tc>
              <w:tc>
                <w:tcPr>
                  <w:tcW w:w="717" w:type="pct"/>
                  <w:vAlign w:val="center"/>
                </w:tcPr>
                <w:p w14:paraId="54ABB51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1.32</w:t>
                  </w:r>
                </w:p>
              </w:tc>
              <w:tc>
                <w:tcPr>
                  <w:tcW w:w="861" w:type="pct"/>
                  <w:vAlign w:val="center"/>
                </w:tcPr>
                <w:p w14:paraId="5A4F34E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1.29</w:t>
                  </w:r>
                </w:p>
              </w:tc>
              <w:tc>
                <w:tcPr>
                  <w:tcW w:w="688" w:type="pct"/>
                  <w:vAlign w:val="center"/>
                </w:tcPr>
                <w:p w14:paraId="2BAD8FC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0.79</w:t>
                  </w:r>
                </w:p>
              </w:tc>
              <w:tc>
                <w:tcPr>
                  <w:tcW w:w="575" w:type="pct"/>
                  <w:vAlign w:val="center"/>
                </w:tcPr>
                <w:p w14:paraId="3C70D96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r>
            <w:tr w:rsidR="003C4F46" w:rsidRPr="00AD32F2" w14:paraId="2B4FA6F1" w14:textId="77777777">
              <w:trPr>
                <w:tblHeader/>
                <w:jc w:val="center"/>
              </w:trPr>
              <w:tc>
                <w:tcPr>
                  <w:tcW w:w="852" w:type="pct"/>
                  <w:vAlign w:val="center"/>
                </w:tcPr>
                <w:p w14:paraId="4A07031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钙离子</w:t>
                  </w:r>
                </w:p>
              </w:tc>
              <w:tc>
                <w:tcPr>
                  <w:tcW w:w="610" w:type="pct"/>
                  <w:vAlign w:val="center"/>
                </w:tcPr>
                <w:p w14:paraId="0A0F202B"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0151C0A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81.5</w:t>
                  </w:r>
                </w:p>
              </w:tc>
              <w:tc>
                <w:tcPr>
                  <w:tcW w:w="717" w:type="pct"/>
                  <w:vAlign w:val="center"/>
                </w:tcPr>
                <w:p w14:paraId="3859896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125</w:t>
                  </w:r>
                </w:p>
              </w:tc>
              <w:tc>
                <w:tcPr>
                  <w:tcW w:w="861" w:type="pct"/>
                  <w:vAlign w:val="center"/>
                </w:tcPr>
                <w:p w14:paraId="5DF85AF4"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131</w:t>
                  </w:r>
                </w:p>
              </w:tc>
              <w:tc>
                <w:tcPr>
                  <w:tcW w:w="688" w:type="pct"/>
                  <w:vAlign w:val="center"/>
                </w:tcPr>
                <w:p w14:paraId="1BC62C9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91.3</w:t>
                  </w:r>
                </w:p>
              </w:tc>
              <w:tc>
                <w:tcPr>
                  <w:tcW w:w="575" w:type="pct"/>
                  <w:vAlign w:val="center"/>
                </w:tcPr>
                <w:p w14:paraId="1CA9708E"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r>
            <w:tr w:rsidR="003C4F46" w:rsidRPr="00AD32F2" w14:paraId="10157A9C" w14:textId="77777777">
              <w:trPr>
                <w:tblHeader/>
                <w:jc w:val="center"/>
              </w:trPr>
              <w:tc>
                <w:tcPr>
                  <w:tcW w:w="852" w:type="pct"/>
                  <w:vAlign w:val="center"/>
                </w:tcPr>
                <w:p w14:paraId="29C43D99"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镁离子</w:t>
                  </w:r>
                </w:p>
              </w:tc>
              <w:tc>
                <w:tcPr>
                  <w:tcW w:w="610" w:type="pct"/>
                  <w:vAlign w:val="center"/>
                </w:tcPr>
                <w:p w14:paraId="687BEC7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752AD7C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28.4</w:t>
                  </w:r>
                </w:p>
              </w:tc>
              <w:tc>
                <w:tcPr>
                  <w:tcW w:w="717" w:type="pct"/>
                  <w:vAlign w:val="center"/>
                </w:tcPr>
                <w:p w14:paraId="07A4217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39.4</w:t>
                  </w:r>
                </w:p>
              </w:tc>
              <w:tc>
                <w:tcPr>
                  <w:tcW w:w="861" w:type="pct"/>
                  <w:vAlign w:val="center"/>
                </w:tcPr>
                <w:p w14:paraId="3EA4B2F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41.4</w:t>
                  </w:r>
                </w:p>
              </w:tc>
              <w:tc>
                <w:tcPr>
                  <w:tcW w:w="688" w:type="pct"/>
                  <w:vAlign w:val="center"/>
                </w:tcPr>
                <w:p w14:paraId="4F727450"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27.1</w:t>
                  </w:r>
                </w:p>
              </w:tc>
              <w:tc>
                <w:tcPr>
                  <w:tcW w:w="575" w:type="pct"/>
                  <w:vAlign w:val="center"/>
                </w:tcPr>
                <w:p w14:paraId="74E4FEF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r>
            <w:tr w:rsidR="003C4F46" w:rsidRPr="00AD32F2" w14:paraId="2B702124" w14:textId="77777777">
              <w:trPr>
                <w:tblHeader/>
                <w:jc w:val="center"/>
              </w:trPr>
              <w:tc>
                <w:tcPr>
                  <w:tcW w:w="852" w:type="pct"/>
                  <w:vAlign w:val="center"/>
                </w:tcPr>
                <w:p w14:paraId="230D6D5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碳酸氢根离子</w:t>
                  </w:r>
                </w:p>
              </w:tc>
              <w:tc>
                <w:tcPr>
                  <w:tcW w:w="610" w:type="pct"/>
                  <w:vAlign w:val="center"/>
                </w:tcPr>
                <w:p w14:paraId="5528850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c>
                <w:tcPr>
                  <w:tcW w:w="697" w:type="pct"/>
                  <w:vAlign w:val="center"/>
                </w:tcPr>
                <w:p w14:paraId="0E858437"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145</w:t>
                  </w:r>
                </w:p>
              </w:tc>
              <w:tc>
                <w:tcPr>
                  <w:tcW w:w="717" w:type="pct"/>
                  <w:vAlign w:val="center"/>
                </w:tcPr>
                <w:p w14:paraId="332DFDC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150</w:t>
                  </w:r>
                </w:p>
              </w:tc>
              <w:tc>
                <w:tcPr>
                  <w:tcW w:w="861" w:type="pct"/>
                  <w:vAlign w:val="center"/>
                </w:tcPr>
                <w:p w14:paraId="066EC126"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351</w:t>
                  </w:r>
                </w:p>
              </w:tc>
              <w:tc>
                <w:tcPr>
                  <w:tcW w:w="688" w:type="pct"/>
                  <w:vAlign w:val="center"/>
                </w:tcPr>
                <w:p w14:paraId="61F4853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139</w:t>
                  </w:r>
                </w:p>
              </w:tc>
              <w:tc>
                <w:tcPr>
                  <w:tcW w:w="575" w:type="pct"/>
                  <w:vAlign w:val="center"/>
                </w:tcPr>
                <w:p w14:paraId="7CA6F0C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r>
            <w:tr w:rsidR="003C4F46" w:rsidRPr="00AD32F2" w14:paraId="6D2F6159" w14:textId="77777777">
              <w:trPr>
                <w:tblHeader/>
                <w:jc w:val="center"/>
              </w:trPr>
              <w:tc>
                <w:tcPr>
                  <w:tcW w:w="852" w:type="pct"/>
                  <w:vAlign w:val="center"/>
                </w:tcPr>
                <w:p w14:paraId="07B43EEB" w14:textId="77777777" w:rsidR="003C4F46" w:rsidRPr="00AD32F2" w:rsidRDefault="004B6A81">
                  <w:pPr>
                    <w:adjustRightInd w:val="0"/>
                    <w:snapToGrid w:val="0"/>
                    <w:spacing w:line="240" w:lineRule="auto"/>
                    <w:ind w:firstLineChars="0" w:firstLine="0"/>
                    <w:jc w:val="center"/>
                    <w:outlineLvl w:val="3"/>
                    <w:rPr>
                      <w:rFonts w:cs="Times New Roman"/>
                      <w:color w:val="000000"/>
                      <w:sz w:val="21"/>
                      <w:szCs w:val="21"/>
                    </w:rPr>
                  </w:pPr>
                  <w:r w:rsidRPr="00AD32F2">
                    <w:rPr>
                      <w:rFonts w:cs="Times New Roman"/>
                      <w:color w:val="000000"/>
                      <w:sz w:val="21"/>
                      <w:szCs w:val="21"/>
                    </w:rPr>
                    <w:t>碳酸盐</w:t>
                  </w:r>
                </w:p>
              </w:tc>
              <w:tc>
                <w:tcPr>
                  <w:tcW w:w="610" w:type="pct"/>
                  <w:vAlign w:val="center"/>
                </w:tcPr>
                <w:p w14:paraId="28DE72D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c>
                <w:tcPr>
                  <w:tcW w:w="697" w:type="pct"/>
                  <w:vAlign w:val="center"/>
                </w:tcPr>
                <w:p w14:paraId="78E9A302"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未检出</w:t>
                  </w:r>
                </w:p>
              </w:tc>
              <w:tc>
                <w:tcPr>
                  <w:tcW w:w="717" w:type="pct"/>
                  <w:vAlign w:val="center"/>
                </w:tcPr>
                <w:p w14:paraId="361F874D"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未检出</w:t>
                  </w:r>
                </w:p>
              </w:tc>
              <w:tc>
                <w:tcPr>
                  <w:tcW w:w="861" w:type="pct"/>
                  <w:vAlign w:val="center"/>
                </w:tcPr>
                <w:p w14:paraId="72966D4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未检出</w:t>
                  </w:r>
                </w:p>
              </w:tc>
              <w:tc>
                <w:tcPr>
                  <w:tcW w:w="688" w:type="pct"/>
                  <w:vAlign w:val="center"/>
                </w:tcPr>
                <w:p w14:paraId="0FEC75D3"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未检出</w:t>
                  </w:r>
                </w:p>
              </w:tc>
              <w:tc>
                <w:tcPr>
                  <w:tcW w:w="575" w:type="pct"/>
                  <w:vAlign w:val="center"/>
                </w:tcPr>
                <w:p w14:paraId="7D70D88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r>
            <w:tr w:rsidR="003C4F46" w:rsidRPr="00AD32F2" w14:paraId="64034EC1" w14:textId="77777777">
              <w:trPr>
                <w:tblHeader/>
                <w:jc w:val="center"/>
              </w:trPr>
              <w:tc>
                <w:tcPr>
                  <w:tcW w:w="852" w:type="pct"/>
                  <w:vAlign w:val="center"/>
                </w:tcPr>
                <w:p w14:paraId="4DB67710" w14:textId="77777777" w:rsidR="003C4F46" w:rsidRPr="00AD32F2" w:rsidRDefault="004B6A81">
                  <w:pPr>
                    <w:adjustRightInd w:val="0"/>
                    <w:snapToGrid w:val="0"/>
                    <w:spacing w:line="240" w:lineRule="auto"/>
                    <w:ind w:firstLineChars="0" w:firstLine="0"/>
                    <w:jc w:val="center"/>
                    <w:outlineLvl w:val="3"/>
                    <w:rPr>
                      <w:rFonts w:cs="Times New Roman"/>
                      <w:color w:val="000000"/>
                      <w:sz w:val="21"/>
                      <w:szCs w:val="21"/>
                    </w:rPr>
                  </w:pPr>
                  <w:r w:rsidRPr="00AD32F2">
                    <w:rPr>
                      <w:rFonts w:cs="Times New Roman"/>
                      <w:color w:val="000000"/>
                      <w:sz w:val="21"/>
                      <w:szCs w:val="21"/>
                    </w:rPr>
                    <w:t>石油类</w:t>
                  </w:r>
                </w:p>
              </w:tc>
              <w:tc>
                <w:tcPr>
                  <w:tcW w:w="610" w:type="pct"/>
                  <w:vAlign w:val="center"/>
                </w:tcPr>
                <w:p w14:paraId="6C0271A8"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mg/L</w:t>
                  </w:r>
                </w:p>
              </w:tc>
              <w:tc>
                <w:tcPr>
                  <w:tcW w:w="697" w:type="pct"/>
                  <w:vAlign w:val="center"/>
                </w:tcPr>
                <w:p w14:paraId="34CF39DC"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717" w:type="pct"/>
                  <w:vAlign w:val="center"/>
                </w:tcPr>
                <w:p w14:paraId="0CEB824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861" w:type="pct"/>
                  <w:vAlign w:val="center"/>
                </w:tcPr>
                <w:p w14:paraId="41F14045"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688" w:type="pct"/>
                  <w:vAlign w:val="center"/>
                </w:tcPr>
                <w:p w14:paraId="5F3B818A"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color w:val="000000"/>
                      <w:sz w:val="21"/>
                      <w:szCs w:val="21"/>
                    </w:rPr>
                    <w:t>＜</w:t>
                  </w:r>
                  <w:r w:rsidRPr="00AD32F2">
                    <w:rPr>
                      <w:rFonts w:cs="Times New Roman"/>
                      <w:color w:val="000000"/>
                      <w:sz w:val="21"/>
                      <w:szCs w:val="21"/>
                    </w:rPr>
                    <w:t>0.01</w:t>
                  </w:r>
                </w:p>
              </w:tc>
              <w:tc>
                <w:tcPr>
                  <w:tcW w:w="575" w:type="pct"/>
                  <w:vAlign w:val="center"/>
                </w:tcPr>
                <w:p w14:paraId="08E5693F" w14:textId="77777777" w:rsidR="003C4F46" w:rsidRPr="00AD32F2" w:rsidRDefault="004B6A81">
                  <w:pPr>
                    <w:adjustRightInd w:val="0"/>
                    <w:snapToGrid w:val="0"/>
                    <w:spacing w:line="240" w:lineRule="auto"/>
                    <w:ind w:firstLineChars="0" w:firstLine="0"/>
                    <w:jc w:val="center"/>
                    <w:outlineLvl w:val="3"/>
                    <w:rPr>
                      <w:rFonts w:cs="Times New Roman"/>
                      <w:bCs/>
                      <w:sz w:val="21"/>
                      <w:szCs w:val="21"/>
                    </w:rPr>
                  </w:pPr>
                  <w:r w:rsidRPr="00AD32F2">
                    <w:rPr>
                      <w:rFonts w:cs="Times New Roman"/>
                      <w:bCs/>
                      <w:sz w:val="21"/>
                      <w:szCs w:val="21"/>
                    </w:rPr>
                    <w:t>/</w:t>
                  </w:r>
                </w:p>
              </w:tc>
            </w:tr>
          </w:tbl>
          <w:p w14:paraId="6DF13D25" w14:textId="77777777" w:rsidR="003C4F46" w:rsidRDefault="004B6A81">
            <w:pPr>
              <w:ind w:firstLine="480"/>
              <w:rPr>
                <w:rFonts w:cs="Times New Roman"/>
              </w:rPr>
            </w:pPr>
            <w:r>
              <w:rPr>
                <w:rFonts w:cs="Times New Roman"/>
              </w:rPr>
              <w:t>根据监测结果可知，总硬度、氯化物、硫酸盐、溶解性总固体、钠离子超标，超标原因主要为本项目所在区域土壤岩性和水文地质原生条件有关，自然背景值高，其余各监测点的各项监测因子均满足《地下水质量标准》（</w:t>
            </w:r>
            <w:r>
              <w:rPr>
                <w:rFonts w:cs="Times New Roman"/>
              </w:rPr>
              <w:t>GB/T14848-2017</w:t>
            </w:r>
            <w:r>
              <w:rPr>
                <w:rFonts w:cs="Times New Roman"/>
              </w:rPr>
              <w:t>）中</w:t>
            </w:r>
            <w:r>
              <w:rPr>
                <w:rFonts w:cs="Times New Roman"/>
              </w:rPr>
              <w:t>Ⅲ</w:t>
            </w:r>
            <w:r>
              <w:rPr>
                <w:rFonts w:cs="Times New Roman"/>
              </w:rPr>
              <w:t>类标准限值的要求</w:t>
            </w:r>
            <w:r>
              <w:rPr>
                <w:rFonts w:hint="eastAsia"/>
              </w:rPr>
              <w:t>。</w:t>
            </w:r>
          </w:p>
          <w:p w14:paraId="5AC39805" w14:textId="77777777" w:rsidR="003C4F46" w:rsidRDefault="004B6A81">
            <w:pPr>
              <w:pStyle w:val="3"/>
              <w:rPr>
                <w:color w:val="000000" w:themeColor="text1"/>
              </w:rPr>
            </w:pPr>
            <w:r>
              <w:rPr>
                <w:rFonts w:hint="eastAsia"/>
              </w:rPr>
              <w:lastRenderedPageBreak/>
              <w:t>3.</w:t>
            </w:r>
            <w:r>
              <w:t>5</w:t>
            </w:r>
            <w:r>
              <w:rPr>
                <w:rFonts w:hint="eastAsia"/>
              </w:rPr>
              <w:t>土壤</w:t>
            </w:r>
            <w:r>
              <w:rPr>
                <w:rFonts w:hint="eastAsia"/>
                <w:color w:val="000000" w:themeColor="text1"/>
              </w:rPr>
              <w:t>环境质量现状</w:t>
            </w:r>
          </w:p>
          <w:p w14:paraId="1CABE118" w14:textId="77777777" w:rsidR="003C4F46" w:rsidRDefault="004B6A81">
            <w:pPr>
              <w:ind w:firstLine="480"/>
            </w:pPr>
            <w:r>
              <w:rPr>
                <w:rFonts w:hint="eastAsia"/>
              </w:rPr>
              <w:t>（</w:t>
            </w:r>
            <w:r>
              <w:rPr>
                <w:rFonts w:hint="eastAsia"/>
              </w:rPr>
              <w:t>1</w:t>
            </w:r>
            <w:r>
              <w:rPr>
                <w:rFonts w:hint="eastAsia"/>
              </w:rPr>
              <w:t>）数据来源</w:t>
            </w:r>
          </w:p>
          <w:p w14:paraId="08E71111" w14:textId="77777777" w:rsidR="003C4F46" w:rsidRDefault="004B6A81">
            <w:pPr>
              <w:ind w:firstLine="480"/>
            </w:pPr>
            <w:r>
              <w:rPr>
                <w:rFonts w:cs="Times New Roman" w:hint="eastAsia"/>
                <w:bCs/>
              </w:rPr>
              <w:t>本次评价引用新疆绿格洁瑞环境检测技术有限公司于</w:t>
            </w:r>
            <w:r>
              <w:rPr>
                <w:rFonts w:cs="Times New Roman" w:hint="eastAsia"/>
                <w:bCs/>
              </w:rPr>
              <w:t>2026</w:t>
            </w:r>
            <w:r>
              <w:rPr>
                <w:rFonts w:cs="Times New Roman" w:hint="eastAsia"/>
                <w:bCs/>
              </w:rPr>
              <w:t>年</w:t>
            </w:r>
            <w:r>
              <w:rPr>
                <w:rFonts w:cs="Times New Roman" w:hint="eastAsia"/>
                <w:bCs/>
              </w:rPr>
              <w:t>6</w:t>
            </w:r>
            <w:r>
              <w:rPr>
                <w:rFonts w:cs="Times New Roman" w:hint="eastAsia"/>
                <w:bCs/>
              </w:rPr>
              <w:t>月</w:t>
            </w:r>
            <w:r>
              <w:rPr>
                <w:rFonts w:cs="Times New Roman" w:hint="eastAsia"/>
                <w:bCs/>
              </w:rPr>
              <w:t>13</w:t>
            </w:r>
            <w:r>
              <w:rPr>
                <w:rFonts w:cs="Times New Roman" w:hint="eastAsia"/>
                <w:bCs/>
              </w:rPr>
              <w:t>日采样检测的《轮台塔中石油化工有限公司</w:t>
            </w:r>
            <w:r>
              <w:rPr>
                <w:rFonts w:cs="Times New Roman" w:hint="eastAsia"/>
                <w:bCs/>
              </w:rPr>
              <w:t>2</w:t>
            </w:r>
            <w:r>
              <w:rPr>
                <w:rFonts w:cs="Times New Roman" w:hint="eastAsia"/>
                <w:bCs/>
              </w:rPr>
              <w:t>万吨</w:t>
            </w:r>
            <w:r>
              <w:rPr>
                <w:rFonts w:cs="Times New Roman" w:hint="eastAsia"/>
                <w:bCs/>
              </w:rPr>
              <w:t>/</w:t>
            </w:r>
            <w:r>
              <w:rPr>
                <w:rFonts w:cs="Times New Roman" w:hint="eastAsia"/>
                <w:bCs/>
              </w:rPr>
              <w:t>年废包装桶及废机油滤芯再生利用扩建项目（一期）竣工环境保护验收监测报告》中的监测数据</w:t>
            </w:r>
            <w:r>
              <w:rPr>
                <w:rFonts w:hint="eastAsia"/>
              </w:rPr>
              <w:t>。</w:t>
            </w:r>
          </w:p>
          <w:p w14:paraId="23866742" w14:textId="77777777" w:rsidR="003C4F46" w:rsidRDefault="004B6A81">
            <w:pPr>
              <w:ind w:firstLine="480"/>
            </w:pPr>
            <w:r>
              <w:rPr>
                <w:rFonts w:hint="eastAsia"/>
              </w:rPr>
              <w:t>（</w:t>
            </w:r>
            <w:r>
              <w:rPr>
                <w:rFonts w:hint="eastAsia"/>
              </w:rPr>
              <w:t>2</w:t>
            </w:r>
            <w:r>
              <w:rPr>
                <w:rFonts w:hint="eastAsia"/>
              </w:rPr>
              <w:t>）监测点位</w:t>
            </w:r>
          </w:p>
          <w:p w14:paraId="76341DA6" w14:textId="77777777" w:rsidR="003C4F46" w:rsidRDefault="004B6A81">
            <w:pPr>
              <w:widowControl/>
              <w:spacing w:line="240" w:lineRule="auto"/>
              <w:ind w:firstLine="422"/>
              <w:jc w:val="center"/>
              <w:rPr>
                <w:rFonts w:eastAsia="Times New Roman" w:cs="Times New Roman"/>
                <w:b/>
                <w:bCs/>
                <w:sz w:val="21"/>
                <w:szCs w:val="21"/>
              </w:rPr>
            </w:pPr>
            <w:r>
              <w:rPr>
                <w:rFonts w:ascii="宋体" w:hAnsi="宋体" w:cs="宋体" w:hint="eastAsia"/>
                <w:b/>
                <w:bCs/>
                <w:sz w:val="21"/>
                <w:szCs w:val="21"/>
              </w:rPr>
              <w:t>表</w:t>
            </w:r>
            <w:r>
              <w:rPr>
                <w:rFonts w:eastAsia="Times New Roman" w:cs="Times New Roman"/>
                <w:b/>
                <w:bCs/>
                <w:sz w:val="21"/>
                <w:szCs w:val="21"/>
              </w:rPr>
              <w:t>3-</w:t>
            </w:r>
            <w:r>
              <w:rPr>
                <w:rFonts w:cs="Times New Roman" w:hint="eastAsia"/>
                <w:b/>
                <w:bCs/>
                <w:sz w:val="21"/>
                <w:szCs w:val="21"/>
              </w:rPr>
              <w:t>4</w:t>
            </w:r>
            <w:r>
              <w:rPr>
                <w:rFonts w:eastAsia="Times New Roman" w:cs="Times New Roman"/>
                <w:b/>
                <w:bCs/>
                <w:sz w:val="21"/>
                <w:szCs w:val="21"/>
              </w:rPr>
              <w:t xml:space="preserve">  </w:t>
            </w:r>
            <w:r>
              <w:rPr>
                <w:rFonts w:cs="Times New Roman"/>
                <w:b/>
                <w:bCs/>
                <w:sz w:val="21"/>
                <w:szCs w:val="21"/>
              </w:rPr>
              <w:t>土壤</w:t>
            </w:r>
            <w:r>
              <w:rPr>
                <w:rFonts w:ascii="宋体" w:hAnsi="宋体" w:cs="宋体" w:hint="eastAsia"/>
                <w:b/>
                <w:bCs/>
                <w:sz w:val="21"/>
                <w:szCs w:val="21"/>
              </w:rPr>
              <w:t>监测点位基本信息表</w:t>
            </w:r>
          </w:p>
          <w:tbl>
            <w:tblPr>
              <w:tblW w:w="80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75"/>
              <w:gridCol w:w="2435"/>
              <w:gridCol w:w="1100"/>
              <w:gridCol w:w="1317"/>
              <w:gridCol w:w="928"/>
              <w:gridCol w:w="1085"/>
            </w:tblGrid>
            <w:tr w:rsidR="003C4F46" w14:paraId="06ABEC31" w14:textId="77777777">
              <w:trPr>
                <w:trHeight w:val="322"/>
              </w:trPr>
              <w:tc>
                <w:tcPr>
                  <w:tcW w:w="731" w:type="pct"/>
                  <w:vAlign w:val="center"/>
                </w:tcPr>
                <w:p w14:paraId="48625ED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监测点位名称</w:t>
                  </w:r>
                </w:p>
              </w:tc>
              <w:tc>
                <w:tcPr>
                  <w:tcW w:w="1514" w:type="pct"/>
                  <w:vAlign w:val="center"/>
                </w:tcPr>
                <w:p w14:paraId="00DE445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经纬度坐标</w:t>
                  </w:r>
                </w:p>
              </w:tc>
              <w:tc>
                <w:tcPr>
                  <w:tcW w:w="684" w:type="pct"/>
                  <w:vAlign w:val="center"/>
                </w:tcPr>
                <w:p w14:paraId="69F0815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相对</w:t>
                  </w:r>
                  <w:r>
                    <w:rPr>
                      <w:rFonts w:cs="Times New Roman" w:hint="eastAsia"/>
                      <w:bCs/>
                      <w:sz w:val="21"/>
                      <w:szCs w:val="21"/>
                    </w:rPr>
                    <w:t>本项目</w:t>
                  </w:r>
                  <w:r>
                    <w:rPr>
                      <w:rFonts w:cs="Times New Roman"/>
                      <w:bCs/>
                      <w:sz w:val="21"/>
                      <w:szCs w:val="21"/>
                    </w:rPr>
                    <w:t>方位</w:t>
                  </w:r>
                </w:p>
              </w:tc>
              <w:tc>
                <w:tcPr>
                  <w:tcW w:w="819" w:type="pct"/>
                  <w:vAlign w:val="center"/>
                </w:tcPr>
                <w:p w14:paraId="4A9EC83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相对</w:t>
                  </w:r>
                  <w:r>
                    <w:rPr>
                      <w:rFonts w:cs="Times New Roman" w:hint="eastAsia"/>
                      <w:bCs/>
                      <w:sz w:val="21"/>
                      <w:szCs w:val="21"/>
                    </w:rPr>
                    <w:t>本项目</w:t>
                  </w:r>
                  <w:r>
                    <w:rPr>
                      <w:rFonts w:cs="Times New Roman"/>
                      <w:bCs/>
                      <w:sz w:val="21"/>
                      <w:szCs w:val="21"/>
                    </w:rPr>
                    <w:t>距离</w:t>
                  </w:r>
                  <w:r>
                    <w:rPr>
                      <w:rFonts w:cs="Times New Roman"/>
                      <w:bCs/>
                      <w:sz w:val="21"/>
                      <w:szCs w:val="21"/>
                    </w:rPr>
                    <w:t>/m</w:t>
                  </w:r>
                </w:p>
              </w:tc>
              <w:tc>
                <w:tcPr>
                  <w:tcW w:w="577" w:type="pct"/>
                  <w:vAlign w:val="center"/>
                </w:tcPr>
                <w:p w14:paraId="4874A51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名称</w:t>
                  </w:r>
                </w:p>
              </w:tc>
              <w:tc>
                <w:tcPr>
                  <w:tcW w:w="672" w:type="pct"/>
                  <w:vAlign w:val="center"/>
                </w:tcPr>
                <w:p w14:paraId="3DEEA13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数据来源</w:t>
                  </w:r>
                </w:p>
              </w:tc>
            </w:tr>
            <w:tr w:rsidR="003C4F46" w14:paraId="4555CCF9" w14:textId="77777777">
              <w:trPr>
                <w:trHeight w:val="285"/>
              </w:trPr>
              <w:tc>
                <w:tcPr>
                  <w:tcW w:w="731" w:type="pct"/>
                  <w:vAlign w:val="center"/>
                </w:tcPr>
                <w:p w14:paraId="0C90B72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1#</w:t>
                  </w:r>
                </w:p>
              </w:tc>
              <w:tc>
                <w:tcPr>
                  <w:tcW w:w="1514" w:type="pct"/>
                  <w:vAlign w:val="center"/>
                </w:tcPr>
                <w:p w14:paraId="26CFBC46" w14:textId="5BF5C3AD" w:rsidR="003C4F46" w:rsidRDefault="003C4F46">
                  <w:pPr>
                    <w:adjustRightInd w:val="0"/>
                    <w:snapToGrid w:val="0"/>
                    <w:spacing w:line="240" w:lineRule="auto"/>
                    <w:ind w:firstLineChars="0" w:firstLine="0"/>
                    <w:jc w:val="center"/>
                    <w:outlineLvl w:val="3"/>
                    <w:rPr>
                      <w:rFonts w:cs="Times New Roman"/>
                      <w:bCs/>
                      <w:sz w:val="21"/>
                      <w:szCs w:val="21"/>
                    </w:rPr>
                  </w:pPr>
                </w:p>
              </w:tc>
              <w:tc>
                <w:tcPr>
                  <w:tcW w:w="684" w:type="pct"/>
                  <w:vAlign w:val="center"/>
                </w:tcPr>
                <w:p w14:paraId="0A76802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西南侧</w:t>
                  </w:r>
                </w:p>
              </w:tc>
              <w:tc>
                <w:tcPr>
                  <w:tcW w:w="819" w:type="pct"/>
                  <w:vAlign w:val="center"/>
                </w:tcPr>
                <w:p w14:paraId="7F1E3C6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33</w:t>
                  </w:r>
                </w:p>
              </w:tc>
              <w:tc>
                <w:tcPr>
                  <w:tcW w:w="577" w:type="pct"/>
                  <w:vAlign w:val="center"/>
                </w:tcPr>
                <w:p w14:paraId="45FFB05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表层样</w:t>
                  </w:r>
                </w:p>
              </w:tc>
              <w:tc>
                <w:tcPr>
                  <w:tcW w:w="672" w:type="pct"/>
                  <w:vMerge w:val="restart"/>
                  <w:vAlign w:val="center"/>
                </w:tcPr>
                <w:p w14:paraId="7D1C64D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引用</w:t>
                  </w:r>
                </w:p>
              </w:tc>
            </w:tr>
            <w:tr w:rsidR="003C4F46" w14:paraId="3EC281FC" w14:textId="77777777">
              <w:trPr>
                <w:trHeight w:val="421"/>
              </w:trPr>
              <w:tc>
                <w:tcPr>
                  <w:tcW w:w="731" w:type="pct"/>
                  <w:vAlign w:val="center"/>
                </w:tcPr>
                <w:p w14:paraId="07A534E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2#</w:t>
                  </w:r>
                </w:p>
              </w:tc>
              <w:tc>
                <w:tcPr>
                  <w:tcW w:w="1514" w:type="pct"/>
                  <w:vAlign w:val="center"/>
                </w:tcPr>
                <w:p w14:paraId="67EBC148" w14:textId="7E60AE05" w:rsidR="003C4F46" w:rsidRDefault="003C4F46">
                  <w:pPr>
                    <w:adjustRightInd w:val="0"/>
                    <w:snapToGrid w:val="0"/>
                    <w:spacing w:line="240" w:lineRule="auto"/>
                    <w:ind w:firstLineChars="0" w:firstLine="0"/>
                    <w:jc w:val="center"/>
                    <w:outlineLvl w:val="3"/>
                    <w:rPr>
                      <w:rFonts w:cs="Times New Roman"/>
                      <w:bCs/>
                      <w:sz w:val="21"/>
                      <w:szCs w:val="21"/>
                    </w:rPr>
                  </w:pPr>
                </w:p>
              </w:tc>
              <w:tc>
                <w:tcPr>
                  <w:tcW w:w="684" w:type="pct"/>
                  <w:vAlign w:val="center"/>
                </w:tcPr>
                <w:p w14:paraId="5A62E3E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西北侧</w:t>
                  </w:r>
                </w:p>
              </w:tc>
              <w:tc>
                <w:tcPr>
                  <w:tcW w:w="819" w:type="pct"/>
                  <w:vAlign w:val="center"/>
                </w:tcPr>
                <w:p w14:paraId="1ECE4C0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57</w:t>
                  </w:r>
                </w:p>
              </w:tc>
              <w:tc>
                <w:tcPr>
                  <w:tcW w:w="577" w:type="pct"/>
                  <w:vAlign w:val="center"/>
                </w:tcPr>
                <w:p w14:paraId="6B48192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表层样</w:t>
                  </w:r>
                </w:p>
              </w:tc>
              <w:tc>
                <w:tcPr>
                  <w:tcW w:w="672" w:type="pct"/>
                  <w:vMerge/>
                  <w:vAlign w:val="center"/>
                </w:tcPr>
                <w:p w14:paraId="47F93712"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r>
            <w:tr w:rsidR="003C4F46" w14:paraId="24C954A5" w14:textId="77777777">
              <w:trPr>
                <w:trHeight w:val="421"/>
              </w:trPr>
              <w:tc>
                <w:tcPr>
                  <w:tcW w:w="731" w:type="pct"/>
                  <w:vAlign w:val="center"/>
                </w:tcPr>
                <w:p w14:paraId="47016F3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3#</w:t>
                  </w:r>
                </w:p>
              </w:tc>
              <w:tc>
                <w:tcPr>
                  <w:tcW w:w="1514" w:type="pct"/>
                  <w:vAlign w:val="center"/>
                </w:tcPr>
                <w:p w14:paraId="1D14ACE9" w14:textId="5E00F56B" w:rsidR="003C4F46" w:rsidRDefault="003C4F46">
                  <w:pPr>
                    <w:adjustRightInd w:val="0"/>
                    <w:snapToGrid w:val="0"/>
                    <w:spacing w:line="240" w:lineRule="auto"/>
                    <w:ind w:firstLineChars="0" w:firstLine="0"/>
                    <w:jc w:val="center"/>
                    <w:outlineLvl w:val="3"/>
                    <w:rPr>
                      <w:rFonts w:cs="Times New Roman"/>
                      <w:sz w:val="21"/>
                      <w:szCs w:val="21"/>
                    </w:rPr>
                  </w:pPr>
                </w:p>
              </w:tc>
              <w:tc>
                <w:tcPr>
                  <w:tcW w:w="684" w:type="pct"/>
                  <w:vAlign w:val="center"/>
                </w:tcPr>
                <w:p w14:paraId="3D3A19E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南侧</w:t>
                  </w:r>
                </w:p>
              </w:tc>
              <w:tc>
                <w:tcPr>
                  <w:tcW w:w="819" w:type="pct"/>
                  <w:vAlign w:val="center"/>
                </w:tcPr>
                <w:p w14:paraId="7900495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25.68</w:t>
                  </w:r>
                </w:p>
              </w:tc>
              <w:tc>
                <w:tcPr>
                  <w:tcW w:w="577" w:type="pct"/>
                  <w:vAlign w:val="center"/>
                </w:tcPr>
                <w:p w14:paraId="1B09B48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表层样</w:t>
                  </w:r>
                </w:p>
              </w:tc>
              <w:tc>
                <w:tcPr>
                  <w:tcW w:w="672" w:type="pct"/>
                  <w:vMerge/>
                  <w:vAlign w:val="center"/>
                </w:tcPr>
                <w:p w14:paraId="5E6005BF"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r>
            <w:tr w:rsidR="003C4F46" w14:paraId="372E2537" w14:textId="77777777">
              <w:trPr>
                <w:trHeight w:val="329"/>
              </w:trPr>
              <w:tc>
                <w:tcPr>
                  <w:tcW w:w="5000" w:type="pct"/>
                  <w:gridSpan w:val="6"/>
                  <w:vAlign w:val="center"/>
                </w:tcPr>
                <w:p w14:paraId="5AC0F2C4" w14:textId="77777777" w:rsidR="003C4F46" w:rsidRDefault="004B6A81">
                  <w:pPr>
                    <w:adjustRightInd w:val="0"/>
                    <w:snapToGrid w:val="0"/>
                    <w:spacing w:line="240" w:lineRule="auto"/>
                    <w:ind w:firstLineChars="0" w:firstLine="0"/>
                    <w:outlineLvl w:val="3"/>
                    <w:rPr>
                      <w:rFonts w:cs="Times New Roman"/>
                      <w:bCs/>
                      <w:sz w:val="21"/>
                      <w:szCs w:val="21"/>
                    </w:rPr>
                  </w:pPr>
                  <w:r>
                    <w:rPr>
                      <w:rFonts w:cs="Times New Roman" w:hint="eastAsia"/>
                      <w:bCs/>
                      <w:sz w:val="21"/>
                      <w:szCs w:val="21"/>
                    </w:rPr>
                    <w:t>表层样应在</w:t>
                  </w:r>
                  <w:r>
                    <w:rPr>
                      <w:rFonts w:cs="Times New Roman" w:hint="eastAsia"/>
                      <w:bCs/>
                      <w:sz w:val="21"/>
                      <w:szCs w:val="21"/>
                    </w:rPr>
                    <w:t>0~0.2m</w:t>
                  </w:r>
                  <w:r>
                    <w:rPr>
                      <w:rFonts w:cs="Times New Roman" w:hint="eastAsia"/>
                      <w:bCs/>
                      <w:sz w:val="21"/>
                      <w:szCs w:val="21"/>
                    </w:rPr>
                    <w:t>取样</w:t>
                  </w:r>
                </w:p>
              </w:tc>
            </w:tr>
          </w:tbl>
          <w:p w14:paraId="00568AEC" w14:textId="77777777" w:rsidR="003C4F46" w:rsidRDefault="004B6A81">
            <w:pPr>
              <w:keepNext/>
              <w:keepLines/>
              <w:adjustRightInd w:val="0"/>
              <w:snapToGrid w:val="0"/>
              <w:spacing w:line="240" w:lineRule="auto"/>
              <w:ind w:firstLine="422"/>
              <w:jc w:val="center"/>
              <w:textAlignment w:val="auto"/>
              <w:outlineLvl w:val="3"/>
              <w:rPr>
                <w:rFonts w:cs="Times New Roman"/>
                <w:b/>
                <w:color w:val="000000"/>
                <w:sz w:val="21"/>
                <w:szCs w:val="21"/>
              </w:rPr>
            </w:pPr>
            <w:r>
              <w:rPr>
                <w:rFonts w:cs="Times New Roman" w:hint="eastAsia"/>
                <w:b/>
                <w:color w:val="000000"/>
                <w:sz w:val="21"/>
                <w:szCs w:val="21"/>
              </w:rPr>
              <w:t>表</w:t>
            </w:r>
            <w:r>
              <w:rPr>
                <w:rFonts w:cs="Times New Roman"/>
                <w:b/>
                <w:color w:val="000000"/>
                <w:sz w:val="21"/>
                <w:szCs w:val="21"/>
              </w:rPr>
              <w:t>3-</w:t>
            </w:r>
            <w:r>
              <w:rPr>
                <w:rFonts w:cs="Times New Roman" w:hint="eastAsia"/>
                <w:b/>
                <w:color w:val="000000"/>
                <w:sz w:val="21"/>
                <w:szCs w:val="21"/>
              </w:rPr>
              <w:t>5</w:t>
            </w:r>
            <w:r>
              <w:rPr>
                <w:rFonts w:cs="Times New Roman"/>
                <w:b/>
                <w:color w:val="000000"/>
                <w:sz w:val="21"/>
                <w:szCs w:val="21"/>
              </w:rPr>
              <w:t xml:space="preserve">  </w:t>
            </w:r>
            <w:r>
              <w:rPr>
                <w:rFonts w:cs="Times New Roman" w:hint="eastAsia"/>
                <w:b/>
                <w:color w:val="000000"/>
                <w:sz w:val="21"/>
                <w:szCs w:val="21"/>
              </w:rPr>
              <w:t>引用土壤监测点位与本项目罐区位置关系一览表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3"/>
              <w:gridCol w:w="1674"/>
              <w:gridCol w:w="2062"/>
              <w:gridCol w:w="2160"/>
              <w:gridCol w:w="1696"/>
            </w:tblGrid>
            <w:tr w:rsidR="003C4F46" w14:paraId="0F1CB14E" w14:textId="77777777">
              <w:trPr>
                <w:trHeight w:val="327"/>
                <w:jc w:val="center"/>
              </w:trPr>
              <w:tc>
                <w:tcPr>
                  <w:tcW w:w="543" w:type="dxa"/>
                  <w:vMerge w:val="restart"/>
                  <w:tcBorders>
                    <w:top w:val="single" w:sz="12" w:space="0" w:color="auto"/>
                    <w:left w:val="single" w:sz="12" w:space="0" w:color="auto"/>
                    <w:bottom w:val="single" w:sz="4" w:space="0" w:color="auto"/>
                    <w:right w:val="single" w:sz="4" w:space="0" w:color="auto"/>
                  </w:tcBorders>
                  <w:vAlign w:val="center"/>
                </w:tcPr>
                <w:p w14:paraId="131C2E5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序号</w:t>
                  </w:r>
                </w:p>
              </w:tc>
              <w:tc>
                <w:tcPr>
                  <w:tcW w:w="1674" w:type="dxa"/>
                  <w:vMerge w:val="restart"/>
                  <w:tcBorders>
                    <w:top w:val="single" w:sz="12" w:space="0" w:color="auto"/>
                    <w:left w:val="single" w:sz="4" w:space="0" w:color="auto"/>
                    <w:bottom w:val="single" w:sz="4" w:space="0" w:color="auto"/>
                    <w:right w:val="single" w:sz="4" w:space="0" w:color="auto"/>
                  </w:tcBorders>
                  <w:vAlign w:val="center"/>
                </w:tcPr>
                <w:p w14:paraId="3B2A98B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监测点位</w:t>
                  </w:r>
                </w:p>
              </w:tc>
              <w:tc>
                <w:tcPr>
                  <w:tcW w:w="2062" w:type="dxa"/>
                  <w:vMerge w:val="restart"/>
                  <w:tcBorders>
                    <w:top w:val="single" w:sz="12" w:space="0" w:color="auto"/>
                    <w:left w:val="single" w:sz="4" w:space="0" w:color="auto"/>
                    <w:bottom w:val="single" w:sz="4" w:space="0" w:color="auto"/>
                    <w:right w:val="single" w:sz="4" w:space="0" w:color="auto"/>
                  </w:tcBorders>
                  <w:vAlign w:val="center"/>
                </w:tcPr>
                <w:p w14:paraId="6C30CBB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采样类型</w:t>
                  </w:r>
                </w:p>
              </w:tc>
              <w:tc>
                <w:tcPr>
                  <w:tcW w:w="3856" w:type="dxa"/>
                  <w:gridSpan w:val="2"/>
                  <w:tcBorders>
                    <w:top w:val="single" w:sz="12" w:space="0" w:color="auto"/>
                    <w:left w:val="single" w:sz="4" w:space="0" w:color="auto"/>
                    <w:bottom w:val="single" w:sz="4" w:space="0" w:color="auto"/>
                    <w:right w:val="single" w:sz="12" w:space="0" w:color="auto"/>
                  </w:tcBorders>
                  <w:vAlign w:val="center"/>
                </w:tcPr>
                <w:p w14:paraId="27053DB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与本项目</w:t>
                  </w:r>
                  <w:r>
                    <w:rPr>
                      <w:rFonts w:cs="Times New Roman" w:hint="eastAsia"/>
                      <w:bCs/>
                      <w:sz w:val="21"/>
                      <w:szCs w:val="21"/>
                    </w:rPr>
                    <w:t>罐区</w:t>
                  </w:r>
                  <w:r>
                    <w:rPr>
                      <w:rFonts w:cs="Times New Roman"/>
                      <w:bCs/>
                      <w:sz w:val="21"/>
                      <w:szCs w:val="21"/>
                    </w:rPr>
                    <w:t>位置关系</w:t>
                  </w:r>
                </w:p>
              </w:tc>
            </w:tr>
            <w:tr w:rsidR="003C4F46" w14:paraId="782FFF8C" w14:textId="77777777">
              <w:trPr>
                <w:trHeight w:val="79"/>
                <w:jc w:val="center"/>
              </w:trPr>
              <w:tc>
                <w:tcPr>
                  <w:tcW w:w="543" w:type="dxa"/>
                  <w:vMerge/>
                  <w:tcBorders>
                    <w:top w:val="single" w:sz="12" w:space="0" w:color="auto"/>
                    <w:left w:val="single" w:sz="12" w:space="0" w:color="auto"/>
                    <w:bottom w:val="single" w:sz="4" w:space="0" w:color="auto"/>
                    <w:right w:val="single" w:sz="4" w:space="0" w:color="auto"/>
                  </w:tcBorders>
                  <w:vAlign w:val="center"/>
                </w:tcPr>
                <w:p w14:paraId="5ACAB66E"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1674" w:type="dxa"/>
                  <w:vMerge/>
                  <w:tcBorders>
                    <w:top w:val="single" w:sz="12" w:space="0" w:color="auto"/>
                    <w:left w:val="single" w:sz="4" w:space="0" w:color="auto"/>
                    <w:bottom w:val="single" w:sz="4" w:space="0" w:color="auto"/>
                    <w:right w:val="single" w:sz="4" w:space="0" w:color="auto"/>
                  </w:tcBorders>
                  <w:vAlign w:val="center"/>
                </w:tcPr>
                <w:p w14:paraId="2DC58389"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2062" w:type="dxa"/>
                  <w:vMerge/>
                  <w:tcBorders>
                    <w:top w:val="single" w:sz="12" w:space="0" w:color="auto"/>
                    <w:left w:val="single" w:sz="4" w:space="0" w:color="auto"/>
                    <w:bottom w:val="single" w:sz="4" w:space="0" w:color="auto"/>
                    <w:right w:val="single" w:sz="4" w:space="0" w:color="auto"/>
                  </w:tcBorders>
                  <w:vAlign w:val="center"/>
                </w:tcPr>
                <w:p w14:paraId="0D53F5FD"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2160" w:type="dxa"/>
                  <w:tcBorders>
                    <w:top w:val="single" w:sz="4" w:space="0" w:color="auto"/>
                    <w:left w:val="single" w:sz="4" w:space="0" w:color="auto"/>
                    <w:bottom w:val="single" w:sz="4" w:space="0" w:color="auto"/>
                    <w:right w:val="single" w:sz="4" w:space="0" w:color="auto"/>
                  </w:tcBorders>
                  <w:vAlign w:val="center"/>
                </w:tcPr>
                <w:p w14:paraId="6910AEDE" w14:textId="77777777" w:rsidR="003C4F46" w:rsidRDefault="004B6A81">
                  <w:pPr>
                    <w:pStyle w:val="afffd"/>
                    <w:adjustRightInd w:val="0"/>
                    <w:snapToGrid w:val="0"/>
                    <w:spacing w:line="240" w:lineRule="auto"/>
                    <w:ind w:firstLineChars="0" w:firstLine="0"/>
                    <w:outlineLvl w:val="3"/>
                    <w:rPr>
                      <w:rFonts w:cs="Times New Roman"/>
                      <w:bCs/>
                      <w:kern w:val="2"/>
                      <w:sz w:val="21"/>
                      <w:szCs w:val="21"/>
                    </w:rPr>
                  </w:pPr>
                  <w:r>
                    <w:rPr>
                      <w:rFonts w:cs="Times New Roman"/>
                      <w:bCs/>
                      <w:kern w:val="2"/>
                      <w:sz w:val="21"/>
                      <w:szCs w:val="21"/>
                    </w:rPr>
                    <w:t>方向</w:t>
                  </w:r>
                </w:p>
              </w:tc>
              <w:tc>
                <w:tcPr>
                  <w:tcW w:w="1696" w:type="dxa"/>
                  <w:tcBorders>
                    <w:top w:val="single" w:sz="4" w:space="0" w:color="auto"/>
                    <w:left w:val="single" w:sz="4" w:space="0" w:color="auto"/>
                    <w:bottom w:val="single" w:sz="4" w:space="0" w:color="auto"/>
                    <w:right w:val="single" w:sz="12" w:space="0" w:color="auto"/>
                  </w:tcBorders>
                  <w:vAlign w:val="center"/>
                </w:tcPr>
                <w:p w14:paraId="4011712F" w14:textId="77777777" w:rsidR="003C4F46" w:rsidRDefault="004B6A81">
                  <w:pPr>
                    <w:pStyle w:val="afffd"/>
                    <w:adjustRightInd w:val="0"/>
                    <w:snapToGrid w:val="0"/>
                    <w:spacing w:line="240" w:lineRule="auto"/>
                    <w:ind w:firstLineChars="0" w:firstLine="0"/>
                    <w:outlineLvl w:val="3"/>
                    <w:rPr>
                      <w:rFonts w:cs="Times New Roman"/>
                      <w:bCs/>
                      <w:kern w:val="2"/>
                      <w:sz w:val="21"/>
                      <w:szCs w:val="21"/>
                    </w:rPr>
                  </w:pPr>
                  <w:r>
                    <w:rPr>
                      <w:rFonts w:cs="Times New Roman"/>
                      <w:bCs/>
                      <w:kern w:val="2"/>
                      <w:sz w:val="21"/>
                      <w:szCs w:val="21"/>
                    </w:rPr>
                    <w:t>距离</w:t>
                  </w:r>
                </w:p>
              </w:tc>
            </w:tr>
            <w:tr w:rsidR="003C4F46" w14:paraId="04626436"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646B982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p>
              </w:tc>
              <w:tc>
                <w:tcPr>
                  <w:tcW w:w="1674" w:type="dxa"/>
                  <w:tcBorders>
                    <w:top w:val="single" w:sz="4" w:space="0" w:color="auto"/>
                    <w:left w:val="single" w:sz="4" w:space="0" w:color="auto"/>
                    <w:bottom w:val="single" w:sz="4" w:space="0" w:color="auto"/>
                    <w:right w:val="single" w:sz="4" w:space="0" w:color="auto"/>
                  </w:tcBorders>
                  <w:vAlign w:val="center"/>
                </w:tcPr>
                <w:p w14:paraId="0EB887B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1#</w:t>
                  </w:r>
                </w:p>
              </w:tc>
              <w:tc>
                <w:tcPr>
                  <w:tcW w:w="2062" w:type="dxa"/>
                  <w:tcBorders>
                    <w:top w:val="single" w:sz="4" w:space="0" w:color="auto"/>
                    <w:left w:val="single" w:sz="4" w:space="0" w:color="auto"/>
                    <w:bottom w:val="single" w:sz="4" w:space="0" w:color="auto"/>
                    <w:right w:val="single" w:sz="4" w:space="0" w:color="auto"/>
                  </w:tcBorders>
                  <w:vAlign w:val="center"/>
                </w:tcPr>
                <w:p w14:paraId="583ACA13"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表层样（</w:t>
                  </w:r>
                  <w:r>
                    <w:rPr>
                      <w:rFonts w:cs="Times New Roman"/>
                      <w:color w:val="000000"/>
                      <w:sz w:val="21"/>
                      <w:szCs w:val="21"/>
                    </w:rPr>
                    <w:t>0~0.2m</w:t>
                  </w:r>
                  <w:r>
                    <w:rPr>
                      <w:rFonts w:cs="Times New Roman"/>
                      <w:color w:val="000000"/>
                      <w:sz w:val="21"/>
                      <w:szCs w:val="21"/>
                    </w:rPr>
                    <w:t>）</w:t>
                  </w:r>
                </w:p>
              </w:tc>
              <w:tc>
                <w:tcPr>
                  <w:tcW w:w="2160" w:type="dxa"/>
                  <w:tcBorders>
                    <w:top w:val="single" w:sz="4" w:space="0" w:color="auto"/>
                    <w:left w:val="single" w:sz="4" w:space="0" w:color="auto"/>
                    <w:bottom w:val="single" w:sz="4" w:space="0" w:color="auto"/>
                    <w:right w:val="single" w:sz="4" w:space="0" w:color="auto"/>
                  </w:tcBorders>
                  <w:vAlign w:val="center"/>
                </w:tcPr>
                <w:p w14:paraId="626711E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西南侧</w:t>
                  </w:r>
                </w:p>
              </w:tc>
              <w:tc>
                <w:tcPr>
                  <w:tcW w:w="1696" w:type="dxa"/>
                  <w:tcBorders>
                    <w:top w:val="single" w:sz="4" w:space="0" w:color="auto"/>
                    <w:left w:val="single" w:sz="4" w:space="0" w:color="auto"/>
                    <w:bottom w:val="single" w:sz="4" w:space="0" w:color="auto"/>
                    <w:right w:val="single" w:sz="12" w:space="0" w:color="auto"/>
                  </w:tcBorders>
                  <w:vAlign w:val="center"/>
                </w:tcPr>
                <w:p w14:paraId="2726539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140</w:t>
                  </w:r>
                  <w:r>
                    <w:rPr>
                      <w:rFonts w:cs="Times New Roman"/>
                      <w:bCs/>
                      <w:sz w:val="21"/>
                      <w:szCs w:val="21"/>
                    </w:rPr>
                    <w:t>m</w:t>
                  </w:r>
                </w:p>
              </w:tc>
            </w:tr>
            <w:tr w:rsidR="003C4F46" w14:paraId="64A303BF"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4DAB2B9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p>
              </w:tc>
              <w:tc>
                <w:tcPr>
                  <w:tcW w:w="1674" w:type="dxa"/>
                  <w:tcBorders>
                    <w:top w:val="single" w:sz="4" w:space="0" w:color="auto"/>
                    <w:left w:val="single" w:sz="4" w:space="0" w:color="auto"/>
                    <w:bottom w:val="single" w:sz="4" w:space="0" w:color="auto"/>
                    <w:right w:val="single" w:sz="4" w:space="0" w:color="auto"/>
                  </w:tcBorders>
                  <w:vAlign w:val="center"/>
                </w:tcPr>
                <w:p w14:paraId="3AB4B7C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2#</w:t>
                  </w:r>
                </w:p>
              </w:tc>
              <w:tc>
                <w:tcPr>
                  <w:tcW w:w="2062" w:type="dxa"/>
                  <w:tcBorders>
                    <w:top w:val="single" w:sz="4" w:space="0" w:color="auto"/>
                    <w:left w:val="single" w:sz="4" w:space="0" w:color="auto"/>
                    <w:bottom w:val="single" w:sz="4" w:space="0" w:color="auto"/>
                    <w:right w:val="single" w:sz="4" w:space="0" w:color="auto"/>
                  </w:tcBorders>
                  <w:vAlign w:val="center"/>
                </w:tcPr>
                <w:p w14:paraId="41FBC275"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表层样（</w:t>
                  </w:r>
                  <w:r>
                    <w:rPr>
                      <w:rFonts w:cs="Times New Roman"/>
                      <w:color w:val="000000"/>
                      <w:sz w:val="21"/>
                      <w:szCs w:val="21"/>
                    </w:rPr>
                    <w:t>0~0.2m</w:t>
                  </w:r>
                  <w:r>
                    <w:rPr>
                      <w:rFonts w:cs="Times New Roman"/>
                      <w:color w:val="000000"/>
                      <w:sz w:val="21"/>
                      <w:szCs w:val="21"/>
                    </w:rPr>
                    <w:t>）</w:t>
                  </w:r>
                </w:p>
              </w:tc>
              <w:tc>
                <w:tcPr>
                  <w:tcW w:w="2160" w:type="dxa"/>
                  <w:tcBorders>
                    <w:top w:val="single" w:sz="4" w:space="0" w:color="auto"/>
                    <w:left w:val="single" w:sz="4" w:space="0" w:color="auto"/>
                    <w:bottom w:val="single" w:sz="4" w:space="0" w:color="auto"/>
                    <w:right w:val="single" w:sz="4" w:space="0" w:color="auto"/>
                  </w:tcBorders>
                  <w:vAlign w:val="center"/>
                </w:tcPr>
                <w:p w14:paraId="725FE8E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西南侧</w:t>
                  </w:r>
                </w:p>
              </w:tc>
              <w:tc>
                <w:tcPr>
                  <w:tcW w:w="1696" w:type="dxa"/>
                  <w:tcBorders>
                    <w:top w:val="single" w:sz="4" w:space="0" w:color="auto"/>
                    <w:left w:val="single" w:sz="4" w:space="0" w:color="auto"/>
                    <w:bottom w:val="single" w:sz="4" w:space="0" w:color="auto"/>
                    <w:right w:val="single" w:sz="12" w:space="0" w:color="auto"/>
                  </w:tcBorders>
                  <w:vAlign w:val="center"/>
                </w:tcPr>
                <w:p w14:paraId="6477D7E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80</w:t>
                  </w:r>
                  <w:r>
                    <w:rPr>
                      <w:rFonts w:cs="Times New Roman"/>
                      <w:bCs/>
                      <w:sz w:val="21"/>
                      <w:szCs w:val="21"/>
                    </w:rPr>
                    <w:t>m</w:t>
                  </w:r>
                </w:p>
              </w:tc>
            </w:tr>
            <w:tr w:rsidR="003C4F46" w14:paraId="73F6E61C" w14:textId="77777777">
              <w:trPr>
                <w:trHeight w:val="116"/>
                <w:jc w:val="center"/>
              </w:trPr>
              <w:tc>
                <w:tcPr>
                  <w:tcW w:w="543" w:type="dxa"/>
                  <w:tcBorders>
                    <w:top w:val="single" w:sz="4" w:space="0" w:color="auto"/>
                    <w:left w:val="single" w:sz="12" w:space="0" w:color="auto"/>
                    <w:bottom w:val="single" w:sz="4" w:space="0" w:color="auto"/>
                    <w:right w:val="single" w:sz="4" w:space="0" w:color="auto"/>
                  </w:tcBorders>
                  <w:vAlign w:val="center"/>
                </w:tcPr>
                <w:p w14:paraId="5CD3AB2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p>
              </w:tc>
              <w:tc>
                <w:tcPr>
                  <w:tcW w:w="1674" w:type="dxa"/>
                  <w:tcBorders>
                    <w:top w:val="single" w:sz="4" w:space="0" w:color="auto"/>
                    <w:left w:val="single" w:sz="4" w:space="0" w:color="auto"/>
                    <w:bottom w:val="single" w:sz="4" w:space="0" w:color="auto"/>
                    <w:right w:val="single" w:sz="4" w:space="0" w:color="auto"/>
                  </w:tcBorders>
                  <w:vAlign w:val="center"/>
                </w:tcPr>
                <w:p w14:paraId="3F58C45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3#</w:t>
                  </w:r>
                </w:p>
              </w:tc>
              <w:tc>
                <w:tcPr>
                  <w:tcW w:w="2062" w:type="dxa"/>
                  <w:tcBorders>
                    <w:top w:val="single" w:sz="4" w:space="0" w:color="auto"/>
                    <w:left w:val="single" w:sz="4" w:space="0" w:color="auto"/>
                    <w:bottom w:val="single" w:sz="4" w:space="0" w:color="auto"/>
                    <w:right w:val="single" w:sz="4" w:space="0" w:color="auto"/>
                  </w:tcBorders>
                  <w:vAlign w:val="center"/>
                </w:tcPr>
                <w:p w14:paraId="4B701B29" w14:textId="77777777" w:rsidR="003C4F46" w:rsidRDefault="004B6A81">
                  <w:pPr>
                    <w:spacing w:line="240" w:lineRule="auto"/>
                    <w:ind w:firstLineChars="0" w:firstLine="0"/>
                    <w:jc w:val="center"/>
                    <w:rPr>
                      <w:rFonts w:cs="Times New Roman"/>
                      <w:color w:val="000000"/>
                      <w:sz w:val="21"/>
                      <w:szCs w:val="21"/>
                    </w:rPr>
                  </w:pPr>
                  <w:r>
                    <w:rPr>
                      <w:rFonts w:cs="Times New Roman"/>
                      <w:color w:val="000000"/>
                      <w:sz w:val="21"/>
                      <w:szCs w:val="21"/>
                    </w:rPr>
                    <w:t>表层样（</w:t>
                  </w:r>
                  <w:r>
                    <w:rPr>
                      <w:rFonts w:cs="Times New Roman"/>
                      <w:color w:val="000000"/>
                      <w:sz w:val="21"/>
                      <w:szCs w:val="21"/>
                    </w:rPr>
                    <w:t>0~0.2m</w:t>
                  </w:r>
                  <w:r>
                    <w:rPr>
                      <w:rFonts w:cs="Times New Roman"/>
                      <w:color w:val="000000"/>
                      <w:sz w:val="21"/>
                      <w:szCs w:val="21"/>
                    </w:rPr>
                    <w:t>）</w:t>
                  </w:r>
                </w:p>
              </w:tc>
              <w:tc>
                <w:tcPr>
                  <w:tcW w:w="2160" w:type="dxa"/>
                  <w:tcBorders>
                    <w:top w:val="single" w:sz="4" w:space="0" w:color="auto"/>
                    <w:left w:val="single" w:sz="4" w:space="0" w:color="auto"/>
                    <w:bottom w:val="single" w:sz="4" w:space="0" w:color="auto"/>
                    <w:right w:val="single" w:sz="4" w:space="0" w:color="auto"/>
                  </w:tcBorders>
                  <w:vAlign w:val="center"/>
                </w:tcPr>
                <w:p w14:paraId="26CED58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南侧</w:t>
                  </w:r>
                </w:p>
              </w:tc>
              <w:tc>
                <w:tcPr>
                  <w:tcW w:w="1696" w:type="dxa"/>
                  <w:tcBorders>
                    <w:top w:val="single" w:sz="4" w:space="0" w:color="auto"/>
                    <w:left w:val="single" w:sz="4" w:space="0" w:color="auto"/>
                    <w:bottom w:val="single" w:sz="4" w:space="0" w:color="auto"/>
                    <w:right w:val="single" w:sz="12" w:space="0" w:color="auto"/>
                  </w:tcBorders>
                  <w:vAlign w:val="center"/>
                </w:tcPr>
                <w:p w14:paraId="67E2698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144</w:t>
                  </w:r>
                  <w:r>
                    <w:rPr>
                      <w:rFonts w:cs="Times New Roman"/>
                      <w:bCs/>
                      <w:sz w:val="21"/>
                      <w:szCs w:val="21"/>
                    </w:rPr>
                    <w:t>m</w:t>
                  </w:r>
                </w:p>
              </w:tc>
            </w:tr>
          </w:tbl>
          <w:p w14:paraId="61E6B55C" w14:textId="77777777" w:rsidR="003C4F46" w:rsidRDefault="004B6A81">
            <w:pPr>
              <w:ind w:firstLine="480"/>
            </w:pPr>
            <w:r>
              <w:rPr>
                <w:rFonts w:hint="eastAsia"/>
              </w:rPr>
              <w:t>根据《环境影响评价技术导则</w:t>
            </w:r>
            <w:r>
              <w:rPr>
                <w:rFonts w:hint="eastAsia"/>
              </w:rPr>
              <w:t xml:space="preserve"> </w:t>
            </w:r>
            <w:r>
              <w:rPr>
                <w:rFonts w:hint="eastAsia"/>
              </w:rPr>
              <w:t>土壤环境（试行）》（</w:t>
            </w:r>
            <w:r>
              <w:rPr>
                <w:rFonts w:hint="eastAsia"/>
              </w:rPr>
              <w:t>HJ964-2018</w:t>
            </w:r>
            <w:r>
              <w:rPr>
                <w:rFonts w:hint="eastAsia"/>
              </w:rPr>
              <w:t>），污染影响型项目三级评价应在占地范围内及占地范围外各布设表层样点。本次评价引用</w:t>
            </w:r>
            <w:r>
              <w:rPr>
                <w:rFonts w:hint="eastAsia"/>
              </w:rPr>
              <w:t>3</w:t>
            </w:r>
            <w:r>
              <w:rPr>
                <w:rFonts w:hint="eastAsia"/>
              </w:rPr>
              <w:t>个土壤监测点，均为表层样（</w:t>
            </w:r>
            <w:r>
              <w:rPr>
                <w:rFonts w:hint="eastAsia"/>
              </w:rPr>
              <w:t>0~0.2m</w:t>
            </w:r>
            <w:r>
              <w:rPr>
                <w:rFonts w:hint="eastAsia"/>
              </w:rPr>
              <w:t>），其中</w:t>
            </w:r>
            <w:r>
              <w:rPr>
                <w:rFonts w:hint="eastAsia"/>
              </w:rPr>
              <w:t>2</w:t>
            </w:r>
            <w:r>
              <w:rPr>
                <w:rFonts w:hint="eastAsia"/>
              </w:rPr>
              <w:t>个点位位于厂区范围内，</w:t>
            </w:r>
            <w:r>
              <w:rPr>
                <w:rFonts w:hint="eastAsia"/>
              </w:rPr>
              <w:t>1</w:t>
            </w:r>
            <w:r>
              <w:rPr>
                <w:rFonts w:hint="eastAsia"/>
              </w:rPr>
              <w:t>个点位位于厂区范围外，覆盖了罐区及厂区周边不同方向，可有效反映本项目罐区及所在厂区土壤环境现状；监测时间为</w:t>
            </w:r>
            <w:r>
              <w:rPr>
                <w:rFonts w:hint="eastAsia"/>
              </w:rPr>
              <w:t>2026</w:t>
            </w:r>
            <w:r>
              <w:rPr>
                <w:rFonts w:hint="eastAsia"/>
              </w:rPr>
              <w:t>年</w:t>
            </w:r>
            <w:r>
              <w:rPr>
                <w:rFonts w:hint="eastAsia"/>
              </w:rPr>
              <w:t>6</w:t>
            </w:r>
            <w:r>
              <w:rPr>
                <w:rFonts w:hint="eastAsia"/>
              </w:rPr>
              <w:t>月</w:t>
            </w:r>
            <w:r>
              <w:rPr>
                <w:rFonts w:hint="eastAsia"/>
              </w:rPr>
              <w:t>13</w:t>
            </w:r>
            <w:r>
              <w:rPr>
                <w:rFonts w:hint="eastAsia"/>
              </w:rPr>
              <w:t>日，数据时效性满足要求。</w:t>
            </w:r>
          </w:p>
          <w:p w14:paraId="6AC8678E" w14:textId="77777777" w:rsidR="003C4F46" w:rsidRDefault="004B6A81">
            <w:pPr>
              <w:ind w:firstLine="480"/>
            </w:pPr>
            <w:r>
              <w:rPr>
                <w:rFonts w:hint="eastAsia"/>
              </w:rPr>
              <w:t>（</w:t>
            </w:r>
            <w:r>
              <w:rPr>
                <w:rFonts w:hint="eastAsia"/>
              </w:rPr>
              <w:t>3</w:t>
            </w:r>
            <w:r>
              <w:rPr>
                <w:rFonts w:hint="eastAsia"/>
              </w:rPr>
              <w:t>）监测项目</w:t>
            </w:r>
          </w:p>
          <w:p w14:paraId="2539AA53" w14:textId="77777777" w:rsidR="003C4F46" w:rsidRDefault="004B6A81">
            <w:pPr>
              <w:ind w:firstLine="480"/>
            </w:pPr>
            <w:r>
              <w:rPr>
                <w:rFonts w:hint="eastAsia"/>
              </w:rPr>
              <w:t>水分、石油烃（</w:t>
            </w:r>
            <w:r>
              <w:t>C</w:t>
            </w:r>
            <w:r>
              <w:rPr>
                <w:vertAlign w:val="subscript"/>
              </w:rPr>
              <w:t>10</w:t>
            </w:r>
            <w:r>
              <w:t>-C</w:t>
            </w:r>
            <w:r>
              <w:rPr>
                <w:vertAlign w:val="subscript"/>
              </w:rPr>
              <w:t>40</w:t>
            </w:r>
            <w:r>
              <w:rPr>
                <w:rFonts w:hint="eastAsia"/>
              </w:rPr>
              <w:t>）、砷、镉、六价铬、铜、铅、汞、镍、四氯化碳、三氯甲烷、氯甲烷、</w:t>
            </w:r>
            <w:r>
              <w:t>1,1-</w:t>
            </w:r>
            <w:r>
              <w:rPr>
                <w:rFonts w:hint="eastAsia"/>
              </w:rPr>
              <w:t>二氯乙烷、</w:t>
            </w:r>
            <w:r>
              <w:t>1,2-</w:t>
            </w:r>
            <w:r>
              <w:rPr>
                <w:rFonts w:hint="eastAsia"/>
              </w:rPr>
              <w:t>二氯乙烷、顺式</w:t>
            </w:r>
            <w:r>
              <w:t>-1,2-</w:t>
            </w:r>
            <w:r>
              <w:rPr>
                <w:rFonts w:hint="eastAsia"/>
              </w:rPr>
              <w:t>二氯乙烯、反式</w:t>
            </w:r>
            <w:r>
              <w:t>-1,2-</w:t>
            </w:r>
            <w:r>
              <w:rPr>
                <w:rFonts w:hint="eastAsia"/>
              </w:rPr>
              <w:t>二氯乙烯、二氯甲烷、</w:t>
            </w:r>
            <w:r>
              <w:t>1,2-</w:t>
            </w:r>
            <w:r>
              <w:rPr>
                <w:rFonts w:hint="eastAsia"/>
              </w:rPr>
              <w:t>二氯丙烷、</w:t>
            </w:r>
            <w:r>
              <w:t>1,1,1,2-</w:t>
            </w:r>
            <w:r>
              <w:rPr>
                <w:rFonts w:hint="eastAsia"/>
              </w:rPr>
              <w:t>四氯乙烷、四氯乙烯、</w:t>
            </w:r>
            <w:r>
              <w:t>1,1,1-</w:t>
            </w:r>
            <w:r>
              <w:rPr>
                <w:rFonts w:hint="eastAsia"/>
              </w:rPr>
              <w:t>三氯乙烷、</w:t>
            </w:r>
            <w:r>
              <w:t>1,1,2-</w:t>
            </w:r>
            <w:r>
              <w:rPr>
                <w:rFonts w:hint="eastAsia"/>
              </w:rPr>
              <w:t>三氯乙烷、三氯乙烯、</w:t>
            </w:r>
            <w:r>
              <w:t>1,2,3-</w:t>
            </w:r>
            <w:r>
              <w:rPr>
                <w:rFonts w:hint="eastAsia"/>
              </w:rPr>
              <w:t>三氯丙烷、氯乙烯、苯、氯苯、</w:t>
            </w:r>
            <w:r>
              <w:t>1,2-</w:t>
            </w:r>
            <w:r>
              <w:rPr>
                <w:rFonts w:hint="eastAsia"/>
              </w:rPr>
              <w:t>二氯苯、</w:t>
            </w:r>
            <w:r>
              <w:t>1,4-</w:t>
            </w:r>
            <w:r>
              <w:rPr>
                <w:rFonts w:hint="eastAsia"/>
              </w:rPr>
              <w:t>二氯苯、乙苯、苯乙烯、甲苯、硝基苯、苯胺、</w:t>
            </w:r>
            <w:r>
              <w:t>2-</w:t>
            </w:r>
            <w:r>
              <w:rPr>
                <w:rFonts w:hint="eastAsia"/>
              </w:rPr>
              <w:t>氯苯酚、苯并（</w:t>
            </w:r>
            <w:r>
              <w:t>a</w:t>
            </w:r>
            <w:r>
              <w:rPr>
                <w:rFonts w:hint="eastAsia"/>
              </w:rPr>
              <w:t>）蒽、苯并（</w:t>
            </w:r>
            <w:r>
              <w:t>a</w:t>
            </w:r>
            <w:r>
              <w:rPr>
                <w:rFonts w:hint="eastAsia"/>
              </w:rPr>
              <w:t>）芘、苯并（</w:t>
            </w:r>
            <w:r>
              <w:t>b</w:t>
            </w:r>
            <w:r>
              <w:rPr>
                <w:rFonts w:hint="eastAsia"/>
              </w:rPr>
              <w:t>）荧蒽、苯并（</w:t>
            </w:r>
            <w:r>
              <w:t>k</w:t>
            </w:r>
            <w:r>
              <w:rPr>
                <w:rFonts w:hint="eastAsia"/>
              </w:rPr>
              <w:t>）荧蒽、䓛、二苯并（</w:t>
            </w:r>
            <w:proofErr w:type="spellStart"/>
            <w:r>
              <w:t>a,h</w:t>
            </w:r>
            <w:proofErr w:type="spellEnd"/>
            <w:r>
              <w:rPr>
                <w:rFonts w:hint="eastAsia"/>
              </w:rPr>
              <w:t>）蒽、茚</w:t>
            </w:r>
            <w:r>
              <w:rPr>
                <w:rFonts w:hint="eastAsia"/>
              </w:rPr>
              <w:lastRenderedPageBreak/>
              <w:t>并（</w:t>
            </w:r>
            <w:r>
              <w:t>1,2,3</w:t>
            </w:r>
            <w:r>
              <w:rPr>
                <w:rFonts w:hint="eastAsia"/>
              </w:rPr>
              <w:t>-c,d</w:t>
            </w:r>
            <w:r>
              <w:rPr>
                <w:rFonts w:hint="eastAsia"/>
              </w:rPr>
              <w:t>）芘、萘、</w:t>
            </w:r>
            <w:r>
              <w:rPr>
                <w:rFonts w:hint="eastAsia"/>
              </w:rPr>
              <w:t>1,1-</w:t>
            </w:r>
            <w:r>
              <w:rPr>
                <w:rFonts w:hint="eastAsia"/>
              </w:rPr>
              <w:t>二氯乙烯、</w:t>
            </w:r>
            <w:r>
              <w:rPr>
                <w:rFonts w:hint="eastAsia"/>
              </w:rPr>
              <w:t>1,1,2,2-</w:t>
            </w:r>
            <w:r>
              <w:rPr>
                <w:rFonts w:hint="eastAsia"/>
              </w:rPr>
              <w:t>四氯乙烷、对</w:t>
            </w:r>
            <w:r>
              <w:rPr>
                <w:rFonts w:hint="eastAsia"/>
              </w:rPr>
              <w:t>/</w:t>
            </w:r>
            <w:r>
              <w:rPr>
                <w:rFonts w:hint="eastAsia"/>
              </w:rPr>
              <w:t>间二甲苯、邻二甲苯</w:t>
            </w:r>
            <w:r>
              <w:t>。</w:t>
            </w:r>
          </w:p>
          <w:p w14:paraId="3047EFD2" w14:textId="77777777" w:rsidR="003C4F46" w:rsidRDefault="004B6A81">
            <w:pPr>
              <w:ind w:firstLine="480"/>
            </w:pPr>
            <w:r>
              <w:rPr>
                <w:rFonts w:hint="eastAsia"/>
              </w:rPr>
              <w:t>（</w:t>
            </w:r>
            <w:r>
              <w:rPr>
                <w:rFonts w:hint="eastAsia"/>
              </w:rPr>
              <w:t>4</w:t>
            </w:r>
            <w:r>
              <w:rPr>
                <w:rFonts w:hint="eastAsia"/>
              </w:rPr>
              <w:t>）监测频次</w:t>
            </w:r>
          </w:p>
          <w:p w14:paraId="52C81192" w14:textId="77777777" w:rsidR="003C4F46" w:rsidRDefault="004B6A81">
            <w:pPr>
              <w:ind w:firstLine="480"/>
            </w:pPr>
            <w:r>
              <w:rPr>
                <w:rFonts w:hint="eastAsia"/>
              </w:rPr>
              <w:t>监测</w:t>
            </w:r>
            <w:r>
              <w:t>1</w:t>
            </w:r>
            <w:r>
              <w:rPr>
                <w:rFonts w:hint="eastAsia"/>
              </w:rPr>
              <w:t>天，一次取样。</w:t>
            </w:r>
          </w:p>
          <w:p w14:paraId="6056F66A" w14:textId="77777777" w:rsidR="003C4F46" w:rsidRDefault="004B6A81">
            <w:pPr>
              <w:ind w:firstLine="480"/>
            </w:pPr>
            <w:r>
              <w:rPr>
                <w:rFonts w:hint="eastAsia"/>
              </w:rPr>
              <w:t>（</w:t>
            </w:r>
            <w:r>
              <w:rPr>
                <w:rFonts w:hint="eastAsia"/>
              </w:rPr>
              <w:t>5</w:t>
            </w:r>
            <w:r>
              <w:rPr>
                <w:rFonts w:hint="eastAsia"/>
              </w:rPr>
              <w:t>）监测方法</w:t>
            </w:r>
          </w:p>
          <w:p w14:paraId="03381B53" w14:textId="77777777" w:rsidR="003C4F46" w:rsidRDefault="004B6A81">
            <w:pPr>
              <w:ind w:firstLine="480"/>
            </w:pPr>
            <w:r>
              <w:rPr>
                <w:rFonts w:hint="eastAsia"/>
              </w:rPr>
              <w:t>采样及分析方法根据《土壤元素近代分析方法》，《土壤环境质量</w:t>
            </w:r>
            <w:r>
              <w:rPr>
                <w:rFonts w:hint="eastAsia"/>
              </w:rPr>
              <w:t xml:space="preserve"> </w:t>
            </w:r>
            <w:r>
              <w:rPr>
                <w:rFonts w:hint="eastAsia"/>
              </w:rPr>
              <w:t>建设用地土壤污染风险管控标准》（</w:t>
            </w:r>
            <w:r>
              <w:rPr>
                <w:rFonts w:hint="eastAsia"/>
              </w:rPr>
              <w:t>GB36600-2018</w:t>
            </w:r>
            <w:r>
              <w:rPr>
                <w:rFonts w:hint="eastAsia"/>
              </w:rPr>
              <w:t>）的要求进行。</w:t>
            </w:r>
          </w:p>
          <w:p w14:paraId="1A7CF853" w14:textId="77777777" w:rsidR="003C4F46" w:rsidRDefault="004B6A81">
            <w:pPr>
              <w:ind w:firstLine="480"/>
            </w:pPr>
            <w:r>
              <w:rPr>
                <w:rFonts w:hint="eastAsia"/>
              </w:rPr>
              <w:t>（</w:t>
            </w:r>
            <w:r>
              <w:rPr>
                <w:rFonts w:hint="eastAsia"/>
              </w:rPr>
              <w:t>6</w:t>
            </w:r>
            <w:r>
              <w:rPr>
                <w:rFonts w:hint="eastAsia"/>
              </w:rPr>
              <w:t>）评价方法</w:t>
            </w:r>
          </w:p>
          <w:p w14:paraId="474F5255" w14:textId="77777777" w:rsidR="003C4F46" w:rsidRDefault="004B6A81">
            <w:pPr>
              <w:ind w:firstLine="480"/>
            </w:pPr>
            <w:r>
              <w:rPr>
                <w:rFonts w:hint="eastAsia"/>
              </w:rPr>
              <w:t>对于评价标准为定值的土壤因子，其标准指数计算公式：</w:t>
            </w:r>
          </w:p>
          <w:p w14:paraId="491670FA" w14:textId="77777777" w:rsidR="003C4F46" w:rsidRDefault="004B6A81">
            <w:pPr>
              <w:ind w:firstLine="480"/>
            </w:pPr>
            <w:r>
              <w:rPr>
                <w:rFonts w:hint="eastAsia"/>
              </w:rPr>
              <w:t xml:space="preserve">                    Pi=Ci/</w:t>
            </w:r>
            <w:proofErr w:type="spellStart"/>
            <w:r>
              <w:rPr>
                <w:rFonts w:hint="eastAsia"/>
              </w:rPr>
              <w:t>Csi</w:t>
            </w:r>
            <w:proofErr w:type="spellEnd"/>
            <w:r>
              <w:rPr>
                <w:rFonts w:hint="eastAsia"/>
              </w:rPr>
              <w:t>×</w:t>
            </w:r>
            <w:r>
              <w:rPr>
                <w:rFonts w:hint="eastAsia"/>
              </w:rPr>
              <w:t>100%</w:t>
            </w:r>
          </w:p>
          <w:p w14:paraId="7CF90873" w14:textId="77777777" w:rsidR="003C4F46" w:rsidRDefault="004B6A81">
            <w:pPr>
              <w:ind w:firstLine="480"/>
            </w:pPr>
            <w:r>
              <w:rPr>
                <w:rFonts w:hint="eastAsia"/>
              </w:rPr>
              <w:t>式中：</w:t>
            </w:r>
            <w:r>
              <w:rPr>
                <w:rFonts w:hint="eastAsia"/>
              </w:rPr>
              <w:t>Pi</w:t>
            </w:r>
            <w:r>
              <w:rPr>
                <w:rFonts w:hint="eastAsia"/>
              </w:rPr>
              <w:t>——第</w:t>
            </w:r>
            <w:proofErr w:type="spellStart"/>
            <w:r>
              <w:rPr>
                <w:rFonts w:hint="eastAsia"/>
              </w:rPr>
              <w:t>i</w:t>
            </w:r>
            <w:proofErr w:type="spellEnd"/>
            <w:r>
              <w:rPr>
                <w:rFonts w:hint="eastAsia"/>
              </w:rPr>
              <w:t>个土壤因子的标准指数，无量纲；</w:t>
            </w:r>
          </w:p>
          <w:p w14:paraId="78C6179D" w14:textId="77777777" w:rsidR="003C4F46" w:rsidRDefault="004B6A81">
            <w:pPr>
              <w:ind w:firstLineChars="500" w:firstLine="1200"/>
            </w:pPr>
            <w:r>
              <w:rPr>
                <w:rFonts w:hint="eastAsia"/>
              </w:rPr>
              <w:t>Ci</w:t>
            </w:r>
            <w:r>
              <w:rPr>
                <w:rFonts w:hint="eastAsia"/>
              </w:rPr>
              <w:t>——第</w:t>
            </w:r>
            <w:proofErr w:type="spellStart"/>
            <w:r>
              <w:rPr>
                <w:rFonts w:hint="eastAsia"/>
              </w:rPr>
              <w:t>i</w:t>
            </w:r>
            <w:proofErr w:type="spellEnd"/>
            <w:r>
              <w:rPr>
                <w:rFonts w:hint="eastAsia"/>
              </w:rPr>
              <w:t>个土壤因子的监测浓度，</w:t>
            </w:r>
            <w:r>
              <w:rPr>
                <w:rFonts w:hint="eastAsia"/>
              </w:rPr>
              <w:t>mg/L</w:t>
            </w:r>
            <w:r>
              <w:rPr>
                <w:rFonts w:hint="eastAsia"/>
              </w:rPr>
              <w:t>；</w:t>
            </w:r>
          </w:p>
          <w:p w14:paraId="6284DB58" w14:textId="77777777" w:rsidR="003C4F46" w:rsidRDefault="004B6A81">
            <w:pPr>
              <w:ind w:firstLineChars="500" w:firstLine="1200"/>
            </w:pPr>
            <w:proofErr w:type="spellStart"/>
            <w:r>
              <w:rPr>
                <w:rFonts w:hint="eastAsia"/>
              </w:rPr>
              <w:t>Csi</w:t>
            </w:r>
            <w:proofErr w:type="spellEnd"/>
            <w:r>
              <w:rPr>
                <w:rFonts w:hint="eastAsia"/>
              </w:rPr>
              <w:t>——第</w:t>
            </w:r>
            <w:proofErr w:type="spellStart"/>
            <w:r>
              <w:rPr>
                <w:rFonts w:hint="eastAsia"/>
              </w:rPr>
              <w:t>i</w:t>
            </w:r>
            <w:proofErr w:type="spellEnd"/>
            <w:r>
              <w:rPr>
                <w:rFonts w:hint="eastAsia"/>
              </w:rPr>
              <w:t>个土壤因子的标准浓度，</w:t>
            </w:r>
            <w:r>
              <w:rPr>
                <w:rFonts w:hint="eastAsia"/>
              </w:rPr>
              <w:t>mg/L</w:t>
            </w:r>
            <w:r>
              <w:rPr>
                <w:rFonts w:hint="eastAsia"/>
              </w:rPr>
              <w:t>。</w:t>
            </w:r>
          </w:p>
          <w:p w14:paraId="1DDF9BCF" w14:textId="77777777" w:rsidR="003C4F46" w:rsidRDefault="004B6A81">
            <w:pPr>
              <w:numPr>
                <w:ilvl w:val="0"/>
                <w:numId w:val="3"/>
              </w:numPr>
              <w:ind w:firstLine="480"/>
              <w:textAlignment w:val="auto"/>
            </w:pPr>
            <w:r>
              <w:rPr>
                <w:rFonts w:hint="eastAsia"/>
              </w:rPr>
              <w:t>监测结果</w:t>
            </w:r>
          </w:p>
          <w:p w14:paraId="266909B3" w14:textId="77777777" w:rsidR="003C4F46" w:rsidRDefault="004B6A81">
            <w:pPr>
              <w:ind w:firstLine="480"/>
            </w:pPr>
            <w:r>
              <w:rPr>
                <w:rFonts w:hint="eastAsia"/>
              </w:rPr>
              <w:t>土壤监测结果见下表。</w:t>
            </w:r>
          </w:p>
          <w:p w14:paraId="26A5E608" w14:textId="0AEBCBB1" w:rsidR="003C4F46" w:rsidRDefault="004B6A81">
            <w:pPr>
              <w:pStyle w:val="aff6"/>
              <w:spacing w:before="163"/>
              <w:ind w:firstLine="480"/>
            </w:pPr>
            <w:r>
              <w:rPr>
                <w:rFonts w:hint="eastAsia"/>
              </w:rPr>
              <w:t>表</w:t>
            </w:r>
            <w:r>
              <w:rPr>
                <w:rFonts w:eastAsia="Times New Roman" w:cs="Times New Roman"/>
                <w:bCs/>
                <w:szCs w:val="21"/>
              </w:rPr>
              <w:t>3-</w:t>
            </w:r>
            <w:r w:rsidR="006B1F44">
              <w:rPr>
                <w:rFonts w:cs="Times New Roman"/>
                <w:bCs/>
                <w:szCs w:val="21"/>
              </w:rPr>
              <w:t>6</w:t>
            </w:r>
            <w:r>
              <w:rPr>
                <w:rFonts w:eastAsia="Times New Roman" w:cs="Times New Roman"/>
                <w:bCs/>
                <w:szCs w:val="21"/>
              </w:rPr>
              <w:t xml:space="preserve"> </w:t>
            </w:r>
            <w:r>
              <w:t xml:space="preserve"> </w:t>
            </w:r>
            <w:r>
              <w:rPr>
                <w:rFonts w:hint="eastAsia"/>
              </w:rPr>
              <w:t>土壤监测结果一览表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95"/>
              <w:gridCol w:w="1053"/>
              <w:gridCol w:w="1350"/>
              <w:gridCol w:w="1158"/>
              <w:gridCol w:w="1290"/>
              <w:gridCol w:w="1289"/>
            </w:tblGrid>
            <w:tr w:rsidR="003C4F46" w14:paraId="16685C21" w14:textId="77777777">
              <w:trPr>
                <w:trHeight w:val="264"/>
                <w:tblHeader/>
                <w:jc w:val="center"/>
              </w:trPr>
              <w:tc>
                <w:tcPr>
                  <w:tcW w:w="1226" w:type="pct"/>
                  <w:vMerge w:val="restart"/>
                  <w:vAlign w:val="center"/>
                </w:tcPr>
                <w:p w14:paraId="457677C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lastRenderedPageBreak/>
                    <w:t>监测因子</w:t>
                  </w:r>
                </w:p>
              </w:tc>
              <w:tc>
                <w:tcPr>
                  <w:tcW w:w="647" w:type="pct"/>
                  <w:vMerge w:val="restart"/>
                  <w:vAlign w:val="center"/>
                </w:tcPr>
                <w:p w14:paraId="6CDCFF7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单位</w:t>
                  </w:r>
                </w:p>
              </w:tc>
              <w:tc>
                <w:tcPr>
                  <w:tcW w:w="2334" w:type="pct"/>
                  <w:gridSpan w:val="3"/>
                  <w:vAlign w:val="center"/>
                </w:tcPr>
                <w:p w14:paraId="7540E4E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监测结果</w:t>
                  </w:r>
                </w:p>
              </w:tc>
              <w:tc>
                <w:tcPr>
                  <w:tcW w:w="792" w:type="pct"/>
                  <w:vMerge w:val="restart"/>
                  <w:vAlign w:val="center"/>
                </w:tcPr>
                <w:p w14:paraId="559A2AC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bCs/>
                      <w:sz w:val="21"/>
                      <w:szCs w:val="21"/>
                    </w:rPr>
                    <w:t>标准限值（第二类用地筛选值）</w:t>
                  </w:r>
                </w:p>
              </w:tc>
            </w:tr>
            <w:tr w:rsidR="003C4F46" w14:paraId="33D6CF50" w14:textId="77777777">
              <w:trPr>
                <w:trHeight w:val="264"/>
                <w:tblHeader/>
                <w:jc w:val="center"/>
              </w:trPr>
              <w:tc>
                <w:tcPr>
                  <w:tcW w:w="1226" w:type="pct"/>
                  <w:vMerge/>
                  <w:vAlign w:val="center"/>
                </w:tcPr>
                <w:p w14:paraId="3CA3222C"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647" w:type="pct"/>
                  <w:vMerge/>
                  <w:vAlign w:val="center"/>
                </w:tcPr>
                <w:p w14:paraId="5962D710"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c>
                <w:tcPr>
                  <w:tcW w:w="830" w:type="pct"/>
                  <w:vAlign w:val="center"/>
                </w:tcPr>
                <w:p w14:paraId="3FE15BE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1#</w:t>
                  </w:r>
                </w:p>
              </w:tc>
              <w:tc>
                <w:tcPr>
                  <w:tcW w:w="712" w:type="pct"/>
                  <w:vAlign w:val="center"/>
                </w:tcPr>
                <w:p w14:paraId="4390682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color w:val="000000"/>
                      <w:sz w:val="21"/>
                      <w:szCs w:val="21"/>
                    </w:rPr>
                    <w:t>2#</w:t>
                  </w:r>
                </w:p>
              </w:tc>
              <w:tc>
                <w:tcPr>
                  <w:tcW w:w="793" w:type="pct"/>
                  <w:vAlign w:val="center"/>
                </w:tcPr>
                <w:p w14:paraId="15F80D2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项目区</w:t>
                  </w:r>
                  <w:r>
                    <w:rPr>
                      <w:rFonts w:hint="eastAsia"/>
                      <w:color w:val="000000"/>
                      <w:sz w:val="21"/>
                      <w:szCs w:val="21"/>
                    </w:rPr>
                    <w:t>3</w:t>
                  </w:r>
                  <w:r>
                    <w:rPr>
                      <w:color w:val="000000"/>
                      <w:sz w:val="21"/>
                      <w:szCs w:val="21"/>
                    </w:rPr>
                    <w:t>#</w:t>
                  </w:r>
                </w:p>
              </w:tc>
              <w:tc>
                <w:tcPr>
                  <w:tcW w:w="792" w:type="pct"/>
                  <w:vMerge/>
                  <w:vAlign w:val="center"/>
                </w:tcPr>
                <w:p w14:paraId="681CCC4F" w14:textId="77777777" w:rsidR="003C4F46" w:rsidRDefault="003C4F46">
                  <w:pPr>
                    <w:adjustRightInd w:val="0"/>
                    <w:snapToGrid w:val="0"/>
                    <w:spacing w:line="240" w:lineRule="auto"/>
                    <w:ind w:firstLineChars="0" w:firstLine="0"/>
                    <w:jc w:val="center"/>
                    <w:outlineLvl w:val="3"/>
                    <w:rPr>
                      <w:rFonts w:cs="Times New Roman"/>
                      <w:bCs/>
                      <w:sz w:val="21"/>
                      <w:szCs w:val="21"/>
                    </w:rPr>
                  </w:pPr>
                </w:p>
              </w:tc>
            </w:tr>
            <w:tr w:rsidR="003C4F46" w14:paraId="1BF188E2" w14:textId="77777777">
              <w:trPr>
                <w:tblHeader/>
                <w:jc w:val="center"/>
              </w:trPr>
              <w:tc>
                <w:tcPr>
                  <w:tcW w:w="1226" w:type="pct"/>
                  <w:vAlign w:val="center"/>
                </w:tcPr>
                <w:p w14:paraId="52DBF70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水分</w:t>
                  </w:r>
                </w:p>
              </w:tc>
              <w:tc>
                <w:tcPr>
                  <w:tcW w:w="647" w:type="pct"/>
                  <w:vAlign w:val="center"/>
                </w:tcPr>
                <w:p w14:paraId="5BA0552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w:t>
                  </w:r>
                </w:p>
              </w:tc>
              <w:tc>
                <w:tcPr>
                  <w:tcW w:w="830" w:type="pct"/>
                  <w:vAlign w:val="center"/>
                </w:tcPr>
                <w:p w14:paraId="30F0A1C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.1</w:t>
                  </w:r>
                </w:p>
              </w:tc>
              <w:tc>
                <w:tcPr>
                  <w:tcW w:w="712" w:type="pct"/>
                  <w:vAlign w:val="center"/>
                </w:tcPr>
                <w:p w14:paraId="1A7BF20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.1</w:t>
                  </w:r>
                </w:p>
              </w:tc>
              <w:tc>
                <w:tcPr>
                  <w:tcW w:w="793" w:type="pct"/>
                </w:tcPr>
                <w:p w14:paraId="2000544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.0</w:t>
                  </w:r>
                </w:p>
              </w:tc>
              <w:tc>
                <w:tcPr>
                  <w:tcW w:w="792" w:type="pct"/>
                  <w:vAlign w:val="center"/>
                </w:tcPr>
                <w:p w14:paraId="47AEE77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w:t>
                  </w:r>
                </w:p>
              </w:tc>
            </w:tr>
            <w:tr w:rsidR="003C4F46" w14:paraId="6421913F" w14:textId="77777777">
              <w:trPr>
                <w:tblHeader/>
                <w:jc w:val="center"/>
              </w:trPr>
              <w:tc>
                <w:tcPr>
                  <w:tcW w:w="1226" w:type="pct"/>
                  <w:vAlign w:val="center"/>
                </w:tcPr>
                <w:p w14:paraId="1C1D0DBC" w14:textId="77777777" w:rsidR="003C4F46" w:rsidRDefault="004B6A81">
                  <w:pPr>
                    <w:adjustRightInd w:val="0"/>
                    <w:snapToGrid w:val="0"/>
                    <w:spacing w:line="240" w:lineRule="auto"/>
                    <w:ind w:firstLineChars="0" w:firstLine="0"/>
                    <w:outlineLvl w:val="3"/>
                    <w:rPr>
                      <w:rFonts w:cs="Times New Roman"/>
                      <w:bCs/>
                      <w:sz w:val="21"/>
                      <w:szCs w:val="21"/>
                    </w:rPr>
                  </w:pPr>
                  <w:r>
                    <w:rPr>
                      <w:color w:val="000000"/>
                      <w:sz w:val="21"/>
                      <w:szCs w:val="21"/>
                    </w:rPr>
                    <w:t>石油烃（</w:t>
                  </w:r>
                  <w:r>
                    <w:rPr>
                      <w:color w:val="000000"/>
                      <w:sz w:val="21"/>
                      <w:szCs w:val="21"/>
                    </w:rPr>
                    <w:t>C</w:t>
                  </w:r>
                  <w:r>
                    <w:rPr>
                      <w:color w:val="000000"/>
                      <w:sz w:val="21"/>
                      <w:szCs w:val="21"/>
                      <w:vertAlign w:val="subscript"/>
                    </w:rPr>
                    <w:t>10</w:t>
                  </w:r>
                  <w:r>
                    <w:rPr>
                      <w:color w:val="000000"/>
                      <w:sz w:val="21"/>
                      <w:szCs w:val="21"/>
                    </w:rPr>
                    <w:t>-C</w:t>
                  </w:r>
                  <w:r>
                    <w:rPr>
                      <w:color w:val="000000"/>
                      <w:sz w:val="21"/>
                      <w:szCs w:val="21"/>
                      <w:vertAlign w:val="subscript"/>
                    </w:rPr>
                    <w:t>40</w:t>
                  </w:r>
                  <w:r>
                    <w:rPr>
                      <w:color w:val="000000"/>
                      <w:sz w:val="21"/>
                      <w:szCs w:val="21"/>
                    </w:rPr>
                    <w:t>）</w:t>
                  </w:r>
                </w:p>
              </w:tc>
              <w:tc>
                <w:tcPr>
                  <w:tcW w:w="647" w:type="pct"/>
                </w:tcPr>
                <w:p w14:paraId="21A4B1A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46400AA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72</w:t>
                  </w:r>
                </w:p>
              </w:tc>
              <w:tc>
                <w:tcPr>
                  <w:tcW w:w="712" w:type="pct"/>
                  <w:vAlign w:val="center"/>
                </w:tcPr>
                <w:p w14:paraId="21E6020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48</w:t>
                  </w:r>
                </w:p>
              </w:tc>
              <w:tc>
                <w:tcPr>
                  <w:tcW w:w="793" w:type="pct"/>
                </w:tcPr>
                <w:p w14:paraId="0FE8EAC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w:t>
                  </w:r>
                </w:p>
              </w:tc>
              <w:tc>
                <w:tcPr>
                  <w:tcW w:w="792" w:type="pct"/>
                </w:tcPr>
                <w:p w14:paraId="758400D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w:t>
                  </w:r>
                </w:p>
              </w:tc>
            </w:tr>
            <w:tr w:rsidR="003C4F46" w14:paraId="30169FF5" w14:textId="77777777">
              <w:trPr>
                <w:tblHeader/>
                <w:jc w:val="center"/>
              </w:trPr>
              <w:tc>
                <w:tcPr>
                  <w:tcW w:w="1226" w:type="pct"/>
                  <w:vAlign w:val="center"/>
                </w:tcPr>
                <w:p w14:paraId="76CE070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砷</w:t>
                  </w:r>
                </w:p>
              </w:tc>
              <w:tc>
                <w:tcPr>
                  <w:tcW w:w="647" w:type="pct"/>
                </w:tcPr>
                <w:p w14:paraId="58EFD1D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0352C1C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8</w:t>
                  </w:r>
                  <w:r>
                    <w:rPr>
                      <w:rFonts w:cs="Times New Roman"/>
                      <w:bCs/>
                      <w:sz w:val="21"/>
                      <w:szCs w:val="21"/>
                    </w:rPr>
                    <w:t>.36</w:t>
                  </w:r>
                </w:p>
              </w:tc>
              <w:tc>
                <w:tcPr>
                  <w:tcW w:w="712" w:type="pct"/>
                  <w:vAlign w:val="center"/>
                </w:tcPr>
                <w:p w14:paraId="18E00B5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9</w:t>
                  </w:r>
                  <w:r>
                    <w:rPr>
                      <w:rFonts w:cs="Times New Roman"/>
                      <w:bCs/>
                      <w:sz w:val="21"/>
                      <w:szCs w:val="21"/>
                    </w:rPr>
                    <w:t>.50</w:t>
                  </w:r>
                </w:p>
              </w:tc>
              <w:tc>
                <w:tcPr>
                  <w:tcW w:w="793" w:type="pct"/>
                </w:tcPr>
                <w:p w14:paraId="661FD69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1.6</w:t>
                  </w:r>
                </w:p>
              </w:tc>
              <w:tc>
                <w:tcPr>
                  <w:tcW w:w="792" w:type="pct"/>
                </w:tcPr>
                <w:p w14:paraId="6E78EC8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60mg/kg</w:t>
                  </w:r>
                </w:p>
              </w:tc>
            </w:tr>
            <w:tr w:rsidR="003C4F46" w14:paraId="05B70614" w14:textId="77777777">
              <w:trPr>
                <w:tblHeader/>
                <w:jc w:val="center"/>
              </w:trPr>
              <w:tc>
                <w:tcPr>
                  <w:tcW w:w="1226" w:type="pct"/>
                  <w:vAlign w:val="center"/>
                </w:tcPr>
                <w:p w14:paraId="6F03345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镉</w:t>
                  </w:r>
                </w:p>
              </w:tc>
              <w:tc>
                <w:tcPr>
                  <w:tcW w:w="647" w:type="pct"/>
                </w:tcPr>
                <w:p w14:paraId="68FD0D7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4EFA1F8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0</w:t>
                  </w:r>
                  <w:r>
                    <w:rPr>
                      <w:rFonts w:cs="Times New Roman"/>
                      <w:bCs/>
                      <w:sz w:val="21"/>
                      <w:szCs w:val="21"/>
                    </w:rPr>
                    <w:t>.33</w:t>
                  </w:r>
                </w:p>
              </w:tc>
              <w:tc>
                <w:tcPr>
                  <w:tcW w:w="712" w:type="pct"/>
                  <w:vAlign w:val="center"/>
                </w:tcPr>
                <w:p w14:paraId="6C98C96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0</w:t>
                  </w:r>
                  <w:r>
                    <w:rPr>
                      <w:rFonts w:cs="Times New Roman"/>
                      <w:bCs/>
                      <w:sz w:val="21"/>
                      <w:szCs w:val="21"/>
                    </w:rPr>
                    <w:t>.28</w:t>
                  </w:r>
                </w:p>
              </w:tc>
              <w:tc>
                <w:tcPr>
                  <w:tcW w:w="793" w:type="pct"/>
                </w:tcPr>
                <w:p w14:paraId="3C7326D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0</w:t>
                  </w:r>
                  <w:r>
                    <w:rPr>
                      <w:rFonts w:cs="Times New Roman"/>
                      <w:bCs/>
                      <w:sz w:val="21"/>
                      <w:szCs w:val="21"/>
                    </w:rPr>
                    <w:t>.36</w:t>
                  </w:r>
                </w:p>
              </w:tc>
              <w:tc>
                <w:tcPr>
                  <w:tcW w:w="792" w:type="pct"/>
                </w:tcPr>
                <w:p w14:paraId="28A60FC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65mg/kg</w:t>
                  </w:r>
                </w:p>
              </w:tc>
            </w:tr>
            <w:tr w:rsidR="003C4F46" w14:paraId="53F77EA2" w14:textId="77777777">
              <w:trPr>
                <w:tblHeader/>
                <w:jc w:val="center"/>
              </w:trPr>
              <w:tc>
                <w:tcPr>
                  <w:tcW w:w="1226" w:type="pct"/>
                  <w:vAlign w:val="center"/>
                </w:tcPr>
                <w:p w14:paraId="5970F22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六价铬</w:t>
                  </w:r>
                </w:p>
              </w:tc>
              <w:tc>
                <w:tcPr>
                  <w:tcW w:w="647" w:type="pct"/>
                </w:tcPr>
                <w:p w14:paraId="5D058CB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38F33EB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&lt;0.5</w:t>
                  </w:r>
                </w:p>
              </w:tc>
              <w:tc>
                <w:tcPr>
                  <w:tcW w:w="712" w:type="pct"/>
                </w:tcPr>
                <w:p w14:paraId="66B8BE5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&lt;0.5</w:t>
                  </w:r>
                </w:p>
              </w:tc>
              <w:tc>
                <w:tcPr>
                  <w:tcW w:w="793" w:type="pct"/>
                </w:tcPr>
                <w:p w14:paraId="586B696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&lt;0.5</w:t>
                  </w:r>
                </w:p>
              </w:tc>
              <w:tc>
                <w:tcPr>
                  <w:tcW w:w="792" w:type="pct"/>
                </w:tcPr>
                <w:p w14:paraId="2BB82F3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5.7mg/kg</w:t>
                  </w:r>
                </w:p>
              </w:tc>
            </w:tr>
            <w:tr w:rsidR="003C4F46" w14:paraId="12CC3D58" w14:textId="77777777">
              <w:trPr>
                <w:tblHeader/>
                <w:jc w:val="center"/>
              </w:trPr>
              <w:tc>
                <w:tcPr>
                  <w:tcW w:w="1226" w:type="pct"/>
                  <w:vAlign w:val="center"/>
                </w:tcPr>
                <w:p w14:paraId="58C1F52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铜</w:t>
                  </w:r>
                </w:p>
              </w:tc>
              <w:tc>
                <w:tcPr>
                  <w:tcW w:w="647" w:type="pct"/>
                </w:tcPr>
                <w:p w14:paraId="23E6AD0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63882FB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9</w:t>
                  </w:r>
                </w:p>
              </w:tc>
              <w:tc>
                <w:tcPr>
                  <w:tcW w:w="712" w:type="pct"/>
                  <w:vAlign w:val="center"/>
                </w:tcPr>
                <w:p w14:paraId="7A9C7C3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r>
                    <w:rPr>
                      <w:rFonts w:cs="Times New Roman"/>
                      <w:bCs/>
                      <w:sz w:val="21"/>
                      <w:szCs w:val="21"/>
                    </w:rPr>
                    <w:t>3</w:t>
                  </w:r>
                </w:p>
              </w:tc>
              <w:tc>
                <w:tcPr>
                  <w:tcW w:w="793" w:type="pct"/>
                </w:tcPr>
                <w:p w14:paraId="60553A6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r>
                    <w:rPr>
                      <w:rFonts w:cs="Times New Roman"/>
                      <w:bCs/>
                      <w:sz w:val="21"/>
                      <w:szCs w:val="21"/>
                    </w:rPr>
                    <w:t>0</w:t>
                  </w:r>
                </w:p>
              </w:tc>
              <w:tc>
                <w:tcPr>
                  <w:tcW w:w="792" w:type="pct"/>
                </w:tcPr>
                <w:p w14:paraId="40AEF3D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18000mg/kg</w:t>
                  </w:r>
                </w:p>
              </w:tc>
            </w:tr>
            <w:tr w:rsidR="003C4F46" w14:paraId="33777550" w14:textId="77777777">
              <w:trPr>
                <w:tblHeader/>
                <w:jc w:val="center"/>
              </w:trPr>
              <w:tc>
                <w:tcPr>
                  <w:tcW w:w="1226" w:type="pct"/>
                  <w:vAlign w:val="center"/>
                </w:tcPr>
                <w:p w14:paraId="405A171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铅</w:t>
                  </w:r>
                </w:p>
              </w:tc>
              <w:tc>
                <w:tcPr>
                  <w:tcW w:w="647" w:type="pct"/>
                </w:tcPr>
                <w:p w14:paraId="5B3470B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05D538D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4</w:t>
                  </w:r>
                  <w:r>
                    <w:rPr>
                      <w:rFonts w:cs="Times New Roman"/>
                      <w:bCs/>
                      <w:sz w:val="21"/>
                      <w:szCs w:val="21"/>
                    </w:rPr>
                    <w:t>4</w:t>
                  </w:r>
                </w:p>
              </w:tc>
              <w:tc>
                <w:tcPr>
                  <w:tcW w:w="712" w:type="pct"/>
                  <w:vAlign w:val="center"/>
                </w:tcPr>
                <w:p w14:paraId="5FF3069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r>
                    <w:rPr>
                      <w:rFonts w:cs="Times New Roman"/>
                      <w:bCs/>
                      <w:sz w:val="21"/>
                      <w:szCs w:val="21"/>
                    </w:rPr>
                    <w:t>2</w:t>
                  </w:r>
                </w:p>
              </w:tc>
              <w:tc>
                <w:tcPr>
                  <w:tcW w:w="793" w:type="pct"/>
                </w:tcPr>
                <w:p w14:paraId="0951CC2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4</w:t>
                  </w:r>
                  <w:r>
                    <w:rPr>
                      <w:rFonts w:cs="Times New Roman"/>
                      <w:bCs/>
                      <w:sz w:val="21"/>
                      <w:szCs w:val="21"/>
                    </w:rPr>
                    <w:t>0</w:t>
                  </w:r>
                </w:p>
              </w:tc>
              <w:tc>
                <w:tcPr>
                  <w:tcW w:w="792" w:type="pct"/>
                </w:tcPr>
                <w:p w14:paraId="22124F4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800mg/kg</w:t>
                  </w:r>
                </w:p>
              </w:tc>
            </w:tr>
            <w:tr w:rsidR="003C4F46" w14:paraId="67B97502" w14:textId="77777777">
              <w:trPr>
                <w:tblHeader/>
                <w:jc w:val="center"/>
              </w:trPr>
              <w:tc>
                <w:tcPr>
                  <w:tcW w:w="1226" w:type="pct"/>
                  <w:vAlign w:val="center"/>
                </w:tcPr>
                <w:p w14:paraId="08DC4BD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汞</w:t>
                  </w:r>
                </w:p>
              </w:tc>
              <w:tc>
                <w:tcPr>
                  <w:tcW w:w="647" w:type="pct"/>
                </w:tcPr>
                <w:p w14:paraId="06563F6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35CB83D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0</w:t>
                  </w:r>
                  <w:r>
                    <w:rPr>
                      <w:rFonts w:cs="Times New Roman"/>
                      <w:bCs/>
                      <w:sz w:val="21"/>
                      <w:szCs w:val="21"/>
                    </w:rPr>
                    <w:t>.152</w:t>
                  </w:r>
                </w:p>
              </w:tc>
              <w:tc>
                <w:tcPr>
                  <w:tcW w:w="712" w:type="pct"/>
                  <w:vAlign w:val="center"/>
                </w:tcPr>
                <w:p w14:paraId="5B8DFA7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0</w:t>
                  </w:r>
                  <w:r>
                    <w:rPr>
                      <w:rFonts w:cs="Times New Roman"/>
                      <w:bCs/>
                      <w:sz w:val="21"/>
                      <w:szCs w:val="21"/>
                    </w:rPr>
                    <w:t>.112</w:t>
                  </w:r>
                </w:p>
              </w:tc>
              <w:tc>
                <w:tcPr>
                  <w:tcW w:w="793" w:type="pct"/>
                </w:tcPr>
                <w:p w14:paraId="70CE90E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0</w:t>
                  </w:r>
                  <w:r>
                    <w:rPr>
                      <w:rFonts w:cs="Times New Roman"/>
                      <w:bCs/>
                      <w:sz w:val="21"/>
                      <w:szCs w:val="21"/>
                    </w:rPr>
                    <w:t>.177</w:t>
                  </w:r>
                </w:p>
              </w:tc>
              <w:tc>
                <w:tcPr>
                  <w:tcW w:w="792" w:type="pct"/>
                </w:tcPr>
                <w:p w14:paraId="3F98E5E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38mg/kg</w:t>
                  </w:r>
                </w:p>
              </w:tc>
            </w:tr>
            <w:tr w:rsidR="003C4F46" w14:paraId="025BA998" w14:textId="77777777">
              <w:trPr>
                <w:tblHeader/>
                <w:jc w:val="center"/>
              </w:trPr>
              <w:tc>
                <w:tcPr>
                  <w:tcW w:w="1226" w:type="pct"/>
                  <w:vAlign w:val="center"/>
                </w:tcPr>
                <w:p w14:paraId="50CACB9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镍</w:t>
                  </w:r>
                </w:p>
              </w:tc>
              <w:tc>
                <w:tcPr>
                  <w:tcW w:w="647" w:type="pct"/>
                </w:tcPr>
                <w:p w14:paraId="0EF1D92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vAlign w:val="center"/>
                </w:tcPr>
                <w:p w14:paraId="6F24202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5</w:t>
                  </w:r>
                </w:p>
              </w:tc>
              <w:tc>
                <w:tcPr>
                  <w:tcW w:w="712" w:type="pct"/>
                  <w:vAlign w:val="center"/>
                </w:tcPr>
                <w:p w14:paraId="57F17AF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2</w:t>
                  </w:r>
                </w:p>
              </w:tc>
              <w:tc>
                <w:tcPr>
                  <w:tcW w:w="793" w:type="pct"/>
                </w:tcPr>
                <w:p w14:paraId="66071BA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r>
                    <w:rPr>
                      <w:rFonts w:cs="Times New Roman"/>
                      <w:bCs/>
                      <w:sz w:val="21"/>
                      <w:szCs w:val="21"/>
                    </w:rPr>
                    <w:t>6</w:t>
                  </w:r>
                </w:p>
              </w:tc>
              <w:tc>
                <w:tcPr>
                  <w:tcW w:w="792" w:type="pct"/>
                </w:tcPr>
                <w:p w14:paraId="39BC281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900mg/kg</w:t>
                  </w:r>
                </w:p>
              </w:tc>
            </w:tr>
            <w:tr w:rsidR="003C4F46" w14:paraId="2F250ECA" w14:textId="77777777">
              <w:trPr>
                <w:tblHeader/>
                <w:jc w:val="center"/>
              </w:trPr>
              <w:tc>
                <w:tcPr>
                  <w:tcW w:w="1226" w:type="pct"/>
                  <w:vAlign w:val="center"/>
                </w:tcPr>
                <w:p w14:paraId="1185E38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四氯化碳</w:t>
                  </w:r>
                </w:p>
              </w:tc>
              <w:tc>
                <w:tcPr>
                  <w:tcW w:w="647" w:type="pct"/>
                </w:tcPr>
                <w:p w14:paraId="58761ABE"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vAlign w:val="center"/>
                </w:tcPr>
                <w:p w14:paraId="45ECC90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12" w:type="pct"/>
                  <w:vAlign w:val="center"/>
                </w:tcPr>
                <w:p w14:paraId="27EA1CB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0</w:t>
                  </w:r>
                </w:p>
              </w:tc>
              <w:tc>
                <w:tcPr>
                  <w:tcW w:w="793" w:type="pct"/>
                </w:tcPr>
                <w:p w14:paraId="5B5C714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2" w:type="pct"/>
                </w:tcPr>
                <w:p w14:paraId="0472474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2.8mg/kg</w:t>
                  </w:r>
                </w:p>
              </w:tc>
            </w:tr>
            <w:tr w:rsidR="003C4F46" w14:paraId="2123A810" w14:textId="77777777">
              <w:trPr>
                <w:tblHeader/>
                <w:jc w:val="center"/>
              </w:trPr>
              <w:tc>
                <w:tcPr>
                  <w:tcW w:w="1226" w:type="pct"/>
                  <w:vAlign w:val="center"/>
                </w:tcPr>
                <w:p w14:paraId="3BB5245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三氯甲烷</w:t>
                  </w:r>
                </w:p>
              </w:tc>
              <w:tc>
                <w:tcPr>
                  <w:tcW w:w="647" w:type="pct"/>
                </w:tcPr>
                <w:p w14:paraId="2F40DA7B"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660A5A3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12" w:type="pct"/>
                </w:tcPr>
                <w:p w14:paraId="3634501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93" w:type="pct"/>
                </w:tcPr>
                <w:p w14:paraId="0FF1673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92" w:type="pct"/>
                </w:tcPr>
                <w:p w14:paraId="3B1148D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0.9mg/kg</w:t>
                  </w:r>
                </w:p>
              </w:tc>
            </w:tr>
            <w:tr w:rsidR="003C4F46" w14:paraId="27D421B7" w14:textId="77777777">
              <w:trPr>
                <w:tblHeader/>
                <w:jc w:val="center"/>
              </w:trPr>
              <w:tc>
                <w:tcPr>
                  <w:tcW w:w="1226" w:type="pct"/>
                  <w:vAlign w:val="center"/>
                </w:tcPr>
                <w:p w14:paraId="6FF3266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氯甲烷</w:t>
                  </w:r>
                </w:p>
              </w:tc>
              <w:tc>
                <w:tcPr>
                  <w:tcW w:w="647" w:type="pct"/>
                </w:tcPr>
                <w:p w14:paraId="5E145CC2"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4E3772B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12" w:type="pct"/>
                </w:tcPr>
                <w:p w14:paraId="4037BF9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93" w:type="pct"/>
                </w:tcPr>
                <w:p w14:paraId="35BD4AF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92" w:type="pct"/>
                </w:tcPr>
                <w:p w14:paraId="39F2848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37mg/kg</w:t>
                  </w:r>
                </w:p>
              </w:tc>
            </w:tr>
            <w:tr w:rsidR="003C4F46" w14:paraId="527D59BC" w14:textId="77777777">
              <w:trPr>
                <w:tblHeader/>
                <w:jc w:val="center"/>
              </w:trPr>
              <w:tc>
                <w:tcPr>
                  <w:tcW w:w="1226" w:type="pct"/>
                  <w:vAlign w:val="center"/>
                </w:tcPr>
                <w:p w14:paraId="101E331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1,1-</w:t>
                  </w:r>
                  <w:r>
                    <w:rPr>
                      <w:color w:val="000000"/>
                      <w:sz w:val="21"/>
                      <w:szCs w:val="21"/>
                    </w:rPr>
                    <w:t>二氯乙烷</w:t>
                  </w:r>
                </w:p>
              </w:tc>
              <w:tc>
                <w:tcPr>
                  <w:tcW w:w="647" w:type="pct"/>
                </w:tcPr>
                <w:p w14:paraId="7199AE86"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2FC92FF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5442A03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3" w:type="pct"/>
                </w:tcPr>
                <w:p w14:paraId="1B08B39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37DDC93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9mg/kg</w:t>
                  </w:r>
                </w:p>
              </w:tc>
            </w:tr>
            <w:tr w:rsidR="003C4F46" w14:paraId="25E08344" w14:textId="77777777">
              <w:trPr>
                <w:tblHeader/>
                <w:jc w:val="center"/>
              </w:trPr>
              <w:tc>
                <w:tcPr>
                  <w:tcW w:w="1226" w:type="pct"/>
                  <w:vAlign w:val="center"/>
                </w:tcPr>
                <w:p w14:paraId="2DE86CD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1,2-</w:t>
                  </w:r>
                  <w:r>
                    <w:rPr>
                      <w:color w:val="000000"/>
                      <w:sz w:val="21"/>
                      <w:szCs w:val="21"/>
                    </w:rPr>
                    <w:t>二氯乙烷</w:t>
                  </w:r>
                </w:p>
              </w:tc>
              <w:tc>
                <w:tcPr>
                  <w:tcW w:w="647" w:type="pct"/>
                </w:tcPr>
                <w:p w14:paraId="48A380DE"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4393908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12" w:type="pct"/>
                </w:tcPr>
                <w:p w14:paraId="0F1D4B2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3" w:type="pct"/>
                </w:tcPr>
                <w:p w14:paraId="71D8565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2" w:type="pct"/>
                </w:tcPr>
                <w:p w14:paraId="1375B65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5mg/kg</w:t>
                  </w:r>
                </w:p>
              </w:tc>
            </w:tr>
            <w:tr w:rsidR="003C4F46" w14:paraId="1CB9F741" w14:textId="77777777">
              <w:trPr>
                <w:tblHeader/>
                <w:jc w:val="center"/>
              </w:trPr>
              <w:tc>
                <w:tcPr>
                  <w:tcW w:w="1226" w:type="pct"/>
                  <w:vAlign w:val="center"/>
                </w:tcPr>
                <w:p w14:paraId="31189DD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顺式</w:t>
                  </w:r>
                  <w:r>
                    <w:rPr>
                      <w:color w:val="000000"/>
                      <w:sz w:val="21"/>
                      <w:szCs w:val="21"/>
                    </w:rPr>
                    <w:t>-1,2-</w:t>
                  </w:r>
                  <w:r>
                    <w:rPr>
                      <w:color w:val="000000"/>
                      <w:sz w:val="21"/>
                      <w:szCs w:val="21"/>
                    </w:rPr>
                    <w:t>二氯乙烯</w:t>
                  </w:r>
                </w:p>
              </w:tc>
              <w:tc>
                <w:tcPr>
                  <w:tcW w:w="647" w:type="pct"/>
                </w:tcPr>
                <w:p w14:paraId="186D4982"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33A9BD5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12" w:type="pct"/>
                </w:tcPr>
                <w:p w14:paraId="11D2A16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3" w:type="pct"/>
                </w:tcPr>
                <w:p w14:paraId="5885E51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2" w:type="pct"/>
                </w:tcPr>
                <w:p w14:paraId="23B2C84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596mg/kg</w:t>
                  </w:r>
                </w:p>
              </w:tc>
            </w:tr>
            <w:tr w:rsidR="003C4F46" w14:paraId="5C7DDC63" w14:textId="77777777">
              <w:trPr>
                <w:tblHeader/>
                <w:jc w:val="center"/>
              </w:trPr>
              <w:tc>
                <w:tcPr>
                  <w:tcW w:w="1226" w:type="pct"/>
                  <w:vAlign w:val="center"/>
                </w:tcPr>
                <w:p w14:paraId="254F3994"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反式</w:t>
                  </w:r>
                  <w:r>
                    <w:rPr>
                      <w:color w:val="000000"/>
                      <w:sz w:val="21"/>
                      <w:szCs w:val="21"/>
                    </w:rPr>
                    <w:t>-1,2-</w:t>
                  </w:r>
                  <w:r>
                    <w:rPr>
                      <w:color w:val="000000"/>
                      <w:sz w:val="21"/>
                      <w:szCs w:val="21"/>
                    </w:rPr>
                    <w:t>二氯乙烯</w:t>
                  </w:r>
                </w:p>
              </w:tc>
              <w:tc>
                <w:tcPr>
                  <w:tcW w:w="647" w:type="pct"/>
                </w:tcPr>
                <w:p w14:paraId="6B60A8BF"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76369A4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&lt;1.4</w:t>
                  </w:r>
                </w:p>
              </w:tc>
              <w:tc>
                <w:tcPr>
                  <w:tcW w:w="712" w:type="pct"/>
                </w:tcPr>
                <w:p w14:paraId="27C874A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&lt;1.4</w:t>
                  </w:r>
                </w:p>
              </w:tc>
              <w:tc>
                <w:tcPr>
                  <w:tcW w:w="793" w:type="pct"/>
                </w:tcPr>
                <w:p w14:paraId="502EDCD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&lt;1.4</w:t>
                  </w:r>
                </w:p>
              </w:tc>
              <w:tc>
                <w:tcPr>
                  <w:tcW w:w="792" w:type="pct"/>
                </w:tcPr>
                <w:p w14:paraId="30DAFF3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54mg/kg</w:t>
                  </w:r>
                </w:p>
              </w:tc>
            </w:tr>
            <w:tr w:rsidR="003C4F46" w14:paraId="119C5614" w14:textId="77777777">
              <w:trPr>
                <w:tblHeader/>
                <w:jc w:val="center"/>
              </w:trPr>
              <w:tc>
                <w:tcPr>
                  <w:tcW w:w="1226" w:type="pct"/>
                  <w:vAlign w:val="center"/>
                </w:tcPr>
                <w:p w14:paraId="637CA205"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二氯甲烷</w:t>
                  </w:r>
                </w:p>
              </w:tc>
              <w:tc>
                <w:tcPr>
                  <w:tcW w:w="647" w:type="pct"/>
                </w:tcPr>
                <w:p w14:paraId="3F6094C6"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77384C8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12" w:type="pct"/>
                </w:tcPr>
                <w:p w14:paraId="45DD377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1.70</w:t>
                  </w:r>
                </w:p>
              </w:tc>
              <w:tc>
                <w:tcPr>
                  <w:tcW w:w="793" w:type="pct"/>
                </w:tcPr>
                <w:p w14:paraId="52A5379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92" w:type="pct"/>
                </w:tcPr>
                <w:p w14:paraId="27520BD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616mg/kg</w:t>
                  </w:r>
                </w:p>
              </w:tc>
            </w:tr>
            <w:tr w:rsidR="003C4F46" w14:paraId="3C56990A" w14:textId="77777777">
              <w:trPr>
                <w:tblHeader/>
                <w:jc w:val="center"/>
              </w:trPr>
              <w:tc>
                <w:tcPr>
                  <w:tcW w:w="1226" w:type="pct"/>
                  <w:vAlign w:val="center"/>
                </w:tcPr>
                <w:p w14:paraId="359EE820"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1,2-</w:t>
                  </w:r>
                  <w:r>
                    <w:rPr>
                      <w:color w:val="000000"/>
                      <w:sz w:val="21"/>
                      <w:szCs w:val="21"/>
                    </w:rPr>
                    <w:t>二氯丙烷</w:t>
                  </w:r>
                </w:p>
              </w:tc>
              <w:tc>
                <w:tcPr>
                  <w:tcW w:w="647" w:type="pct"/>
                </w:tcPr>
                <w:p w14:paraId="2C3BE992"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117C46A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12" w:type="pct"/>
                </w:tcPr>
                <w:p w14:paraId="67AE57F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93" w:type="pct"/>
                </w:tcPr>
                <w:p w14:paraId="26728C6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92" w:type="pct"/>
                </w:tcPr>
                <w:p w14:paraId="13804EA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5mg/kg</w:t>
                  </w:r>
                </w:p>
              </w:tc>
            </w:tr>
            <w:tr w:rsidR="003C4F46" w14:paraId="0C5A05F4" w14:textId="77777777">
              <w:trPr>
                <w:tblHeader/>
                <w:jc w:val="center"/>
              </w:trPr>
              <w:tc>
                <w:tcPr>
                  <w:tcW w:w="1226" w:type="pct"/>
                  <w:vAlign w:val="center"/>
                </w:tcPr>
                <w:p w14:paraId="6139E0D5"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1,1,1,2-</w:t>
                  </w:r>
                  <w:r>
                    <w:rPr>
                      <w:color w:val="000000"/>
                      <w:sz w:val="21"/>
                      <w:szCs w:val="21"/>
                    </w:rPr>
                    <w:t>四氯乙烷</w:t>
                  </w:r>
                </w:p>
              </w:tc>
              <w:tc>
                <w:tcPr>
                  <w:tcW w:w="647" w:type="pct"/>
                </w:tcPr>
                <w:p w14:paraId="0473412C"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5497D6C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6017670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3" w:type="pct"/>
                </w:tcPr>
                <w:p w14:paraId="7CD9915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41A9060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10mg/kg</w:t>
                  </w:r>
                </w:p>
              </w:tc>
            </w:tr>
            <w:tr w:rsidR="003C4F46" w14:paraId="11968EC6" w14:textId="77777777">
              <w:trPr>
                <w:tblHeader/>
                <w:jc w:val="center"/>
              </w:trPr>
              <w:tc>
                <w:tcPr>
                  <w:tcW w:w="1226" w:type="pct"/>
                  <w:vAlign w:val="center"/>
                </w:tcPr>
                <w:p w14:paraId="74A32453"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四氯乙烯</w:t>
                  </w:r>
                </w:p>
              </w:tc>
              <w:tc>
                <w:tcPr>
                  <w:tcW w:w="647" w:type="pct"/>
                </w:tcPr>
                <w:p w14:paraId="31B57751"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vAlign w:val="center"/>
                </w:tcPr>
                <w:p w14:paraId="19AF3F5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5</w:t>
                  </w:r>
                  <w:r>
                    <w:rPr>
                      <w:rFonts w:cs="Times New Roman"/>
                      <w:bCs/>
                      <w:sz w:val="21"/>
                      <w:szCs w:val="21"/>
                    </w:rPr>
                    <w:t>.11</w:t>
                  </w:r>
                </w:p>
              </w:tc>
              <w:tc>
                <w:tcPr>
                  <w:tcW w:w="712" w:type="pct"/>
                  <w:vAlign w:val="center"/>
                </w:tcPr>
                <w:p w14:paraId="731C8E3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0.6</w:t>
                  </w:r>
                </w:p>
              </w:tc>
              <w:tc>
                <w:tcPr>
                  <w:tcW w:w="793" w:type="pct"/>
                </w:tcPr>
                <w:p w14:paraId="2988CFF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6</w:t>
                  </w:r>
                  <w:r>
                    <w:rPr>
                      <w:rFonts w:cs="Times New Roman"/>
                      <w:bCs/>
                      <w:sz w:val="21"/>
                      <w:szCs w:val="21"/>
                    </w:rPr>
                    <w:t>.53</w:t>
                  </w:r>
                </w:p>
              </w:tc>
              <w:tc>
                <w:tcPr>
                  <w:tcW w:w="792" w:type="pct"/>
                </w:tcPr>
                <w:p w14:paraId="009FE81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53mg/kg</w:t>
                  </w:r>
                </w:p>
              </w:tc>
            </w:tr>
            <w:tr w:rsidR="003C4F46" w14:paraId="1277B542" w14:textId="77777777">
              <w:trPr>
                <w:tblHeader/>
                <w:jc w:val="center"/>
              </w:trPr>
              <w:tc>
                <w:tcPr>
                  <w:tcW w:w="1226" w:type="pct"/>
                  <w:vAlign w:val="center"/>
                </w:tcPr>
                <w:p w14:paraId="57EFF70E"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1,1,1-</w:t>
                  </w:r>
                  <w:r>
                    <w:rPr>
                      <w:color w:val="000000"/>
                      <w:sz w:val="21"/>
                      <w:szCs w:val="21"/>
                    </w:rPr>
                    <w:t>三氯乙烷</w:t>
                  </w:r>
                </w:p>
              </w:tc>
              <w:tc>
                <w:tcPr>
                  <w:tcW w:w="647" w:type="pct"/>
                </w:tcPr>
                <w:p w14:paraId="2BE5B11C"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25C8593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12" w:type="pct"/>
                </w:tcPr>
                <w:p w14:paraId="1214396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3" w:type="pct"/>
                </w:tcPr>
                <w:p w14:paraId="2CE9E4E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92" w:type="pct"/>
                </w:tcPr>
                <w:p w14:paraId="23FF414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840mg/kg</w:t>
                  </w:r>
                </w:p>
              </w:tc>
            </w:tr>
            <w:tr w:rsidR="003C4F46" w14:paraId="7B296DBC" w14:textId="77777777">
              <w:trPr>
                <w:tblHeader/>
                <w:jc w:val="center"/>
              </w:trPr>
              <w:tc>
                <w:tcPr>
                  <w:tcW w:w="1226" w:type="pct"/>
                  <w:vAlign w:val="center"/>
                </w:tcPr>
                <w:p w14:paraId="15715981"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1,1,2-</w:t>
                  </w:r>
                  <w:r>
                    <w:rPr>
                      <w:color w:val="000000"/>
                      <w:sz w:val="21"/>
                      <w:szCs w:val="21"/>
                    </w:rPr>
                    <w:t>三氯乙烷</w:t>
                  </w:r>
                </w:p>
              </w:tc>
              <w:tc>
                <w:tcPr>
                  <w:tcW w:w="647" w:type="pct"/>
                </w:tcPr>
                <w:p w14:paraId="38836A01"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24866E6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5446F8B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3" w:type="pct"/>
                </w:tcPr>
                <w:p w14:paraId="41BFF89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7CAFB11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2.8mg/kg</w:t>
                  </w:r>
                </w:p>
              </w:tc>
            </w:tr>
            <w:tr w:rsidR="003C4F46" w14:paraId="20383F8A" w14:textId="77777777">
              <w:trPr>
                <w:tblHeader/>
                <w:jc w:val="center"/>
              </w:trPr>
              <w:tc>
                <w:tcPr>
                  <w:tcW w:w="1226" w:type="pct"/>
                  <w:vAlign w:val="center"/>
                </w:tcPr>
                <w:p w14:paraId="7F63AFEB"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三氯乙烯</w:t>
                  </w:r>
                </w:p>
              </w:tc>
              <w:tc>
                <w:tcPr>
                  <w:tcW w:w="647" w:type="pct"/>
                </w:tcPr>
                <w:p w14:paraId="2E60B67E"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4F45DDC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465B267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3" w:type="pct"/>
                </w:tcPr>
                <w:p w14:paraId="31DF7C0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65A5AF0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2.8mg/kg</w:t>
                  </w:r>
                </w:p>
              </w:tc>
            </w:tr>
            <w:tr w:rsidR="003C4F46" w14:paraId="73C1E7CE" w14:textId="77777777">
              <w:trPr>
                <w:tblHeader/>
                <w:jc w:val="center"/>
              </w:trPr>
              <w:tc>
                <w:tcPr>
                  <w:tcW w:w="1226" w:type="pct"/>
                  <w:vAlign w:val="center"/>
                </w:tcPr>
                <w:p w14:paraId="28EA5A1D"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1,2,3-</w:t>
                  </w:r>
                  <w:r>
                    <w:rPr>
                      <w:color w:val="000000"/>
                      <w:sz w:val="21"/>
                      <w:szCs w:val="21"/>
                    </w:rPr>
                    <w:t>三氯丙烷</w:t>
                  </w:r>
                </w:p>
              </w:tc>
              <w:tc>
                <w:tcPr>
                  <w:tcW w:w="647" w:type="pct"/>
                </w:tcPr>
                <w:p w14:paraId="418FE13A"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vAlign w:val="center"/>
                </w:tcPr>
                <w:p w14:paraId="47C04DF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4.8</w:t>
                  </w:r>
                </w:p>
              </w:tc>
              <w:tc>
                <w:tcPr>
                  <w:tcW w:w="712" w:type="pct"/>
                  <w:vAlign w:val="center"/>
                </w:tcPr>
                <w:p w14:paraId="377C5CD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3</w:t>
                  </w:r>
                  <w:r>
                    <w:rPr>
                      <w:rFonts w:cs="Times New Roman"/>
                      <w:bCs/>
                      <w:sz w:val="21"/>
                      <w:szCs w:val="21"/>
                    </w:rPr>
                    <w:t>1.4</w:t>
                  </w:r>
                </w:p>
              </w:tc>
              <w:tc>
                <w:tcPr>
                  <w:tcW w:w="793" w:type="pct"/>
                </w:tcPr>
                <w:p w14:paraId="390288F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5</w:t>
                  </w:r>
                  <w:r>
                    <w:rPr>
                      <w:rFonts w:cs="Times New Roman"/>
                      <w:bCs/>
                      <w:sz w:val="21"/>
                      <w:szCs w:val="21"/>
                    </w:rPr>
                    <w:t>6.1</w:t>
                  </w:r>
                </w:p>
              </w:tc>
              <w:tc>
                <w:tcPr>
                  <w:tcW w:w="792" w:type="pct"/>
                </w:tcPr>
                <w:p w14:paraId="314D0B9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0.5mg/kg</w:t>
                  </w:r>
                </w:p>
              </w:tc>
            </w:tr>
            <w:tr w:rsidR="003C4F46" w14:paraId="26410801" w14:textId="77777777">
              <w:trPr>
                <w:tblHeader/>
                <w:jc w:val="center"/>
              </w:trPr>
              <w:tc>
                <w:tcPr>
                  <w:tcW w:w="1226" w:type="pct"/>
                  <w:vAlign w:val="center"/>
                </w:tcPr>
                <w:p w14:paraId="70E6CF21"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氯乙烯</w:t>
                  </w:r>
                </w:p>
              </w:tc>
              <w:tc>
                <w:tcPr>
                  <w:tcW w:w="647" w:type="pct"/>
                </w:tcPr>
                <w:p w14:paraId="61A52A95"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185F913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12" w:type="pct"/>
                </w:tcPr>
                <w:p w14:paraId="2553955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93" w:type="pct"/>
                </w:tcPr>
                <w:p w14:paraId="1295360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92" w:type="pct"/>
                </w:tcPr>
                <w:p w14:paraId="0147457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0.43mg/kg</w:t>
                  </w:r>
                </w:p>
              </w:tc>
            </w:tr>
            <w:tr w:rsidR="003C4F46" w14:paraId="05F8E91A" w14:textId="77777777">
              <w:trPr>
                <w:tblHeader/>
                <w:jc w:val="center"/>
              </w:trPr>
              <w:tc>
                <w:tcPr>
                  <w:tcW w:w="1226" w:type="pct"/>
                  <w:vAlign w:val="center"/>
                </w:tcPr>
                <w:p w14:paraId="27DCC810"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w:t>
                  </w:r>
                </w:p>
              </w:tc>
              <w:tc>
                <w:tcPr>
                  <w:tcW w:w="647" w:type="pct"/>
                </w:tcPr>
                <w:p w14:paraId="5BF3C78B"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323B0AC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&lt;1.9</w:t>
                  </w:r>
                </w:p>
              </w:tc>
              <w:tc>
                <w:tcPr>
                  <w:tcW w:w="712" w:type="pct"/>
                </w:tcPr>
                <w:p w14:paraId="1E187BD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&lt;1.9</w:t>
                  </w:r>
                </w:p>
              </w:tc>
              <w:tc>
                <w:tcPr>
                  <w:tcW w:w="793" w:type="pct"/>
                </w:tcPr>
                <w:p w14:paraId="2C528B0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&lt;1.9</w:t>
                  </w:r>
                </w:p>
              </w:tc>
              <w:tc>
                <w:tcPr>
                  <w:tcW w:w="792" w:type="pct"/>
                </w:tcPr>
                <w:p w14:paraId="75ACEC7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4mg/kg</w:t>
                  </w:r>
                </w:p>
              </w:tc>
            </w:tr>
            <w:tr w:rsidR="003C4F46" w14:paraId="136E6CB3" w14:textId="77777777">
              <w:trPr>
                <w:tblHeader/>
                <w:jc w:val="center"/>
              </w:trPr>
              <w:tc>
                <w:tcPr>
                  <w:tcW w:w="1226" w:type="pct"/>
                  <w:vAlign w:val="center"/>
                </w:tcPr>
                <w:p w14:paraId="391349C3"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氯苯</w:t>
                  </w:r>
                </w:p>
              </w:tc>
              <w:tc>
                <w:tcPr>
                  <w:tcW w:w="647" w:type="pct"/>
                </w:tcPr>
                <w:p w14:paraId="340183F9"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3930C1E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1E8B514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3" w:type="pct"/>
                </w:tcPr>
                <w:p w14:paraId="61B8BCA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072AE3B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270mg/kg</w:t>
                  </w:r>
                </w:p>
              </w:tc>
            </w:tr>
            <w:tr w:rsidR="003C4F46" w14:paraId="6B8F31DF" w14:textId="77777777">
              <w:trPr>
                <w:tblHeader/>
                <w:jc w:val="center"/>
              </w:trPr>
              <w:tc>
                <w:tcPr>
                  <w:tcW w:w="1226" w:type="pct"/>
                  <w:vAlign w:val="center"/>
                </w:tcPr>
                <w:p w14:paraId="0E4CCF9E"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1,2-</w:t>
                  </w:r>
                  <w:r>
                    <w:rPr>
                      <w:color w:val="000000"/>
                      <w:sz w:val="21"/>
                      <w:szCs w:val="21"/>
                    </w:rPr>
                    <w:t>二氯苯</w:t>
                  </w:r>
                </w:p>
              </w:tc>
              <w:tc>
                <w:tcPr>
                  <w:tcW w:w="647" w:type="pct"/>
                </w:tcPr>
                <w:p w14:paraId="33C5A9E7"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4113E40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12" w:type="pct"/>
                </w:tcPr>
                <w:p w14:paraId="331FA39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93" w:type="pct"/>
                </w:tcPr>
                <w:p w14:paraId="5FD43A9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92" w:type="pct"/>
                </w:tcPr>
                <w:p w14:paraId="6BD87F0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560mg/kg</w:t>
                  </w:r>
                </w:p>
              </w:tc>
            </w:tr>
            <w:tr w:rsidR="003C4F46" w14:paraId="6CCF2B70" w14:textId="77777777">
              <w:trPr>
                <w:tblHeader/>
                <w:jc w:val="center"/>
              </w:trPr>
              <w:tc>
                <w:tcPr>
                  <w:tcW w:w="1226" w:type="pct"/>
                  <w:vAlign w:val="center"/>
                </w:tcPr>
                <w:p w14:paraId="6F792687"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1,4-</w:t>
                  </w:r>
                  <w:r>
                    <w:rPr>
                      <w:color w:val="000000"/>
                      <w:sz w:val="21"/>
                      <w:szCs w:val="21"/>
                    </w:rPr>
                    <w:t>二氯苯</w:t>
                  </w:r>
                </w:p>
              </w:tc>
              <w:tc>
                <w:tcPr>
                  <w:tcW w:w="647" w:type="pct"/>
                </w:tcPr>
                <w:p w14:paraId="15C80640"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35A48CC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12" w:type="pct"/>
                </w:tcPr>
                <w:p w14:paraId="04BAA69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93" w:type="pct"/>
                </w:tcPr>
                <w:p w14:paraId="0795839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&lt;1.5</w:t>
                  </w:r>
                </w:p>
              </w:tc>
              <w:tc>
                <w:tcPr>
                  <w:tcW w:w="792" w:type="pct"/>
                </w:tcPr>
                <w:p w14:paraId="0DE6DD9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20mg/kg</w:t>
                  </w:r>
                </w:p>
              </w:tc>
            </w:tr>
            <w:tr w:rsidR="003C4F46" w14:paraId="03BF1B14" w14:textId="77777777">
              <w:trPr>
                <w:tblHeader/>
                <w:jc w:val="center"/>
              </w:trPr>
              <w:tc>
                <w:tcPr>
                  <w:tcW w:w="1226" w:type="pct"/>
                  <w:vAlign w:val="center"/>
                </w:tcPr>
                <w:p w14:paraId="62C25C20"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乙苯</w:t>
                  </w:r>
                </w:p>
              </w:tc>
              <w:tc>
                <w:tcPr>
                  <w:tcW w:w="647" w:type="pct"/>
                </w:tcPr>
                <w:p w14:paraId="55551BF4"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3D1E41C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4CCF070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1.20</w:t>
                  </w:r>
                </w:p>
              </w:tc>
              <w:tc>
                <w:tcPr>
                  <w:tcW w:w="793" w:type="pct"/>
                </w:tcPr>
                <w:p w14:paraId="3D4C675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3724398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28mg/kg</w:t>
                  </w:r>
                </w:p>
              </w:tc>
            </w:tr>
            <w:tr w:rsidR="003C4F46" w14:paraId="7069E59F" w14:textId="77777777">
              <w:trPr>
                <w:tblHeader/>
                <w:jc w:val="center"/>
              </w:trPr>
              <w:tc>
                <w:tcPr>
                  <w:tcW w:w="1226" w:type="pct"/>
                  <w:vAlign w:val="center"/>
                </w:tcPr>
                <w:p w14:paraId="557E827D"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苯乙烯</w:t>
                  </w:r>
                </w:p>
              </w:tc>
              <w:tc>
                <w:tcPr>
                  <w:tcW w:w="647" w:type="pct"/>
                </w:tcPr>
                <w:p w14:paraId="7160E666"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2D73D3F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12" w:type="pct"/>
                </w:tcPr>
                <w:p w14:paraId="4F97566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93" w:type="pct"/>
                </w:tcPr>
                <w:p w14:paraId="7BDAF65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&lt;1.1</w:t>
                  </w:r>
                </w:p>
              </w:tc>
              <w:tc>
                <w:tcPr>
                  <w:tcW w:w="792" w:type="pct"/>
                </w:tcPr>
                <w:p w14:paraId="1A2AA0D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1290mg/kg</w:t>
                  </w:r>
                </w:p>
              </w:tc>
            </w:tr>
            <w:tr w:rsidR="003C4F46" w14:paraId="60D0C1DC" w14:textId="77777777">
              <w:trPr>
                <w:tblHeader/>
                <w:jc w:val="center"/>
              </w:trPr>
              <w:tc>
                <w:tcPr>
                  <w:tcW w:w="1226" w:type="pct"/>
                  <w:vAlign w:val="center"/>
                </w:tcPr>
                <w:p w14:paraId="299AEC77"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甲苯</w:t>
                  </w:r>
                </w:p>
              </w:tc>
              <w:tc>
                <w:tcPr>
                  <w:tcW w:w="647" w:type="pct"/>
                </w:tcPr>
                <w:p w14:paraId="376E53B1"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vAlign w:val="center"/>
                </w:tcPr>
                <w:p w14:paraId="1E8D8B9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&lt;1.3</w:t>
                  </w:r>
                </w:p>
              </w:tc>
              <w:tc>
                <w:tcPr>
                  <w:tcW w:w="712" w:type="pct"/>
                  <w:vAlign w:val="center"/>
                </w:tcPr>
                <w:p w14:paraId="372FDA1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2</w:t>
                  </w:r>
                  <w:r>
                    <w:rPr>
                      <w:rFonts w:cs="Times New Roman"/>
                      <w:bCs/>
                      <w:sz w:val="21"/>
                      <w:szCs w:val="21"/>
                    </w:rPr>
                    <w:t>.75</w:t>
                  </w:r>
                </w:p>
              </w:tc>
              <w:tc>
                <w:tcPr>
                  <w:tcW w:w="793" w:type="pct"/>
                </w:tcPr>
                <w:p w14:paraId="41CFA3B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1</w:t>
                  </w:r>
                  <w:r>
                    <w:rPr>
                      <w:rFonts w:cs="Times New Roman"/>
                      <w:bCs/>
                      <w:sz w:val="21"/>
                      <w:szCs w:val="21"/>
                    </w:rPr>
                    <w:t>.34</w:t>
                  </w:r>
                </w:p>
              </w:tc>
              <w:tc>
                <w:tcPr>
                  <w:tcW w:w="792" w:type="pct"/>
                </w:tcPr>
                <w:p w14:paraId="55C77B4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1200mg/kg</w:t>
                  </w:r>
                </w:p>
              </w:tc>
            </w:tr>
            <w:tr w:rsidR="003C4F46" w14:paraId="489D4546" w14:textId="77777777">
              <w:trPr>
                <w:tblHeader/>
                <w:jc w:val="center"/>
              </w:trPr>
              <w:tc>
                <w:tcPr>
                  <w:tcW w:w="1226" w:type="pct"/>
                  <w:vAlign w:val="center"/>
                </w:tcPr>
                <w:p w14:paraId="43A9ECD0"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硝基苯</w:t>
                  </w:r>
                </w:p>
              </w:tc>
              <w:tc>
                <w:tcPr>
                  <w:tcW w:w="647" w:type="pct"/>
                </w:tcPr>
                <w:p w14:paraId="68EEC3D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2ADD39D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&lt;0.09</w:t>
                  </w:r>
                </w:p>
              </w:tc>
              <w:tc>
                <w:tcPr>
                  <w:tcW w:w="712" w:type="pct"/>
                </w:tcPr>
                <w:p w14:paraId="0400182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&lt;0.09</w:t>
                  </w:r>
                </w:p>
              </w:tc>
              <w:tc>
                <w:tcPr>
                  <w:tcW w:w="793" w:type="pct"/>
                </w:tcPr>
                <w:p w14:paraId="12AAD14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&lt;0.09</w:t>
                  </w:r>
                </w:p>
              </w:tc>
              <w:tc>
                <w:tcPr>
                  <w:tcW w:w="792" w:type="pct"/>
                </w:tcPr>
                <w:p w14:paraId="3E2C67F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76mg/kg</w:t>
                  </w:r>
                </w:p>
              </w:tc>
            </w:tr>
            <w:tr w:rsidR="003C4F46" w14:paraId="5AFB7333" w14:textId="77777777">
              <w:trPr>
                <w:tblHeader/>
                <w:jc w:val="center"/>
              </w:trPr>
              <w:tc>
                <w:tcPr>
                  <w:tcW w:w="1226" w:type="pct"/>
                  <w:vAlign w:val="center"/>
                </w:tcPr>
                <w:p w14:paraId="54776066"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苯胺</w:t>
                  </w:r>
                </w:p>
              </w:tc>
              <w:tc>
                <w:tcPr>
                  <w:tcW w:w="647" w:type="pct"/>
                </w:tcPr>
                <w:p w14:paraId="02BA1E5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3929ED8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&lt;0.03</w:t>
                  </w:r>
                </w:p>
              </w:tc>
              <w:tc>
                <w:tcPr>
                  <w:tcW w:w="712" w:type="pct"/>
                </w:tcPr>
                <w:p w14:paraId="188A47A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&lt;0.03</w:t>
                  </w:r>
                </w:p>
              </w:tc>
              <w:tc>
                <w:tcPr>
                  <w:tcW w:w="793" w:type="pct"/>
                </w:tcPr>
                <w:p w14:paraId="0BEBF34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&lt;0.03</w:t>
                  </w:r>
                </w:p>
              </w:tc>
              <w:tc>
                <w:tcPr>
                  <w:tcW w:w="792" w:type="pct"/>
                </w:tcPr>
                <w:p w14:paraId="75E1300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260mg/kg</w:t>
                  </w:r>
                </w:p>
              </w:tc>
            </w:tr>
            <w:tr w:rsidR="003C4F46" w14:paraId="18F9E17E" w14:textId="77777777">
              <w:trPr>
                <w:tblHeader/>
                <w:jc w:val="center"/>
              </w:trPr>
              <w:tc>
                <w:tcPr>
                  <w:tcW w:w="1226" w:type="pct"/>
                  <w:vAlign w:val="center"/>
                </w:tcPr>
                <w:p w14:paraId="7B7F4776"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2-</w:t>
                  </w:r>
                  <w:r>
                    <w:rPr>
                      <w:color w:val="000000"/>
                      <w:sz w:val="21"/>
                      <w:szCs w:val="21"/>
                    </w:rPr>
                    <w:t>氯苯酚</w:t>
                  </w:r>
                </w:p>
              </w:tc>
              <w:tc>
                <w:tcPr>
                  <w:tcW w:w="647" w:type="pct"/>
                </w:tcPr>
                <w:p w14:paraId="5CE5753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69CDFEC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&lt;0.06</w:t>
                  </w:r>
                </w:p>
              </w:tc>
              <w:tc>
                <w:tcPr>
                  <w:tcW w:w="712" w:type="pct"/>
                </w:tcPr>
                <w:p w14:paraId="1EB38BD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&lt;0.06</w:t>
                  </w:r>
                </w:p>
              </w:tc>
              <w:tc>
                <w:tcPr>
                  <w:tcW w:w="793" w:type="pct"/>
                </w:tcPr>
                <w:p w14:paraId="6909248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&lt;0.06</w:t>
                  </w:r>
                </w:p>
              </w:tc>
              <w:tc>
                <w:tcPr>
                  <w:tcW w:w="792" w:type="pct"/>
                </w:tcPr>
                <w:p w14:paraId="1ECC26D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2256mg/kg</w:t>
                  </w:r>
                </w:p>
              </w:tc>
            </w:tr>
            <w:tr w:rsidR="003C4F46" w14:paraId="3EF4B570" w14:textId="77777777">
              <w:trPr>
                <w:tblHeader/>
                <w:jc w:val="center"/>
              </w:trPr>
              <w:tc>
                <w:tcPr>
                  <w:tcW w:w="1226" w:type="pct"/>
                  <w:vAlign w:val="center"/>
                </w:tcPr>
                <w:p w14:paraId="454C4FC7"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苯并</w:t>
                  </w:r>
                  <w:r>
                    <w:rPr>
                      <w:color w:val="000000"/>
                      <w:sz w:val="21"/>
                      <w:szCs w:val="21"/>
                    </w:rPr>
                    <w:t>(a)</w:t>
                  </w:r>
                  <w:r>
                    <w:rPr>
                      <w:color w:val="000000"/>
                      <w:sz w:val="21"/>
                      <w:szCs w:val="21"/>
                    </w:rPr>
                    <w:t>蒽</w:t>
                  </w:r>
                </w:p>
              </w:tc>
              <w:tc>
                <w:tcPr>
                  <w:tcW w:w="647" w:type="pct"/>
                </w:tcPr>
                <w:p w14:paraId="1B9D573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7E26BAB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12" w:type="pct"/>
                </w:tcPr>
                <w:p w14:paraId="2ED6802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3" w:type="pct"/>
                </w:tcPr>
                <w:p w14:paraId="75FF71D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2" w:type="pct"/>
                </w:tcPr>
                <w:p w14:paraId="63BF5A3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15mg/kg</w:t>
                  </w:r>
                </w:p>
              </w:tc>
            </w:tr>
            <w:tr w:rsidR="003C4F46" w14:paraId="46EB3897" w14:textId="77777777">
              <w:trPr>
                <w:tblHeader/>
                <w:jc w:val="center"/>
              </w:trPr>
              <w:tc>
                <w:tcPr>
                  <w:tcW w:w="1226" w:type="pct"/>
                  <w:vAlign w:val="center"/>
                </w:tcPr>
                <w:p w14:paraId="4CE17223"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苯并</w:t>
                  </w:r>
                  <w:r>
                    <w:rPr>
                      <w:color w:val="000000"/>
                      <w:sz w:val="21"/>
                      <w:szCs w:val="21"/>
                    </w:rPr>
                    <w:t>(a)</w:t>
                  </w:r>
                  <w:r>
                    <w:rPr>
                      <w:color w:val="000000"/>
                      <w:sz w:val="21"/>
                      <w:szCs w:val="21"/>
                    </w:rPr>
                    <w:t>芘</w:t>
                  </w:r>
                </w:p>
              </w:tc>
              <w:tc>
                <w:tcPr>
                  <w:tcW w:w="647" w:type="pct"/>
                </w:tcPr>
                <w:p w14:paraId="7FE48A7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7DA2058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12" w:type="pct"/>
                </w:tcPr>
                <w:p w14:paraId="4BBBBCC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3" w:type="pct"/>
                </w:tcPr>
                <w:p w14:paraId="7C45EDF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2" w:type="pct"/>
                </w:tcPr>
                <w:p w14:paraId="21C6139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1.5mg/kg</w:t>
                  </w:r>
                </w:p>
              </w:tc>
            </w:tr>
            <w:tr w:rsidR="003C4F46" w14:paraId="45ED6678" w14:textId="77777777">
              <w:trPr>
                <w:tblHeader/>
                <w:jc w:val="center"/>
              </w:trPr>
              <w:tc>
                <w:tcPr>
                  <w:tcW w:w="1226" w:type="pct"/>
                  <w:vAlign w:val="center"/>
                </w:tcPr>
                <w:p w14:paraId="48E6C86E"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苯并</w:t>
                  </w:r>
                  <w:r>
                    <w:rPr>
                      <w:color w:val="000000"/>
                      <w:sz w:val="21"/>
                      <w:szCs w:val="21"/>
                    </w:rPr>
                    <w:t>(b)</w:t>
                  </w:r>
                  <w:r>
                    <w:rPr>
                      <w:color w:val="000000"/>
                      <w:sz w:val="21"/>
                      <w:szCs w:val="21"/>
                    </w:rPr>
                    <w:t>荧蒽</w:t>
                  </w:r>
                </w:p>
              </w:tc>
              <w:tc>
                <w:tcPr>
                  <w:tcW w:w="647" w:type="pct"/>
                </w:tcPr>
                <w:p w14:paraId="58A3FA0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25BCB99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&lt;0.2</w:t>
                  </w:r>
                </w:p>
              </w:tc>
              <w:tc>
                <w:tcPr>
                  <w:tcW w:w="712" w:type="pct"/>
                </w:tcPr>
                <w:p w14:paraId="54297D4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&lt;0.2</w:t>
                  </w:r>
                </w:p>
              </w:tc>
              <w:tc>
                <w:tcPr>
                  <w:tcW w:w="793" w:type="pct"/>
                </w:tcPr>
                <w:p w14:paraId="56B8AE7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&lt;0.2</w:t>
                  </w:r>
                </w:p>
              </w:tc>
              <w:tc>
                <w:tcPr>
                  <w:tcW w:w="792" w:type="pct"/>
                </w:tcPr>
                <w:p w14:paraId="0609ED9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15mg/kg</w:t>
                  </w:r>
                </w:p>
              </w:tc>
            </w:tr>
            <w:tr w:rsidR="003C4F46" w14:paraId="3E2B59D9" w14:textId="77777777">
              <w:trPr>
                <w:tblHeader/>
                <w:jc w:val="center"/>
              </w:trPr>
              <w:tc>
                <w:tcPr>
                  <w:tcW w:w="1226" w:type="pct"/>
                  <w:vAlign w:val="center"/>
                </w:tcPr>
                <w:p w14:paraId="3F80D98B"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苯并</w:t>
                  </w:r>
                  <w:r>
                    <w:rPr>
                      <w:color w:val="000000"/>
                      <w:sz w:val="21"/>
                      <w:szCs w:val="21"/>
                    </w:rPr>
                    <w:t>(k)</w:t>
                  </w:r>
                  <w:r>
                    <w:rPr>
                      <w:color w:val="000000"/>
                      <w:sz w:val="21"/>
                      <w:szCs w:val="21"/>
                    </w:rPr>
                    <w:t>荧蒽</w:t>
                  </w:r>
                </w:p>
              </w:tc>
              <w:tc>
                <w:tcPr>
                  <w:tcW w:w="647" w:type="pct"/>
                </w:tcPr>
                <w:p w14:paraId="4D267C1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5872787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12" w:type="pct"/>
                </w:tcPr>
                <w:p w14:paraId="3A840A0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3" w:type="pct"/>
                </w:tcPr>
                <w:p w14:paraId="7680989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2" w:type="pct"/>
                </w:tcPr>
                <w:p w14:paraId="3E6B871E"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151mg/kg</w:t>
                  </w:r>
                </w:p>
              </w:tc>
            </w:tr>
            <w:tr w:rsidR="003C4F46" w14:paraId="46B744CD" w14:textId="77777777">
              <w:trPr>
                <w:tblHeader/>
                <w:jc w:val="center"/>
              </w:trPr>
              <w:tc>
                <w:tcPr>
                  <w:tcW w:w="1226" w:type="pct"/>
                  <w:vAlign w:val="center"/>
                </w:tcPr>
                <w:p w14:paraId="2022AC68"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䓛</w:t>
                  </w:r>
                </w:p>
              </w:tc>
              <w:tc>
                <w:tcPr>
                  <w:tcW w:w="647" w:type="pct"/>
                </w:tcPr>
                <w:p w14:paraId="6D3CCBB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505F7B8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12" w:type="pct"/>
                </w:tcPr>
                <w:p w14:paraId="7A12BA4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3" w:type="pct"/>
                </w:tcPr>
                <w:p w14:paraId="3B81975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2" w:type="pct"/>
                </w:tcPr>
                <w:p w14:paraId="7597417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1293mg/kg</w:t>
                  </w:r>
                </w:p>
              </w:tc>
            </w:tr>
            <w:tr w:rsidR="003C4F46" w14:paraId="735E9ED2" w14:textId="77777777">
              <w:trPr>
                <w:tblHeader/>
                <w:jc w:val="center"/>
              </w:trPr>
              <w:tc>
                <w:tcPr>
                  <w:tcW w:w="1226" w:type="pct"/>
                  <w:vAlign w:val="center"/>
                </w:tcPr>
                <w:p w14:paraId="7FD74CE7"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二苯并</w:t>
                  </w:r>
                  <w:r>
                    <w:rPr>
                      <w:color w:val="000000"/>
                      <w:sz w:val="21"/>
                      <w:szCs w:val="21"/>
                    </w:rPr>
                    <w:t>(</w:t>
                  </w:r>
                  <w:proofErr w:type="spellStart"/>
                  <w:r>
                    <w:rPr>
                      <w:color w:val="000000"/>
                      <w:sz w:val="21"/>
                      <w:szCs w:val="21"/>
                    </w:rPr>
                    <w:t>a,h</w:t>
                  </w:r>
                  <w:proofErr w:type="spellEnd"/>
                  <w:r>
                    <w:rPr>
                      <w:color w:val="000000"/>
                      <w:sz w:val="21"/>
                      <w:szCs w:val="21"/>
                    </w:rPr>
                    <w:t>)</w:t>
                  </w:r>
                  <w:r>
                    <w:rPr>
                      <w:color w:val="000000"/>
                      <w:sz w:val="21"/>
                      <w:szCs w:val="21"/>
                    </w:rPr>
                    <w:t>蒽</w:t>
                  </w:r>
                </w:p>
              </w:tc>
              <w:tc>
                <w:tcPr>
                  <w:tcW w:w="647" w:type="pct"/>
                </w:tcPr>
                <w:p w14:paraId="01AE315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12A8383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12" w:type="pct"/>
                </w:tcPr>
                <w:p w14:paraId="5A816CC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3" w:type="pct"/>
                </w:tcPr>
                <w:p w14:paraId="3235D94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2" w:type="pct"/>
                </w:tcPr>
                <w:p w14:paraId="56DCE589"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1.5mg/kg</w:t>
                  </w:r>
                </w:p>
              </w:tc>
            </w:tr>
            <w:tr w:rsidR="003C4F46" w14:paraId="5D51B5A6" w14:textId="77777777">
              <w:trPr>
                <w:tblHeader/>
                <w:jc w:val="center"/>
              </w:trPr>
              <w:tc>
                <w:tcPr>
                  <w:tcW w:w="1226" w:type="pct"/>
                  <w:vAlign w:val="center"/>
                </w:tcPr>
                <w:p w14:paraId="0FFFC744"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茚并</w:t>
                  </w:r>
                  <w:r>
                    <w:rPr>
                      <w:color w:val="000000"/>
                      <w:sz w:val="21"/>
                      <w:szCs w:val="21"/>
                    </w:rPr>
                    <w:t>(1,2,3-c,d)</w:t>
                  </w:r>
                  <w:r>
                    <w:rPr>
                      <w:color w:val="000000"/>
                      <w:sz w:val="21"/>
                      <w:szCs w:val="21"/>
                    </w:rPr>
                    <w:t>芘</w:t>
                  </w:r>
                </w:p>
              </w:tc>
              <w:tc>
                <w:tcPr>
                  <w:tcW w:w="647" w:type="pct"/>
                </w:tcPr>
                <w:p w14:paraId="628C419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39BDE992"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12" w:type="pct"/>
                </w:tcPr>
                <w:p w14:paraId="45B64F1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3" w:type="pct"/>
                </w:tcPr>
                <w:p w14:paraId="7E05296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&lt;0.1</w:t>
                  </w:r>
                </w:p>
              </w:tc>
              <w:tc>
                <w:tcPr>
                  <w:tcW w:w="792" w:type="pct"/>
                </w:tcPr>
                <w:p w14:paraId="27114A0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15mg/kg</w:t>
                  </w:r>
                </w:p>
              </w:tc>
            </w:tr>
            <w:tr w:rsidR="003C4F46" w14:paraId="542CFCAB" w14:textId="77777777">
              <w:trPr>
                <w:tblHeader/>
                <w:jc w:val="center"/>
              </w:trPr>
              <w:tc>
                <w:tcPr>
                  <w:tcW w:w="1226" w:type="pct"/>
                  <w:vAlign w:val="center"/>
                </w:tcPr>
                <w:p w14:paraId="22B2899B"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萘</w:t>
                  </w:r>
                </w:p>
              </w:tc>
              <w:tc>
                <w:tcPr>
                  <w:tcW w:w="647" w:type="pct"/>
                </w:tcPr>
                <w:p w14:paraId="3655D32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mg/kg</w:t>
                  </w:r>
                </w:p>
              </w:tc>
              <w:tc>
                <w:tcPr>
                  <w:tcW w:w="830" w:type="pct"/>
                </w:tcPr>
                <w:p w14:paraId="159262D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&lt;0.09</w:t>
                  </w:r>
                </w:p>
              </w:tc>
              <w:tc>
                <w:tcPr>
                  <w:tcW w:w="712" w:type="pct"/>
                </w:tcPr>
                <w:p w14:paraId="2BE6027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&lt;0.09</w:t>
                  </w:r>
                </w:p>
              </w:tc>
              <w:tc>
                <w:tcPr>
                  <w:tcW w:w="793" w:type="pct"/>
                </w:tcPr>
                <w:p w14:paraId="31F9191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&lt;0.09</w:t>
                  </w:r>
                </w:p>
              </w:tc>
              <w:tc>
                <w:tcPr>
                  <w:tcW w:w="792" w:type="pct"/>
                </w:tcPr>
                <w:p w14:paraId="3C45933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70mg/kg</w:t>
                  </w:r>
                </w:p>
              </w:tc>
            </w:tr>
            <w:tr w:rsidR="003C4F46" w14:paraId="21C5A0DD" w14:textId="77777777">
              <w:trPr>
                <w:tblHeader/>
                <w:jc w:val="center"/>
              </w:trPr>
              <w:tc>
                <w:tcPr>
                  <w:tcW w:w="1226" w:type="pct"/>
                  <w:vAlign w:val="center"/>
                </w:tcPr>
                <w:p w14:paraId="5CE61099"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1,1-</w:t>
                  </w:r>
                  <w:r>
                    <w:rPr>
                      <w:color w:val="000000"/>
                      <w:sz w:val="21"/>
                      <w:szCs w:val="21"/>
                    </w:rPr>
                    <w:t>二氯乙烯</w:t>
                  </w:r>
                </w:p>
              </w:tc>
              <w:tc>
                <w:tcPr>
                  <w:tcW w:w="647" w:type="pct"/>
                </w:tcPr>
                <w:p w14:paraId="0117ADAE"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046E958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12" w:type="pct"/>
                </w:tcPr>
                <w:p w14:paraId="216A0633"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93" w:type="pct"/>
                </w:tcPr>
                <w:p w14:paraId="7B7CA86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&lt;1.0</w:t>
                  </w:r>
                </w:p>
              </w:tc>
              <w:tc>
                <w:tcPr>
                  <w:tcW w:w="792" w:type="pct"/>
                </w:tcPr>
                <w:p w14:paraId="78564C9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66mg/kg</w:t>
                  </w:r>
                </w:p>
              </w:tc>
            </w:tr>
            <w:tr w:rsidR="003C4F46" w14:paraId="741A4E5D" w14:textId="77777777">
              <w:trPr>
                <w:tblHeader/>
                <w:jc w:val="center"/>
              </w:trPr>
              <w:tc>
                <w:tcPr>
                  <w:tcW w:w="1226" w:type="pct"/>
                  <w:vAlign w:val="center"/>
                </w:tcPr>
                <w:p w14:paraId="35B90DEF"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1,1,2,2-</w:t>
                  </w:r>
                  <w:r>
                    <w:rPr>
                      <w:color w:val="000000"/>
                      <w:sz w:val="21"/>
                      <w:szCs w:val="21"/>
                    </w:rPr>
                    <w:t>四氯乙烷</w:t>
                  </w:r>
                </w:p>
              </w:tc>
              <w:tc>
                <w:tcPr>
                  <w:tcW w:w="647" w:type="pct"/>
                </w:tcPr>
                <w:p w14:paraId="175866E3"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tcPr>
                <w:p w14:paraId="356FDCDF"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tcPr>
                <w:p w14:paraId="1F7918A7"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3" w:type="pct"/>
                </w:tcPr>
                <w:p w14:paraId="03B376A5"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16DB3F5B"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6.8mg/kg</w:t>
                  </w:r>
                </w:p>
              </w:tc>
            </w:tr>
            <w:tr w:rsidR="003C4F46" w14:paraId="305DF545" w14:textId="77777777">
              <w:trPr>
                <w:tblHeader/>
                <w:jc w:val="center"/>
              </w:trPr>
              <w:tc>
                <w:tcPr>
                  <w:tcW w:w="1226" w:type="pct"/>
                  <w:vAlign w:val="center"/>
                </w:tcPr>
                <w:p w14:paraId="303D2A7D"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lastRenderedPageBreak/>
                    <w:t>对</w:t>
                  </w:r>
                  <w:r>
                    <w:rPr>
                      <w:color w:val="000000"/>
                      <w:sz w:val="21"/>
                      <w:szCs w:val="21"/>
                    </w:rPr>
                    <w:t>/</w:t>
                  </w:r>
                  <w:r>
                    <w:rPr>
                      <w:color w:val="000000"/>
                      <w:sz w:val="21"/>
                      <w:szCs w:val="21"/>
                    </w:rPr>
                    <w:t>间二甲苯</w:t>
                  </w:r>
                </w:p>
              </w:tc>
              <w:tc>
                <w:tcPr>
                  <w:tcW w:w="647" w:type="pct"/>
                </w:tcPr>
                <w:p w14:paraId="3593DC0C"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vAlign w:val="center"/>
                </w:tcPr>
                <w:p w14:paraId="046D7BA6"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vAlign w:val="center"/>
                </w:tcPr>
                <w:p w14:paraId="772D4720"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7</w:t>
                  </w:r>
                  <w:r>
                    <w:rPr>
                      <w:rFonts w:cs="Times New Roman"/>
                      <w:bCs/>
                      <w:sz w:val="21"/>
                      <w:szCs w:val="21"/>
                    </w:rPr>
                    <w:t>.01</w:t>
                  </w:r>
                </w:p>
              </w:tc>
              <w:tc>
                <w:tcPr>
                  <w:tcW w:w="793" w:type="pct"/>
                </w:tcPr>
                <w:p w14:paraId="1F0E7CD4"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09D7A191"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570mg/kg</w:t>
                  </w:r>
                </w:p>
              </w:tc>
            </w:tr>
            <w:tr w:rsidR="003C4F46" w14:paraId="65A1E06B" w14:textId="77777777">
              <w:trPr>
                <w:tblHeader/>
                <w:jc w:val="center"/>
              </w:trPr>
              <w:tc>
                <w:tcPr>
                  <w:tcW w:w="1226" w:type="pct"/>
                  <w:vAlign w:val="center"/>
                </w:tcPr>
                <w:p w14:paraId="1F971762" w14:textId="77777777" w:rsidR="003C4F46" w:rsidRDefault="004B6A81">
                  <w:pPr>
                    <w:adjustRightInd w:val="0"/>
                    <w:snapToGrid w:val="0"/>
                    <w:spacing w:line="240" w:lineRule="auto"/>
                    <w:ind w:firstLineChars="0" w:firstLine="0"/>
                    <w:jc w:val="center"/>
                    <w:outlineLvl w:val="3"/>
                    <w:rPr>
                      <w:color w:val="000000"/>
                      <w:sz w:val="21"/>
                      <w:szCs w:val="21"/>
                    </w:rPr>
                  </w:pPr>
                  <w:r>
                    <w:rPr>
                      <w:color w:val="000000"/>
                      <w:sz w:val="21"/>
                      <w:szCs w:val="21"/>
                    </w:rPr>
                    <w:t>邻二甲苯</w:t>
                  </w:r>
                </w:p>
              </w:tc>
              <w:tc>
                <w:tcPr>
                  <w:tcW w:w="647" w:type="pct"/>
                </w:tcPr>
                <w:p w14:paraId="0268D0BD" w14:textId="77777777" w:rsidR="003C4F46" w:rsidRDefault="004B6A81">
                  <w:pPr>
                    <w:adjustRightInd w:val="0"/>
                    <w:snapToGrid w:val="0"/>
                    <w:spacing w:line="240" w:lineRule="auto"/>
                    <w:ind w:firstLineChars="0" w:firstLine="0"/>
                    <w:jc w:val="center"/>
                    <w:outlineLvl w:val="3"/>
                    <w:rPr>
                      <w:rFonts w:cs="Times New Roman"/>
                      <w:bCs/>
                      <w:sz w:val="21"/>
                      <w:szCs w:val="21"/>
                    </w:rPr>
                  </w:pPr>
                  <w:proofErr w:type="spellStart"/>
                  <w:r>
                    <w:rPr>
                      <w:color w:val="000000"/>
                      <w:sz w:val="21"/>
                      <w:szCs w:val="21"/>
                    </w:rPr>
                    <w:t>μg</w:t>
                  </w:r>
                  <w:proofErr w:type="spellEnd"/>
                  <w:r>
                    <w:rPr>
                      <w:color w:val="000000"/>
                      <w:sz w:val="21"/>
                      <w:szCs w:val="21"/>
                    </w:rPr>
                    <w:t>/kg</w:t>
                  </w:r>
                </w:p>
              </w:tc>
              <w:tc>
                <w:tcPr>
                  <w:tcW w:w="830" w:type="pct"/>
                  <w:vAlign w:val="center"/>
                </w:tcPr>
                <w:p w14:paraId="0A1C96BD"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12" w:type="pct"/>
                  <w:vAlign w:val="center"/>
                </w:tcPr>
                <w:p w14:paraId="05CF8D5C"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rFonts w:cs="Times New Roman" w:hint="eastAsia"/>
                      <w:bCs/>
                      <w:sz w:val="21"/>
                      <w:szCs w:val="21"/>
                    </w:rPr>
                    <w:t>7</w:t>
                  </w:r>
                  <w:r>
                    <w:rPr>
                      <w:rFonts w:cs="Times New Roman"/>
                      <w:bCs/>
                      <w:sz w:val="21"/>
                      <w:szCs w:val="21"/>
                    </w:rPr>
                    <w:t>.04</w:t>
                  </w:r>
                </w:p>
              </w:tc>
              <w:tc>
                <w:tcPr>
                  <w:tcW w:w="793" w:type="pct"/>
                </w:tcPr>
                <w:p w14:paraId="066EAB7A"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&lt;1.2</w:t>
                  </w:r>
                </w:p>
              </w:tc>
              <w:tc>
                <w:tcPr>
                  <w:tcW w:w="792" w:type="pct"/>
                </w:tcPr>
                <w:p w14:paraId="5EB52038" w14:textId="77777777" w:rsidR="003C4F46" w:rsidRDefault="004B6A81">
                  <w:pPr>
                    <w:adjustRightInd w:val="0"/>
                    <w:snapToGrid w:val="0"/>
                    <w:spacing w:line="240" w:lineRule="auto"/>
                    <w:ind w:firstLineChars="0" w:firstLine="0"/>
                    <w:jc w:val="center"/>
                    <w:outlineLvl w:val="3"/>
                    <w:rPr>
                      <w:rFonts w:cs="Times New Roman"/>
                      <w:bCs/>
                      <w:sz w:val="21"/>
                      <w:szCs w:val="21"/>
                    </w:rPr>
                  </w:pPr>
                  <w:r>
                    <w:rPr>
                      <w:color w:val="000000"/>
                      <w:sz w:val="21"/>
                      <w:szCs w:val="21"/>
                    </w:rPr>
                    <w:t>640mg/kg</w:t>
                  </w:r>
                </w:p>
              </w:tc>
            </w:tr>
          </w:tbl>
          <w:p w14:paraId="0E2B62DC" w14:textId="77777777" w:rsidR="003C4F46" w:rsidRDefault="004B6A81">
            <w:pPr>
              <w:pStyle w:val="a5"/>
              <w:ind w:firstLine="480"/>
              <w:jc w:val="both"/>
            </w:pPr>
            <w:r>
              <w:rPr>
                <w:rFonts w:cs="Times New Roman" w:hint="eastAsia"/>
                <w:color w:val="000000"/>
              </w:rPr>
              <w:t>根据监测结果可知，</w:t>
            </w:r>
            <w:r>
              <w:t>评价区域内土壤</w:t>
            </w:r>
            <w:r>
              <w:rPr>
                <w:rFonts w:hint="eastAsia"/>
              </w:rPr>
              <w:t>监测因子</w:t>
            </w:r>
            <w:r>
              <w:t>均满足《</w:t>
            </w:r>
            <w:r>
              <w:rPr>
                <w:rFonts w:hint="eastAsia"/>
              </w:rPr>
              <w:t>土壤环境质量建设用地土壤污染风险管控标准（试行）</w:t>
            </w:r>
            <w:r>
              <w:t>》</w:t>
            </w:r>
            <w:r>
              <w:rPr>
                <w:rFonts w:hint="eastAsia"/>
              </w:rPr>
              <w:t>（</w:t>
            </w:r>
            <w:r>
              <w:t>GB36600-2018</w:t>
            </w:r>
            <w:r>
              <w:rPr>
                <w:rFonts w:hint="eastAsia"/>
              </w:rPr>
              <w:t>）</w:t>
            </w:r>
            <w:r>
              <w:t>第二类用地筛选值要求。评价区域内土壤环境质量良好</w:t>
            </w:r>
            <w:r>
              <w:rPr>
                <w:rFonts w:hint="eastAsia"/>
              </w:rPr>
              <w:t>。</w:t>
            </w:r>
          </w:p>
          <w:p w14:paraId="317C3A4F" w14:textId="16C1A942" w:rsidR="003C4F46" w:rsidRDefault="004B6A81">
            <w:pPr>
              <w:pStyle w:val="3"/>
            </w:pPr>
            <w:r>
              <w:rPr>
                <w:rFonts w:hint="eastAsia"/>
              </w:rPr>
              <w:t>3.</w:t>
            </w:r>
            <w:r w:rsidR="009C4C8C">
              <w:t>6</w:t>
            </w:r>
            <w:r>
              <w:rPr>
                <w:rFonts w:hint="eastAsia"/>
              </w:rPr>
              <w:t>生态环境</w:t>
            </w:r>
          </w:p>
          <w:p w14:paraId="05D5BEDF" w14:textId="77777777" w:rsidR="003C4F46" w:rsidRDefault="004B6A81">
            <w:pPr>
              <w:ind w:firstLine="480"/>
              <w:textAlignment w:val="auto"/>
              <w:rPr>
                <w:color w:val="000000" w:themeColor="text1"/>
              </w:rPr>
            </w:pPr>
            <w:r>
              <w:rPr>
                <w:rFonts w:cs="Times New Roman"/>
                <w:bCs/>
              </w:rPr>
              <w:t>根据《建设项目环境影响报告表编制技术指南（污染影响类）（试行）》，本项目位于</w:t>
            </w:r>
            <w:r>
              <w:rPr>
                <w:rFonts w:cs="Times New Roman" w:hint="eastAsia"/>
                <w:bCs/>
              </w:rPr>
              <w:t>工业园区</w:t>
            </w:r>
            <w:r>
              <w:rPr>
                <w:rFonts w:cs="Times New Roman"/>
                <w:bCs/>
              </w:rPr>
              <w:t>内，用地范围内无生态环境保护目标。因此不进行生态现状调查</w:t>
            </w:r>
            <w:r>
              <w:rPr>
                <w:rFonts w:hint="eastAsia"/>
                <w:color w:val="000000" w:themeColor="text1"/>
              </w:rPr>
              <w:t>。</w:t>
            </w:r>
          </w:p>
        </w:tc>
      </w:tr>
      <w:tr w:rsidR="003C4F46" w14:paraId="0C98D2B9" w14:textId="77777777">
        <w:trPr>
          <w:trHeight w:val="419"/>
          <w:jc w:val="center"/>
        </w:trPr>
        <w:tc>
          <w:tcPr>
            <w:tcW w:w="233" w:type="pct"/>
            <w:vAlign w:val="center"/>
          </w:tcPr>
          <w:p w14:paraId="76C5E894"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lastRenderedPageBreak/>
              <w:t>环境</w:t>
            </w:r>
          </w:p>
          <w:p w14:paraId="21787E5D"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保护</w:t>
            </w:r>
          </w:p>
          <w:p w14:paraId="26946E5C"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目标</w:t>
            </w:r>
          </w:p>
        </w:tc>
        <w:tc>
          <w:tcPr>
            <w:tcW w:w="4767" w:type="pct"/>
          </w:tcPr>
          <w:p w14:paraId="275A7838" w14:textId="77777777" w:rsidR="003C4F46" w:rsidRDefault="004B6A81">
            <w:pPr>
              <w:ind w:firstLineChars="0" w:firstLine="0"/>
              <w:rPr>
                <w:b/>
                <w:bCs/>
              </w:rPr>
            </w:pPr>
            <w:r>
              <w:rPr>
                <w:rFonts w:hint="eastAsia"/>
                <w:b/>
                <w:bCs/>
              </w:rPr>
              <w:t>1.</w:t>
            </w:r>
            <w:r>
              <w:rPr>
                <w:rFonts w:hint="eastAsia"/>
                <w:b/>
                <w:bCs/>
              </w:rPr>
              <w:t>大气环境</w:t>
            </w:r>
          </w:p>
          <w:p w14:paraId="54C2CA0B" w14:textId="77777777" w:rsidR="003C4F46" w:rsidRDefault="004B6A81">
            <w:pPr>
              <w:ind w:firstLine="480"/>
            </w:pPr>
            <w:r>
              <w:rPr>
                <w:rFonts w:hint="eastAsia"/>
              </w:rPr>
              <w:t>本项目场界外</w:t>
            </w:r>
            <w:r>
              <w:t>500m</w:t>
            </w:r>
            <w:r>
              <w:rPr>
                <w:rFonts w:hint="eastAsia"/>
              </w:rPr>
              <w:t>范围内无自然保护区、风景名胜区、居住区、文化区和农村地区中人群较集中的区域等大气环境保护目标。</w:t>
            </w:r>
          </w:p>
          <w:p w14:paraId="4FCDEFB2" w14:textId="77777777" w:rsidR="003C4F46" w:rsidRDefault="004B6A81">
            <w:pPr>
              <w:ind w:firstLineChars="0" w:firstLine="0"/>
              <w:rPr>
                <w:b/>
                <w:bCs/>
              </w:rPr>
            </w:pPr>
            <w:r>
              <w:rPr>
                <w:rFonts w:hint="eastAsia"/>
                <w:b/>
                <w:bCs/>
              </w:rPr>
              <w:t>2.</w:t>
            </w:r>
            <w:r>
              <w:rPr>
                <w:rFonts w:hint="eastAsia"/>
                <w:b/>
                <w:bCs/>
              </w:rPr>
              <w:t>声环境</w:t>
            </w:r>
          </w:p>
          <w:p w14:paraId="2A71687E" w14:textId="77777777" w:rsidR="003C4F46" w:rsidRDefault="004B6A81">
            <w:pPr>
              <w:ind w:firstLine="480"/>
            </w:pPr>
            <w:r>
              <w:rPr>
                <w:rFonts w:hint="eastAsia"/>
              </w:rPr>
              <w:t>根据《环境影响评价技术导则</w:t>
            </w:r>
            <w:r>
              <w:rPr>
                <w:rFonts w:hint="eastAsia"/>
              </w:rPr>
              <w:t xml:space="preserve"> </w:t>
            </w:r>
            <w:r>
              <w:rPr>
                <w:rFonts w:hint="eastAsia"/>
              </w:rPr>
              <w:t>声环境》（</w:t>
            </w:r>
            <w:r>
              <w:rPr>
                <w:rFonts w:hint="eastAsia"/>
              </w:rPr>
              <w:t>HJ2.4-2021</w:t>
            </w:r>
            <w:r>
              <w:rPr>
                <w:rFonts w:hint="eastAsia"/>
              </w:rPr>
              <w:t>），声环境敏感目标指医院、学校、机关、科研单位、住宅、自然保护区等对噪声敏感的建筑物或区域。本项目场界外</w:t>
            </w:r>
            <w:r>
              <w:rPr>
                <w:rFonts w:hint="eastAsia"/>
              </w:rPr>
              <w:t>50m</w:t>
            </w:r>
            <w:r>
              <w:rPr>
                <w:rFonts w:hint="eastAsia"/>
              </w:rPr>
              <w:t>范围内无声环境保护目标。</w:t>
            </w:r>
          </w:p>
          <w:p w14:paraId="5BC261AB" w14:textId="77777777" w:rsidR="003C4F46" w:rsidRDefault="004B6A81">
            <w:pPr>
              <w:ind w:firstLineChars="0" w:firstLine="0"/>
              <w:rPr>
                <w:b/>
                <w:bCs/>
              </w:rPr>
            </w:pPr>
            <w:r>
              <w:rPr>
                <w:rFonts w:hint="eastAsia"/>
                <w:b/>
                <w:bCs/>
              </w:rPr>
              <w:t>3.</w:t>
            </w:r>
            <w:r>
              <w:rPr>
                <w:rFonts w:hint="eastAsia"/>
                <w:b/>
                <w:bCs/>
              </w:rPr>
              <w:t>地下水环境</w:t>
            </w:r>
          </w:p>
          <w:p w14:paraId="4B29CA4B" w14:textId="77777777" w:rsidR="003C4F46" w:rsidRDefault="004B6A81">
            <w:pPr>
              <w:ind w:firstLine="480"/>
            </w:pPr>
            <w:r>
              <w:rPr>
                <w:rFonts w:hint="eastAsia"/>
              </w:rPr>
              <w:t>本项目厂界外</w:t>
            </w:r>
            <w:r>
              <w:rPr>
                <w:rFonts w:hint="eastAsia"/>
              </w:rPr>
              <w:t>500m</w:t>
            </w:r>
            <w:r>
              <w:rPr>
                <w:rFonts w:hint="eastAsia"/>
              </w:rPr>
              <w:t>范围内无地下水集中式饮用水水源和热水、矿泉水、温泉等特殊地下水资源。</w:t>
            </w:r>
          </w:p>
          <w:p w14:paraId="1D426BAD" w14:textId="77777777" w:rsidR="003C4F46" w:rsidRDefault="004B6A81">
            <w:pPr>
              <w:ind w:firstLineChars="0" w:firstLine="0"/>
              <w:rPr>
                <w:b/>
                <w:bCs/>
              </w:rPr>
            </w:pPr>
            <w:r>
              <w:rPr>
                <w:rFonts w:hint="eastAsia"/>
                <w:b/>
                <w:bCs/>
              </w:rPr>
              <w:t>4.</w:t>
            </w:r>
            <w:r>
              <w:rPr>
                <w:rFonts w:hint="eastAsia"/>
                <w:b/>
                <w:bCs/>
              </w:rPr>
              <w:t>生态环境</w:t>
            </w:r>
          </w:p>
          <w:p w14:paraId="182989D1" w14:textId="619038B1" w:rsidR="003C4F46" w:rsidRDefault="004B6A81">
            <w:pPr>
              <w:ind w:firstLine="480"/>
              <w:rPr>
                <w:color w:val="000000" w:themeColor="text1"/>
              </w:rPr>
            </w:pPr>
            <w:r>
              <w:rPr>
                <w:rFonts w:hint="eastAsia"/>
              </w:rPr>
              <w:t>本项目位于</w:t>
            </w:r>
            <w:r w:rsidR="008C10CB" w:rsidRPr="008C10CB">
              <w:rPr>
                <w:rFonts w:hAnsi="宋体" w:cs="宋体" w:hint="eastAsia"/>
                <w:szCs w:val="21"/>
              </w:rPr>
              <w:t>轮台工业园区拉依苏石油化工区</w:t>
            </w:r>
            <w:r>
              <w:rPr>
                <w:rFonts w:hint="eastAsia"/>
              </w:rPr>
              <w:t>，用地范围内及周边不涉及生态环境保护目标。</w:t>
            </w:r>
          </w:p>
        </w:tc>
      </w:tr>
      <w:tr w:rsidR="003C4F46" w14:paraId="5424869F" w14:textId="77777777">
        <w:trPr>
          <w:trHeight w:val="127"/>
          <w:jc w:val="center"/>
        </w:trPr>
        <w:tc>
          <w:tcPr>
            <w:tcW w:w="233" w:type="pct"/>
            <w:tcMar>
              <w:left w:w="28" w:type="dxa"/>
              <w:right w:w="28" w:type="dxa"/>
            </w:tcMar>
            <w:vAlign w:val="center"/>
          </w:tcPr>
          <w:p w14:paraId="5DD8B4BC"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污染</w:t>
            </w:r>
          </w:p>
          <w:p w14:paraId="5D9A6C9B"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物排</w:t>
            </w:r>
          </w:p>
          <w:p w14:paraId="08456E1F"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放控</w:t>
            </w:r>
          </w:p>
          <w:p w14:paraId="6A9E5FBE"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制标</w:t>
            </w:r>
          </w:p>
          <w:p w14:paraId="58CBFCF9"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准</w:t>
            </w:r>
          </w:p>
        </w:tc>
        <w:tc>
          <w:tcPr>
            <w:tcW w:w="4767" w:type="pct"/>
          </w:tcPr>
          <w:p w14:paraId="24B4CD73" w14:textId="77777777" w:rsidR="003C4F46" w:rsidRDefault="004B6A81">
            <w:pPr>
              <w:pStyle w:val="2"/>
              <w:rPr>
                <w:color w:val="000000" w:themeColor="text1"/>
              </w:rPr>
            </w:pPr>
            <w:r>
              <w:rPr>
                <w:rFonts w:hint="eastAsia"/>
                <w:color w:val="000000" w:themeColor="text1"/>
              </w:rPr>
              <w:t>1.</w:t>
            </w:r>
            <w:r>
              <w:rPr>
                <w:rFonts w:hint="eastAsia"/>
                <w:color w:val="000000" w:themeColor="text1"/>
              </w:rPr>
              <w:t>大气污染物排放标准</w:t>
            </w:r>
          </w:p>
          <w:p w14:paraId="473A8B52" w14:textId="77777777" w:rsidR="003C4F46" w:rsidRDefault="004B6A81">
            <w:pPr>
              <w:ind w:firstLine="480"/>
              <w:rPr>
                <w:color w:val="000000" w:themeColor="text1"/>
              </w:rPr>
            </w:pPr>
            <w:r>
              <w:rPr>
                <w:rFonts w:cs="Times New Roman" w:hint="eastAsia"/>
                <w:kern w:val="0"/>
                <w:szCs w:val="24"/>
              </w:rPr>
              <w:t>本项目有组织废气非甲烷总烃、硫酸雾执行《大气污染物综合排放标准》（</w:t>
            </w:r>
            <w:r>
              <w:rPr>
                <w:rFonts w:cs="Times New Roman" w:hint="eastAsia"/>
                <w:kern w:val="0"/>
                <w:szCs w:val="24"/>
              </w:rPr>
              <w:t>GB16297-1996</w:t>
            </w:r>
            <w:r>
              <w:rPr>
                <w:rFonts w:cs="Times New Roman" w:hint="eastAsia"/>
                <w:kern w:val="0"/>
                <w:szCs w:val="24"/>
              </w:rPr>
              <w:t>）中表</w:t>
            </w:r>
            <w:r>
              <w:rPr>
                <w:rFonts w:cs="Times New Roman" w:hint="eastAsia"/>
                <w:kern w:val="0"/>
                <w:szCs w:val="24"/>
              </w:rPr>
              <w:t>2</w:t>
            </w:r>
            <w:r>
              <w:rPr>
                <w:rFonts w:cs="Times New Roman" w:hint="eastAsia"/>
                <w:kern w:val="0"/>
                <w:szCs w:val="24"/>
              </w:rPr>
              <w:t>的排放限值。厂界非甲烷总烃、硫酸雾执行《大气污染物综合排放标准》（</w:t>
            </w:r>
            <w:r>
              <w:rPr>
                <w:rFonts w:cs="Times New Roman" w:hint="eastAsia"/>
                <w:kern w:val="0"/>
                <w:szCs w:val="24"/>
              </w:rPr>
              <w:t>GB16297-1996</w:t>
            </w:r>
            <w:r>
              <w:rPr>
                <w:rFonts w:cs="Times New Roman" w:hint="eastAsia"/>
                <w:kern w:val="0"/>
                <w:szCs w:val="24"/>
              </w:rPr>
              <w:t>）中表</w:t>
            </w:r>
            <w:r>
              <w:rPr>
                <w:rFonts w:cs="Times New Roman" w:hint="eastAsia"/>
                <w:kern w:val="0"/>
                <w:szCs w:val="24"/>
              </w:rPr>
              <w:t>2</w:t>
            </w:r>
            <w:r>
              <w:rPr>
                <w:rFonts w:cs="Times New Roman" w:hint="eastAsia"/>
                <w:kern w:val="0"/>
                <w:szCs w:val="24"/>
              </w:rPr>
              <w:t>的无组织排放监控浓度限值</w:t>
            </w:r>
            <w:r>
              <w:rPr>
                <w:rFonts w:cs="Times New Roman"/>
                <w:kern w:val="0"/>
                <w:szCs w:val="24"/>
              </w:rPr>
              <w:t>。</w:t>
            </w:r>
          </w:p>
          <w:p w14:paraId="2BFF9AC3" w14:textId="69BC06A0" w:rsidR="003C4F46" w:rsidRDefault="004B6A81">
            <w:pPr>
              <w:spacing w:line="240" w:lineRule="auto"/>
              <w:ind w:firstLine="422"/>
              <w:jc w:val="center"/>
              <w:rPr>
                <w:b/>
                <w:sz w:val="21"/>
              </w:rPr>
            </w:pPr>
            <w:r>
              <w:rPr>
                <w:rFonts w:hint="eastAsia"/>
                <w:b/>
                <w:sz w:val="21"/>
              </w:rPr>
              <w:t>表</w:t>
            </w:r>
            <w:r>
              <w:rPr>
                <w:rFonts w:hint="eastAsia"/>
                <w:b/>
                <w:sz w:val="21"/>
              </w:rPr>
              <w:t>3</w:t>
            </w:r>
            <w:r>
              <w:rPr>
                <w:b/>
                <w:sz w:val="21"/>
              </w:rPr>
              <w:t>-</w:t>
            </w:r>
            <w:r w:rsidR="006B1F44">
              <w:rPr>
                <w:b/>
                <w:sz w:val="21"/>
              </w:rPr>
              <w:t>7</w:t>
            </w:r>
            <w:r>
              <w:rPr>
                <w:b/>
                <w:sz w:val="21"/>
              </w:rPr>
              <w:t xml:space="preserve">  </w:t>
            </w:r>
            <w:r>
              <w:rPr>
                <w:rFonts w:hint="eastAsia"/>
                <w:b/>
                <w:sz w:val="21"/>
              </w:rPr>
              <w:t>《大气污染物综合排放标准》（</w:t>
            </w:r>
            <w:r>
              <w:rPr>
                <w:rFonts w:hint="eastAsia"/>
                <w:b/>
                <w:sz w:val="21"/>
              </w:rPr>
              <w:t>GB16297-1996</w:t>
            </w:r>
            <w:r>
              <w:rPr>
                <w:rFonts w:hint="eastAsia"/>
                <w:b/>
                <w:sz w:val="21"/>
              </w:rPr>
              <w:t>）</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20"/>
              <w:gridCol w:w="1733"/>
              <w:gridCol w:w="1687"/>
              <w:gridCol w:w="2120"/>
              <w:gridCol w:w="1175"/>
            </w:tblGrid>
            <w:tr w:rsidR="003C4F46" w14:paraId="6B1E8564" w14:textId="77777777">
              <w:trPr>
                <w:trHeight w:val="145"/>
              </w:trPr>
              <w:tc>
                <w:tcPr>
                  <w:tcW w:w="872" w:type="pct"/>
                  <w:vMerge w:val="restart"/>
                  <w:tcBorders>
                    <w:top w:val="single" w:sz="12" w:space="0" w:color="auto"/>
                    <w:left w:val="single" w:sz="12" w:space="0" w:color="auto"/>
                    <w:bottom w:val="single" w:sz="4" w:space="0" w:color="auto"/>
                    <w:right w:val="single" w:sz="4" w:space="0" w:color="auto"/>
                  </w:tcBorders>
                  <w:vAlign w:val="center"/>
                </w:tcPr>
                <w:p w14:paraId="07E0F9BE"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污染物</w:t>
                  </w:r>
                </w:p>
              </w:tc>
              <w:tc>
                <w:tcPr>
                  <w:tcW w:w="2102" w:type="pct"/>
                  <w:gridSpan w:val="2"/>
                  <w:tcBorders>
                    <w:top w:val="single" w:sz="12" w:space="0" w:color="auto"/>
                    <w:left w:val="single" w:sz="4" w:space="0" w:color="auto"/>
                    <w:right w:val="single" w:sz="4" w:space="0" w:color="auto"/>
                  </w:tcBorders>
                  <w:vAlign w:val="center"/>
                </w:tcPr>
                <w:p w14:paraId="5CD9ABC3"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有组织排放限值</w:t>
                  </w:r>
                </w:p>
              </w:tc>
              <w:tc>
                <w:tcPr>
                  <w:tcW w:w="2025" w:type="pct"/>
                  <w:gridSpan w:val="2"/>
                  <w:tcBorders>
                    <w:top w:val="single" w:sz="12" w:space="0" w:color="auto"/>
                    <w:left w:val="single" w:sz="4" w:space="0" w:color="auto"/>
                    <w:right w:val="single" w:sz="12" w:space="0" w:color="auto"/>
                  </w:tcBorders>
                  <w:vAlign w:val="center"/>
                </w:tcPr>
                <w:p w14:paraId="259F4B75"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无组织排放监控浓度</w:t>
                  </w:r>
                </w:p>
              </w:tc>
            </w:tr>
            <w:tr w:rsidR="003C4F46" w14:paraId="29052799" w14:textId="77777777">
              <w:tc>
                <w:tcPr>
                  <w:tcW w:w="872" w:type="pct"/>
                  <w:vMerge/>
                  <w:tcBorders>
                    <w:top w:val="single" w:sz="12" w:space="0" w:color="auto"/>
                    <w:left w:val="single" w:sz="12" w:space="0" w:color="auto"/>
                    <w:bottom w:val="single" w:sz="4" w:space="0" w:color="auto"/>
                    <w:right w:val="single" w:sz="4" w:space="0" w:color="auto"/>
                  </w:tcBorders>
                  <w:vAlign w:val="center"/>
                </w:tcPr>
                <w:p w14:paraId="0CF04EE2" w14:textId="77777777" w:rsidR="003C4F46" w:rsidRDefault="003C4F46">
                  <w:pPr>
                    <w:widowControl/>
                    <w:spacing w:line="240" w:lineRule="auto"/>
                    <w:ind w:firstLineChars="0" w:firstLine="0"/>
                    <w:jc w:val="center"/>
                    <w:rPr>
                      <w:rFonts w:cs="Times New Roman"/>
                      <w:sz w:val="21"/>
                      <w:szCs w:val="21"/>
                    </w:rPr>
                  </w:pPr>
                </w:p>
              </w:tc>
              <w:tc>
                <w:tcPr>
                  <w:tcW w:w="1065" w:type="pct"/>
                  <w:tcBorders>
                    <w:top w:val="single" w:sz="4" w:space="0" w:color="auto"/>
                    <w:left w:val="single" w:sz="4" w:space="0" w:color="auto"/>
                    <w:right w:val="single" w:sz="4" w:space="0" w:color="auto"/>
                  </w:tcBorders>
                  <w:vAlign w:val="center"/>
                </w:tcPr>
                <w:p w14:paraId="7A0EE9D2"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最高允许排放浓度（</w:t>
                  </w:r>
                  <w:r>
                    <w:rPr>
                      <w:rFonts w:cs="Times New Roman"/>
                      <w:sz w:val="21"/>
                      <w:szCs w:val="21"/>
                    </w:rPr>
                    <w:t>mg/m</w:t>
                  </w:r>
                  <w:r>
                    <w:rPr>
                      <w:rFonts w:cs="Times New Roman"/>
                      <w:sz w:val="21"/>
                      <w:szCs w:val="21"/>
                      <w:vertAlign w:val="superscript"/>
                    </w:rPr>
                    <w:t>3</w:t>
                  </w:r>
                  <w:r>
                    <w:rPr>
                      <w:rFonts w:cs="Times New Roman" w:hint="eastAsia"/>
                      <w:sz w:val="21"/>
                      <w:szCs w:val="21"/>
                    </w:rPr>
                    <w:t>）</w:t>
                  </w:r>
                </w:p>
              </w:tc>
              <w:tc>
                <w:tcPr>
                  <w:tcW w:w="1037" w:type="pct"/>
                  <w:tcBorders>
                    <w:top w:val="single" w:sz="4" w:space="0" w:color="auto"/>
                    <w:left w:val="single" w:sz="4" w:space="0" w:color="auto"/>
                    <w:right w:val="single" w:sz="4" w:space="0" w:color="auto"/>
                  </w:tcBorders>
                  <w:vAlign w:val="center"/>
                </w:tcPr>
                <w:p w14:paraId="292D268F"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最高允许排放速率（</w:t>
                  </w:r>
                  <w:r>
                    <w:rPr>
                      <w:rFonts w:cs="Times New Roman" w:hint="eastAsia"/>
                      <w:sz w:val="21"/>
                      <w:szCs w:val="21"/>
                    </w:rPr>
                    <w:t>k</w:t>
                  </w:r>
                  <w:r>
                    <w:rPr>
                      <w:rFonts w:cs="Times New Roman"/>
                      <w:sz w:val="21"/>
                      <w:szCs w:val="21"/>
                    </w:rPr>
                    <w:t>g/h</w:t>
                  </w:r>
                  <w:r>
                    <w:rPr>
                      <w:rFonts w:cs="Times New Roman" w:hint="eastAsia"/>
                      <w:sz w:val="21"/>
                      <w:szCs w:val="21"/>
                    </w:rPr>
                    <w:t>）</w:t>
                  </w:r>
                </w:p>
              </w:tc>
              <w:tc>
                <w:tcPr>
                  <w:tcW w:w="1303" w:type="pct"/>
                  <w:tcBorders>
                    <w:top w:val="single" w:sz="4" w:space="0" w:color="auto"/>
                    <w:left w:val="single" w:sz="4" w:space="0" w:color="auto"/>
                    <w:bottom w:val="single" w:sz="4" w:space="0" w:color="auto"/>
                    <w:right w:val="single" w:sz="4" w:space="0" w:color="auto"/>
                  </w:tcBorders>
                  <w:vAlign w:val="center"/>
                </w:tcPr>
                <w:p w14:paraId="442D0CCC"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监控点</w:t>
                  </w:r>
                </w:p>
              </w:tc>
              <w:tc>
                <w:tcPr>
                  <w:tcW w:w="721" w:type="pct"/>
                  <w:tcBorders>
                    <w:top w:val="single" w:sz="4" w:space="0" w:color="auto"/>
                    <w:left w:val="single" w:sz="4" w:space="0" w:color="auto"/>
                    <w:bottom w:val="single" w:sz="4" w:space="0" w:color="auto"/>
                    <w:right w:val="single" w:sz="12" w:space="0" w:color="auto"/>
                  </w:tcBorders>
                  <w:vAlign w:val="center"/>
                </w:tcPr>
                <w:p w14:paraId="0F50C794" w14:textId="77777777" w:rsidR="003C4F46" w:rsidRDefault="004B6A81">
                  <w:pPr>
                    <w:spacing w:line="240" w:lineRule="auto"/>
                    <w:ind w:firstLineChars="0" w:firstLine="0"/>
                    <w:jc w:val="center"/>
                    <w:rPr>
                      <w:rFonts w:cs="Times New Roman"/>
                      <w:sz w:val="21"/>
                      <w:szCs w:val="21"/>
                    </w:rPr>
                  </w:pPr>
                  <w:r>
                    <w:rPr>
                      <w:rFonts w:cs="Times New Roman"/>
                      <w:sz w:val="21"/>
                      <w:szCs w:val="21"/>
                    </w:rPr>
                    <w:t>mg/m</w:t>
                  </w:r>
                  <w:r>
                    <w:rPr>
                      <w:rFonts w:cs="Times New Roman"/>
                      <w:sz w:val="21"/>
                      <w:szCs w:val="21"/>
                      <w:vertAlign w:val="superscript"/>
                    </w:rPr>
                    <w:t>3</w:t>
                  </w:r>
                </w:p>
              </w:tc>
            </w:tr>
            <w:tr w:rsidR="003C4F46" w14:paraId="767630B9" w14:textId="77777777">
              <w:tc>
                <w:tcPr>
                  <w:tcW w:w="872" w:type="pct"/>
                  <w:tcBorders>
                    <w:top w:val="single" w:sz="4" w:space="0" w:color="auto"/>
                    <w:left w:val="single" w:sz="12" w:space="0" w:color="auto"/>
                    <w:bottom w:val="single" w:sz="4" w:space="0" w:color="auto"/>
                    <w:right w:val="single" w:sz="4" w:space="0" w:color="auto"/>
                  </w:tcBorders>
                  <w:vAlign w:val="center"/>
                </w:tcPr>
                <w:p w14:paraId="45CCE037"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lastRenderedPageBreak/>
                    <w:t>非甲烷总烃</w:t>
                  </w:r>
                </w:p>
              </w:tc>
              <w:tc>
                <w:tcPr>
                  <w:tcW w:w="1065" w:type="pct"/>
                  <w:tcBorders>
                    <w:left w:val="single" w:sz="4" w:space="0" w:color="auto"/>
                    <w:right w:val="single" w:sz="4" w:space="0" w:color="auto"/>
                  </w:tcBorders>
                  <w:vAlign w:val="center"/>
                </w:tcPr>
                <w:p w14:paraId="5FC26A55"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1</w:t>
                  </w:r>
                  <w:r>
                    <w:rPr>
                      <w:rFonts w:cs="Times New Roman"/>
                      <w:sz w:val="21"/>
                      <w:szCs w:val="21"/>
                    </w:rPr>
                    <w:t>20</w:t>
                  </w:r>
                </w:p>
              </w:tc>
              <w:tc>
                <w:tcPr>
                  <w:tcW w:w="1037" w:type="pct"/>
                  <w:tcBorders>
                    <w:left w:val="single" w:sz="4" w:space="0" w:color="auto"/>
                    <w:right w:val="single" w:sz="4" w:space="0" w:color="auto"/>
                  </w:tcBorders>
                  <w:vAlign w:val="center"/>
                </w:tcPr>
                <w:p w14:paraId="40761C3D"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10</w:t>
                  </w:r>
                </w:p>
              </w:tc>
              <w:tc>
                <w:tcPr>
                  <w:tcW w:w="1303" w:type="pct"/>
                  <w:tcBorders>
                    <w:top w:val="single" w:sz="4" w:space="0" w:color="auto"/>
                    <w:left w:val="single" w:sz="4" w:space="0" w:color="auto"/>
                    <w:bottom w:val="single" w:sz="4" w:space="0" w:color="auto"/>
                    <w:right w:val="single" w:sz="4" w:space="0" w:color="auto"/>
                  </w:tcBorders>
                  <w:vAlign w:val="center"/>
                </w:tcPr>
                <w:p w14:paraId="0E263671"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周界外浓度最高点</w:t>
                  </w:r>
                </w:p>
              </w:tc>
              <w:tc>
                <w:tcPr>
                  <w:tcW w:w="721" w:type="pct"/>
                  <w:tcBorders>
                    <w:top w:val="single" w:sz="4" w:space="0" w:color="auto"/>
                    <w:left w:val="single" w:sz="4" w:space="0" w:color="auto"/>
                    <w:bottom w:val="single" w:sz="4" w:space="0" w:color="auto"/>
                    <w:right w:val="single" w:sz="12" w:space="0" w:color="auto"/>
                  </w:tcBorders>
                  <w:vAlign w:val="center"/>
                </w:tcPr>
                <w:p w14:paraId="6B033E34"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4.0</w:t>
                  </w:r>
                </w:p>
              </w:tc>
            </w:tr>
            <w:tr w:rsidR="003C4F46" w14:paraId="3CBF4B24" w14:textId="77777777">
              <w:tc>
                <w:tcPr>
                  <w:tcW w:w="872" w:type="pct"/>
                  <w:tcBorders>
                    <w:top w:val="single" w:sz="4" w:space="0" w:color="auto"/>
                    <w:left w:val="single" w:sz="12" w:space="0" w:color="auto"/>
                    <w:bottom w:val="single" w:sz="12" w:space="0" w:color="auto"/>
                    <w:right w:val="single" w:sz="4" w:space="0" w:color="auto"/>
                  </w:tcBorders>
                  <w:vAlign w:val="center"/>
                </w:tcPr>
                <w:p w14:paraId="2F380F56"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硫酸雾</w:t>
                  </w:r>
                </w:p>
              </w:tc>
              <w:tc>
                <w:tcPr>
                  <w:tcW w:w="1065" w:type="pct"/>
                  <w:tcBorders>
                    <w:left w:val="single" w:sz="4" w:space="0" w:color="auto"/>
                    <w:bottom w:val="single" w:sz="12" w:space="0" w:color="auto"/>
                    <w:right w:val="single" w:sz="4" w:space="0" w:color="auto"/>
                  </w:tcBorders>
                  <w:vAlign w:val="center"/>
                </w:tcPr>
                <w:p w14:paraId="14B11FE6"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45</w:t>
                  </w:r>
                </w:p>
              </w:tc>
              <w:tc>
                <w:tcPr>
                  <w:tcW w:w="1037" w:type="pct"/>
                  <w:tcBorders>
                    <w:left w:val="single" w:sz="4" w:space="0" w:color="auto"/>
                    <w:bottom w:val="single" w:sz="12" w:space="0" w:color="auto"/>
                    <w:right w:val="single" w:sz="4" w:space="0" w:color="auto"/>
                  </w:tcBorders>
                  <w:vAlign w:val="center"/>
                </w:tcPr>
                <w:p w14:paraId="6A21833C"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1.5</w:t>
                  </w:r>
                </w:p>
              </w:tc>
              <w:tc>
                <w:tcPr>
                  <w:tcW w:w="1303" w:type="pct"/>
                  <w:tcBorders>
                    <w:top w:val="single" w:sz="4" w:space="0" w:color="auto"/>
                    <w:left w:val="single" w:sz="4" w:space="0" w:color="auto"/>
                    <w:bottom w:val="single" w:sz="12" w:space="0" w:color="auto"/>
                    <w:right w:val="single" w:sz="4" w:space="0" w:color="auto"/>
                  </w:tcBorders>
                  <w:vAlign w:val="center"/>
                </w:tcPr>
                <w:p w14:paraId="22B475FB"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周界外浓度最高点</w:t>
                  </w:r>
                </w:p>
              </w:tc>
              <w:tc>
                <w:tcPr>
                  <w:tcW w:w="721" w:type="pct"/>
                  <w:tcBorders>
                    <w:top w:val="single" w:sz="4" w:space="0" w:color="auto"/>
                    <w:left w:val="single" w:sz="4" w:space="0" w:color="auto"/>
                    <w:bottom w:val="single" w:sz="12" w:space="0" w:color="auto"/>
                    <w:right w:val="single" w:sz="12" w:space="0" w:color="auto"/>
                  </w:tcBorders>
                  <w:vAlign w:val="center"/>
                </w:tcPr>
                <w:p w14:paraId="001EE838"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1.2</w:t>
                  </w:r>
                </w:p>
              </w:tc>
            </w:tr>
          </w:tbl>
          <w:p w14:paraId="11B270A9" w14:textId="623F68AB" w:rsidR="003C4F46" w:rsidRDefault="004B6A81">
            <w:pPr>
              <w:adjustRightInd w:val="0"/>
              <w:snapToGrid w:val="0"/>
              <w:ind w:firstLine="480"/>
            </w:pPr>
            <w:r>
              <w:rPr>
                <w:rFonts w:cs="Times New Roman" w:hint="eastAsia"/>
              </w:rPr>
              <w:t>厂区内</w:t>
            </w:r>
            <w:r>
              <w:t>VOC</w:t>
            </w:r>
            <w:r>
              <w:rPr>
                <w:vertAlign w:val="subscript"/>
              </w:rPr>
              <w:t>S</w:t>
            </w:r>
            <w:r>
              <w:rPr>
                <w:rFonts w:cs="Times New Roman" w:hint="eastAsia"/>
              </w:rPr>
              <w:t>排放执行</w:t>
            </w:r>
            <w:r>
              <w:rPr>
                <w:rFonts w:hint="eastAsia"/>
              </w:rPr>
              <w:t>《挥发性有机物无组织排放控制标准》（</w:t>
            </w:r>
            <w:r>
              <w:t>GB37822-2019</w:t>
            </w:r>
            <w:r>
              <w:rPr>
                <w:rFonts w:hint="eastAsia"/>
              </w:rPr>
              <w:t>）表</w:t>
            </w:r>
            <w:r>
              <w:t>A.1</w:t>
            </w:r>
            <w:r>
              <w:rPr>
                <w:rFonts w:hint="eastAsia"/>
              </w:rPr>
              <w:t>厂内</w:t>
            </w:r>
            <w:r>
              <w:t>VOC</w:t>
            </w:r>
            <w:r>
              <w:rPr>
                <w:vertAlign w:val="subscript"/>
              </w:rPr>
              <w:t>S</w:t>
            </w:r>
            <w:r>
              <w:rPr>
                <w:rFonts w:hint="eastAsia"/>
              </w:rPr>
              <w:t>无组织排放限值，详见表</w:t>
            </w:r>
            <w:r>
              <w:t>3-</w:t>
            </w:r>
            <w:r w:rsidR="006B1F44">
              <w:t>8</w:t>
            </w:r>
            <w:r>
              <w:rPr>
                <w:rFonts w:hint="eastAsia"/>
              </w:rPr>
              <w:t>。</w:t>
            </w:r>
          </w:p>
          <w:p w14:paraId="0598B753" w14:textId="3F7740F2" w:rsidR="003C4F46" w:rsidRDefault="004B6A81">
            <w:pPr>
              <w:pStyle w:val="aff6"/>
              <w:spacing w:before="163"/>
              <w:ind w:firstLine="560"/>
              <w:rPr>
                <w:rFonts w:ascii="宋体" w:hAnsi="宋体" w:cs="宋体"/>
                <w:szCs w:val="21"/>
              </w:rPr>
            </w:pPr>
            <w:r>
              <w:rPr>
                <w:rFonts w:ascii="宋体" w:hAnsi="宋体" w:cs="宋体" w:hint="eastAsia"/>
                <w:szCs w:val="21"/>
              </w:rPr>
              <w:t>表</w:t>
            </w:r>
            <w:r>
              <w:rPr>
                <w:rFonts w:cs="Times New Roman"/>
                <w:szCs w:val="21"/>
              </w:rPr>
              <w:t>3-</w:t>
            </w:r>
            <w:r w:rsidR="006B1F44">
              <w:rPr>
                <w:rFonts w:cs="Times New Roman"/>
                <w:szCs w:val="21"/>
              </w:rPr>
              <w:t>8</w:t>
            </w:r>
            <w:r>
              <w:rPr>
                <w:rFonts w:cs="Times New Roman"/>
                <w:szCs w:val="21"/>
              </w:rPr>
              <w:t xml:space="preserve">  </w:t>
            </w:r>
            <w:r>
              <w:rPr>
                <w:rFonts w:ascii="宋体" w:hAnsi="宋体" w:cs="宋体" w:hint="eastAsia"/>
                <w:szCs w:val="21"/>
              </w:rPr>
              <w:t>厂区内</w:t>
            </w:r>
            <w:r>
              <w:rPr>
                <w:rFonts w:cs="Times New Roman"/>
                <w:szCs w:val="21"/>
              </w:rPr>
              <w:t>VOC</w:t>
            </w:r>
            <w:r>
              <w:rPr>
                <w:rFonts w:cs="Times New Roman"/>
                <w:szCs w:val="21"/>
                <w:vertAlign w:val="subscript"/>
              </w:rPr>
              <w:t>S</w:t>
            </w:r>
            <w:r>
              <w:rPr>
                <w:rFonts w:ascii="宋体" w:hAnsi="宋体" w:cs="宋体" w:hint="eastAsia"/>
                <w:szCs w:val="21"/>
              </w:rPr>
              <w:t>无组织排放限值</w:t>
            </w:r>
            <w:r>
              <w:rPr>
                <w:rFonts w:hint="eastAsia"/>
                <w:szCs w:val="21"/>
              </w:rPr>
              <w:t>（</w:t>
            </w:r>
            <w:r>
              <w:rPr>
                <w:szCs w:val="21"/>
              </w:rPr>
              <w:t>mg/m³</w:t>
            </w:r>
            <w:r>
              <w:rPr>
                <w:rFonts w:hint="eastAsia"/>
                <w:szCs w:val="21"/>
              </w:rPr>
              <w:t>）</w:t>
            </w:r>
          </w:p>
          <w:tbl>
            <w:tblPr>
              <w:tblStyle w:val="aff"/>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04"/>
              <w:gridCol w:w="1127"/>
              <w:gridCol w:w="3203"/>
              <w:gridCol w:w="2501"/>
            </w:tblGrid>
            <w:tr w:rsidR="003C4F46" w14:paraId="4F0096E5" w14:textId="77777777">
              <w:trPr>
                <w:trHeight w:val="354"/>
                <w:jc w:val="center"/>
              </w:trPr>
              <w:tc>
                <w:tcPr>
                  <w:tcW w:w="1340" w:type="dxa"/>
                  <w:tcBorders>
                    <w:top w:val="single" w:sz="12" w:space="0" w:color="auto"/>
                    <w:left w:val="single" w:sz="12" w:space="0" w:color="auto"/>
                    <w:bottom w:val="single" w:sz="4" w:space="0" w:color="auto"/>
                    <w:right w:val="single" w:sz="4" w:space="0" w:color="auto"/>
                  </w:tcBorders>
                  <w:vAlign w:val="center"/>
                </w:tcPr>
                <w:p w14:paraId="4EBD99E8"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污染物名称</w:t>
                  </w:r>
                </w:p>
              </w:tc>
              <w:tc>
                <w:tcPr>
                  <w:tcW w:w="1155" w:type="dxa"/>
                  <w:tcBorders>
                    <w:top w:val="single" w:sz="12" w:space="0" w:color="auto"/>
                    <w:left w:val="single" w:sz="4" w:space="0" w:color="auto"/>
                    <w:bottom w:val="single" w:sz="4" w:space="0" w:color="auto"/>
                    <w:right w:val="single" w:sz="4" w:space="0" w:color="auto"/>
                  </w:tcBorders>
                  <w:vAlign w:val="center"/>
                </w:tcPr>
                <w:p w14:paraId="5AC6404E"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排放限值</w:t>
                  </w:r>
                </w:p>
              </w:tc>
              <w:tc>
                <w:tcPr>
                  <w:tcW w:w="3315" w:type="dxa"/>
                  <w:tcBorders>
                    <w:top w:val="single" w:sz="12" w:space="0" w:color="auto"/>
                    <w:left w:val="single" w:sz="4" w:space="0" w:color="auto"/>
                    <w:bottom w:val="single" w:sz="4" w:space="0" w:color="auto"/>
                    <w:right w:val="single" w:sz="4" w:space="0" w:color="auto"/>
                  </w:tcBorders>
                  <w:vAlign w:val="center"/>
                </w:tcPr>
                <w:p w14:paraId="029DE72D"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限值含义</w:t>
                  </w:r>
                </w:p>
              </w:tc>
              <w:tc>
                <w:tcPr>
                  <w:tcW w:w="2585" w:type="dxa"/>
                  <w:tcBorders>
                    <w:top w:val="single" w:sz="12" w:space="0" w:color="auto"/>
                    <w:left w:val="single" w:sz="4" w:space="0" w:color="auto"/>
                    <w:bottom w:val="single" w:sz="4" w:space="0" w:color="auto"/>
                    <w:right w:val="single" w:sz="12" w:space="0" w:color="auto"/>
                  </w:tcBorders>
                  <w:vAlign w:val="center"/>
                </w:tcPr>
                <w:p w14:paraId="7EBA5FF8"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无组织排放监控位置</w:t>
                  </w:r>
                </w:p>
              </w:tc>
            </w:tr>
            <w:tr w:rsidR="003C4F46" w14:paraId="7FFB2CFC" w14:textId="77777777">
              <w:trPr>
                <w:jc w:val="center"/>
              </w:trPr>
              <w:tc>
                <w:tcPr>
                  <w:tcW w:w="1340" w:type="dxa"/>
                  <w:vMerge w:val="restart"/>
                  <w:tcBorders>
                    <w:top w:val="single" w:sz="4" w:space="0" w:color="auto"/>
                    <w:left w:val="single" w:sz="12" w:space="0" w:color="auto"/>
                    <w:bottom w:val="single" w:sz="12" w:space="0" w:color="auto"/>
                    <w:right w:val="single" w:sz="4" w:space="0" w:color="auto"/>
                  </w:tcBorders>
                  <w:vAlign w:val="center"/>
                </w:tcPr>
                <w:p w14:paraId="64A9AC07"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非甲烷总烃</w:t>
                  </w:r>
                </w:p>
              </w:tc>
              <w:tc>
                <w:tcPr>
                  <w:tcW w:w="1155" w:type="dxa"/>
                  <w:tcBorders>
                    <w:top w:val="single" w:sz="4" w:space="0" w:color="auto"/>
                    <w:left w:val="single" w:sz="4" w:space="0" w:color="auto"/>
                    <w:bottom w:val="single" w:sz="4" w:space="0" w:color="auto"/>
                    <w:right w:val="single" w:sz="4" w:space="0" w:color="auto"/>
                  </w:tcBorders>
                  <w:vAlign w:val="center"/>
                </w:tcPr>
                <w:p w14:paraId="5C396467" w14:textId="77777777" w:rsidR="003C4F46" w:rsidRDefault="004B6A81">
                  <w:pPr>
                    <w:spacing w:line="240" w:lineRule="auto"/>
                    <w:ind w:firstLineChars="0" w:firstLine="0"/>
                    <w:jc w:val="center"/>
                    <w:rPr>
                      <w:rFonts w:cs="Times New Roman"/>
                      <w:sz w:val="21"/>
                      <w:szCs w:val="21"/>
                    </w:rPr>
                  </w:pPr>
                  <w:r>
                    <w:rPr>
                      <w:rFonts w:cs="Times New Roman"/>
                      <w:sz w:val="21"/>
                      <w:szCs w:val="21"/>
                    </w:rPr>
                    <w:t>10</w:t>
                  </w:r>
                </w:p>
              </w:tc>
              <w:tc>
                <w:tcPr>
                  <w:tcW w:w="3315" w:type="dxa"/>
                  <w:tcBorders>
                    <w:top w:val="single" w:sz="4" w:space="0" w:color="auto"/>
                    <w:left w:val="single" w:sz="4" w:space="0" w:color="auto"/>
                    <w:bottom w:val="single" w:sz="4" w:space="0" w:color="auto"/>
                    <w:right w:val="single" w:sz="4" w:space="0" w:color="auto"/>
                  </w:tcBorders>
                  <w:vAlign w:val="center"/>
                </w:tcPr>
                <w:p w14:paraId="20CDB7C9"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监控点处</w:t>
                  </w:r>
                  <w:r>
                    <w:rPr>
                      <w:rFonts w:cs="Times New Roman"/>
                      <w:sz w:val="21"/>
                      <w:szCs w:val="21"/>
                    </w:rPr>
                    <w:t>1h</w:t>
                  </w:r>
                  <w:r>
                    <w:rPr>
                      <w:rFonts w:cs="Times New Roman" w:hint="eastAsia"/>
                      <w:sz w:val="21"/>
                      <w:szCs w:val="21"/>
                    </w:rPr>
                    <w:t>平均浓度值</w:t>
                  </w:r>
                </w:p>
              </w:tc>
              <w:tc>
                <w:tcPr>
                  <w:tcW w:w="2585" w:type="dxa"/>
                  <w:vMerge w:val="restart"/>
                  <w:tcBorders>
                    <w:top w:val="single" w:sz="4" w:space="0" w:color="auto"/>
                    <w:left w:val="single" w:sz="4" w:space="0" w:color="auto"/>
                    <w:bottom w:val="single" w:sz="12" w:space="0" w:color="auto"/>
                    <w:right w:val="single" w:sz="12" w:space="0" w:color="auto"/>
                  </w:tcBorders>
                  <w:vAlign w:val="center"/>
                </w:tcPr>
                <w:p w14:paraId="0F1050DF"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在厂房外设置监控点</w:t>
                  </w:r>
                </w:p>
              </w:tc>
            </w:tr>
            <w:tr w:rsidR="003C4F46" w14:paraId="039B3115" w14:textId="77777777">
              <w:trPr>
                <w:jc w:val="center"/>
              </w:trPr>
              <w:tc>
                <w:tcPr>
                  <w:tcW w:w="0" w:type="auto"/>
                  <w:vMerge/>
                  <w:tcBorders>
                    <w:top w:val="single" w:sz="4" w:space="0" w:color="auto"/>
                    <w:left w:val="single" w:sz="12" w:space="0" w:color="auto"/>
                    <w:bottom w:val="single" w:sz="12" w:space="0" w:color="auto"/>
                    <w:right w:val="single" w:sz="4" w:space="0" w:color="auto"/>
                  </w:tcBorders>
                  <w:vAlign w:val="center"/>
                </w:tcPr>
                <w:p w14:paraId="61F9C5AB" w14:textId="77777777" w:rsidR="003C4F46" w:rsidRDefault="003C4F46">
                  <w:pPr>
                    <w:spacing w:line="240" w:lineRule="auto"/>
                    <w:ind w:firstLineChars="0" w:firstLine="0"/>
                    <w:jc w:val="center"/>
                    <w:rPr>
                      <w:rFonts w:cs="Times New Roman"/>
                      <w:sz w:val="21"/>
                      <w:szCs w:val="21"/>
                    </w:rPr>
                  </w:pPr>
                </w:p>
              </w:tc>
              <w:tc>
                <w:tcPr>
                  <w:tcW w:w="1155" w:type="dxa"/>
                  <w:tcBorders>
                    <w:top w:val="single" w:sz="4" w:space="0" w:color="auto"/>
                    <w:left w:val="single" w:sz="4" w:space="0" w:color="auto"/>
                    <w:bottom w:val="single" w:sz="12" w:space="0" w:color="auto"/>
                    <w:right w:val="single" w:sz="4" w:space="0" w:color="auto"/>
                  </w:tcBorders>
                  <w:vAlign w:val="center"/>
                </w:tcPr>
                <w:p w14:paraId="4621105B" w14:textId="77777777" w:rsidR="003C4F46" w:rsidRDefault="004B6A81">
                  <w:pPr>
                    <w:spacing w:line="240" w:lineRule="auto"/>
                    <w:ind w:firstLineChars="0" w:firstLine="0"/>
                    <w:jc w:val="center"/>
                    <w:rPr>
                      <w:rFonts w:cs="Times New Roman"/>
                      <w:sz w:val="21"/>
                      <w:szCs w:val="21"/>
                    </w:rPr>
                  </w:pPr>
                  <w:r>
                    <w:rPr>
                      <w:rFonts w:cs="Times New Roman"/>
                      <w:sz w:val="21"/>
                      <w:szCs w:val="21"/>
                    </w:rPr>
                    <w:t>30</w:t>
                  </w:r>
                </w:p>
              </w:tc>
              <w:tc>
                <w:tcPr>
                  <w:tcW w:w="3315" w:type="dxa"/>
                  <w:tcBorders>
                    <w:top w:val="single" w:sz="4" w:space="0" w:color="auto"/>
                    <w:left w:val="single" w:sz="4" w:space="0" w:color="auto"/>
                    <w:bottom w:val="single" w:sz="12" w:space="0" w:color="auto"/>
                    <w:right w:val="single" w:sz="4" w:space="0" w:color="auto"/>
                  </w:tcBorders>
                  <w:vAlign w:val="center"/>
                </w:tcPr>
                <w:p w14:paraId="7D7D47B9" w14:textId="77777777" w:rsidR="003C4F46" w:rsidRDefault="004B6A81">
                  <w:pPr>
                    <w:spacing w:line="240" w:lineRule="auto"/>
                    <w:ind w:firstLineChars="0" w:firstLine="0"/>
                    <w:jc w:val="center"/>
                    <w:rPr>
                      <w:rFonts w:cs="Times New Roman"/>
                      <w:sz w:val="21"/>
                      <w:szCs w:val="21"/>
                    </w:rPr>
                  </w:pPr>
                  <w:r>
                    <w:rPr>
                      <w:rFonts w:cs="Times New Roman" w:hint="eastAsia"/>
                      <w:sz w:val="21"/>
                      <w:szCs w:val="21"/>
                    </w:rPr>
                    <w:t>监控点处任意一次浓度值</w:t>
                  </w:r>
                </w:p>
              </w:tc>
              <w:tc>
                <w:tcPr>
                  <w:tcW w:w="0" w:type="auto"/>
                  <w:vMerge/>
                  <w:tcBorders>
                    <w:top w:val="single" w:sz="4" w:space="0" w:color="auto"/>
                    <w:left w:val="single" w:sz="4" w:space="0" w:color="auto"/>
                    <w:bottom w:val="single" w:sz="12" w:space="0" w:color="auto"/>
                    <w:right w:val="single" w:sz="12" w:space="0" w:color="auto"/>
                  </w:tcBorders>
                  <w:vAlign w:val="center"/>
                </w:tcPr>
                <w:p w14:paraId="4A358E26" w14:textId="77777777" w:rsidR="003C4F46" w:rsidRDefault="003C4F46">
                  <w:pPr>
                    <w:spacing w:line="240" w:lineRule="auto"/>
                    <w:ind w:firstLineChars="0" w:firstLine="0"/>
                    <w:jc w:val="center"/>
                    <w:rPr>
                      <w:rFonts w:cs="Times New Roman"/>
                      <w:sz w:val="21"/>
                      <w:szCs w:val="21"/>
                    </w:rPr>
                  </w:pPr>
                </w:p>
              </w:tc>
            </w:tr>
          </w:tbl>
          <w:p w14:paraId="73B6ADF8" w14:textId="47CDA4CE" w:rsidR="003C4F46" w:rsidRDefault="004B6A81">
            <w:pPr>
              <w:pStyle w:val="2"/>
              <w:rPr>
                <w:color w:val="000000" w:themeColor="text1"/>
              </w:rPr>
            </w:pPr>
            <w:r>
              <w:rPr>
                <w:rFonts w:hint="eastAsia"/>
                <w:color w:val="000000" w:themeColor="text1"/>
              </w:rPr>
              <w:t>2.</w:t>
            </w:r>
            <w:r>
              <w:rPr>
                <w:rFonts w:hint="eastAsia"/>
                <w:color w:val="000000" w:themeColor="text1"/>
              </w:rPr>
              <w:t>废水</w:t>
            </w:r>
            <w:r w:rsidR="00907E2E">
              <w:rPr>
                <w:rFonts w:hint="eastAsia"/>
                <w:color w:val="000000" w:themeColor="text1"/>
              </w:rPr>
              <w:t>排放标准</w:t>
            </w:r>
          </w:p>
          <w:p w14:paraId="61F33D00" w14:textId="58ED1DB3" w:rsidR="00907E2E" w:rsidRPr="00907E2E" w:rsidRDefault="00907E2E">
            <w:pPr>
              <w:ind w:firstLine="480"/>
              <w:rPr>
                <w:rFonts w:cs="Times New Roman"/>
              </w:rPr>
            </w:pPr>
            <w:r w:rsidRPr="00907E2E">
              <w:rPr>
                <w:rFonts w:cs="Times New Roman" w:hint="eastAsia"/>
              </w:rPr>
              <w:t>碱液喷淋塔中的喷淋废液经中和后循环使用，反应饱和后定期排放至厂区现有污水处理站处理，达标后排入</w:t>
            </w:r>
            <w:r w:rsidR="00C926EE" w:rsidRPr="00C926EE">
              <w:rPr>
                <w:rFonts w:cs="Times New Roman" w:hint="eastAsia"/>
              </w:rPr>
              <w:t>轮台县拉依苏化工区污水处理厂</w:t>
            </w:r>
            <w:r w:rsidRPr="00907E2E">
              <w:rPr>
                <w:rFonts w:cs="Times New Roman" w:hint="eastAsia"/>
              </w:rPr>
              <w:t>进一步处理，厂区</w:t>
            </w:r>
            <w:r>
              <w:rPr>
                <w:rFonts w:cs="Times New Roman" w:hint="eastAsia"/>
              </w:rPr>
              <w:t>现有</w:t>
            </w:r>
            <w:r w:rsidRPr="00907E2E">
              <w:rPr>
                <w:rFonts w:cs="Times New Roman" w:hint="eastAsia"/>
              </w:rPr>
              <w:t>污水处理站出水执行</w:t>
            </w:r>
            <w:r w:rsidR="008932B6" w:rsidRPr="008932B6">
              <w:rPr>
                <w:rFonts w:cs="Times New Roman"/>
              </w:rPr>
              <w:t>《石油炼制工业污染物排放标准》（</w:t>
            </w:r>
            <w:r w:rsidR="008932B6" w:rsidRPr="008932B6">
              <w:rPr>
                <w:rFonts w:cs="Times New Roman"/>
              </w:rPr>
              <w:t>GB31570-2015</w:t>
            </w:r>
            <w:r w:rsidR="008932B6" w:rsidRPr="008932B6">
              <w:rPr>
                <w:rFonts w:cs="Times New Roman"/>
              </w:rPr>
              <w:t>）修改单及标准表</w:t>
            </w:r>
            <w:r w:rsidR="008932B6" w:rsidRPr="008932B6">
              <w:rPr>
                <w:rFonts w:cs="Times New Roman"/>
              </w:rPr>
              <w:t>1</w:t>
            </w:r>
            <w:r w:rsidR="008932B6" w:rsidRPr="008932B6">
              <w:rPr>
                <w:rFonts w:cs="Times New Roman"/>
              </w:rPr>
              <w:t>间接排放标准</w:t>
            </w:r>
            <w:r w:rsidRPr="00907E2E">
              <w:rPr>
                <w:rFonts w:cs="Times New Roman" w:hint="eastAsia"/>
              </w:rPr>
              <w:t>，间接排放标准中未作规定污染物执行《污水综合排放标准》（</w:t>
            </w:r>
            <w:r w:rsidRPr="00907E2E">
              <w:rPr>
                <w:rFonts w:cs="Times New Roman" w:hint="eastAsia"/>
              </w:rPr>
              <w:t>GB8978-1996</w:t>
            </w:r>
            <w:r w:rsidRPr="00907E2E">
              <w:rPr>
                <w:rFonts w:cs="Times New Roman" w:hint="eastAsia"/>
              </w:rPr>
              <w:t>）三级标准。项目新增生活污水执行《污水综合排放标准》（</w:t>
            </w:r>
            <w:r w:rsidRPr="00907E2E">
              <w:rPr>
                <w:rFonts w:cs="Times New Roman" w:hint="eastAsia"/>
              </w:rPr>
              <w:t>GB8978-1996</w:t>
            </w:r>
            <w:r w:rsidRPr="00907E2E">
              <w:rPr>
                <w:rFonts w:cs="Times New Roman" w:hint="eastAsia"/>
              </w:rPr>
              <w:t>）三级标准，排入园区污水处理厂处理，排放浓度限值详见表</w:t>
            </w:r>
            <w:r>
              <w:rPr>
                <w:rFonts w:cs="Times New Roman"/>
              </w:rPr>
              <w:t>3-9</w:t>
            </w:r>
            <w:r w:rsidRPr="00907E2E">
              <w:rPr>
                <w:rFonts w:cs="Times New Roman" w:hint="eastAsia"/>
              </w:rPr>
              <w:t>。</w:t>
            </w:r>
          </w:p>
          <w:p w14:paraId="721EA983" w14:textId="5B9FC48F" w:rsidR="00907E2E" w:rsidRPr="00907E2E" w:rsidRDefault="00907E2E" w:rsidP="00907E2E">
            <w:pPr>
              <w:spacing w:before="170" w:line="219" w:lineRule="auto"/>
              <w:ind w:firstLineChars="0" w:firstLine="0"/>
              <w:jc w:val="center"/>
              <w:textAlignment w:val="auto"/>
              <w:rPr>
                <w:rFonts w:cstheme="majorBidi"/>
                <w:b/>
                <w:bCs/>
                <w:sz w:val="21"/>
                <w:szCs w:val="32"/>
              </w:rPr>
            </w:pPr>
            <w:r w:rsidRPr="00907E2E">
              <w:rPr>
                <w:rFonts w:cstheme="majorBidi"/>
                <w:b/>
                <w:bCs/>
                <w:sz w:val="21"/>
                <w:szCs w:val="32"/>
              </w:rPr>
              <w:t>表</w:t>
            </w:r>
            <w:r>
              <w:rPr>
                <w:rFonts w:cstheme="majorBidi"/>
                <w:b/>
                <w:bCs/>
                <w:sz w:val="21"/>
                <w:szCs w:val="32"/>
              </w:rPr>
              <w:t>3-9</w:t>
            </w:r>
            <w:r w:rsidRPr="00907E2E">
              <w:rPr>
                <w:rFonts w:cstheme="majorBidi" w:hint="eastAsia"/>
                <w:b/>
                <w:bCs/>
                <w:sz w:val="21"/>
                <w:szCs w:val="32"/>
              </w:rPr>
              <w:t xml:space="preserve">  </w:t>
            </w:r>
            <w:r w:rsidRPr="00907E2E">
              <w:rPr>
                <w:rFonts w:cstheme="majorBidi"/>
                <w:b/>
                <w:bCs/>
                <w:sz w:val="21"/>
                <w:szCs w:val="32"/>
              </w:rPr>
              <w:t>水污染物最高允许排放浓度</w:t>
            </w:r>
            <w:r w:rsidRPr="00907E2E">
              <w:rPr>
                <w:rFonts w:cstheme="majorBidi"/>
                <w:b/>
                <w:bCs/>
                <w:sz w:val="21"/>
                <w:szCs w:val="32"/>
              </w:rPr>
              <w:t xml:space="preserve">  </w:t>
            </w:r>
            <w:r w:rsidRPr="00907E2E">
              <w:rPr>
                <w:rFonts w:cstheme="majorBidi"/>
                <w:b/>
                <w:bCs/>
                <w:sz w:val="21"/>
                <w:szCs w:val="32"/>
              </w:rPr>
              <w:t>单位：</w:t>
            </w:r>
            <w:r w:rsidRPr="00907E2E">
              <w:rPr>
                <w:rFonts w:cstheme="majorBidi"/>
                <w:b/>
                <w:bCs/>
                <w:sz w:val="21"/>
                <w:szCs w:val="32"/>
              </w:rPr>
              <w:t>mg/L</w:t>
            </w:r>
            <w:r>
              <w:rPr>
                <w:rFonts w:cstheme="majorBidi" w:hint="eastAsia"/>
                <w:b/>
                <w:bCs/>
                <w:sz w:val="21"/>
                <w:szCs w:val="32"/>
              </w:rPr>
              <w:t>（</w:t>
            </w:r>
            <w:r w:rsidRPr="00907E2E">
              <w:rPr>
                <w:rFonts w:cstheme="majorBidi"/>
                <w:b/>
                <w:bCs/>
                <w:sz w:val="21"/>
                <w:szCs w:val="32"/>
              </w:rPr>
              <w:t>pH</w:t>
            </w:r>
            <w:r w:rsidRPr="00907E2E">
              <w:rPr>
                <w:rFonts w:cstheme="majorBidi"/>
                <w:b/>
                <w:bCs/>
                <w:sz w:val="21"/>
                <w:szCs w:val="32"/>
              </w:rPr>
              <w:t>除外</w:t>
            </w:r>
            <w:r>
              <w:rPr>
                <w:rFonts w:cstheme="majorBidi" w:hint="eastAsia"/>
                <w:b/>
                <w:bCs/>
                <w:sz w:val="21"/>
                <w:szCs w:val="32"/>
              </w:rPr>
              <w:t>）</w:t>
            </w:r>
          </w:p>
          <w:p w14:paraId="1D5A0599" w14:textId="77777777" w:rsidR="00907E2E" w:rsidRPr="00907E2E" w:rsidRDefault="00907E2E" w:rsidP="00907E2E">
            <w:pPr>
              <w:spacing w:line="29" w:lineRule="exact"/>
              <w:ind w:firstLine="480"/>
              <w:textAlignment w:val="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
              <w:gridCol w:w="1313"/>
              <w:gridCol w:w="3119"/>
              <w:gridCol w:w="3205"/>
            </w:tblGrid>
            <w:tr w:rsidR="00907E2E" w:rsidRPr="00907E2E" w14:paraId="4FEADBAD" w14:textId="77777777" w:rsidTr="00907E2E">
              <w:trPr>
                <w:trHeight w:val="422"/>
              </w:trPr>
              <w:tc>
                <w:tcPr>
                  <w:tcW w:w="306" w:type="pct"/>
                  <w:tcBorders>
                    <w:top w:val="single" w:sz="12" w:space="0" w:color="000000"/>
                    <w:left w:val="single" w:sz="12" w:space="0" w:color="000000"/>
                  </w:tcBorders>
                  <w:vAlign w:val="center"/>
                </w:tcPr>
                <w:p w14:paraId="21956D90" w14:textId="77777777" w:rsidR="00907E2E" w:rsidRPr="00907E2E" w:rsidRDefault="00907E2E" w:rsidP="00907E2E">
                  <w:pPr>
                    <w:spacing w:line="240" w:lineRule="auto"/>
                    <w:ind w:firstLineChars="0" w:firstLine="0"/>
                    <w:contextualSpacing/>
                    <w:jc w:val="center"/>
                    <w:rPr>
                      <w:sz w:val="21"/>
                    </w:rPr>
                  </w:pPr>
                  <w:r w:rsidRPr="00907E2E">
                    <w:rPr>
                      <w:sz w:val="21"/>
                    </w:rPr>
                    <w:t>序号</w:t>
                  </w:r>
                </w:p>
              </w:tc>
              <w:tc>
                <w:tcPr>
                  <w:tcW w:w="807" w:type="pct"/>
                  <w:tcBorders>
                    <w:top w:val="single" w:sz="12" w:space="0" w:color="000000"/>
                  </w:tcBorders>
                  <w:vAlign w:val="center"/>
                </w:tcPr>
                <w:p w14:paraId="7C9902E1" w14:textId="77777777" w:rsidR="00907E2E" w:rsidRPr="00907E2E" w:rsidRDefault="00907E2E" w:rsidP="00907E2E">
                  <w:pPr>
                    <w:spacing w:line="240" w:lineRule="auto"/>
                    <w:ind w:firstLineChars="0" w:firstLine="0"/>
                    <w:contextualSpacing/>
                    <w:jc w:val="center"/>
                    <w:rPr>
                      <w:sz w:val="21"/>
                    </w:rPr>
                  </w:pPr>
                  <w:r w:rsidRPr="00907E2E">
                    <w:rPr>
                      <w:sz w:val="21"/>
                    </w:rPr>
                    <w:t>污染物</w:t>
                  </w:r>
                </w:p>
              </w:tc>
              <w:tc>
                <w:tcPr>
                  <w:tcW w:w="1917" w:type="pct"/>
                  <w:tcBorders>
                    <w:top w:val="single" w:sz="12" w:space="0" w:color="000000"/>
                  </w:tcBorders>
                  <w:vAlign w:val="center"/>
                </w:tcPr>
                <w:p w14:paraId="15105C37" w14:textId="77777777" w:rsidR="00907E2E" w:rsidRPr="00907E2E" w:rsidRDefault="00907E2E" w:rsidP="00907E2E">
                  <w:pPr>
                    <w:spacing w:line="240" w:lineRule="auto"/>
                    <w:ind w:firstLineChars="0" w:firstLine="0"/>
                    <w:contextualSpacing/>
                    <w:jc w:val="center"/>
                    <w:rPr>
                      <w:sz w:val="21"/>
                    </w:rPr>
                  </w:pPr>
                  <w:r w:rsidRPr="00907E2E">
                    <w:rPr>
                      <w:sz w:val="21"/>
                    </w:rPr>
                    <w:t>《石油炼制工业污染物排放标准》表</w:t>
                  </w:r>
                  <w:r w:rsidRPr="00907E2E">
                    <w:rPr>
                      <w:sz w:val="21"/>
                    </w:rPr>
                    <w:t>1</w:t>
                  </w:r>
                  <w:r w:rsidRPr="00907E2E">
                    <w:rPr>
                      <w:sz w:val="21"/>
                    </w:rPr>
                    <w:t>间接排放限值</w:t>
                  </w:r>
                </w:p>
              </w:tc>
              <w:tc>
                <w:tcPr>
                  <w:tcW w:w="1970" w:type="pct"/>
                  <w:tcBorders>
                    <w:top w:val="single" w:sz="12" w:space="0" w:color="000000"/>
                    <w:right w:val="single" w:sz="12" w:space="0" w:color="000000"/>
                  </w:tcBorders>
                  <w:vAlign w:val="center"/>
                </w:tcPr>
                <w:p w14:paraId="2FAE61CE" w14:textId="77777777" w:rsidR="00907E2E" w:rsidRPr="00907E2E" w:rsidRDefault="00907E2E" w:rsidP="00907E2E">
                  <w:pPr>
                    <w:spacing w:line="240" w:lineRule="auto"/>
                    <w:ind w:firstLineChars="0" w:firstLine="0"/>
                    <w:contextualSpacing/>
                    <w:jc w:val="center"/>
                    <w:rPr>
                      <w:sz w:val="21"/>
                    </w:rPr>
                  </w:pPr>
                  <w:r w:rsidRPr="00907E2E">
                    <w:rPr>
                      <w:sz w:val="21"/>
                    </w:rPr>
                    <w:t>《污水综合排放标准》三级标准</w:t>
                  </w:r>
                </w:p>
              </w:tc>
            </w:tr>
            <w:tr w:rsidR="008932B6" w:rsidRPr="00907E2E" w14:paraId="08D2956A" w14:textId="77777777" w:rsidTr="00756AA1">
              <w:trPr>
                <w:trHeight w:val="179"/>
              </w:trPr>
              <w:tc>
                <w:tcPr>
                  <w:tcW w:w="306" w:type="pct"/>
                  <w:tcBorders>
                    <w:left w:val="single" w:sz="12" w:space="0" w:color="000000"/>
                  </w:tcBorders>
                  <w:vAlign w:val="center"/>
                </w:tcPr>
                <w:p w14:paraId="7FFA4C64" w14:textId="77777777" w:rsidR="008932B6" w:rsidRPr="00907E2E" w:rsidRDefault="008932B6" w:rsidP="008932B6">
                  <w:pPr>
                    <w:spacing w:line="240" w:lineRule="auto"/>
                    <w:ind w:firstLineChars="0" w:firstLine="0"/>
                    <w:contextualSpacing/>
                    <w:jc w:val="center"/>
                    <w:rPr>
                      <w:sz w:val="21"/>
                    </w:rPr>
                  </w:pPr>
                  <w:r w:rsidRPr="00907E2E">
                    <w:rPr>
                      <w:sz w:val="21"/>
                    </w:rPr>
                    <w:t>1</w:t>
                  </w:r>
                </w:p>
              </w:tc>
              <w:tc>
                <w:tcPr>
                  <w:tcW w:w="807" w:type="pct"/>
                  <w:vAlign w:val="center"/>
                </w:tcPr>
                <w:p w14:paraId="4051A2A5" w14:textId="77777777" w:rsidR="008932B6" w:rsidRPr="00907E2E" w:rsidRDefault="008932B6" w:rsidP="008932B6">
                  <w:pPr>
                    <w:spacing w:line="240" w:lineRule="auto"/>
                    <w:ind w:firstLineChars="0" w:firstLine="0"/>
                    <w:contextualSpacing/>
                    <w:jc w:val="center"/>
                    <w:rPr>
                      <w:sz w:val="21"/>
                    </w:rPr>
                  </w:pPr>
                  <w:r w:rsidRPr="00907E2E">
                    <w:rPr>
                      <w:sz w:val="21"/>
                    </w:rPr>
                    <w:t>pH</w:t>
                  </w:r>
                </w:p>
              </w:tc>
              <w:tc>
                <w:tcPr>
                  <w:tcW w:w="1917" w:type="pct"/>
                </w:tcPr>
                <w:p w14:paraId="16D979C6" w14:textId="64EF1FB2" w:rsidR="008932B6" w:rsidRPr="00907E2E" w:rsidRDefault="008932B6" w:rsidP="008932B6">
                  <w:pPr>
                    <w:spacing w:line="240" w:lineRule="auto"/>
                    <w:ind w:firstLineChars="0" w:firstLine="0"/>
                    <w:contextualSpacing/>
                    <w:jc w:val="center"/>
                    <w:rPr>
                      <w:sz w:val="21"/>
                    </w:rPr>
                  </w:pPr>
                  <w:r>
                    <w:rPr>
                      <w:rFonts w:hint="eastAsia"/>
                      <w:sz w:val="21"/>
                    </w:rPr>
                    <w:t>-</w:t>
                  </w:r>
                </w:p>
              </w:tc>
              <w:tc>
                <w:tcPr>
                  <w:tcW w:w="1970" w:type="pct"/>
                  <w:tcBorders>
                    <w:right w:val="single" w:sz="12" w:space="0" w:color="000000"/>
                  </w:tcBorders>
                  <w:vAlign w:val="center"/>
                </w:tcPr>
                <w:p w14:paraId="30214EA3" w14:textId="77777777" w:rsidR="008932B6" w:rsidRPr="00907E2E" w:rsidRDefault="008932B6" w:rsidP="008932B6">
                  <w:pPr>
                    <w:spacing w:line="240" w:lineRule="auto"/>
                    <w:ind w:firstLineChars="0" w:firstLine="0"/>
                    <w:contextualSpacing/>
                    <w:jc w:val="center"/>
                    <w:rPr>
                      <w:sz w:val="21"/>
                    </w:rPr>
                  </w:pPr>
                  <w:r w:rsidRPr="00907E2E">
                    <w:rPr>
                      <w:sz w:val="21"/>
                    </w:rPr>
                    <w:t>6~9</w:t>
                  </w:r>
                </w:p>
              </w:tc>
            </w:tr>
            <w:tr w:rsidR="008932B6" w:rsidRPr="00907E2E" w14:paraId="2872FA83" w14:textId="77777777" w:rsidTr="00756AA1">
              <w:trPr>
                <w:trHeight w:val="189"/>
              </w:trPr>
              <w:tc>
                <w:tcPr>
                  <w:tcW w:w="306" w:type="pct"/>
                  <w:tcBorders>
                    <w:left w:val="single" w:sz="12" w:space="0" w:color="000000"/>
                  </w:tcBorders>
                  <w:vAlign w:val="center"/>
                </w:tcPr>
                <w:p w14:paraId="11BAC0F4" w14:textId="77777777" w:rsidR="008932B6" w:rsidRPr="00907E2E" w:rsidRDefault="008932B6" w:rsidP="008932B6">
                  <w:pPr>
                    <w:spacing w:line="240" w:lineRule="auto"/>
                    <w:ind w:firstLineChars="0" w:firstLine="0"/>
                    <w:contextualSpacing/>
                    <w:jc w:val="center"/>
                    <w:rPr>
                      <w:sz w:val="21"/>
                    </w:rPr>
                  </w:pPr>
                  <w:r w:rsidRPr="00907E2E">
                    <w:rPr>
                      <w:sz w:val="21"/>
                    </w:rPr>
                    <w:t>2</w:t>
                  </w:r>
                </w:p>
              </w:tc>
              <w:tc>
                <w:tcPr>
                  <w:tcW w:w="807" w:type="pct"/>
                  <w:vAlign w:val="center"/>
                </w:tcPr>
                <w:p w14:paraId="44890205" w14:textId="77777777" w:rsidR="008932B6" w:rsidRPr="00907E2E" w:rsidRDefault="008932B6" w:rsidP="008932B6">
                  <w:pPr>
                    <w:spacing w:line="240" w:lineRule="auto"/>
                    <w:ind w:firstLineChars="0" w:firstLine="0"/>
                    <w:contextualSpacing/>
                    <w:jc w:val="center"/>
                    <w:rPr>
                      <w:sz w:val="21"/>
                    </w:rPr>
                  </w:pPr>
                  <w:proofErr w:type="spellStart"/>
                  <w:r w:rsidRPr="00907E2E">
                    <w:rPr>
                      <w:sz w:val="21"/>
                    </w:rPr>
                    <w:t>CODc</w:t>
                  </w:r>
                  <w:r w:rsidRPr="00907E2E">
                    <w:rPr>
                      <w:rFonts w:hint="eastAsia"/>
                      <w:sz w:val="21"/>
                    </w:rPr>
                    <w:t>r</w:t>
                  </w:r>
                  <w:proofErr w:type="spellEnd"/>
                </w:p>
              </w:tc>
              <w:tc>
                <w:tcPr>
                  <w:tcW w:w="1917" w:type="pct"/>
                </w:tcPr>
                <w:p w14:paraId="571F4831" w14:textId="0E233C6D" w:rsidR="008932B6" w:rsidRPr="00907E2E" w:rsidRDefault="008932B6" w:rsidP="008932B6">
                  <w:pPr>
                    <w:spacing w:line="240" w:lineRule="auto"/>
                    <w:ind w:firstLineChars="0" w:firstLine="0"/>
                    <w:contextualSpacing/>
                    <w:jc w:val="center"/>
                    <w:rPr>
                      <w:sz w:val="21"/>
                    </w:rPr>
                  </w:pPr>
                  <w:r w:rsidRPr="00B843E9">
                    <w:rPr>
                      <w:rFonts w:hint="eastAsia"/>
                      <w:sz w:val="21"/>
                    </w:rPr>
                    <w:t>-</w:t>
                  </w:r>
                </w:p>
              </w:tc>
              <w:tc>
                <w:tcPr>
                  <w:tcW w:w="1970" w:type="pct"/>
                  <w:tcBorders>
                    <w:right w:val="single" w:sz="12" w:space="0" w:color="000000"/>
                  </w:tcBorders>
                  <w:vAlign w:val="center"/>
                </w:tcPr>
                <w:p w14:paraId="6621597D" w14:textId="77777777" w:rsidR="008932B6" w:rsidRPr="00907E2E" w:rsidRDefault="008932B6" w:rsidP="008932B6">
                  <w:pPr>
                    <w:spacing w:line="240" w:lineRule="auto"/>
                    <w:ind w:firstLineChars="0" w:firstLine="0"/>
                    <w:contextualSpacing/>
                    <w:jc w:val="center"/>
                    <w:rPr>
                      <w:sz w:val="21"/>
                    </w:rPr>
                  </w:pPr>
                  <w:r w:rsidRPr="00907E2E">
                    <w:rPr>
                      <w:sz w:val="21"/>
                    </w:rPr>
                    <w:t>500</w:t>
                  </w:r>
                </w:p>
              </w:tc>
            </w:tr>
            <w:tr w:rsidR="008932B6" w:rsidRPr="00907E2E" w14:paraId="09F768D4" w14:textId="77777777" w:rsidTr="00756AA1">
              <w:trPr>
                <w:trHeight w:val="169"/>
              </w:trPr>
              <w:tc>
                <w:tcPr>
                  <w:tcW w:w="306" w:type="pct"/>
                  <w:tcBorders>
                    <w:left w:val="single" w:sz="12" w:space="0" w:color="000000"/>
                  </w:tcBorders>
                  <w:vAlign w:val="center"/>
                </w:tcPr>
                <w:p w14:paraId="5E012EDB" w14:textId="77777777" w:rsidR="008932B6" w:rsidRPr="00907E2E" w:rsidRDefault="008932B6" w:rsidP="008932B6">
                  <w:pPr>
                    <w:spacing w:line="240" w:lineRule="auto"/>
                    <w:ind w:firstLineChars="0" w:firstLine="0"/>
                    <w:contextualSpacing/>
                    <w:jc w:val="center"/>
                    <w:rPr>
                      <w:sz w:val="21"/>
                    </w:rPr>
                  </w:pPr>
                  <w:r w:rsidRPr="00907E2E">
                    <w:rPr>
                      <w:sz w:val="21"/>
                    </w:rPr>
                    <w:t>3</w:t>
                  </w:r>
                </w:p>
              </w:tc>
              <w:tc>
                <w:tcPr>
                  <w:tcW w:w="807" w:type="pct"/>
                  <w:vAlign w:val="center"/>
                </w:tcPr>
                <w:p w14:paraId="6E6F7B65" w14:textId="77777777" w:rsidR="008932B6" w:rsidRPr="00907E2E" w:rsidRDefault="008932B6" w:rsidP="008932B6">
                  <w:pPr>
                    <w:spacing w:line="240" w:lineRule="auto"/>
                    <w:ind w:firstLineChars="0" w:firstLine="0"/>
                    <w:contextualSpacing/>
                    <w:jc w:val="center"/>
                    <w:rPr>
                      <w:sz w:val="21"/>
                    </w:rPr>
                  </w:pPr>
                  <w:r w:rsidRPr="00907E2E">
                    <w:rPr>
                      <w:sz w:val="21"/>
                    </w:rPr>
                    <w:t>BOD</w:t>
                  </w:r>
                  <w:r w:rsidRPr="00907E2E">
                    <w:rPr>
                      <w:rFonts w:hint="eastAsia"/>
                      <w:sz w:val="21"/>
                      <w:vertAlign w:val="subscript"/>
                    </w:rPr>
                    <w:t>5</w:t>
                  </w:r>
                </w:p>
              </w:tc>
              <w:tc>
                <w:tcPr>
                  <w:tcW w:w="1917" w:type="pct"/>
                </w:tcPr>
                <w:p w14:paraId="45DDCADA" w14:textId="25D980B6" w:rsidR="008932B6" w:rsidRPr="00907E2E" w:rsidRDefault="008932B6" w:rsidP="008932B6">
                  <w:pPr>
                    <w:spacing w:line="240" w:lineRule="auto"/>
                    <w:ind w:firstLineChars="0" w:firstLine="0"/>
                    <w:contextualSpacing/>
                    <w:jc w:val="center"/>
                    <w:rPr>
                      <w:sz w:val="21"/>
                    </w:rPr>
                  </w:pPr>
                  <w:r w:rsidRPr="00B843E9">
                    <w:rPr>
                      <w:rFonts w:hint="eastAsia"/>
                      <w:sz w:val="21"/>
                    </w:rPr>
                    <w:t>-</w:t>
                  </w:r>
                </w:p>
              </w:tc>
              <w:tc>
                <w:tcPr>
                  <w:tcW w:w="1970" w:type="pct"/>
                  <w:tcBorders>
                    <w:right w:val="single" w:sz="12" w:space="0" w:color="000000"/>
                  </w:tcBorders>
                  <w:vAlign w:val="center"/>
                </w:tcPr>
                <w:p w14:paraId="68BBDC18" w14:textId="77777777" w:rsidR="008932B6" w:rsidRPr="00907E2E" w:rsidRDefault="008932B6" w:rsidP="008932B6">
                  <w:pPr>
                    <w:spacing w:line="240" w:lineRule="auto"/>
                    <w:ind w:firstLineChars="0" w:firstLine="0"/>
                    <w:contextualSpacing/>
                    <w:jc w:val="center"/>
                    <w:rPr>
                      <w:sz w:val="21"/>
                    </w:rPr>
                  </w:pPr>
                  <w:r w:rsidRPr="00907E2E">
                    <w:rPr>
                      <w:sz w:val="21"/>
                    </w:rPr>
                    <w:t>300</w:t>
                  </w:r>
                </w:p>
              </w:tc>
            </w:tr>
            <w:tr w:rsidR="008932B6" w:rsidRPr="00907E2E" w14:paraId="7048255A" w14:textId="77777777" w:rsidTr="00756AA1">
              <w:trPr>
                <w:trHeight w:val="179"/>
              </w:trPr>
              <w:tc>
                <w:tcPr>
                  <w:tcW w:w="306" w:type="pct"/>
                  <w:tcBorders>
                    <w:left w:val="single" w:sz="12" w:space="0" w:color="000000"/>
                  </w:tcBorders>
                  <w:vAlign w:val="center"/>
                </w:tcPr>
                <w:p w14:paraId="737D33E7" w14:textId="77777777" w:rsidR="008932B6" w:rsidRPr="00907E2E" w:rsidRDefault="008932B6" w:rsidP="008932B6">
                  <w:pPr>
                    <w:spacing w:line="240" w:lineRule="auto"/>
                    <w:ind w:firstLineChars="0" w:firstLine="0"/>
                    <w:contextualSpacing/>
                    <w:jc w:val="center"/>
                    <w:rPr>
                      <w:sz w:val="21"/>
                    </w:rPr>
                  </w:pPr>
                  <w:r w:rsidRPr="00907E2E">
                    <w:rPr>
                      <w:sz w:val="21"/>
                    </w:rPr>
                    <w:t>4</w:t>
                  </w:r>
                </w:p>
              </w:tc>
              <w:tc>
                <w:tcPr>
                  <w:tcW w:w="807" w:type="pct"/>
                  <w:vAlign w:val="center"/>
                </w:tcPr>
                <w:p w14:paraId="253D092D" w14:textId="77777777" w:rsidR="008932B6" w:rsidRPr="00907E2E" w:rsidRDefault="008932B6" w:rsidP="008932B6">
                  <w:pPr>
                    <w:spacing w:line="240" w:lineRule="auto"/>
                    <w:ind w:firstLineChars="0" w:firstLine="0"/>
                    <w:contextualSpacing/>
                    <w:jc w:val="center"/>
                    <w:rPr>
                      <w:sz w:val="21"/>
                    </w:rPr>
                  </w:pPr>
                  <w:r w:rsidRPr="00907E2E">
                    <w:rPr>
                      <w:sz w:val="21"/>
                    </w:rPr>
                    <w:t>SS</w:t>
                  </w:r>
                </w:p>
              </w:tc>
              <w:tc>
                <w:tcPr>
                  <w:tcW w:w="1917" w:type="pct"/>
                </w:tcPr>
                <w:p w14:paraId="3195B853" w14:textId="38764DBF" w:rsidR="008932B6" w:rsidRPr="00907E2E" w:rsidRDefault="008932B6" w:rsidP="008932B6">
                  <w:pPr>
                    <w:spacing w:line="240" w:lineRule="auto"/>
                    <w:ind w:firstLineChars="0" w:firstLine="0"/>
                    <w:contextualSpacing/>
                    <w:jc w:val="center"/>
                    <w:rPr>
                      <w:sz w:val="21"/>
                    </w:rPr>
                  </w:pPr>
                  <w:r w:rsidRPr="00B843E9">
                    <w:rPr>
                      <w:rFonts w:hint="eastAsia"/>
                      <w:sz w:val="21"/>
                    </w:rPr>
                    <w:t>-</w:t>
                  </w:r>
                </w:p>
              </w:tc>
              <w:tc>
                <w:tcPr>
                  <w:tcW w:w="1970" w:type="pct"/>
                  <w:tcBorders>
                    <w:right w:val="single" w:sz="12" w:space="0" w:color="000000"/>
                  </w:tcBorders>
                  <w:vAlign w:val="center"/>
                </w:tcPr>
                <w:p w14:paraId="57CD0BBD" w14:textId="77777777" w:rsidR="008932B6" w:rsidRPr="00907E2E" w:rsidRDefault="008932B6" w:rsidP="008932B6">
                  <w:pPr>
                    <w:spacing w:line="240" w:lineRule="auto"/>
                    <w:ind w:firstLineChars="0" w:firstLine="0"/>
                    <w:contextualSpacing/>
                    <w:jc w:val="center"/>
                    <w:rPr>
                      <w:sz w:val="21"/>
                    </w:rPr>
                  </w:pPr>
                  <w:r w:rsidRPr="00907E2E">
                    <w:rPr>
                      <w:sz w:val="21"/>
                    </w:rPr>
                    <w:t>400</w:t>
                  </w:r>
                </w:p>
              </w:tc>
            </w:tr>
            <w:tr w:rsidR="008932B6" w:rsidRPr="00907E2E" w14:paraId="78073602" w14:textId="77777777" w:rsidTr="00756AA1">
              <w:trPr>
                <w:trHeight w:val="179"/>
              </w:trPr>
              <w:tc>
                <w:tcPr>
                  <w:tcW w:w="306" w:type="pct"/>
                  <w:tcBorders>
                    <w:left w:val="single" w:sz="12" w:space="0" w:color="000000"/>
                  </w:tcBorders>
                  <w:vAlign w:val="center"/>
                </w:tcPr>
                <w:p w14:paraId="46DBD50C" w14:textId="6423B751" w:rsidR="008932B6" w:rsidRPr="00907E2E" w:rsidRDefault="008932B6" w:rsidP="008932B6">
                  <w:pPr>
                    <w:spacing w:line="240" w:lineRule="auto"/>
                    <w:ind w:firstLineChars="0" w:firstLine="0"/>
                    <w:contextualSpacing/>
                    <w:jc w:val="center"/>
                    <w:rPr>
                      <w:sz w:val="21"/>
                    </w:rPr>
                  </w:pPr>
                  <w:r>
                    <w:rPr>
                      <w:rFonts w:hint="eastAsia"/>
                      <w:sz w:val="21"/>
                    </w:rPr>
                    <w:t>5</w:t>
                  </w:r>
                </w:p>
              </w:tc>
              <w:tc>
                <w:tcPr>
                  <w:tcW w:w="807" w:type="pct"/>
                  <w:vAlign w:val="center"/>
                </w:tcPr>
                <w:p w14:paraId="7A88FAC2" w14:textId="36553389" w:rsidR="008932B6" w:rsidRPr="00907E2E" w:rsidRDefault="008932B6" w:rsidP="008932B6">
                  <w:pPr>
                    <w:spacing w:line="240" w:lineRule="auto"/>
                    <w:ind w:firstLineChars="0" w:firstLine="0"/>
                    <w:contextualSpacing/>
                    <w:jc w:val="center"/>
                    <w:rPr>
                      <w:sz w:val="21"/>
                    </w:rPr>
                  </w:pPr>
                  <w:r>
                    <w:rPr>
                      <w:rFonts w:hint="eastAsia"/>
                      <w:sz w:val="21"/>
                    </w:rPr>
                    <w:t>氨氮</w:t>
                  </w:r>
                </w:p>
              </w:tc>
              <w:tc>
                <w:tcPr>
                  <w:tcW w:w="1917" w:type="pct"/>
                </w:tcPr>
                <w:p w14:paraId="7408D6AA" w14:textId="3E28C024" w:rsidR="008932B6" w:rsidRPr="00907E2E" w:rsidRDefault="008932B6" w:rsidP="008932B6">
                  <w:pPr>
                    <w:spacing w:line="240" w:lineRule="auto"/>
                    <w:ind w:firstLineChars="0" w:firstLine="0"/>
                    <w:contextualSpacing/>
                    <w:jc w:val="center"/>
                    <w:rPr>
                      <w:sz w:val="21"/>
                    </w:rPr>
                  </w:pPr>
                  <w:r w:rsidRPr="00B843E9">
                    <w:rPr>
                      <w:rFonts w:hint="eastAsia"/>
                      <w:sz w:val="21"/>
                    </w:rPr>
                    <w:t>-</w:t>
                  </w:r>
                </w:p>
              </w:tc>
              <w:tc>
                <w:tcPr>
                  <w:tcW w:w="1970" w:type="pct"/>
                  <w:tcBorders>
                    <w:right w:val="single" w:sz="12" w:space="0" w:color="000000"/>
                  </w:tcBorders>
                  <w:vAlign w:val="center"/>
                </w:tcPr>
                <w:p w14:paraId="12203112" w14:textId="144CE224" w:rsidR="008932B6" w:rsidRPr="00907E2E" w:rsidRDefault="008932B6" w:rsidP="008932B6">
                  <w:pPr>
                    <w:spacing w:line="240" w:lineRule="auto"/>
                    <w:ind w:firstLineChars="0" w:firstLine="0"/>
                    <w:contextualSpacing/>
                    <w:jc w:val="center"/>
                    <w:rPr>
                      <w:sz w:val="21"/>
                    </w:rPr>
                  </w:pPr>
                  <w:r>
                    <w:rPr>
                      <w:rFonts w:hint="eastAsia"/>
                      <w:sz w:val="21"/>
                    </w:rPr>
                    <w:t>-</w:t>
                  </w:r>
                </w:p>
              </w:tc>
            </w:tr>
            <w:tr w:rsidR="008932B6" w:rsidRPr="00907E2E" w14:paraId="188FEA7F" w14:textId="77777777" w:rsidTr="00756AA1">
              <w:trPr>
                <w:trHeight w:val="179"/>
              </w:trPr>
              <w:tc>
                <w:tcPr>
                  <w:tcW w:w="306" w:type="pct"/>
                  <w:tcBorders>
                    <w:left w:val="single" w:sz="12" w:space="0" w:color="000000"/>
                  </w:tcBorders>
                  <w:vAlign w:val="center"/>
                </w:tcPr>
                <w:p w14:paraId="4CC8345F" w14:textId="1302E941" w:rsidR="008932B6" w:rsidRPr="00907E2E" w:rsidRDefault="008932B6" w:rsidP="008932B6">
                  <w:pPr>
                    <w:spacing w:line="240" w:lineRule="auto"/>
                    <w:ind w:firstLineChars="0" w:firstLine="0"/>
                    <w:contextualSpacing/>
                    <w:jc w:val="center"/>
                    <w:rPr>
                      <w:sz w:val="21"/>
                    </w:rPr>
                  </w:pPr>
                  <w:r>
                    <w:rPr>
                      <w:rFonts w:hint="eastAsia"/>
                      <w:sz w:val="21"/>
                    </w:rPr>
                    <w:t>6</w:t>
                  </w:r>
                </w:p>
              </w:tc>
              <w:tc>
                <w:tcPr>
                  <w:tcW w:w="807" w:type="pct"/>
                  <w:vAlign w:val="center"/>
                </w:tcPr>
                <w:p w14:paraId="378DF88E" w14:textId="7DA6E3BC" w:rsidR="008932B6" w:rsidRPr="00907E2E" w:rsidRDefault="008932B6" w:rsidP="008932B6">
                  <w:pPr>
                    <w:spacing w:line="240" w:lineRule="auto"/>
                    <w:ind w:firstLineChars="0" w:firstLine="0"/>
                    <w:contextualSpacing/>
                    <w:jc w:val="center"/>
                    <w:rPr>
                      <w:sz w:val="21"/>
                    </w:rPr>
                  </w:pPr>
                  <w:r>
                    <w:rPr>
                      <w:rFonts w:hint="eastAsia"/>
                      <w:sz w:val="21"/>
                    </w:rPr>
                    <w:t>总磷</w:t>
                  </w:r>
                </w:p>
              </w:tc>
              <w:tc>
                <w:tcPr>
                  <w:tcW w:w="1917" w:type="pct"/>
                </w:tcPr>
                <w:p w14:paraId="5C852378" w14:textId="4A58C851" w:rsidR="008932B6" w:rsidRPr="00907E2E" w:rsidRDefault="008932B6" w:rsidP="008932B6">
                  <w:pPr>
                    <w:spacing w:line="240" w:lineRule="auto"/>
                    <w:ind w:firstLineChars="0" w:firstLine="0"/>
                    <w:contextualSpacing/>
                    <w:jc w:val="center"/>
                    <w:rPr>
                      <w:sz w:val="21"/>
                    </w:rPr>
                  </w:pPr>
                  <w:r w:rsidRPr="00B843E9">
                    <w:rPr>
                      <w:rFonts w:hint="eastAsia"/>
                      <w:sz w:val="21"/>
                    </w:rPr>
                    <w:t>-</w:t>
                  </w:r>
                </w:p>
              </w:tc>
              <w:tc>
                <w:tcPr>
                  <w:tcW w:w="1970" w:type="pct"/>
                  <w:tcBorders>
                    <w:right w:val="single" w:sz="12" w:space="0" w:color="000000"/>
                  </w:tcBorders>
                  <w:vAlign w:val="center"/>
                </w:tcPr>
                <w:p w14:paraId="7AAEA229" w14:textId="449FE53A" w:rsidR="008932B6" w:rsidRPr="00907E2E" w:rsidRDefault="008932B6" w:rsidP="008932B6">
                  <w:pPr>
                    <w:spacing w:line="240" w:lineRule="auto"/>
                    <w:ind w:firstLineChars="0" w:firstLine="0"/>
                    <w:contextualSpacing/>
                    <w:jc w:val="center"/>
                    <w:rPr>
                      <w:sz w:val="21"/>
                    </w:rPr>
                  </w:pPr>
                  <w:r>
                    <w:rPr>
                      <w:rFonts w:hint="eastAsia"/>
                      <w:sz w:val="21"/>
                    </w:rPr>
                    <w:t>-</w:t>
                  </w:r>
                </w:p>
              </w:tc>
            </w:tr>
          </w:tbl>
          <w:p w14:paraId="38E555AB" w14:textId="77777777" w:rsidR="003C4F46" w:rsidRDefault="004B6A81">
            <w:pPr>
              <w:pStyle w:val="2"/>
              <w:rPr>
                <w:color w:val="000000" w:themeColor="text1"/>
              </w:rPr>
            </w:pPr>
            <w:r>
              <w:rPr>
                <w:rFonts w:hint="eastAsia"/>
                <w:color w:val="000000" w:themeColor="text1"/>
              </w:rPr>
              <w:t>3.</w:t>
            </w:r>
            <w:r>
              <w:rPr>
                <w:rFonts w:hint="eastAsia"/>
                <w:color w:val="000000" w:themeColor="text1"/>
              </w:rPr>
              <w:t>噪声排放标准</w:t>
            </w:r>
          </w:p>
          <w:p w14:paraId="5114574A" w14:textId="5425C8CD" w:rsidR="003C4F46" w:rsidRDefault="004B6A81">
            <w:pPr>
              <w:ind w:firstLine="480"/>
              <w:rPr>
                <w:color w:val="000000" w:themeColor="text1"/>
              </w:rPr>
            </w:pPr>
            <w:r>
              <w:rPr>
                <w:color w:val="000000" w:themeColor="text1"/>
              </w:rPr>
              <w:t>项目施工期噪声执行《</w:t>
            </w:r>
            <w:r>
              <w:rPr>
                <w:rFonts w:hint="eastAsia"/>
                <w:color w:val="000000" w:themeColor="text1"/>
              </w:rPr>
              <w:t>建筑施工噪声排放标准</w:t>
            </w:r>
            <w:r>
              <w:rPr>
                <w:color w:val="000000" w:themeColor="text1"/>
              </w:rPr>
              <w:t>》（</w:t>
            </w:r>
            <w:r>
              <w:rPr>
                <w:color w:val="000000" w:themeColor="text1"/>
              </w:rPr>
              <w:t>GB12523-20</w:t>
            </w:r>
            <w:r>
              <w:rPr>
                <w:rFonts w:hint="eastAsia"/>
                <w:color w:val="000000" w:themeColor="text1"/>
              </w:rPr>
              <w:t>25</w:t>
            </w:r>
            <w:r>
              <w:rPr>
                <w:color w:val="000000" w:themeColor="text1"/>
              </w:rPr>
              <w:t>），详见表</w:t>
            </w:r>
            <w:r>
              <w:rPr>
                <w:rFonts w:hint="eastAsia"/>
                <w:color w:val="000000" w:themeColor="text1"/>
              </w:rPr>
              <w:t>3</w:t>
            </w:r>
            <w:r>
              <w:rPr>
                <w:color w:val="000000" w:themeColor="text1"/>
              </w:rPr>
              <w:t>-</w:t>
            </w:r>
            <w:r w:rsidR="00907E2E">
              <w:rPr>
                <w:color w:val="000000" w:themeColor="text1"/>
              </w:rPr>
              <w:t>10</w:t>
            </w:r>
            <w:r>
              <w:rPr>
                <w:color w:val="000000" w:themeColor="text1"/>
              </w:rPr>
              <w:t>；</w:t>
            </w:r>
            <w:r>
              <w:rPr>
                <w:rFonts w:hint="eastAsia"/>
                <w:color w:val="000000" w:themeColor="text1"/>
              </w:rPr>
              <w:t>项目</w:t>
            </w:r>
            <w:r>
              <w:rPr>
                <w:color w:val="000000" w:themeColor="text1"/>
              </w:rPr>
              <w:t>运营期噪声执行《工业企业厂界环境噪声排放标准》（</w:t>
            </w:r>
            <w:r>
              <w:rPr>
                <w:color w:val="000000" w:themeColor="text1"/>
              </w:rPr>
              <w:t>GB12348-2008</w:t>
            </w:r>
            <w:r>
              <w:rPr>
                <w:color w:val="000000" w:themeColor="text1"/>
              </w:rPr>
              <w:t>）中</w:t>
            </w:r>
            <w:r>
              <w:rPr>
                <w:rFonts w:hint="eastAsia"/>
                <w:color w:val="000000" w:themeColor="text1"/>
              </w:rPr>
              <w:t>3</w:t>
            </w:r>
            <w:r>
              <w:rPr>
                <w:color w:val="000000" w:themeColor="text1"/>
              </w:rPr>
              <w:t>类标准，标准值见表</w:t>
            </w:r>
            <w:r>
              <w:rPr>
                <w:rFonts w:hint="eastAsia"/>
                <w:color w:val="000000" w:themeColor="text1"/>
              </w:rPr>
              <w:t>3</w:t>
            </w:r>
            <w:r>
              <w:rPr>
                <w:color w:val="000000" w:themeColor="text1"/>
              </w:rPr>
              <w:t>-</w:t>
            </w:r>
            <w:r w:rsidR="006B1F44">
              <w:rPr>
                <w:color w:val="000000" w:themeColor="text1"/>
              </w:rPr>
              <w:t>1</w:t>
            </w:r>
            <w:r w:rsidR="00907E2E">
              <w:rPr>
                <w:color w:val="000000" w:themeColor="text1"/>
              </w:rPr>
              <w:t>1</w:t>
            </w:r>
            <w:r>
              <w:rPr>
                <w:color w:val="000000" w:themeColor="text1"/>
              </w:rPr>
              <w:t>。</w:t>
            </w:r>
          </w:p>
          <w:p w14:paraId="14658761" w14:textId="596A8514" w:rsidR="003C4F46" w:rsidRDefault="004B6A81">
            <w:pPr>
              <w:pStyle w:val="aff6"/>
              <w:spacing w:before="163"/>
              <w:rPr>
                <w:color w:val="000000" w:themeColor="text1"/>
              </w:rPr>
            </w:pPr>
            <w:r>
              <w:rPr>
                <w:rFonts w:hint="eastAsia"/>
                <w:color w:val="000000" w:themeColor="text1"/>
              </w:rPr>
              <w:t>表</w:t>
            </w:r>
            <w:r>
              <w:rPr>
                <w:rFonts w:hint="eastAsia"/>
                <w:color w:val="000000" w:themeColor="text1"/>
              </w:rPr>
              <w:t>3-</w:t>
            </w:r>
            <w:r w:rsidR="00907E2E">
              <w:rPr>
                <w:color w:val="000000" w:themeColor="text1"/>
              </w:rPr>
              <w:t>10</w:t>
            </w:r>
            <w:r>
              <w:rPr>
                <w:rFonts w:hint="eastAsia"/>
                <w:color w:val="000000" w:themeColor="text1"/>
              </w:rPr>
              <w:t xml:space="preserve">  </w:t>
            </w:r>
            <w:r>
              <w:rPr>
                <w:rFonts w:hint="eastAsia"/>
                <w:color w:val="000000" w:themeColor="text1"/>
              </w:rPr>
              <w:t>建筑施工噪声排放限值</w:t>
            </w:r>
            <w:r>
              <w:rPr>
                <w:rFonts w:hint="eastAsia"/>
                <w:color w:val="000000" w:themeColor="text1"/>
              </w:rPr>
              <w:t xml:space="preserve">   </w:t>
            </w:r>
            <w:r>
              <w:rPr>
                <w:rFonts w:hint="eastAsia"/>
                <w:color w:val="000000" w:themeColor="text1"/>
              </w:rPr>
              <w:t>单位：</w:t>
            </w:r>
            <w:r>
              <w:rPr>
                <w:rFonts w:hint="eastAsia"/>
                <w:color w:val="000000" w:themeColor="text1"/>
              </w:rPr>
              <w:t>dB</w:t>
            </w:r>
            <w:r>
              <w:rPr>
                <w:rFonts w:hint="eastAsia"/>
                <w:color w:val="000000" w:themeColor="text1"/>
              </w:rPr>
              <w:t>（</w:t>
            </w:r>
            <w:r>
              <w:rPr>
                <w:rFonts w:hint="eastAsia"/>
                <w:color w:val="000000" w:themeColor="text1"/>
              </w:rPr>
              <w:t>A</w:t>
            </w:r>
            <w:r>
              <w:rPr>
                <w:color w:val="000000" w:themeColor="text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614"/>
              <w:gridCol w:w="3521"/>
            </w:tblGrid>
            <w:tr w:rsidR="003C4F46" w14:paraId="27825274" w14:textId="77777777">
              <w:trPr>
                <w:trHeight w:val="290"/>
              </w:trPr>
              <w:tc>
                <w:tcPr>
                  <w:tcW w:w="2836" w:type="pct"/>
                  <w:tcBorders>
                    <w:tl2br w:val="nil"/>
                    <w:tr2bl w:val="nil"/>
                  </w:tcBorders>
                  <w:vAlign w:val="center"/>
                </w:tcPr>
                <w:p w14:paraId="16075162"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昼间</w:t>
                  </w:r>
                </w:p>
              </w:tc>
              <w:tc>
                <w:tcPr>
                  <w:tcW w:w="2164" w:type="pct"/>
                  <w:tcBorders>
                    <w:tl2br w:val="nil"/>
                    <w:tr2bl w:val="nil"/>
                  </w:tcBorders>
                  <w:vAlign w:val="center"/>
                </w:tcPr>
                <w:p w14:paraId="31C9D878"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夜间</w:t>
                  </w:r>
                </w:p>
              </w:tc>
            </w:tr>
            <w:tr w:rsidR="003C4F46" w14:paraId="4BAD745A" w14:textId="77777777">
              <w:trPr>
                <w:trHeight w:val="290"/>
              </w:trPr>
              <w:tc>
                <w:tcPr>
                  <w:tcW w:w="2836" w:type="pct"/>
                  <w:tcBorders>
                    <w:tl2br w:val="nil"/>
                    <w:tr2bl w:val="nil"/>
                  </w:tcBorders>
                  <w:vAlign w:val="center"/>
                </w:tcPr>
                <w:p w14:paraId="4DA20455"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70</w:t>
                  </w:r>
                </w:p>
              </w:tc>
              <w:tc>
                <w:tcPr>
                  <w:tcW w:w="2164" w:type="pct"/>
                  <w:tcBorders>
                    <w:tl2br w:val="nil"/>
                    <w:tr2bl w:val="nil"/>
                  </w:tcBorders>
                  <w:vAlign w:val="center"/>
                </w:tcPr>
                <w:p w14:paraId="5B8D02B3"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55</w:t>
                  </w:r>
                </w:p>
              </w:tc>
            </w:tr>
          </w:tbl>
          <w:p w14:paraId="58558D0A" w14:textId="6190B4CD" w:rsidR="003C4F46" w:rsidRDefault="004B6A81">
            <w:pPr>
              <w:pStyle w:val="aff6"/>
              <w:spacing w:before="163"/>
              <w:rPr>
                <w:color w:val="000000" w:themeColor="text1"/>
              </w:rPr>
            </w:pPr>
            <w:r>
              <w:rPr>
                <w:rFonts w:hint="eastAsia"/>
                <w:color w:val="000000" w:themeColor="text1"/>
              </w:rPr>
              <w:lastRenderedPageBreak/>
              <w:t>表</w:t>
            </w:r>
            <w:r>
              <w:rPr>
                <w:rFonts w:hint="eastAsia"/>
                <w:color w:val="000000" w:themeColor="text1"/>
              </w:rPr>
              <w:t>3-</w:t>
            </w:r>
            <w:r w:rsidR="006B1F44">
              <w:rPr>
                <w:color w:val="000000" w:themeColor="text1"/>
              </w:rPr>
              <w:t>1</w:t>
            </w:r>
            <w:r w:rsidR="00907E2E">
              <w:rPr>
                <w:color w:val="000000" w:themeColor="text1"/>
              </w:rPr>
              <w:t>1</w:t>
            </w:r>
            <w:r>
              <w:rPr>
                <w:rFonts w:hint="eastAsia"/>
                <w:color w:val="000000" w:themeColor="text1"/>
              </w:rPr>
              <w:t xml:space="preserve">  </w:t>
            </w:r>
            <w:r>
              <w:rPr>
                <w:rFonts w:hint="eastAsia"/>
                <w:color w:val="000000" w:themeColor="text1"/>
              </w:rPr>
              <w:t>工业企业厂界环境噪声排放标准</w:t>
            </w:r>
            <w:r>
              <w:rPr>
                <w:rFonts w:hint="eastAsia"/>
                <w:color w:val="000000" w:themeColor="text1"/>
              </w:rPr>
              <w:t xml:space="preserve"> </w:t>
            </w:r>
            <w:r>
              <w:rPr>
                <w:rFonts w:hint="eastAsia"/>
                <w:color w:val="000000" w:themeColor="text1"/>
              </w:rPr>
              <w:t>等效声级</w:t>
            </w:r>
            <w:r>
              <w:rPr>
                <w:rFonts w:hint="eastAsia"/>
                <w:color w:val="000000" w:themeColor="text1"/>
              </w:rPr>
              <w:t>dB</w:t>
            </w:r>
            <w:r>
              <w:rPr>
                <w:rFonts w:hint="eastAsia"/>
                <w:color w:val="000000" w:themeColor="text1"/>
              </w:rPr>
              <w:t>（</w:t>
            </w:r>
            <w:r>
              <w:rPr>
                <w:rFonts w:hint="eastAsia"/>
                <w:color w:val="000000" w:themeColor="text1"/>
              </w:rPr>
              <w:t>A</w:t>
            </w:r>
            <w:r>
              <w:rPr>
                <w:color w:val="000000" w:themeColor="text1"/>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66"/>
              <w:gridCol w:w="3557"/>
              <w:gridCol w:w="2712"/>
            </w:tblGrid>
            <w:tr w:rsidR="003C4F46" w14:paraId="753A43AF" w14:textId="77777777">
              <w:trPr>
                <w:trHeight w:val="151"/>
              </w:trPr>
              <w:tc>
                <w:tcPr>
                  <w:tcW w:w="1147" w:type="pct"/>
                  <w:tcBorders>
                    <w:tl2br w:val="nil"/>
                    <w:tr2bl w:val="nil"/>
                  </w:tcBorders>
                  <w:vAlign w:val="center"/>
                </w:tcPr>
                <w:p w14:paraId="6510AB7F"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类别</w:t>
                  </w:r>
                </w:p>
              </w:tc>
              <w:tc>
                <w:tcPr>
                  <w:tcW w:w="2186" w:type="pct"/>
                  <w:tcBorders>
                    <w:tl2br w:val="nil"/>
                    <w:tr2bl w:val="nil"/>
                  </w:tcBorders>
                  <w:vAlign w:val="center"/>
                </w:tcPr>
                <w:p w14:paraId="4B90126F"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昼间</w:t>
                  </w:r>
                </w:p>
              </w:tc>
              <w:tc>
                <w:tcPr>
                  <w:tcW w:w="1667" w:type="pct"/>
                  <w:tcBorders>
                    <w:tl2br w:val="nil"/>
                    <w:tr2bl w:val="nil"/>
                  </w:tcBorders>
                  <w:vAlign w:val="center"/>
                </w:tcPr>
                <w:p w14:paraId="71200A5B"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夜间</w:t>
                  </w:r>
                </w:p>
              </w:tc>
            </w:tr>
            <w:tr w:rsidR="003C4F46" w14:paraId="42522EF2" w14:textId="77777777">
              <w:trPr>
                <w:trHeight w:val="101"/>
              </w:trPr>
              <w:tc>
                <w:tcPr>
                  <w:tcW w:w="1147" w:type="pct"/>
                  <w:tcBorders>
                    <w:tl2br w:val="nil"/>
                    <w:tr2bl w:val="nil"/>
                  </w:tcBorders>
                  <w:vAlign w:val="center"/>
                </w:tcPr>
                <w:p w14:paraId="57438FE0"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3</w:t>
                  </w:r>
                  <w:r>
                    <w:rPr>
                      <w:color w:val="000000" w:themeColor="text1"/>
                      <w:sz w:val="21"/>
                    </w:rPr>
                    <w:t>类</w:t>
                  </w:r>
                </w:p>
              </w:tc>
              <w:tc>
                <w:tcPr>
                  <w:tcW w:w="2186" w:type="pct"/>
                  <w:tcBorders>
                    <w:tl2br w:val="nil"/>
                    <w:tr2bl w:val="nil"/>
                  </w:tcBorders>
                  <w:vAlign w:val="center"/>
                </w:tcPr>
                <w:p w14:paraId="55F37597"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65</w:t>
                  </w:r>
                </w:p>
              </w:tc>
              <w:tc>
                <w:tcPr>
                  <w:tcW w:w="1667" w:type="pct"/>
                  <w:tcBorders>
                    <w:tl2br w:val="nil"/>
                    <w:tr2bl w:val="nil"/>
                  </w:tcBorders>
                  <w:vAlign w:val="center"/>
                </w:tcPr>
                <w:p w14:paraId="77F30D4D" w14:textId="77777777" w:rsidR="003C4F46" w:rsidRDefault="004B6A81">
                  <w:pPr>
                    <w:spacing w:line="240" w:lineRule="auto"/>
                    <w:ind w:firstLineChars="0" w:firstLine="0"/>
                    <w:contextualSpacing/>
                    <w:jc w:val="center"/>
                    <w:rPr>
                      <w:color w:val="000000" w:themeColor="text1"/>
                      <w:sz w:val="21"/>
                    </w:rPr>
                  </w:pPr>
                  <w:r>
                    <w:rPr>
                      <w:color w:val="000000" w:themeColor="text1"/>
                      <w:sz w:val="21"/>
                    </w:rPr>
                    <w:t>55</w:t>
                  </w:r>
                </w:p>
              </w:tc>
            </w:tr>
          </w:tbl>
          <w:p w14:paraId="65DFCA03" w14:textId="77777777" w:rsidR="003C4F46" w:rsidRDefault="004B6A81">
            <w:pPr>
              <w:ind w:firstLineChars="0" w:firstLine="0"/>
              <w:rPr>
                <w:b/>
                <w:bCs/>
                <w:color w:val="000000" w:themeColor="text1"/>
              </w:rPr>
            </w:pPr>
            <w:r>
              <w:rPr>
                <w:rFonts w:hint="eastAsia"/>
                <w:b/>
                <w:bCs/>
                <w:color w:val="000000" w:themeColor="text1"/>
              </w:rPr>
              <w:t>4.</w:t>
            </w:r>
            <w:r>
              <w:rPr>
                <w:rFonts w:hint="eastAsia"/>
                <w:b/>
                <w:bCs/>
                <w:color w:val="000000" w:themeColor="text1"/>
              </w:rPr>
              <w:t>固体废物</w:t>
            </w:r>
          </w:p>
          <w:p w14:paraId="5555B599" w14:textId="77777777" w:rsidR="003C4F46" w:rsidRDefault="004B6A81">
            <w:pPr>
              <w:ind w:firstLine="480"/>
              <w:rPr>
                <w:color w:val="000000" w:themeColor="text1"/>
              </w:rPr>
            </w:pPr>
            <w:r>
              <w:rPr>
                <w:rFonts w:hint="eastAsia"/>
              </w:rPr>
              <w:t>危险废物贮存执行《危险废物贮存污染控制标准》（</w:t>
            </w:r>
            <w:r>
              <w:rPr>
                <w:rFonts w:hint="eastAsia"/>
              </w:rPr>
              <w:t>GB18597-2023</w:t>
            </w:r>
            <w:r>
              <w:rPr>
                <w:rFonts w:hint="eastAsia"/>
              </w:rPr>
              <w:t>）要求。</w:t>
            </w:r>
          </w:p>
        </w:tc>
      </w:tr>
      <w:tr w:rsidR="003C4F46" w14:paraId="7F907C2F" w14:textId="77777777">
        <w:trPr>
          <w:trHeight w:val="3330"/>
          <w:jc w:val="center"/>
        </w:trPr>
        <w:tc>
          <w:tcPr>
            <w:tcW w:w="233" w:type="pct"/>
            <w:vAlign w:val="center"/>
          </w:tcPr>
          <w:p w14:paraId="184D6C03"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lastRenderedPageBreak/>
              <w:t>总量</w:t>
            </w:r>
          </w:p>
          <w:p w14:paraId="6D35784B"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控制</w:t>
            </w:r>
          </w:p>
          <w:p w14:paraId="3754C0D8" w14:textId="77777777" w:rsidR="003C4F46" w:rsidRDefault="004B6A81">
            <w:pPr>
              <w:adjustRightInd w:val="0"/>
              <w:snapToGrid w:val="0"/>
              <w:spacing w:line="240" w:lineRule="auto"/>
              <w:ind w:firstLineChars="0" w:firstLine="0"/>
              <w:jc w:val="center"/>
              <w:textAlignment w:val="auto"/>
              <w:rPr>
                <w:rFonts w:ascii="宋体" w:hAnsi="宋体" w:cs="宋体"/>
                <w:b/>
                <w:bCs/>
                <w:color w:val="000000" w:themeColor="text1"/>
                <w:kern w:val="0"/>
                <w:szCs w:val="24"/>
              </w:rPr>
            </w:pPr>
            <w:r>
              <w:rPr>
                <w:rFonts w:ascii="宋体" w:hAnsi="宋体" w:cs="宋体" w:hint="eastAsia"/>
                <w:b/>
                <w:bCs/>
                <w:color w:val="000000" w:themeColor="text1"/>
                <w:kern w:val="0"/>
                <w:szCs w:val="24"/>
              </w:rPr>
              <w:t>指标</w:t>
            </w:r>
          </w:p>
        </w:tc>
        <w:tc>
          <w:tcPr>
            <w:tcW w:w="4767" w:type="pct"/>
          </w:tcPr>
          <w:p w14:paraId="4976F203" w14:textId="322CAE95" w:rsidR="003C4F46" w:rsidRDefault="004B6A81">
            <w:pPr>
              <w:widowControl/>
              <w:ind w:firstLine="480"/>
              <w:rPr>
                <w:rFonts w:cs="Times New Roman"/>
                <w:color w:val="000000" w:themeColor="text1"/>
                <w:kern w:val="0"/>
                <w:lang w:bidi="ar"/>
              </w:rPr>
            </w:pPr>
            <w:r>
              <w:rPr>
                <w:rFonts w:cs="Times New Roman"/>
                <w:color w:val="000000" w:themeColor="text1"/>
                <w:kern w:val="0"/>
                <w:lang w:bidi="ar"/>
              </w:rPr>
              <w:t>根据</w:t>
            </w:r>
            <w:r>
              <w:rPr>
                <w:rFonts w:cs="Times New Roman" w:hint="eastAsia"/>
                <w:color w:val="000000" w:themeColor="text1"/>
                <w:kern w:val="0"/>
                <w:lang w:bidi="ar"/>
              </w:rPr>
              <w:t>《“</w:t>
            </w:r>
            <w:r>
              <w:rPr>
                <w:rFonts w:cs="Times New Roman"/>
                <w:color w:val="000000" w:themeColor="text1"/>
                <w:kern w:val="0"/>
                <w:lang w:bidi="ar"/>
              </w:rPr>
              <w:t>十五五</w:t>
            </w:r>
            <w:r>
              <w:rPr>
                <w:rFonts w:cs="Times New Roman" w:hint="eastAsia"/>
                <w:color w:val="000000" w:themeColor="text1"/>
                <w:kern w:val="0"/>
                <w:lang w:bidi="ar"/>
              </w:rPr>
              <w:t>”</w:t>
            </w:r>
            <w:r>
              <w:rPr>
                <w:rFonts w:cs="Times New Roman"/>
                <w:color w:val="000000" w:themeColor="text1"/>
                <w:kern w:val="0"/>
                <w:lang w:bidi="ar"/>
              </w:rPr>
              <w:t>污染减排工作方案编制技术指南</w:t>
            </w:r>
            <w:r>
              <w:rPr>
                <w:rFonts w:cs="Times New Roman" w:hint="eastAsia"/>
                <w:color w:val="000000" w:themeColor="text1"/>
                <w:kern w:val="0"/>
                <w:lang w:bidi="ar"/>
              </w:rPr>
              <w:t>》</w:t>
            </w:r>
            <w:r>
              <w:rPr>
                <w:rFonts w:cs="Times New Roman"/>
                <w:color w:val="000000" w:themeColor="text1"/>
                <w:kern w:val="0"/>
                <w:lang w:bidi="ar"/>
              </w:rPr>
              <w:t>，确定废气污染物总量控制因子为</w:t>
            </w:r>
            <w:r>
              <w:rPr>
                <w:rFonts w:cs="Times New Roman"/>
                <w:color w:val="000000" w:themeColor="text1"/>
                <w:kern w:val="0"/>
                <w:lang w:bidi="ar"/>
              </w:rPr>
              <w:t>NO</w:t>
            </w:r>
            <w:r w:rsidR="00907E2E" w:rsidRPr="00907E2E">
              <w:rPr>
                <w:rFonts w:cs="Times New Roman" w:hint="eastAsia"/>
                <w:color w:val="000000" w:themeColor="text1"/>
                <w:kern w:val="0"/>
                <w:vertAlign w:val="subscript"/>
                <w:lang w:bidi="ar"/>
              </w:rPr>
              <w:t>x</w:t>
            </w:r>
            <w:r>
              <w:rPr>
                <w:rFonts w:cs="Times New Roman"/>
                <w:color w:val="000000" w:themeColor="text1"/>
                <w:kern w:val="0"/>
                <w:lang w:bidi="ar"/>
              </w:rPr>
              <w:t>、</w:t>
            </w:r>
            <w:r>
              <w:rPr>
                <w:rFonts w:cs="Times New Roman"/>
                <w:color w:val="000000" w:themeColor="text1"/>
                <w:kern w:val="0"/>
                <w:lang w:bidi="ar"/>
              </w:rPr>
              <w:t>VOCs</w:t>
            </w:r>
            <w:r>
              <w:rPr>
                <w:rFonts w:cs="Times New Roman"/>
                <w:color w:val="000000" w:themeColor="text1"/>
                <w:kern w:val="0"/>
                <w:lang w:bidi="ar"/>
              </w:rPr>
              <w:t>，废水污染物总量控制因子为</w:t>
            </w:r>
            <w:r>
              <w:rPr>
                <w:rFonts w:cs="Times New Roman"/>
                <w:color w:val="000000" w:themeColor="text1"/>
                <w:kern w:val="0"/>
                <w:lang w:bidi="ar"/>
              </w:rPr>
              <w:t>COD</w:t>
            </w:r>
            <w:r>
              <w:rPr>
                <w:rFonts w:cs="Times New Roman"/>
                <w:color w:val="000000" w:themeColor="text1"/>
                <w:kern w:val="0"/>
                <w:lang w:bidi="ar"/>
              </w:rPr>
              <w:t>、总磷。</w:t>
            </w:r>
          </w:p>
          <w:p w14:paraId="732F4B3B" w14:textId="5801E5CF" w:rsidR="003C4F46" w:rsidRDefault="004B6A81">
            <w:pPr>
              <w:ind w:firstLine="480"/>
              <w:textAlignment w:val="auto"/>
              <w:rPr>
                <w:rFonts w:cs="Times New Roman"/>
                <w:color w:val="000000" w:themeColor="text1"/>
                <w:szCs w:val="24"/>
              </w:rPr>
            </w:pPr>
            <w:r>
              <w:rPr>
                <w:rFonts w:cs="Times New Roman" w:hint="eastAsia"/>
                <w:color w:val="000000" w:themeColor="text1"/>
                <w:kern w:val="0"/>
                <w:lang w:bidi="ar"/>
              </w:rPr>
              <w:t>本项目生产过程中不产生</w:t>
            </w:r>
            <w:r>
              <w:rPr>
                <w:rFonts w:cs="Times New Roman" w:hint="eastAsia"/>
                <w:color w:val="000000" w:themeColor="text1"/>
                <w:kern w:val="0"/>
                <w:lang w:bidi="ar"/>
              </w:rPr>
              <w:t>NO</w:t>
            </w:r>
            <w:r w:rsidRPr="00907E2E">
              <w:rPr>
                <w:rFonts w:cs="Times New Roman" w:hint="eastAsia"/>
                <w:color w:val="000000" w:themeColor="text1"/>
                <w:kern w:val="0"/>
                <w:vertAlign w:val="subscript"/>
                <w:lang w:bidi="ar"/>
              </w:rPr>
              <w:t>x</w:t>
            </w:r>
            <w:r>
              <w:rPr>
                <w:rFonts w:cs="Times New Roman" w:hint="eastAsia"/>
                <w:color w:val="000000" w:themeColor="text1"/>
                <w:kern w:val="0"/>
                <w:lang w:bidi="ar"/>
              </w:rPr>
              <w:t>，申请</w:t>
            </w:r>
            <w:r>
              <w:rPr>
                <w:rFonts w:cs="Times New Roman" w:hint="eastAsia"/>
                <w:color w:val="000000" w:themeColor="text1"/>
                <w:kern w:val="0"/>
                <w:lang w:bidi="ar"/>
              </w:rPr>
              <w:t>VOCs</w:t>
            </w:r>
            <w:r>
              <w:rPr>
                <w:rFonts w:cs="Times New Roman" w:hint="eastAsia"/>
                <w:color w:val="000000" w:themeColor="text1"/>
                <w:kern w:val="0"/>
                <w:lang w:bidi="ar"/>
              </w:rPr>
              <w:t>总量控制指标为</w:t>
            </w:r>
            <w:r>
              <w:rPr>
                <w:rFonts w:cs="Times New Roman"/>
                <w:color w:val="000000" w:themeColor="text1"/>
                <w:kern w:val="0"/>
                <w:lang w:bidi="ar"/>
              </w:rPr>
              <w:t>0.9</w:t>
            </w:r>
            <w:r>
              <w:rPr>
                <w:rFonts w:cs="Times New Roman" w:hint="eastAsia"/>
                <w:color w:val="000000" w:themeColor="text1"/>
                <w:kern w:val="0"/>
                <w:lang w:bidi="ar"/>
              </w:rPr>
              <w:t>t/a</w:t>
            </w:r>
            <w:r>
              <w:rPr>
                <w:rFonts w:cs="Times New Roman" w:hint="eastAsia"/>
                <w:color w:val="000000" w:themeColor="text1"/>
                <w:szCs w:val="24"/>
              </w:rPr>
              <w:t>。</w:t>
            </w:r>
          </w:p>
          <w:p w14:paraId="78661715" w14:textId="7C0C0C30" w:rsidR="003C4F46" w:rsidRDefault="00C926EE">
            <w:pPr>
              <w:ind w:firstLine="480"/>
              <w:rPr>
                <w:rFonts w:cs="Times New Roman"/>
                <w:color w:val="000000" w:themeColor="text1"/>
                <w:kern w:val="0"/>
                <w:lang w:bidi="ar"/>
              </w:rPr>
            </w:pPr>
            <w:r w:rsidRPr="00C926EE">
              <w:rPr>
                <w:rFonts w:cs="Times New Roman" w:hint="eastAsia"/>
                <w:color w:val="000000" w:themeColor="text1"/>
                <w:kern w:val="0"/>
                <w:lang w:bidi="ar"/>
              </w:rPr>
              <w:t>碱液喷淋废液经中和后循环使用，饱和后定期排入厂区现有污水处理站处理，达标后排入轮台县拉依苏化工区污水处理厂进一步处理；生活污水排入园区管网，由园区污水处理</w:t>
            </w:r>
            <w:r w:rsidR="008806ED" w:rsidRPr="008806ED">
              <w:rPr>
                <w:rFonts w:cs="Times New Roman" w:hint="eastAsia"/>
                <w:color w:val="000000" w:themeColor="text1"/>
                <w:kern w:val="0"/>
                <w:lang w:bidi="ar"/>
              </w:rPr>
              <w:t>厂</w:t>
            </w:r>
            <w:r w:rsidRPr="00C926EE">
              <w:rPr>
                <w:rFonts w:cs="Times New Roman" w:hint="eastAsia"/>
                <w:color w:val="000000" w:themeColor="text1"/>
                <w:kern w:val="0"/>
                <w:lang w:bidi="ar"/>
              </w:rPr>
              <w:t>处理；事故冲洗废水作为危险废物交有资质单位处置，不外排。</w:t>
            </w:r>
            <w:r w:rsidRPr="00C926EE">
              <w:rPr>
                <w:rFonts w:cs="Times New Roman" w:hint="eastAsia"/>
                <w:color w:val="000000" w:themeColor="text1"/>
                <w:kern w:val="0"/>
                <w:lang w:bidi="ar"/>
              </w:rPr>
              <w:t>COD</w:t>
            </w:r>
            <w:r w:rsidRPr="00C926EE">
              <w:rPr>
                <w:rFonts w:cs="Times New Roman" w:hint="eastAsia"/>
                <w:color w:val="000000" w:themeColor="text1"/>
                <w:kern w:val="0"/>
                <w:lang w:bidi="ar"/>
              </w:rPr>
              <w:t>、总磷排放总量纳入园区污水处理</w:t>
            </w:r>
            <w:r w:rsidR="008806ED" w:rsidRPr="008806ED">
              <w:rPr>
                <w:rFonts w:cs="Times New Roman" w:hint="eastAsia"/>
                <w:color w:val="000000" w:themeColor="text1"/>
                <w:kern w:val="0"/>
                <w:lang w:bidi="ar"/>
              </w:rPr>
              <w:t>厂</w:t>
            </w:r>
            <w:r w:rsidRPr="00C926EE">
              <w:rPr>
                <w:rFonts w:cs="Times New Roman" w:hint="eastAsia"/>
                <w:color w:val="000000" w:themeColor="text1"/>
                <w:kern w:val="0"/>
                <w:lang w:bidi="ar"/>
              </w:rPr>
              <w:t>统一管理，本项目不单独申请总量控制指标。</w:t>
            </w:r>
          </w:p>
        </w:tc>
      </w:tr>
    </w:tbl>
    <w:p w14:paraId="64F90524" w14:textId="77777777" w:rsidR="003C4F46" w:rsidRDefault="004B6A81">
      <w:pPr>
        <w:pStyle w:val="1"/>
        <w:pageBreakBefore/>
        <w:numPr>
          <w:ilvl w:val="0"/>
          <w:numId w:val="4"/>
        </w:numPr>
        <w:rPr>
          <w:color w:val="000000" w:themeColor="text1"/>
        </w:rPr>
      </w:pPr>
      <w:r>
        <w:rPr>
          <w:rFonts w:hint="eastAsia"/>
          <w:color w:val="000000" w:themeColor="text1"/>
        </w:rPr>
        <w:lastRenderedPageBreak/>
        <w:t>主要环境影响和保护措施</w:t>
      </w:r>
    </w:p>
    <w:tbl>
      <w:tblPr>
        <w:tblW w:w="498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73"/>
        <w:gridCol w:w="8767"/>
      </w:tblGrid>
      <w:tr w:rsidR="003C4F46" w14:paraId="6FB3C012" w14:textId="77777777">
        <w:trPr>
          <w:trHeight w:val="90"/>
          <w:jc w:val="center"/>
        </w:trPr>
        <w:tc>
          <w:tcPr>
            <w:tcW w:w="158" w:type="pct"/>
            <w:tcMar>
              <w:left w:w="28" w:type="dxa"/>
              <w:right w:w="28" w:type="dxa"/>
            </w:tcMar>
            <w:vAlign w:val="center"/>
          </w:tcPr>
          <w:p w14:paraId="40472FD6" w14:textId="77777777" w:rsidR="003C4F46" w:rsidRDefault="004B6A81">
            <w:pPr>
              <w:widowControl/>
              <w:adjustRightInd w:val="0"/>
              <w:snapToGrid w:val="0"/>
              <w:spacing w:line="240" w:lineRule="auto"/>
              <w:ind w:firstLineChars="0" w:firstLine="0"/>
              <w:jc w:val="center"/>
              <w:textAlignment w:val="auto"/>
              <w:rPr>
                <w:rFonts w:ascii="宋体" w:hAnsi="宋体" w:cs="宋体"/>
                <w:szCs w:val="24"/>
              </w:rPr>
            </w:pPr>
            <w:r>
              <w:rPr>
                <w:rFonts w:ascii="宋体" w:hAnsi="宋体" w:cs="宋体" w:hint="eastAsia"/>
                <w:szCs w:val="24"/>
              </w:rPr>
              <w:t>施工</w:t>
            </w:r>
          </w:p>
          <w:p w14:paraId="060304F4" w14:textId="77777777" w:rsidR="003C4F46" w:rsidRDefault="004B6A81">
            <w:pPr>
              <w:widowControl/>
              <w:adjustRightInd w:val="0"/>
              <w:snapToGrid w:val="0"/>
              <w:spacing w:line="240" w:lineRule="auto"/>
              <w:ind w:firstLineChars="0" w:firstLine="0"/>
              <w:jc w:val="center"/>
              <w:textAlignment w:val="auto"/>
              <w:rPr>
                <w:rFonts w:ascii="宋体" w:hAnsi="宋体" w:cs="宋体"/>
                <w:szCs w:val="24"/>
              </w:rPr>
            </w:pPr>
            <w:r>
              <w:rPr>
                <w:rFonts w:ascii="宋体" w:hAnsi="宋体" w:cs="宋体" w:hint="eastAsia"/>
                <w:szCs w:val="24"/>
              </w:rPr>
              <w:t>期环</w:t>
            </w:r>
          </w:p>
          <w:p w14:paraId="3CE1C0CF" w14:textId="77777777" w:rsidR="003C4F46" w:rsidRDefault="004B6A81">
            <w:pPr>
              <w:widowControl/>
              <w:adjustRightInd w:val="0"/>
              <w:snapToGrid w:val="0"/>
              <w:spacing w:line="240" w:lineRule="auto"/>
              <w:ind w:firstLineChars="0" w:firstLine="0"/>
              <w:jc w:val="center"/>
              <w:textAlignment w:val="auto"/>
              <w:rPr>
                <w:rFonts w:ascii="宋体" w:hAnsi="宋体" w:cs="宋体"/>
                <w:szCs w:val="24"/>
              </w:rPr>
            </w:pPr>
            <w:r>
              <w:rPr>
                <w:rFonts w:ascii="宋体" w:hAnsi="宋体" w:cs="宋体" w:hint="eastAsia"/>
                <w:szCs w:val="24"/>
              </w:rPr>
              <w:t>境保</w:t>
            </w:r>
          </w:p>
          <w:p w14:paraId="3BAE9992" w14:textId="77777777" w:rsidR="003C4F46" w:rsidRDefault="004B6A81">
            <w:pPr>
              <w:widowControl/>
              <w:adjustRightInd w:val="0"/>
              <w:snapToGrid w:val="0"/>
              <w:spacing w:line="240" w:lineRule="auto"/>
              <w:ind w:firstLineChars="0" w:firstLine="0"/>
              <w:jc w:val="center"/>
              <w:textAlignment w:val="auto"/>
              <w:rPr>
                <w:rFonts w:ascii="宋体" w:hAnsi="宋体" w:cs="宋体"/>
                <w:szCs w:val="24"/>
              </w:rPr>
            </w:pPr>
            <w:r>
              <w:rPr>
                <w:rFonts w:ascii="宋体" w:hAnsi="宋体" w:cs="宋体" w:hint="eastAsia"/>
                <w:szCs w:val="24"/>
              </w:rPr>
              <w:t>护措</w:t>
            </w:r>
          </w:p>
          <w:p w14:paraId="34463DBF" w14:textId="77777777" w:rsidR="003C4F46" w:rsidRDefault="004B6A81">
            <w:pPr>
              <w:widowControl/>
              <w:adjustRightInd w:val="0"/>
              <w:snapToGrid w:val="0"/>
              <w:spacing w:line="240" w:lineRule="auto"/>
              <w:ind w:firstLineChars="0" w:firstLine="0"/>
              <w:jc w:val="center"/>
              <w:textAlignment w:val="auto"/>
              <w:rPr>
                <w:rFonts w:ascii="宋体" w:hAnsi="宋体" w:cs="宋体"/>
                <w:bCs/>
                <w:szCs w:val="24"/>
              </w:rPr>
            </w:pPr>
            <w:r>
              <w:rPr>
                <w:rFonts w:ascii="宋体" w:hAnsi="宋体" w:cs="宋体" w:hint="eastAsia"/>
                <w:szCs w:val="24"/>
              </w:rPr>
              <w:t>施</w:t>
            </w:r>
          </w:p>
        </w:tc>
        <w:tc>
          <w:tcPr>
            <w:tcW w:w="4841" w:type="pct"/>
          </w:tcPr>
          <w:p w14:paraId="05BB9BB6" w14:textId="77777777" w:rsidR="003C4F46" w:rsidRDefault="004B6A81">
            <w:pPr>
              <w:adjustRightInd w:val="0"/>
              <w:snapToGrid w:val="0"/>
              <w:ind w:firstLineChars="0" w:firstLine="0"/>
              <w:textAlignment w:val="auto"/>
              <w:rPr>
                <w:rFonts w:cs="Times New Roman"/>
                <w:b/>
                <w:bCs/>
                <w:snapToGrid w:val="0"/>
                <w:color w:val="000000"/>
                <w:kern w:val="0"/>
                <w:szCs w:val="24"/>
                <w:lang w:bidi="ar"/>
              </w:rPr>
            </w:pPr>
            <w:bookmarkStart w:id="21" w:name="_Toc517195126"/>
            <w:r>
              <w:rPr>
                <w:rFonts w:cs="Times New Roman"/>
                <w:b/>
                <w:bCs/>
                <w:snapToGrid w:val="0"/>
                <w:color w:val="000000"/>
                <w:kern w:val="0"/>
                <w:szCs w:val="24"/>
                <w:lang w:bidi="ar"/>
              </w:rPr>
              <w:t>4.1</w:t>
            </w:r>
            <w:r>
              <w:rPr>
                <w:rFonts w:cs="Times New Roman"/>
                <w:b/>
                <w:bCs/>
                <w:snapToGrid w:val="0"/>
                <w:color w:val="000000"/>
                <w:kern w:val="0"/>
                <w:szCs w:val="24"/>
                <w:lang w:bidi="ar"/>
              </w:rPr>
              <w:t>施工期环境保护措施</w:t>
            </w:r>
          </w:p>
          <w:p w14:paraId="095147FF" w14:textId="77777777" w:rsidR="003C4F46" w:rsidRDefault="004B6A81">
            <w:pPr>
              <w:adjustRightInd w:val="0"/>
              <w:snapToGrid w:val="0"/>
              <w:ind w:firstLineChars="0" w:firstLine="0"/>
              <w:textAlignment w:val="auto"/>
              <w:rPr>
                <w:rFonts w:cs="Times New Roman"/>
                <w:bCs/>
                <w:szCs w:val="24"/>
              </w:rPr>
            </w:pPr>
            <w:r>
              <w:rPr>
                <w:rFonts w:cs="Times New Roman"/>
                <w:b/>
                <w:szCs w:val="24"/>
              </w:rPr>
              <w:t>4.1.</w:t>
            </w:r>
            <w:r>
              <w:rPr>
                <w:rFonts w:cs="Times New Roman" w:hint="eastAsia"/>
                <w:b/>
                <w:szCs w:val="24"/>
              </w:rPr>
              <w:t>1</w:t>
            </w:r>
            <w:r>
              <w:rPr>
                <w:rFonts w:cs="Times New Roman" w:hint="eastAsia"/>
                <w:b/>
                <w:szCs w:val="24"/>
              </w:rPr>
              <w:t>施工期</w:t>
            </w:r>
            <w:r>
              <w:rPr>
                <w:rFonts w:cs="Times New Roman"/>
                <w:b/>
                <w:szCs w:val="24"/>
              </w:rPr>
              <w:t>废</w:t>
            </w:r>
            <w:r>
              <w:rPr>
                <w:rFonts w:cs="Times New Roman" w:hint="eastAsia"/>
                <w:b/>
                <w:szCs w:val="24"/>
              </w:rPr>
              <w:t>气</w:t>
            </w:r>
            <w:r>
              <w:rPr>
                <w:rFonts w:cs="Times New Roman"/>
                <w:b/>
                <w:szCs w:val="24"/>
              </w:rPr>
              <w:t>污染防治措施</w:t>
            </w:r>
          </w:p>
          <w:p w14:paraId="0E43C1EE" w14:textId="77777777" w:rsidR="003C4F46" w:rsidRDefault="004B6A81">
            <w:pPr>
              <w:adjustRightInd w:val="0"/>
              <w:snapToGrid w:val="0"/>
              <w:ind w:firstLine="480"/>
              <w:textAlignment w:val="auto"/>
              <w:rPr>
                <w:rFonts w:cs="Times New Roman"/>
                <w:bCs/>
                <w:szCs w:val="24"/>
              </w:rPr>
            </w:pPr>
            <w:r>
              <w:rPr>
                <w:rFonts w:ascii="Segoe UI" w:eastAsia="Segoe UI" w:hAnsi="Segoe UI" w:cs="Segoe UI"/>
                <w:color w:val="0F1115"/>
                <w:szCs w:val="24"/>
                <w:shd w:val="clear" w:color="auto" w:fill="FFFFFF"/>
              </w:rPr>
              <w:t>施工期大气污染源主要为隔墙施工产生的少量扬尘，施工扬尘产生量较小，通过洒水抑尘、物料遮盖等措施可有效控制，对周围环境影响较小</w:t>
            </w:r>
            <w:r>
              <w:rPr>
                <w:rFonts w:hint="eastAsia"/>
              </w:rPr>
              <w:t>：</w:t>
            </w:r>
          </w:p>
          <w:p w14:paraId="58737517" w14:textId="77777777" w:rsidR="003C4F46" w:rsidRDefault="004B6A81">
            <w:pPr>
              <w:adjustRightInd w:val="0"/>
              <w:snapToGrid w:val="0"/>
              <w:ind w:firstLine="480"/>
              <w:textAlignment w:val="auto"/>
            </w:pPr>
            <w:r>
              <w:rPr>
                <w:rFonts w:hint="eastAsia"/>
              </w:rPr>
              <w:t>（</w:t>
            </w:r>
            <w:r>
              <w:rPr>
                <w:rFonts w:hint="eastAsia"/>
              </w:rPr>
              <w:t>1</w:t>
            </w:r>
            <w:r>
              <w:rPr>
                <w:rFonts w:hint="eastAsia"/>
              </w:rPr>
              <w:t>）施工机械及运输车辆尾气</w:t>
            </w:r>
          </w:p>
          <w:p w14:paraId="605FE4F2" w14:textId="77777777" w:rsidR="003C4F46" w:rsidRDefault="004B6A81">
            <w:pPr>
              <w:adjustRightInd w:val="0"/>
              <w:snapToGrid w:val="0"/>
              <w:ind w:firstLine="480"/>
              <w:textAlignment w:val="auto"/>
            </w:pPr>
            <w:r>
              <w:rPr>
                <w:rFonts w:hint="eastAsia"/>
              </w:rPr>
              <w:t>施工机械（如起重机、自卸汽车等）和运输车辆以柴油为燃料，运行过程中会排放</w:t>
            </w:r>
            <w:r>
              <w:t>CO</w:t>
            </w:r>
            <w:r>
              <w:rPr>
                <w:rFonts w:hint="eastAsia"/>
              </w:rPr>
              <w:t>、</w:t>
            </w:r>
            <w:r>
              <w:t>NO</w:t>
            </w:r>
            <w:r>
              <w:rPr>
                <w:vertAlign w:val="subscript"/>
              </w:rPr>
              <w:t>x</w:t>
            </w:r>
            <w:r>
              <w:rPr>
                <w:rFonts w:hint="eastAsia"/>
              </w:rPr>
              <w:t>、</w:t>
            </w:r>
            <w:r>
              <w:t>HC</w:t>
            </w:r>
            <w:r>
              <w:rPr>
                <w:rFonts w:hint="eastAsia"/>
              </w:rPr>
              <w:t>、</w:t>
            </w:r>
            <w:r>
              <w:t>SO₂</w:t>
            </w:r>
            <w:r>
              <w:rPr>
                <w:rFonts w:hint="eastAsia"/>
              </w:rPr>
              <w:t>、烟尘等污染物，属间断性无组织排放。项目所在区域地势平坦开阔，空气流通良好，废气易于扩散，对周边环境空气质量影响较小。为减少尾气影响，应采取以下控制措施：严禁使用已淘汰排放标准的非道路移动机械，杜绝“冒黑烟”现象；使用正规渠道油品，严禁使用非标油；合理控制施工车辆进出频次，避免集中作业，最大限度降低尾气累积影响。</w:t>
            </w:r>
          </w:p>
          <w:p w14:paraId="59DEFFD7" w14:textId="77777777" w:rsidR="003C4F46" w:rsidRDefault="004B6A81">
            <w:pPr>
              <w:adjustRightInd w:val="0"/>
              <w:snapToGrid w:val="0"/>
              <w:ind w:firstLine="480"/>
              <w:textAlignment w:val="auto"/>
              <w:rPr>
                <w:rFonts w:cs="Times New Roman"/>
              </w:rPr>
            </w:pPr>
            <w:r>
              <w:rPr>
                <w:rFonts w:cs="Times New Roman"/>
              </w:rPr>
              <w:t>（</w:t>
            </w:r>
            <w:r>
              <w:rPr>
                <w:rFonts w:cs="Times New Roman"/>
              </w:rPr>
              <w:t>2</w:t>
            </w:r>
            <w:r>
              <w:rPr>
                <w:rFonts w:cs="Times New Roman"/>
              </w:rPr>
              <w:t>）扬尘污染防控</w:t>
            </w:r>
          </w:p>
          <w:p w14:paraId="5B09B278" w14:textId="77777777" w:rsidR="003C4F46" w:rsidRDefault="004B6A81">
            <w:pPr>
              <w:adjustRightInd w:val="0"/>
              <w:snapToGrid w:val="0"/>
              <w:ind w:firstLine="480"/>
              <w:textAlignment w:val="auto"/>
              <w:rPr>
                <w:rFonts w:cs="Times New Roman"/>
              </w:rPr>
            </w:pPr>
            <w:r>
              <w:rPr>
                <w:rFonts w:cs="Times New Roman"/>
              </w:rPr>
              <w:t>施工过程中产生的扬尘主要来源于物料搬运、道路运输及露天堆放等环节。</w:t>
            </w:r>
            <w:r>
              <w:rPr>
                <w:rFonts w:cs="Times New Roman"/>
                <w:color w:val="0F1115"/>
                <w:shd w:val="clear" w:color="auto" w:fill="FFFFFF"/>
              </w:rPr>
              <w:t>根据《新疆维吾尔自治区</w:t>
            </w:r>
            <w:r>
              <w:rPr>
                <w:rFonts w:cs="Times New Roman"/>
                <w:color w:val="0F1115"/>
                <w:shd w:val="clear" w:color="auto" w:fill="FFFFFF"/>
              </w:rPr>
              <w:t>2025</w:t>
            </w:r>
            <w:r>
              <w:rPr>
                <w:rFonts w:cs="Times New Roman"/>
                <w:color w:val="0F1115"/>
                <w:shd w:val="clear" w:color="auto" w:fill="FFFFFF"/>
              </w:rPr>
              <w:t>年空气质量持续改善行动实施方案》，</w:t>
            </w:r>
            <w:r>
              <w:rPr>
                <w:rFonts w:cs="Times New Roman" w:hint="eastAsia"/>
              </w:rPr>
              <w:t>施工场地严格落实“六个百分百”要求</w:t>
            </w:r>
            <w:r>
              <w:rPr>
                <w:rFonts w:cs="Times New Roman"/>
              </w:rPr>
              <w:t>，落实以下防尘降尘措施：</w:t>
            </w:r>
          </w:p>
          <w:p w14:paraId="1E109DDB" w14:textId="77777777" w:rsidR="003C4F46" w:rsidRDefault="004B6A81">
            <w:pPr>
              <w:adjustRightInd w:val="0"/>
              <w:snapToGrid w:val="0"/>
              <w:ind w:firstLine="480"/>
              <w:textAlignment w:val="auto"/>
            </w:pPr>
            <w:r>
              <w:rPr>
                <w:rFonts w:hint="eastAsia"/>
              </w:rPr>
              <w:t>①落实扬尘管控责任：施工单位应制定《施工扬尘污染防治实施方案》，明确责任人，落实施工全过程扬尘管控要求，确保文明施工、绿色施工。</w:t>
            </w:r>
          </w:p>
          <w:p w14:paraId="7E84A27C" w14:textId="77777777" w:rsidR="003C4F46" w:rsidRDefault="004B6A81">
            <w:pPr>
              <w:adjustRightInd w:val="0"/>
              <w:snapToGrid w:val="0"/>
              <w:ind w:firstLine="480"/>
              <w:textAlignment w:val="auto"/>
            </w:pPr>
            <w:r>
              <w:rPr>
                <w:rFonts w:hint="eastAsia"/>
              </w:rPr>
              <w:t>②实行封闭施工：施工现场应设置高度不低于</w:t>
            </w:r>
            <w:r>
              <w:rPr>
                <w:rFonts w:hint="eastAsia"/>
              </w:rPr>
              <w:t>2.5m</w:t>
            </w:r>
            <w:r>
              <w:rPr>
                <w:rFonts w:hint="eastAsia"/>
              </w:rPr>
              <w:t>的硬质围挡，实行全封闭管理。围挡应坚固、稳定、整洁。脚手架外侧应采用符合标准的密目式安全网进行封闭，且封闭高度应高于作业面，并同步搭设。安全网应定期清洗维护，保持清洁完好，防止建筑垃圾和粉尘外溢。</w:t>
            </w:r>
          </w:p>
          <w:p w14:paraId="415A7DA3" w14:textId="77777777" w:rsidR="003C4F46" w:rsidRDefault="004B6A81">
            <w:pPr>
              <w:adjustRightInd w:val="0"/>
              <w:snapToGrid w:val="0"/>
              <w:ind w:firstLine="480"/>
              <w:textAlignment w:val="auto"/>
            </w:pPr>
            <w:r>
              <w:rPr>
                <w:rFonts w:hint="eastAsia"/>
              </w:rPr>
              <w:t>③加强物料管理：施工现场建筑材料、构件、料具应按总平面布置分类码放整齐；水泥及其他易产生扬尘的细颗粒物必须密闭存放或采用防尘布全覆盖，防止风力扬散。</w:t>
            </w:r>
          </w:p>
          <w:p w14:paraId="4792A32B" w14:textId="77777777" w:rsidR="003C4F46" w:rsidRDefault="004B6A81">
            <w:pPr>
              <w:adjustRightInd w:val="0"/>
              <w:snapToGrid w:val="0"/>
              <w:ind w:firstLine="480"/>
              <w:textAlignment w:val="auto"/>
            </w:pPr>
            <w:r>
              <w:rPr>
                <w:rFonts w:hint="eastAsia"/>
              </w:rPr>
              <w:t>④实施湿法作业：土方作业时应采取洒水抑尘措施；主要施工道路应定期清扫并洒水保湿，保持路面湿润；施工现场出入口设置车辆冲洗装置，确保出入车辆冲洗，严禁带泥上路；对撒落渣土及时清理，减少二次扬尘。</w:t>
            </w:r>
          </w:p>
          <w:p w14:paraId="5F8A7100" w14:textId="77777777" w:rsidR="003C4F46" w:rsidRDefault="004B6A81">
            <w:pPr>
              <w:adjustRightInd w:val="0"/>
              <w:snapToGrid w:val="0"/>
              <w:ind w:firstLine="480"/>
              <w:textAlignment w:val="auto"/>
            </w:pPr>
            <w:r>
              <w:rPr>
                <w:rFonts w:hint="eastAsia"/>
              </w:rPr>
              <w:t>⑤硬化场地与车辆管理：施工现场主要道路及材料加工区地面应进行硬化处</w:t>
            </w:r>
            <w:r>
              <w:rPr>
                <w:rFonts w:hint="eastAsia"/>
              </w:rPr>
              <w:lastRenderedPageBreak/>
              <w:t>理；裸露地面及临时堆土区应采取覆盖、固化或绿化等防尘措施；渣土车辆必须密闭运输，严禁超载、遗撒；运输车辆限速行驶，禁止鸣笛，减少扰民。</w:t>
            </w:r>
          </w:p>
          <w:p w14:paraId="5D1DF8AC" w14:textId="77777777" w:rsidR="003C4F46" w:rsidRDefault="004B6A81">
            <w:pPr>
              <w:adjustRightInd w:val="0"/>
              <w:snapToGrid w:val="0"/>
              <w:ind w:firstLineChars="0" w:firstLine="0"/>
              <w:textAlignment w:val="auto"/>
              <w:rPr>
                <w:rFonts w:cs="Times New Roman"/>
                <w:bCs/>
                <w:szCs w:val="24"/>
              </w:rPr>
            </w:pPr>
            <w:r>
              <w:rPr>
                <w:rFonts w:cs="Times New Roman"/>
                <w:b/>
                <w:szCs w:val="24"/>
              </w:rPr>
              <w:t>4.1.2</w:t>
            </w:r>
            <w:r>
              <w:rPr>
                <w:rFonts w:cs="Times New Roman" w:hint="eastAsia"/>
                <w:b/>
                <w:szCs w:val="24"/>
              </w:rPr>
              <w:t>施工期</w:t>
            </w:r>
            <w:r>
              <w:rPr>
                <w:rFonts w:cs="Times New Roman"/>
                <w:b/>
                <w:szCs w:val="24"/>
              </w:rPr>
              <w:t>废水污染防治措施</w:t>
            </w:r>
          </w:p>
          <w:p w14:paraId="1C65484D" w14:textId="77777777" w:rsidR="008806ED" w:rsidRDefault="004B6A81" w:rsidP="008806ED">
            <w:pPr>
              <w:adjustRightInd w:val="0"/>
              <w:snapToGrid w:val="0"/>
              <w:ind w:firstLine="480"/>
              <w:textAlignment w:val="auto"/>
              <w:rPr>
                <w:rFonts w:cs="Times New Roman"/>
                <w:bCs/>
                <w:szCs w:val="24"/>
              </w:rPr>
            </w:pPr>
            <w:r>
              <w:rPr>
                <w:rFonts w:cs="Times New Roman"/>
                <w:bCs/>
                <w:szCs w:val="24"/>
              </w:rPr>
              <w:t>（</w:t>
            </w:r>
            <w:r>
              <w:rPr>
                <w:rFonts w:cs="Times New Roman"/>
                <w:bCs/>
                <w:szCs w:val="24"/>
              </w:rPr>
              <w:t>1</w:t>
            </w:r>
            <w:r>
              <w:rPr>
                <w:rFonts w:cs="Times New Roman"/>
                <w:bCs/>
                <w:szCs w:val="24"/>
              </w:rPr>
              <w:t>）施工废水</w:t>
            </w:r>
          </w:p>
          <w:p w14:paraId="20582FF4" w14:textId="2787B631" w:rsidR="008806ED" w:rsidRPr="008806ED" w:rsidRDefault="004B6A81" w:rsidP="008806ED">
            <w:pPr>
              <w:adjustRightInd w:val="0"/>
              <w:snapToGrid w:val="0"/>
              <w:ind w:firstLine="480"/>
              <w:textAlignment w:val="auto"/>
              <w:rPr>
                <w:rFonts w:cs="Times New Roman"/>
                <w:bCs/>
                <w:szCs w:val="24"/>
              </w:rPr>
            </w:pPr>
            <w:r>
              <w:rPr>
                <w:rFonts w:hint="eastAsia"/>
                <w:bCs/>
              </w:rPr>
              <w:t>本项目危险废物贮存库主体工程已建设完成，本次施工仅为内部隔断作业，无混凝土养护、大面积设备清洗等产水工序，</w:t>
            </w:r>
            <w:r w:rsidR="008806ED">
              <w:rPr>
                <w:rFonts w:hint="eastAsia"/>
              </w:rPr>
              <w:t>施工废水量极少，依托厂区现有沉淀池处理后回用于场地洒水，不外排。</w:t>
            </w:r>
          </w:p>
          <w:p w14:paraId="6C42460E" w14:textId="77777777" w:rsidR="003C4F46" w:rsidRDefault="004B6A81">
            <w:pPr>
              <w:adjustRightInd w:val="0"/>
              <w:snapToGrid w:val="0"/>
              <w:ind w:firstLine="480"/>
              <w:textAlignment w:val="auto"/>
              <w:rPr>
                <w:rFonts w:cs="Times New Roman"/>
                <w:bCs/>
                <w:szCs w:val="24"/>
              </w:rPr>
            </w:pPr>
            <w:r>
              <w:rPr>
                <w:rFonts w:cs="Times New Roman"/>
                <w:bCs/>
                <w:szCs w:val="24"/>
              </w:rPr>
              <w:t>（</w:t>
            </w:r>
            <w:r>
              <w:rPr>
                <w:rFonts w:cs="Times New Roman"/>
                <w:bCs/>
                <w:szCs w:val="24"/>
              </w:rPr>
              <w:t>2</w:t>
            </w:r>
            <w:r>
              <w:rPr>
                <w:rFonts w:cs="Times New Roman"/>
                <w:bCs/>
                <w:szCs w:val="24"/>
              </w:rPr>
              <w:t>）</w:t>
            </w:r>
            <w:r>
              <w:rPr>
                <w:rFonts w:cs="Times New Roman" w:hint="eastAsia"/>
                <w:bCs/>
                <w:szCs w:val="24"/>
              </w:rPr>
              <w:t>生活污水</w:t>
            </w:r>
          </w:p>
          <w:p w14:paraId="45867F32" w14:textId="68F9591D" w:rsidR="003C4F46" w:rsidRDefault="009C4C8C">
            <w:pPr>
              <w:adjustRightInd w:val="0"/>
              <w:snapToGrid w:val="0"/>
              <w:ind w:firstLine="480"/>
              <w:textAlignment w:val="auto"/>
              <w:rPr>
                <w:rFonts w:cs="Times New Roman"/>
                <w:szCs w:val="24"/>
              </w:rPr>
            </w:pPr>
            <w:r w:rsidRPr="009C4C8C">
              <w:rPr>
                <w:rFonts w:cs="Times New Roman" w:hint="eastAsia"/>
                <w:szCs w:val="24"/>
              </w:rPr>
              <w:t>施工人员不在厂区食宿，生活污水依托厂区现有生活污水处理设施处理后综合利用</w:t>
            </w:r>
            <w:r w:rsidR="004B6A81">
              <w:rPr>
                <w:rFonts w:cs="Times New Roman"/>
                <w:szCs w:val="24"/>
              </w:rPr>
              <w:t>。</w:t>
            </w:r>
          </w:p>
          <w:p w14:paraId="53CA8199" w14:textId="77777777" w:rsidR="003C4F46" w:rsidRDefault="004B6A81">
            <w:pPr>
              <w:adjustRightInd w:val="0"/>
              <w:snapToGrid w:val="0"/>
              <w:ind w:firstLineChars="0" w:firstLine="0"/>
              <w:textAlignment w:val="auto"/>
              <w:rPr>
                <w:rFonts w:cs="Times New Roman"/>
                <w:b/>
                <w:bCs/>
                <w:szCs w:val="24"/>
              </w:rPr>
            </w:pPr>
            <w:r>
              <w:rPr>
                <w:rFonts w:cs="Times New Roman"/>
                <w:b/>
                <w:bCs/>
                <w:szCs w:val="24"/>
              </w:rPr>
              <w:t>4.1.3</w:t>
            </w:r>
            <w:r>
              <w:rPr>
                <w:rFonts w:cs="Times New Roman" w:hint="eastAsia"/>
                <w:b/>
                <w:bCs/>
                <w:szCs w:val="24"/>
              </w:rPr>
              <w:t>施工期</w:t>
            </w:r>
            <w:r>
              <w:rPr>
                <w:rFonts w:cs="Times New Roman"/>
                <w:b/>
                <w:bCs/>
                <w:szCs w:val="24"/>
              </w:rPr>
              <w:t>噪声防治措施</w:t>
            </w:r>
          </w:p>
          <w:p w14:paraId="1ADA9BA8" w14:textId="77777777" w:rsidR="003C4F46" w:rsidRDefault="004B6A81">
            <w:pPr>
              <w:adjustRightInd w:val="0"/>
              <w:snapToGrid w:val="0"/>
              <w:ind w:firstLine="480"/>
              <w:textAlignment w:val="auto"/>
              <w:rPr>
                <w:rFonts w:cs="Times New Roman"/>
                <w:bCs/>
                <w:szCs w:val="24"/>
              </w:rPr>
            </w:pPr>
            <w:r>
              <w:rPr>
                <w:rFonts w:cs="Times New Roman" w:hint="eastAsia"/>
                <w:bCs/>
                <w:szCs w:val="24"/>
              </w:rPr>
              <w:t>本项目贮存库主体已建成，本次仅进行内部隔断施工，施工内容简单，主要噪声源为电钻、切割机等小型机具作业及运输车辆进出。为减轻噪声影响，应采取以下措施：</w:t>
            </w:r>
          </w:p>
          <w:p w14:paraId="4F924409"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hint="eastAsia"/>
                <w:bCs/>
                <w:szCs w:val="24"/>
              </w:rPr>
              <w:t>1</w:t>
            </w:r>
            <w:r>
              <w:rPr>
                <w:rFonts w:cs="Times New Roman" w:hint="eastAsia"/>
                <w:bCs/>
                <w:szCs w:val="24"/>
              </w:rPr>
              <w:t>）合理安排施工时间，施工作业安排在白天进行，夜间不施工；</w:t>
            </w:r>
          </w:p>
          <w:p w14:paraId="3948FC77"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hint="eastAsia"/>
                <w:bCs/>
                <w:szCs w:val="24"/>
              </w:rPr>
              <w:t>2</w:t>
            </w:r>
            <w:r>
              <w:rPr>
                <w:rFonts w:cs="Times New Roman" w:hint="eastAsia"/>
                <w:bCs/>
                <w:szCs w:val="24"/>
              </w:rPr>
              <w:t>）选用低噪声施工机具，加强维护保养，确保设备在良好工况下运行；</w:t>
            </w:r>
          </w:p>
          <w:p w14:paraId="400A29FC"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hint="eastAsia"/>
                <w:bCs/>
                <w:szCs w:val="24"/>
              </w:rPr>
              <w:t>3</w:t>
            </w:r>
            <w:r>
              <w:rPr>
                <w:rFonts w:cs="Times New Roman" w:hint="eastAsia"/>
                <w:bCs/>
                <w:szCs w:val="24"/>
              </w:rPr>
              <w:t>）运输车辆进入厂区后减速慢行，禁止鸣笛；</w:t>
            </w:r>
          </w:p>
          <w:p w14:paraId="60F990B2" w14:textId="77777777" w:rsidR="003C4F46" w:rsidRDefault="004B6A81">
            <w:pPr>
              <w:adjustRightInd w:val="0"/>
              <w:snapToGrid w:val="0"/>
              <w:ind w:firstLine="480"/>
              <w:textAlignment w:val="auto"/>
              <w:rPr>
                <w:rFonts w:cs="Times New Roman"/>
                <w:bCs/>
                <w:szCs w:val="24"/>
              </w:rPr>
            </w:pPr>
            <w:r>
              <w:rPr>
                <w:rFonts w:cs="Times New Roman" w:hint="eastAsia"/>
                <w:bCs/>
                <w:szCs w:val="24"/>
              </w:rPr>
              <w:t>（</w:t>
            </w:r>
            <w:r>
              <w:rPr>
                <w:rFonts w:cs="Times New Roman" w:hint="eastAsia"/>
                <w:bCs/>
                <w:szCs w:val="24"/>
              </w:rPr>
              <w:t>4</w:t>
            </w:r>
            <w:r>
              <w:rPr>
                <w:rFonts w:cs="Times New Roman" w:hint="eastAsia"/>
                <w:bCs/>
                <w:szCs w:val="24"/>
              </w:rPr>
              <w:t>）施工机具轻拿轻放，减少不必要的碰撞噪声</w:t>
            </w:r>
            <w:r>
              <w:rPr>
                <w:rFonts w:cs="Times New Roman"/>
                <w:bCs/>
                <w:szCs w:val="24"/>
              </w:rPr>
              <w:t>。</w:t>
            </w:r>
          </w:p>
          <w:p w14:paraId="6130E8EF" w14:textId="77777777" w:rsidR="003C4F46" w:rsidRDefault="004B6A81">
            <w:pPr>
              <w:ind w:firstLineChars="0" w:firstLine="0"/>
              <w:rPr>
                <w:rFonts w:cs="Times New Roman"/>
                <w:bCs/>
                <w:kern w:val="0"/>
                <w:szCs w:val="24"/>
              </w:rPr>
            </w:pPr>
            <w:r>
              <w:rPr>
                <w:rFonts w:cs="Times New Roman"/>
                <w:b/>
                <w:szCs w:val="24"/>
              </w:rPr>
              <w:t>4.1.4</w:t>
            </w:r>
            <w:r>
              <w:rPr>
                <w:rFonts w:cs="Times New Roman" w:hint="eastAsia"/>
                <w:b/>
                <w:szCs w:val="24"/>
              </w:rPr>
              <w:t>施工期固体废物</w:t>
            </w:r>
            <w:r>
              <w:rPr>
                <w:rFonts w:cs="Times New Roman"/>
                <w:b/>
                <w:szCs w:val="24"/>
              </w:rPr>
              <w:t>污染防治措施</w:t>
            </w:r>
          </w:p>
          <w:p w14:paraId="2C6504B9" w14:textId="77777777" w:rsidR="003C4F46" w:rsidRDefault="004B6A81">
            <w:pPr>
              <w:ind w:firstLine="480"/>
              <w:textAlignment w:val="auto"/>
              <w:rPr>
                <w:rFonts w:cs="Times New Roman"/>
                <w:szCs w:val="24"/>
              </w:rPr>
            </w:pPr>
            <w:r>
              <w:rPr>
                <w:rFonts w:cs="Times New Roman" w:hint="eastAsia"/>
                <w:szCs w:val="24"/>
              </w:rPr>
              <w:t>施工期产生的固体废物主要包括建筑垃圾和施工人员生活垃圾。</w:t>
            </w:r>
          </w:p>
          <w:p w14:paraId="3A72F643" w14:textId="77777777" w:rsidR="003C4F46" w:rsidRDefault="004B6A81">
            <w:pPr>
              <w:ind w:firstLine="480"/>
              <w:textAlignment w:val="auto"/>
              <w:rPr>
                <w:rFonts w:cs="Times New Roman"/>
                <w:szCs w:val="24"/>
              </w:rPr>
            </w:pPr>
            <w:r>
              <w:rPr>
                <w:rFonts w:cs="Times New Roman" w:hint="eastAsia"/>
                <w:szCs w:val="24"/>
              </w:rPr>
              <w:t>（</w:t>
            </w:r>
            <w:r>
              <w:rPr>
                <w:rFonts w:cs="Times New Roman" w:hint="eastAsia"/>
                <w:szCs w:val="24"/>
              </w:rPr>
              <w:t>1</w:t>
            </w:r>
            <w:r>
              <w:rPr>
                <w:rFonts w:cs="Times New Roman" w:hint="eastAsia"/>
                <w:szCs w:val="24"/>
              </w:rPr>
              <w:t>）建筑垃圾</w:t>
            </w:r>
          </w:p>
          <w:p w14:paraId="675E4600" w14:textId="77777777" w:rsidR="003C4F46" w:rsidRDefault="004B6A81">
            <w:pPr>
              <w:ind w:firstLine="480"/>
              <w:textAlignment w:val="auto"/>
              <w:rPr>
                <w:rFonts w:cs="Times New Roman"/>
                <w:szCs w:val="24"/>
              </w:rPr>
            </w:pPr>
            <w:r>
              <w:rPr>
                <w:rFonts w:cs="Times New Roman" w:hint="eastAsia"/>
                <w:szCs w:val="24"/>
              </w:rPr>
              <w:t>本项目贮存库主体已建成，本次仅进行内部隔断施工，建筑垃圾主要为金属型材边角料、彩钢板废料及包装废弃物等，产生量较小。施工过程中应对建筑垃圾进行分类收集，可回收利用部分（如金属边角料、废钢材等）外售物资回收单位综合利用，不可回收部分集中收集后清运至指定地点处置，不得随意倾倒。</w:t>
            </w:r>
          </w:p>
          <w:p w14:paraId="26B049CA" w14:textId="77777777" w:rsidR="003C4F46" w:rsidRDefault="004B6A81">
            <w:pPr>
              <w:ind w:firstLine="480"/>
              <w:textAlignment w:val="auto"/>
              <w:rPr>
                <w:rFonts w:cs="Times New Roman"/>
                <w:szCs w:val="24"/>
              </w:rPr>
            </w:pPr>
            <w:r>
              <w:rPr>
                <w:rFonts w:cs="Times New Roman" w:hint="eastAsia"/>
                <w:szCs w:val="24"/>
              </w:rPr>
              <w:t>（</w:t>
            </w:r>
            <w:r>
              <w:rPr>
                <w:rFonts w:cs="Times New Roman" w:hint="eastAsia"/>
                <w:szCs w:val="24"/>
              </w:rPr>
              <w:t>2</w:t>
            </w:r>
            <w:r>
              <w:rPr>
                <w:rFonts w:cs="Times New Roman" w:hint="eastAsia"/>
                <w:szCs w:val="24"/>
              </w:rPr>
              <w:t>）生活垃圾</w:t>
            </w:r>
          </w:p>
          <w:p w14:paraId="540B916A" w14:textId="77777777" w:rsidR="003C4F46" w:rsidRDefault="004B6A81">
            <w:pPr>
              <w:ind w:firstLine="480"/>
              <w:textAlignment w:val="auto"/>
              <w:rPr>
                <w:rFonts w:cs="Times New Roman"/>
                <w:szCs w:val="24"/>
              </w:rPr>
            </w:pPr>
            <w:r>
              <w:rPr>
                <w:rFonts w:cs="Times New Roman" w:hint="eastAsia"/>
                <w:szCs w:val="24"/>
              </w:rPr>
              <w:t>施工高峰期日均施工人数约</w:t>
            </w:r>
            <w:r>
              <w:rPr>
                <w:rFonts w:cs="Times New Roman" w:hint="eastAsia"/>
                <w:szCs w:val="24"/>
              </w:rPr>
              <w:t>10</w:t>
            </w:r>
            <w:r>
              <w:rPr>
                <w:rFonts w:cs="Times New Roman" w:hint="eastAsia"/>
                <w:szCs w:val="24"/>
              </w:rPr>
              <w:t>人，人均生活垃圾产生量按</w:t>
            </w:r>
            <w:r>
              <w:rPr>
                <w:rFonts w:cs="Times New Roman" w:hint="eastAsia"/>
                <w:szCs w:val="24"/>
              </w:rPr>
              <w:t>0.5kg/</w:t>
            </w:r>
            <w:r>
              <w:rPr>
                <w:rFonts w:cs="Times New Roman" w:hint="eastAsia"/>
                <w:szCs w:val="24"/>
              </w:rPr>
              <w:t>人·</w:t>
            </w:r>
            <w:r>
              <w:rPr>
                <w:rFonts w:cs="Times New Roman" w:hint="eastAsia"/>
                <w:szCs w:val="24"/>
              </w:rPr>
              <w:t>d</w:t>
            </w:r>
            <w:r>
              <w:rPr>
                <w:rFonts w:cs="Times New Roman" w:hint="eastAsia"/>
                <w:szCs w:val="24"/>
              </w:rPr>
              <w:t>计，则日产生量约为</w:t>
            </w:r>
            <w:r>
              <w:rPr>
                <w:rFonts w:cs="Times New Roman" w:hint="eastAsia"/>
                <w:szCs w:val="24"/>
              </w:rPr>
              <w:t>5kg</w:t>
            </w:r>
            <w:r>
              <w:rPr>
                <w:rFonts w:cs="Times New Roman" w:hint="eastAsia"/>
                <w:szCs w:val="24"/>
              </w:rPr>
              <w:t>（即</w:t>
            </w:r>
            <w:r>
              <w:rPr>
                <w:rFonts w:cs="Times New Roman" w:hint="eastAsia"/>
                <w:szCs w:val="24"/>
              </w:rPr>
              <w:t>0.005t</w:t>
            </w:r>
            <w:r>
              <w:rPr>
                <w:rFonts w:cs="Times New Roman" w:hint="eastAsia"/>
                <w:szCs w:val="24"/>
              </w:rPr>
              <w:t>），整个施工期（按</w:t>
            </w:r>
            <w:r>
              <w:rPr>
                <w:rFonts w:cs="Times New Roman"/>
                <w:szCs w:val="24"/>
              </w:rPr>
              <w:t>1</w:t>
            </w:r>
            <w:r>
              <w:rPr>
                <w:rFonts w:cs="Times New Roman" w:hint="eastAsia"/>
                <w:szCs w:val="24"/>
              </w:rPr>
              <w:t>个月计，共</w:t>
            </w:r>
            <w:r>
              <w:rPr>
                <w:rFonts w:cs="Times New Roman"/>
                <w:szCs w:val="24"/>
              </w:rPr>
              <w:t>3</w:t>
            </w:r>
            <w:r>
              <w:rPr>
                <w:rFonts w:cs="Times New Roman" w:hint="eastAsia"/>
                <w:szCs w:val="24"/>
              </w:rPr>
              <w:t>0</w:t>
            </w:r>
            <w:r>
              <w:rPr>
                <w:rFonts w:cs="Times New Roman" w:hint="eastAsia"/>
                <w:szCs w:val="24"/>
              </w:rPr>
              <w:t>天）生活垃圾总产生量约为</w:t>
            </w:r>
            <w:r>
              <w:rPr>
                <w:rFonts w:cs="Times New Roman" w:hint="eastAsia"/>
                <w:szCs w:val="24"/>
              </w:rPr>
              <w:t>0.</w:t>
            </w:r>
            <w:r>
              <w:rPr>
                <w:rFonts w:cs="Times New Roman"/>
                <w:szCs w:val="24"/>
              </w:rPr>
              <w:t>15</w:t>
            </w:r>
            <w:r>
              <w:rPr>
                <w:rFonts w:cs="Times New Roman" w:hint="eastAsia"/>
                <w:szCs w:val="24"/>
              </w:rPr>
              <w:t>t</w:t>
            </w:r>
            <w:r>
              <w:rPr>
                <w:rFonts w:cs="Times New Roman" w:hint="eastAsia"/>
                <w:szCs w:val="24"/>
              </w:rPr>
              <w:t>。</w:t>
            </w:r>
          </w:p>
          <w:p w14:paraId="5AD670D7" w14:textId="77777777" w:rsidR="003C4F46" w:rsidRDefault="004B6A81">
            <w:pPr>
              <w:ind w:firstLine="480"/>
              <w:rPr>
                <w:snapToGrid w:val="0"/>
              </w:rPr>
            </w:pPr>
            <w:r>
              <w:rPr>
                <w:rFonts w:cs="Times New Roman" w:hint="eastAsia"/>
                <w:szCs w:val="24"/>
              </w:rPr>
              <w:lastRenderedPageBreak/>
              <w:t>施工单位依托厂区现有生活垃圾收集箱，生活垃圾集中收集后由当地环卫部门定期清运处理，做到日产日清，防止蚊蝇滋生和异味扩散</w:t>
            </w:r>
            <w:bookmarkEnd w:id="21"/>
            <w:r>
              <w:rPr>
                <w:rFonts w:hint="eastAsia"/>
                <w:snapToGrid w:val="0"/>
              </w:rPr>
              <w:t>。</w:t>
            </w:r>
          </w:p>
        </w:tc>
      </w:tr>
      <w:tr w:rsidR="003C4F46" w14:paraId="20763821" w14:textId="77777777">
        <w:trPr>
          <w:trHeight w:val="1270"/>
          <w:jc w:val="center"/>
        </w:trPr>
        <w:tc>
          <w:tcPr>
            <w:tcW w:w="158" w:type="pct"/>
            <w:tcMar>
              <w:left w:w="28" w:type="dxa"/>
              <w:right w:w="28" w:type="dxa"/>
            </w:tcMar>
            <w:vAlign w:val="center"/>
          </w:tcPr>
          <w:p w14:paraId="5DDC55D1" w14:textId="77777777" w:rsidR="003C4F46" w:rsidRDefault="004B6A81">
            <w:pPr>
              <w:adjustRightInd w:val="0"/>
              <w:snapToGrid w:val="0"/>
              <w:spacing w:line="240" w:lineRule="auto"/>
              <w:ind w:firstLineChars="0" w:firstLine="0"/>
              <w:jc w:val="center"/>
              <w:textAlignment w:val="auto"/>
              <w:rPr>
                <w:rFonts w:ascii="宋体" w:hAnsi="宋体" w:cs="宋体"/>
                <w:bCs/>
                <w:szCs w:val="24"/>
              </w:rPr>
            </w:pPr>
            <w:r>
              <w:rPr>
                <w:rFonts w:ascii="宋体" w:hAnsi="宋体" w:cs="宋体" w:hint="eastAsia"/>
                <w:bCs/>
                <w:szCs w:val="24"/>
              </w:rPr>
              <w:lastRenderedPageBreak/>
              <w:t>运营</w:t>
            </w:r>
          </w:p>
          <w:p w14:paraId="68D526B0" w14:textId="77777777" w:rsidR="003C4F46" w:rsidRDefault="004B6A81">
            <w:pPr>
              <w:adjustRightInd w:val="0"/>
              <w:snapToGrid w:val="0"/>
              <w:spacing w:line="240" w:lineRule="auto"/>
              <w:ind w:firstLineChars="0" w:firstLine="0"/>
              <w:jc w:val="center"/>
              <w:textAlignment w:val="auto"/>
              <w:rPr>
                <w:rFonts w:ascii="宋体" w:hAnsi="宋体" w:cs="宋体"/>
                <w:bCs/>
                <w:szCs w:val="24"/>
              </w:rPr>
            </w:pPr>
            <w:r>
              <w:rPr>
                <w:rFonts w:ascii="宋体" w:hAnsi="宋体" w:cs="宋体" w:hint="eastAsia"/>
                <w:bCs/>
                <w:szCs w:val="24"/>
              </w:rPr>
              <w:t>期环</w:t>
            </w:r>
          </w:p>
          <w:p w14:paraId="543A2021" w14:textId="77777777" w:rsidR="003C4F46" w:rsidRDefault="004B6A81">
            <w:pPr>
              <w:adjustRightInd w:val="0"/>
              <w:snapToGrid w:val="0"/>
              <w:spacing w:line="240" w:lineRule="auto"/>
              <w:ind w:firstLineChars="0" w:firstLine="0"/>
              <w:jc w:val="center"/>
              <w:textAlignment w:val="auto"/>
              <w:rPr>
                <w:rFonts w:ascii="宋体" w:hAnsi="宋体" w:cs="宋体"/>
                <w:bCs/>
                <w:szCs w:val="24"/>
              </w:rPr>
            </w:pPr>
            <w:r>
              <w:rPr>
                <w:rFonts w:ascii="宋体" w:hAnsi="宋体" w:cs="宋体" w:hint="eastAsia"/>
                <w:bCs/>
                <w:szCs w:val="24"/>
              </w:rPr>
              <w:t>境影</w:t>
            </w:r>
          </w:p>
          <w:p w14:paraId="54EF64EF" w14:textId="77777777" w:rsidR="003C4F46" w:rsidRDefault="004B6A81">
            <w:pPr>
              <w:adjustRightInd w:val="0"/>
              <w:snapToGrid w:val="0"/>
              <w:spacing w:line="240" w:lineRule="auto"/>
              <w:ind w:firstLineChars="0" w:firstLine="0"/>
              <w:jc w:val="center"/>
              <w:textAlignment w:val="auto"/>
              <w:rPr>
                <w:rFonts w:ascii="宋体" w:hAnsi="宋体" w:cs="宋体"/>
                <w:bCs/>
                <w:szCs w:val="24"/>
              </w:rPr>
            </w:pPr>
            <w:r>
              <w:rPr>
                <w:rFonts w:ascii="宋体" w:hAnsi="宋体" w:cs="宋体" w:hint="eastAsia"/>
                <w:bCs/>
                <w:szCs w:val="24"/>
              </w:rPr>
              <w:t>响和</w:t>
            </w:r>
          </w:p>
          <w:p w14:paraId="7F000195" w14:textId="77777777" w:rsidR="003C4F46" w:rsidRDefault="004B6A81">
            <w:pPr>
              <w:adjustRightInd w:val="0"/>
              <w:snapToGrid w:val="0"/>
              <w:spacing w:line="240" w:lineRule="auto"/>
              <w:ind w:firstLineChars="0" w:firstLine="0"/>
              <w:jc w:val="center"/>
              <w:textAlignment w:val="auto"/>
              <w:rPr>
                <w:rFonts w:ascii="宋体" w:hAnsi="宋体" w:cs="宋体"/>
                <w:bCs/>
                <w:szCs w:val="24"/>
              </w:rPr>
            </w:pPr>
            <w:r>
              <w:rPr>
                <w:rFonts w:ascii="宋体" w:hAnsi="宋体" w:cs="宋体" w:hint="eastAsia"/>
                <w:bCs/>
                <w:szCs w:val="24"/>
              </w:rPr>
              <w:t>保护</w:t>
            </w:r>
          </w:p>
          <w:p w14:paraId="3E49AC63" w14:textId="77777777" w:rsidR="003C4F46" w:rsidRDefault="004B6A81">
            <w:pPr>
              <w:widowControl/>
              <w:adjustRightInd w:val="0"/>
              <w:snapToGrid w:val="0"/>
              <w:spacing w:line="240" w:lineRule="auto"/>
              <w:ind w:firstLineChars="0" w:firstLine="0"/>
              <w:jc w:val="center"/>
              <w:textAlignment w:val="auto"/>
              <w:rPr>
                <w:rFonts w:ascii="宋体" w:hAnsi="宋体" w:cs="宋体"/>
                <w:szCs w:val="24"/>
              </w:rPr>
            </w:pPr>
            <w:r>
              <w:rPr>
                <w:rFonts w:ascii="宋体" w:hAnsi="宋体" w:cs="宋体" w:hint="eastAsia"/>
                <w:bCs/>
                <w:szCs w:val="24"/>
              </w:rPr>
              <w:t>措施</w:t>
            </w:r>
          </w:p>
        </w:tc>
        <w:tc>
          <w:tcPr>
            <w:tcW w:w="4841" w:type="pct"/>
          </w:tcPr>
          <w:p w14:paraId="2B67242A" w14:textId="77777777" w:rsidR="003C4F46" w:rsidRDefault="004B6A81">
            <w:pPr>
              <w:pStyle w:val="2"/>
            </w:pPr>
            <w:r>
              <w:rPr>
                <w:rFonts w:hint="eastAsia"/>
              </w:rPr>
              <w:t>4</w:t>
            </w:r>
            <w:r>
              <w:t>.2</w:t>
            </w:r>
            <w:r>
              <w:rPr>
                <w:rFonts w:hint="eastAsia"/>
              </w:rPr>
              <w:t>运营期环境影响和保护措施</w:t>
            </w:r>
          </w:p>
          <w:p w14:paraId="2EE31CB3" w14:textId="77777777" w:rsidR="003C4F46" w:rsidRDefault="004B6A81">
            <w:pPr>
              <w:pStyle w:val="2"/>
            </w:pPr>
            <w:r>
              <w:t>4.2.1</w:t>
            </w:r>
            <w:r>
              <w:rPr>
                <w:rFonts w:hint="eastAsia"/>
              </w:rPr>
              <w:t>大气环境影响分析及保护措施</w:t>
            </w:r>
          </w:p>
          <w:p w14:paraId="59D0D6C4" w14:textId="77777777" w:rsidR="003C4F46" w:rsidRDefault="004B6A81">
            <w:pPr>
              <w:ind w:firstLineChars="0" w:firstLine="0"/>
              <w:rPr>
                <w:b/>
                <w:bCs/>
              </w:rPr>
            </w:pPr>
            <w:r>
              <w:rPr>
                <w:rFonts w:hint="eastAsia"/>
                <w:b/>
                <w:bCs/>
              </w:rPr>
              <w:t>4</w:t>
            </w:r>
            <w:r>
              <w:rPr>
                <w:b/>
                <w:bCs/>
              </w:rPr>
              <w:t>.2.1.1</w:t>
            </w:r>
            <w:r>
              <w:rPr>
                <w:rFonts w:hint="eastAsia"/>
                <w:b/>
                <w:bCs/>
              </w:rPr>
              <w:t>废气源强分析</w:t>
            </w:r>
          </w:p>
          <w:p w14:paraId="3BCC11F1" w14:textId="77777777" w:rsidR="003C4F46" w:rsidRDefault="004B6A81">
            <w:pPr>
              <w:ind w:firstLine="456"/>
              <w:rPr>
                <w:rFonts w:cs="Times New Roman"/>
                <w:spacing w:val="-6"/>
                <w:szCs w:val="24"/>
              </w:rPr>
            </w:pPr>
            <w:r>
              <w:rPr>
                <w:rFonts w:cs="Times New Roman"/>
                <w:spacing w:val="-6"/>
                <w:szCs w:val="24"/>
              </w:rPr>
              <w:t>本项目为</w:t>
            </w:r>
            <w:r>
              <w:rPr>
                <w:rFonts w:cs="Times New Roman" w:hint="eastAsia"/>
                <w:spacing w:val="-6"/>
                <w:szCs w:val="24"/>
              </w:rPr>
              <w:t>危险废物</w:t>
            </w:r>
            <w:r>
              <w:rPr>
                <w:rFonts w:cs="Times New Roman"/>
                <w:spacing w:val="-6"/>
                <w:szCs w:val="24"/>
              </w:rPr>
              <w:t>收集</w:t>
            </w:r>
            <w:r>
              <w:rPr>
                <w:rFonts w:cs="Times New Roman" w:hint="eastAsia"/>
                <w:spacing w:val="-6"/>
                <w:szCs w:val="24"/>
              </w:rPr>
              <w:t>和贮存</w:t>
            </w:r>
            <w:r>
              <w:rPr>
                <w:rFonts w:cs="Times New Roman"/>
                <w:spacing w:val="-6"/>
                <w:szCs w:val="24"/>
              </w:rPr>
              <w:t>项目，</w:t>
            </w:r>
            <w:r>
              <w:rPr>
                <w:rFonts w:cs="Times New Roman"/>
              </w:rPr>
              <w:t>不涉及</w:t>
            </w:r>
            <w:r>
              <w:rPr>
                <w:rFonts w:cs="Times New Roman" w:hint="eastAsia"/>
              </w:rPr>
              <w:t>危险废物</w:t>
            </w:r>
            <w:r>
              <w:rPr>
                <w:rFonts w:cs="Times New Roman"/>
              </w:rPr>
              <w:t>的拆解、再加工等处置工艺</w:t>
            </w:r>
            <w:r>
              <w:rPr>
                <w:rFonts w:hint="eastAsia"/>
                <w:szCs w:val="24"/>
              </w:rPr>
              <w:t>。</w:t>
            </w:r>
            <w:r>
              <w:rPr>
                <w:rFonts w:cs="Times New Roman"/>
                <w:spacing w:val="-6"/>
                <w:szCs w:val="24"/>
              </w:rPr>
              <w:t>项目贮存过程收集的</w:t>
            </w:r>
            <w:r>
              <w:rPr>
                <w:rFonts w:cs="Times New Roman" w:hint="eastAsia"/>
                <w:spacing w:val="-6"/>
                <w:szCs w:val="24"/>
              </w:rPr>
              <w:t>危险废物</w:t>
            </w:r>
            <w:r>
              <w:rPr>
                <w:rFonts w:cs="Times New Roman"/>
                <w:spacing w:val="-6"/>
                <w:szCs w:val="24"/>
              </w:rPr>
              <w:t>在收集点收集时已进行密封处理，</w:t>
            </w:r>
            <w:r>
              <w:rPr>
                <w:rFonts w:cs="Times New Roman" w:hint="eastAsia"/>
                <w:spacing w:val="-6"/>
                <w:szCs w:val="24"/>
              </w:rPr>
              <w:t>危险废物贮存库</w:t>
            </w:r>
            <w:r>
              <w:rPr>
                <w:rFonts w:cs="Times New Roman"/>
                <w:spacing w:val="-6"/>
                <w:szCs w:val="24"/>
              </w:rPr>
              <w:t>只是作为临时</w:t>
            </w:r>
            <w:r>
              <w:rPr>
                <w:rFonts w:cs="Times New Roman" w:hint="eastAsia"/>
                <w:spacing w:val="-6"/>
                <w:szCs w:val="24"/>
              </w:rPr>
              <w:t>贮存</w:t>
            </w:r>
            <w:r>
              <w:rPr>
                <w:rFonts w:cs="Times New Roman"/>
                <w:spacing w:val="-6"/>
                <w:szCs w:val="24"/>
              </w:rPr>
              <w:t>、转运场所</w:t>
            </w:r>
            <w:r>
              <w:rPr>
                <w:rFonts w:cs="Times New Roman" w:hint="eastAsia"/>
                <w:spacing w:val="-6"/>
                <w:szCs w:val="24"/>
              </w:rPr>
              <w:t>。</w:t>
            </w:r>
          </w:p>
          <w:p w14:paraId="1ED9243E" w14:textId="77777777" w:rsidR="003C4F46" w:rsidRDefault="004B6A81">
            <w:pPr>
              <w:ind w:firstLine="456"/>
              <w:rPr>
                <w:rFonts w:cs="Times New Roman"/>
                <w:color w:val="000000" w:themeColor="text1"/>
                <w:szCs w:val="24"/>
              </w:rPr>
            </w:pPr>
            <w:r>
              <w:rPr>
                <w:rFonts w:cs="Times New Roman"/>
                <w:spacing w:val="-6"/>
              </w:rPr>
              <w:t>（</w:t>
            </w:r>
            <w:r>
              <w:rPr>
                <w:rFonts w:cs="Times New Roman"/>
                <w:spacing w:val="-6"/>
              </w:rPr>
              <w:t>1</w:t>
            </w:r>
            <w:r>
              <w:rPr>
                <w:rFonts w:cs="Times New Roman"/>
                <w:spacing w:val="-6"/>
              </w:rPr>
              <w:t>）</w:t>
            </w:r>
            <w:r>
              <w:rPr>
                <w:rFonts w:cs="Times New Roman"/>
                <w:spacing w:val="-6"/>
                <w:szCs w:val="24"/>
              </w:rPr>
              <w:t>1#</w:t>
            </w:r>
            <w:r>
              <w:rPr>
                <w:rFonts w:cs="Times New Roman"/>
                <w:spacing w:val="-6"/>
                <w:szCs w:val="24"/>
              </w:rPr>
              <w:t>贮存库</w:t>
            </w:r>
          </w:p>
          <w:p w14:paraId="444317EF" w14:textId="77777777" w:rsidR="00867B0C" w:rsidRDefault="004B6A81" w:rsidP="00867B0C">
            <w:pPr>
              <w:ind w:firstLine="456"/>
              <w:contextualSpacing/>
              <w:textAlignment w:val="auto"/>
              <w:rPr>
                <w:rFonts w:cs="Times New Roman"/>
                <w:spacing w:val="-6"/>
                <w:szCs w:val="24"/>
              </w:rPr>
            </w:pPr>
            <w:r>
              <w:rPr>
                <w:rFonts w:hAnsi="宋体" w:cs="宋体" w:hint="eastAsia"/>
                <w:spacing w:val="-6"/>
              </w:rPr>
              <w:t>①</w:t>
            </w:r>
            <w:r w:rsidR="00867B0C">
              <w:rPr>
                <w:rFonts w:cs="Times New Roman"/>
                <w:spacing w:val="-6"/>
                <w:szCs w:val="24"/>
              </w:rPr>
              <w:t>HW06</w:t>
            </w:r>
            <w:r w:rsidR="00867B0C">
              <w:rPr>
                <w:rFonts w:cs="Times New Roman"/>
                <w:szCs w:val="24"/>
              </w:rPr>
              <w:t>废有机溶剂与含有机溶剂废物、废防腐剂、废染料涂料等贮存区</w:t>
            </w:r>
          </w:p>
          <w:p w14:paraId="5CFA14F2" w14:textId="77777777" w:rsidR="00867B0C" w:rsidRDefault="00867B0C" w:rsidP="00867B0C">
            <w:pPr>
              <w:ind w:firstLine="456"/>
              <w:contextualSpacing/>
              <w:textAlignment w:val="auto"/>
              <w:rPr>
                <w:rFonts w:cs="Times New Roman"/>
                <w:spacing w:val="-6"/>
                <w:szCs w:val="24"/>
              </w:rPr>
            </w:pPr>
            <w:r>
              <w:rPr>
                <w:rFonts w:cs="Times New Roman" w:hint="eastAsia"/>
                <w:spacing w:val="-6"/>
                <w:szCs w:val="24"/>
              </w:rPr>
              <w:t>本项目回收此类废物主要包含生产、销售及使用过程中产生的失效、变质、不合格、淘汰、伪劣的油墨、染料、颜料、油漆（不包括水性漆）的废物。其中，销售及使用过程中产生的失效、变质、不合格、淘汰、伪劣的产品在收集点已做密封处理，废气产生源为废包装上附着少量油墨、染料等物质。本项目年回收此类废物量为</w:t>
            </w:r>
            <w:r>
              <w:rPr>
                <w:rFonts w:cs="Times New Roman" w:hint="eastAsia"/>
                <w:spacing w:val="-6"/>
                <w:szCs w:val="24"/>
              </w:rPr>
              <w:t>100t/a</w:t>
            </w:r>
            <w:r>
              <w:rPr>
                <w:rFonts w:cs="Times New Roman" w:hint="eastAsia"/>
                <w:spacing w:val="-6"/>
                <w:szCs w:val="24"/>
              </w:rPr>
              <w:t>，残留物量约占回收废物总量的</w:t>
            </w:r>
            <w:r>
              <w:rPr>
                <w:rFonts w:cs="Times New Roman" w:hint="eastAsia"/>
                <w:spacing w:val="-6"/>
                <w:szCs w:val="24"/>
              </w:rPr>
              <w:t>1%</w:t>
            </w:r>
            <w:r>
              <w:rPr>
                <w:rFonts w:cs="Times New Roman" w:hint="eastAsia"/>
                <w:spacing w:val="-6"/>
                <w:szCs w:val="24"/>
              </w:rPr>
              <w:t>，即约</w:t>
            </w:r>
            <w:r>
              <w:rPr>
                <w:rFonts w:cs="Times New Roman" w:hint="eastAsia"/>
                <w:spacing w:val="-6"/>
                <w:szCs w:val="24"/>
              </w:rPr>
              <w:t>1t/a</w:t>
            </w:r>
            <w:r>
              <w:rPr>
                <w:rFonts w:cs="Times New Roman" w:hint="eastAsia"/>
                <w:spacing w:val="-6"/>
                <w:szCs w:val="24"/>
              </w:rPr>
              <w:t>。参照北京市地方标准《建筑类涂料与胶粘剂挥发性有机化合物含量限值标准》（</w:t>
            </w:r>
            <w:r>
              <w:rPr>
                <w:rFonts w:cs="Times New Roman" w:hint="eastAsia"/>
                <w:spacing w:val="-6"/>
                <w:szCs w:val="24"/>
              </w:rPr>
              <w:t>DB11/1983-2022</w:t>
            </w:r>
            <w:r>
              <w:rPr>
                <w:rFonts w:cs="Times New Roman" w:hint="eastAsia"/>
                <w:spacing w:val="-6"/>
                <w:szCs w:val="24"/>
              </w:rPr>
              <w:t>），挥发性有机物含量最高为溶剂型涂料，取系数</w:t>
            </w:r>
            <w:r>
              <w:rPr>
                <w:rFonts w:cs="Times New Roman" w:hint="eastAsia"/>
                <w:spacing w:val="-6"/>
                <w:szCs w:val="24"/>
              </w:rPr>
              <w:t>650g/L</w:t>
            </w:r>
            <w:r>
              <w:rPr>
                <w:rFonts w:cs="Times New Roman" w:hint="eastAsia"/>
                <w:spacing w:val="-6"/>
                <w:szCs w:val="24"/>
              </w:rPr>
              <w:t>，涂料密度取</w:t>
            </w:r>
            <w:r>
              <w:rPr>
                <w:rFonts w:cs="Times New Roman" w:hint="eastAsia"/>
                <w:spacing w:val="-6"/>
                <w:szCs w:val="24"/>
              </w:rPr>
              <w:t>0.667kg/L</w:t>
            </w:r>
            <w:r>
              <w:rPr>
                <w:rFonts w:cs="Times New Roman" w:hint="eastAsia"/>
                <w:spacing w:val="-6"/>
                <w:szCs w:val="24"/>
              </w:rPr>
              <w:t>，估算非甲烷总烃产生量约为</w:t>
            </w:r>
            <w:r>
              <w:rPr>
                <w:rFonts w:cs="Times New Roman" w:hint="eastAsia"/>
                <w:spacing w:val="-6"/>
                <w:szCs w:val="24"/>
              </w:rPr>
              <w:t>0.97t/a</w:t>
            </w:r>
            <w:r>
              <w:rPr>
                <w:rFonts w:cs="Times New Roman"/>
                <w:spacing w:val="-6"/>
                <w:szCs w:val="24"/>
              </w:rPr>
              <w:t>。</w:t>
            </w:r>
          </w:p>
          <w:p w14:paraId="72478FC4" w14:textId="1D3B4703" w:rsidR="003C4F46" w:rsidRPr="00867B0C" w:rsidRDefault="004B6A81" w:rsidP="00867B0C">
            <w:pPr>
              <w:ind w:firstLine="456"/>
              <w:contextualSpacing/>
              <w:textAlignment w:val="auto"/>
              <w:rPr>
                <w:rFonts w:cs="Times New Roman"/>
                <w:spacing w:val="-6"/>
                <w:szCs w:val="24"/>
              </w:rPr>
            </w:pPr>
            <w:r>
              <w:rPr>
                <w:rFonts w:ascii="宋体" w:hAnsi="宋体" w:cs="宋体" w:hint="eastAsia"/>
                <w:spacing w:val="-6"/>
                <w:szCs w:val="24"/>
              </w:rPr>
              <w:t>②</w:t>
            </w:r>
            <w:r w:rsidR="00867B0C">
              <w:rPr>
                <w:rFonts w:cs="Times New Roman"/>
                <w:color w:val="000000"/>
              </w:rPr>
              <w:t>HW49</w:t>
            </w:r>
            <w:r w:rsidR="00867B0C">
              <w:rPr>
                <w:rFonts w:cs="Times New Roman"/>
                <w:color w:val="000000"/>
              </w:rPr>
              <w:t>、</w:t>
            </w:r>
            <w:r w:rsidR="00867B0C">
              <w:rPr>
                <w:rFonts w:cs="Times New Roman"/>
                <w:color w:val="000000"/>
              </w:rPr>
              <w:t>HW12</w:t>
            </w:r>
            <w:r w:rsidR="00867B0C">
              <w:rPr>
                <w:rFonts w:cs="Times New Roman"/>
                <w:color w:val="000000"/>
              </w:rPr>
              <w:t>、</w:t>
            </w:r>
            <w:r w:rsidR="00867B0C">
              <w:rPr>
                <w:rFonts w:cs="Times New Roman"/>
                <w:color w:val="000000"/>
              </w:rPr>
              <w:t>HW13</w:t>
            </w:r>
            <w:r w:rsidR="00867B0C">
              <w:rPr>
                <w:rFonts w:cs="Times New Roman"/>
                <w:color w:val="000000"/>
              </w:rPr>
              <w:t>、</w:t>
            </w:r>
            <w:r w:rsidR="00867B0C">
              <w:rPr>
                <w:rFonts w:cs="Times New Roman"/>
                <w:color w:val="000000"/>
              </w:rPr>
              <w:t>HW16</w:t>
            </w:r>
            <w:r w:rsidR="00867B0C">
              <w:rPr>
                <w:rFonts w:cs="Times New Roman"/>
                <w:color w:val="000000"/>
              </w:rPr>
              <w:t>、</w:t>
            </w:r>
            <w:r w:rsidR="00867B0C">
              <w:rPr>
                <w:rFonts w:cs="Times New Roman"/>
                <w:color w:val="000000"/>
              </w:rPr>
              <w:t>HW29</w:t>
            </w:r>
            <w:r w:rsidR="00867B0C">
              <w:rPr>
                <w:rFonts w:cs="Times New Roman"/>
                <w:color w:val="000000"/>
              </w:rPr>
              <w:t>、</w:t>
            </w:r>
            <w:r w:rsidR="00867B0C">
              <w:rPr>
                <w:rFonts w:cs="Times New Roman"/>
                <w:color w:val="000000"/>
              </w:rPr>
              <w:t>HW36</w:t>
            </w:r>
            <w:r w:rsidR="00867B0C">
              <w:rPr>
                <w:rFonts w:cs="Times New Roman"/>
                <w:color w:val="000000"/>
              </w:rPr>
              <w:t>、</w:t>
            </w:r>
            <w:r w:rsidR="00867B0C">
              <w:rPr>
                <w:rFonts w:cs="Times New Roman"/>
                <w:color w:val="000000"/>
              </w:rPr>
              <w:t>HW50</w:t>
            </w:r>
            <w:r w:rsidR="00867B0C">
              <w:rPr>
                <w:rFonts w:cs="Times New Roman"/>
                <w:color w:val="000000"/>
              </w:rPr>
              <w:t>、</w:t>
            </w:r>
            <w:r w:rsidR="00867B0C">
              <w:rPr>
                <w:rFonts w:cs="Times New Roman"/>
                <w:color w:val="000000"/>
              </w:rPr>
              <w:t>HW</w:t>
            </w:r>
            <w:r w:rsidR="00B60E8A">
              <w:rPr>
                <w:rFonts w:cs="Times New Roman"/>
                <w:color w:val="000000"/>
              </w:rPr>
              <w:t>35</w:t>
            </w:r>
            <w:r w:rsidR="00077845" w:rsidRPr="00077845">
              <w:rPr>
                <w:rFonts w:cs="Times New Roman" w:hint="eastAsia"/>
                <w:szCs w:val="24"/>
              </w:rPr>
              <w:t>类废物贮存区</w:t>
            </w:r>
          </w:p>
          <w:p w14:paraId="3E6355B4" w14:textId="2189C766" w:rsidR="003C4F46" w:rsidRDefault="00077845">
            <w:pPr>
              <w:ind w:firstLine="480"/>
              <w:contextualSpacing/>
              <w:textAlignment w:val="auto"/>
              <w:rPr>
                <w:rFonts w:cs="Times New Roman"/>
                <w:color w:val="000000"/>
              </w:rPr>
            </w:pPr>
            <w:r w:rsidRPr="00077845">
              <w:rPr>
                <w:rFonts w:cs="Times New Roman" w:hint="eastAsia"/>
                <w:color w:val="000000"/>
              </w:rPr>
              <w:t>上述危险废物在贮存过程中会产生少量异味，均采用袋装或桶装密封方式贮存</w:t>
            </w:r>
            <w:r w:rsidR="004B6A81">
              <w:rPr>
                <w:rFonts w:hint="eastAsia"/>
              </w:rPr>
              <w:t>。</w:t>
            </w:r>
          </w:p>
          <w:p w14:paraId="03DBABD7" w14:textId="77777777" w:rsidR="003C4F46" w:rsidRDefault="004B6A81">
            <w:pPr>
              <w:ind w:firstLine="480"/>
              <w:contextualSpacing/>
              <w:textAlignment w:val="auto"/>
              <w:rPr>
                <w:rFonts w:cs="Times New Roman"/>
                <w:color w:val="000000"/>
              </w:rPr>
            </w:pPr>
            <w:r>
              <w:rPr>
                <w:rFonts w:cs="Times New Roman" w:hint="eastAsia"/>
                <w:color w:val="000000"/>
              </w:rPr>
              <w:t>目前国内尚无针对危险废物贮存库</w:t>
            </w:r>
            <w:r>
              <w:rPr>
                <w:rFonts w:cs="Times New Roman" w:hint="eastAsia"/>
                <w:color w:val="000000"/>
              </w:rPr>
              <w:t>VOCs</w:t>
            </w:r>
            <w:r>
              <w:rPr>
                <w:rFonts w:cs="Times New Roman" w:hint="eastAsia"/>
                <w:color w:val="000000"/>
              </w:rPr>
              <w:t>无组织排放的产污系数，环评实践中普遍采用文献类比法进行估算。参考《大气环境影响评价实用技术》（王栋成主编，中国标准出版社，</w:t>
            </w:r>
            <w:r>
              <w:rPr>
                <w:rFonts w:cs="Times New Roman" w:hint="eastAsia"/>
                <w:color w:val="000000"/>
              </w:rPr>
              <w:t>2010</w:t>
            </w:r>
            <w:r>
              <w:rPr>
                <w:rFonts w:cs="Times New Roman" w:hint="eastAsia"/>
                <w:color w:val="000000"/>
              </w:rPr>
              <w:t>年</w:t>
            </w:r>
            <w:r>
              <w:rPr>
                <w:rFonts w:cs="Times New Roman" w:hint="eastAsia"/>
                <w:color w:val="000000"/>
              </w:rPr>
              <w:t>9</w:t>
            </w:r>
            <w:r>
              <w:rPr>
                <w:rFonts w:cs="Times New Roman" w:hint="eastAsia"/>
                <w:color w:val="000000"/>
              </w:rPr>
              <w:t>月，第</w:t>
            </w:r>
            <w:r>
              <w:rPr>
                <w:rFonts w:cs="Times New Roman" w:hint="eastAsia"/>
                <w:color w:val="000000"/>
              </w:rPr>
              <w:t>156</w:t>
            </w:r>
            <w:r>
              <w:rPr>
                <w:rFonts w:cs="Times New Roman" w:hint="eastAsia"/>
                <w:color w:val="000000"/>
              </w:rPr>
              <w:t>页）中介绍的美国对几十家化工企业长期跟踪测试结果，无组织排放量的比例为</w:t>
            </w:r>
            <w:r>
              <w:rPr>
                <w:rFonts w:cs="Times New Roman" w:hint="eastAsia"/>
                <w:color w:val="000000"/>
              </w:rPr>
              <w:t>0.05%~0.5%</w:t>
            </w:r>
            <w:r>
              <w:rPr>
                <w:rFonts w:cs="Times New Roman" w:hint="eastAsia"/>
                <w:color w:val="000000"/>
              </w:rPr>
              <w:t>。该数据已被多地生态环境部门公示的危险废物贮存项目环评报告采用。根据《污染源源强核算技术指南</w:t>
            </w:r>
            <w:r>
              <w:rPr>
                <w:rFonts w:cs="Times New Roman" w:hint="eastAsia"/>
                <w:color w:val="000000"/>
              </w:rPr>
              <w:t xml:space="preserve"> </w:t>
            </w:r>
            <w:r>
              <w:rPr>
                <w:rFonts w:cs="Times New Roman" w:hint="eastAsia"/>
                <w:color w:val="000000"/>
              </w:rPr>
              <w:t>准则》（</w:t>
            </w:r>
            <w:r>
              <w:rPr>
                <w:rFonts w:cs="Times New Roman" w:hint="eastAsia"/>
                <w:color w:val="000000"/>
              </w:rPr>
              <w:t>HJ884-2018</w:t>
            </w:r>
            <w:r>
              <w:rPr>
                <w:rFonts w:cs="Times New Roman" w:hint="eastAsia"/>
                <w:color w:val="000000"/>
              </w:rPr>
              <w:t>），类比法为认可的源强核算方法之一。</w:t>
            </w:r>
          </w:p>
          <w:p w14:paraId="1D5C1B98" w14:textId="704C3F1B" w:rsidR="003C4F46" w:rsidRDefault="004B6A81">
            <w:pPr>
              <w:ind w:firstLine="480"/>
              <w:contextualSpacing/>
              <w:textAlignment w:val="auto"/>
              <w:rPr>
                <w:rFonts w:cs="Times New Roman"/>
                <w:color w:val="000000"/>
              </w:rPr>
            </w:pPr>
            <w:r>
              <w:rPr>
                <w:rFonts w:cs="Times New Roman" w:hint="eastAsia"/>
                <w:color w:val="000000"/>
              </w:rPr>
              <w:t>考虑到本项目危险废物均采用密封容器盛装，且不同形态危废挥发特性差异较</w:t>
            </w:r>
            <w:r>
              <w:rPr>
                <w:rFonts w:cs="Times New Roman" w:hint="eastAsia"/>
                <w:color w:val="000000"/>
              </w:rPr>
              <w:lastRenderedPageBreak/>
              <w:t>大，本次评价按形态分类取值：液态</w:t>
            </w:r>
            <w:r>
              <w:rPr>
                <w:rFonts w:cs="Times New Roman" w:hint="eastAsia"/>
                <w:color w:val="000000"/>
              </w:rPr>
              <w:t>/</w:t>
            </w:r>
            <w:r>
              <w:rPr>
                <w:rFonts w:cs="Times New Roman" w:hint="eastAsia"/>
                <w:color w:val="000000"/>
              </w:rPr>
              <w:t>含有机溶剂类（</w:t>
            </w:r>
            <w:r>
              <w:rPr>
                <w:rFonts w:cs="Times New Roman" w:hint="eastAsia"/>
                <w:color w:val="000000"/>
              </w:rPr>
              <w:t>HW12</w:t>
            </w:r>
            <w:r>
              <w:rPr>
                <w:rFonts w:cs="Times New Roman" w:hint="eastAsia"/>
                <w:color w:val="000000"/>
              </w:rPr>
              <w:t>、</w:t>
            </w:r>
            <w:r>
              <w:rPr>
                <w:rFonts w:cs="Times New Roman" w:hint="eastAsia"/>
                <w:color w:val="000000"/>
              </w:rPr>
              <w:t>HW13</w:t>
            </w:r>
            <w:r w:rsidR="00E3685A">
              <w:rPr>
                <w:rFonts w:cs="Times New Roman" w:hint="eastAsia"/>
                <w:color w:val="000000"/>
              </w:rPr>
              <w:t>、</w:t>
            </w:r>
            <w:r w:rsidR="00E3685A">
              <w:rPr>
                <w:rFonts w:cs="Times New Roman" w:hint="eastAsia"/>
                <w:color w:val="000000"/>
              </w:rPr>
              <w:t>HW</w:t>
            </w:r>
            <w:r w:rsidR="00E3685A">
              <w:rPr>
                <w:rFonts w:cs="Times New Roman"/>
                <w:color w:val="000000"/>
              </w:rPr>
              <w:t>35</w:t>
            </w:r>
            <w:r>
              <w:rPr>
                <w:rFonts w:cs="Times New Roman" w:hint="eastAsia"/>
                <w:color w:val="000000"/>
              </w:rPr>
              <w:t>）取</w:t>
            </w:r>
            <w:r>
              <w:rPr>
                <w:rFonts w:cs="Times New Roman" w:hint="eastAsia"/>
                <w:color w:val="000000"/>
              </w:rPr>
              <w:t>0.5%</w:t>
            </w:r>
            <w:r>
              <w:rPr>
                <w:rFonts w:cs="Times New Roman" w:hint="eastAsia"/>
                <w:color w:val="000000"/>
              </w:rPr>
              <w:t>；半固态</w:t>
            </w:r>
            <w:r>
              <w:rPr>
                <w:rFonts w:cs="Times New Roman" w:hint="eastAsia"/>
                <w:color w:val="000000"/>
              </w:rPr>
              <w:t>/</w:t>
            </w:r>
            <w:r>
              <w:rPr>
                <w:rFonts w:cs="Times New Roman" w:hint="eastAsia"/>
                <w:color w:val="000000"/>
              </w:rPr>
              <w:t>含挥发分类（</w:t>
            </w:r>
            <w:r>
              <w:rPr>
                <w:rFonts w:cs="Times New Roman" w:hint="eastAsia"/>
                <w:color w:val="000000"/>
              </w:rPr>
              <w:t>HW16</w:t>
            </w:r>
            <w:r>
              <w:rPr>
                <w:rFonts w:cs="Times New Roman" w:hint="eastAsia"/>
                <w:color w:val="000000"/>
              </w:rPr>
              <w:t>）取</w:t>
            </w:r>
            <w:r>
              <w:rPr>
                <w:rFonts w:cs="Times New Roman" w:hint="eastAsia"/>
                <w:color w:val="000000"/>
              </w:rPr>
              <w:t>0.1%</w:t>
            </w:r>
            <w:r>
              <w:rPr>
                <w:rFonts w:cs="Times New Roman" w:hint="eastAsia"/>
                <w:color w:val="000000"/>
              </w:rPr>
              <w:t>；固态</w:t>
            </w:r>
            <w:r>
              <w:rPr>
                <w:rFonts w:cs="Times New Roman" w:hint="eastAsia"/>
                <w:color w:val="000000"/>
              </w:rPr>
              <w:t>/</w:t>
            </w:r>
            <w:r>
              <w:rPr>
                <w:rFonts w:cs="Times New Roman" w:hint="eastAsia"/>
                <w:color w:val="000000"/>
              </w:rPr>
              <w:t>不易挥发类（</w:t>
            </w:r>
            <w:r>
              <w:rPr>
                <w:rFonts w:cs="Times New Roman" w:hint="eastAsia"/>
                <w:color w:val="000000"/>
              </w:rPr>
              <w:t>HW29</w:t>
            </w:r>
            <w:r>
              <w:rPr>
                <w:rFonts w:cs="Times New Roman" w:hint="eastAsia"/>
                <w:color w:val="000000"/>
              </w:rPr>
              <w:t>、</w:t>
            </w:r>
            <w:r>
              <w:rPr>
                <w:rFonts w:cs="Times New Roman" w:hint="eastAsia"/>
                <w:color w:val="000000"/>
              </w:rPr>
              <w:t>HW36</w:t>
            </w:r>
            <w:r>
              <w:rPr>
                <w:rFonts w:cs="Times New Roman" w:hint="eastAsia"/>
                <w:color w:val="000000"/>
              </w:rPr>
              <w:t>、</w:t>
            </w:r>
            <w:r>
              <w:rPr>
                <w:rFonts w:cs="Times New Roman" w:hint="eastAsia"/>
                <w:color w:val="000000"/>
              </w:rPr>
              <w:t>HW49</w:t>
            </w:r>
            <w:r>
              <w:rPr>
                <w:rFonts w:cs="Times New Roman" w:hint="eastAsia"/>
                <w:color w:val="000000"/>
              </w:rPr>
              <w:t>、</w:t>
            </w:r>
            <w:r>
              <w:rPr>
                <w:rFonts w:cs="Times New Roman" w:hint="eastAsia"/>
                <w:color w:val="000000"/>
              </w:rPr>
              <w:t>HW50</w:t>
            </w:r>
            <w:r>
              <w:rPr>
                <w:rFonts w:cs="Times New Roman" w:hint="eastAsia"/>
                <w:color w:val="000000"/>
              </w:rPr>
              <w:t>）取</w:t>
            </w:r>
            <w:r>
              <w:rPr>
                <w:rFonts w:cs="Times New Roman" w:hint="eastAsia"/>
                <w:color w:val="000000"/>
              </w:rPr>
              <w:t>0.05%</w:t>
            </w:r>
            <w:r>
              <w:rPr>
                <w:rFonts w:cs="Times New Roman" w:hint="eastAsia"/>
                <w:color w:val="000000"/>
              </w:rPr>
              <w:t>。液态</w:t>
            </w:r>
            <w:r>
              <w:rPr>
                <w:rFonts w:cs="Times New Roman" w:hint="eastAsia"/>
                <w:color w:val="000000"/>
              </w:rPr>
              <w:t>/</w:t>
            </w:r>
            <w:r>
              <w:rPr>
                <w:rFonts w:cs="Times New Roman" w:hint="eastAsia"/>
                <w:color w:val="000000"/>
              </w:rPr>
              <w:t>含有机溶剂类危险废物贮存量为</w:t>
            </w:r>
            <w:r>
              <w:rPr>
                <w:rFonts w:cs="Times New Roman" w:hint="eastAsia"/>
                <w:color w:val="000000"/>
              </w:rPr>
              <w:t>80t/a</w:t>
            </w:r>
            <w:r>
              <w:rPr>
                <w:rFonts w:cs="Times New Roman" w:hint="eastAsia"/>
                <w:color w:val="000000"/>
              </w:rPr>
              <w:t>，则废气产生量为</w:t>
            </w:r>
            <w:r>
              <w:rPr>
                <w:rFonts w:cs="Times New Roman" w:hint="eastAsia"/>
                <w:color w:val="000000"/>
              </w:rPr>
              <w:t>0.40t/a</w:t>
            </w:r>
            <w:r>
              <w:rPr>
                <w:rFonts w:cs="Times New Roman" w:hint="eastAsia"/>
                <w:color w:val="000000"/>
              </w:rPr>
              <w:t>；半固态</w:t>
            </w:r>
            <w:r>
              <w:rPr>
                <w:rFonts w:cs="Times New Roman" w:hint="eastAsia"/>
                <w:color w:val="000000"/>
              </w:rPr>
              <w:t>/</w:t>
            </w:r>
            <w:r>
              <w:rPr>
                <w:rFonts w:cs="Times New Roman" w:hint="eastAsia"/>
                <w:color w:val="000000"/>
              </w:rPr>
              <w:t>含挥发分类危险废物贮存量为</w:t>
            </w:r>
            <w:r>
              <w:rPr>
                <w:rFonts w:cs="Times New Roman" w:hint="eastAsia"/>
                <w:color w:val="000000"/>
              </w:rPr>
              <w:t>20t/a</w:t>
            </w:r>
            <w:r>
              <w:rPr>
                <w:rFonts w:cs="Times New Roman" w:hint="eastAsia"/>
                <w:color w:val="000000"/>
              </w:rPr>
              <w:t>，则废气产生量为</w:t>
            </w:r>
            <w:r>
              <w:rPr>
                <w:rFonts w:cs="Times New Roman" w:hint="eastAsia"/>
                <w:color w:val="000000"/>
              </w:rPr>
              <w:t>0.02t/a</w:t>
            </w:r>
            <w:r>
              <w:rPr>
                <w:rFonts w:cs="Times New Roman" w:hint="eastAsia"/>
                <w:color w:val="000000"/>
              </w:rPr>
              <w:t>；固态</w:t>
            </w:r>
            <w:r>
              <w:rPr>
                <w:rFonts w:cs="Times New Roman" w:hint="eastAsia"/>
                <w:color w:val="000000"/>
              </w:rPr>
              <w:t>/</w:t>
            </w:r>
            <w:r>
              <w:rPr>
                <w:rFonts w:cs="Times New Roman" w:hint="eastAsia"/>
                <w:color w:val="000000"/>
              </w:rPr>
              <w:t>不易挥发类危险废物贮存量为</w:t>
            </w:r>
            <w:r w:rsidR="00E3685A">
              <w:rPr>
                <w:rFonts w:cs="Times New Roman"/>
                <w:color w:val="000000"/>
              </w:rPr>
              <w:t>200</w:t>
            </w:r>
            <w:r>
              <w:rPr>
                <w:rFonts w:cs="Times New Roman" w:hint="eastAsia"/>
                <w:color w:val="000000"/>
              </w:rPr>
              <w:t>t/a</w:t>
            </w:r>
            <w:r>
              <w:rPr>
                <w:rFonts w:cs="Times New Roman" w:hint="eastAsia"/>
                <w:color w:val="000000"/>
              </w:rPr>
              <w:t>，则废气产生量为</w:t>
            </w:r>
            <w:r>
              <w:rPr>
                <w:rFonts w:cs="Times New Roman" w:hint="eastAsia"/>
                <w:color w:val="000000"/>
              </w:rPr>
              <w:t>0.</w:t>
            </w:r>
            <w:r w:rsidR="00E3685A">
              <w:rPr>
                <w:rFonts w:cs="Times New Roman"/>
                <w:color w:val="000000"/>
              </w:rPr>
              <w:t>1</w:t>
            </w:r>
            <w:r>
              <w:rPr>
                <w:rFonts w:cs="Times New Roman" w:hint="eastAsia"/>
                <w:color w:val="000000"/>
              </w:rPr>
              <w:t>t/a</w:t>
            </w:r>
            <w:r w:rsidR="00063039">
              <w:rPr>
                <w:rFonts w:cs="Times New Roman" w:hint="eastAsia"/>
                <w:color w:val="000000"/>
              </w:rPr>
              <w:t>。</w:t>
            </w:r>
            <w:r>
              <w:rPr>
                <w:rFonts w:cs="Times New Roman" w:hint="eastAsia"/>
                <w:color w:val="000000"/>
              </w:rPr>
              <w:t>总计</w:t>
            </w:r>
            <w:r>
              <w:rPr>
                <w:rFonts w:cs="Times New Roman" w:hint="eastAsia"/>
                <w:color w:val="000000"/>
              </w:rPr>
              <w:t>0.5</w:t>
            </w:r>
            <w:r w:rsidR="00E3685A">
              <w:rPr>
                <w:rFonts w:cs="Times New Roman"/>
                <w:color w:val="000000"/>
              </w:rPr>
              <w:t>2</w:t>
            </w:r>
            <w:r>
              <w:rPr>
                <w:rFonts w:cs="Times New Roman" w:hint="eastAsia"/>
                <w:color w:val="000000"/>
              </w:rPr>
              <w:t>t/a</w:t>
            </w:r>
            <w:r>
              <w:rPr>
                <w:rFonts w:cs="Times New Roman" w:hint="eastAsia"/>
                <w:color w:val="000000"/>
              </w:rPr>
              <w:t>（按年贮存</w:t>
            </w:r>
            <w:r>
              <w:rPr>
                <w:rFonts w:cs="Times New Roman" w:hint="eastAsia"/>
                <w:color w:val="000000"/>
              </w:rPr>
              <w:t>7920h</w:t>
            </w:r>
            <w:r>
              <w:rPr>
                <w:rFonts w:cs="Times New Roman" w:hint="eastAsia"/>
                <w:color w:val="000000"/>
              </w:rPr>
              <w:t>计，约</w:t>
            </w:r>
            <w:r>
              <w:rPr>
                <w:rFonts w:cs="Times New Roman" w:hint="eastAsia"/>
                <w:color w:val="000000"/>
              </w:rPr>
              <w:t>0.06</w:t>
            </w:r>
            <w:r w:rsidR="00E3685A">
              <w:rPr>
                <w:rFonts w:cs="Times New Roman"/>
                <w:color w:val="000000"/>
              </w:rPr>
              <w:t>6</w:t>
            </w:r>
            <w:r>
              <w:rPr>
                <w:rFonts w:cs="Times New Roman" w:hint="eastAsia"/>
                <w:color w:val="000000"/>
              </w:rPr>
              <w:t>kg/h</w:t>
            </w:r>
            <w:r>
              <w:rPr>
                <w:rFonts w:cs="Times New Roman" w:hint="eastAsia"/>
                <w:color w:val="000000"/>
              </w:rPr>
              <w:t>）。</w:t>
            </w:r>
          </w:p>
          <w:p w14:paraId="719B4A71" w14:textId="5A3894F7" w:rsidR="003C4F46" w:rsidRDefault="002F2799">
            <w:pPr>
              <w:ind w:firstLine="480"/>
              <w:contextualSpacing/>
              <w:textAlignment w:val="auto"/>
              <w:rPr>
                <w:rFonts w:cs="Times New Roman"/>
                <w:color w:val="000000"/>
              </w:rPr>
            </w:pPr>
            <w:r>
              <w:fldChar w:fldCharType="begin"/>
            </w:r>
            <w:r>
              <w:instrText xml:space="preserve"> </w:instrText>
            </w:r>
            <w:r>
              <w:rPr>
                <w:rFonts w:hint="eastAsia"/>
              </w:rPr>
              <w:instrText>= 3 \* GB3</w:instrText>
            </w:r>
            <w:r>
              <w:instrText xml:space="preserve"> </w:instrText>
            </w:r>
            <w:r>
              <w:fldChar w:fldCharType="separate"/>
            </w:r>
            <w:r>
              <w:rPr>
                <w:rFonts w:hint="eastAsia"/>
                <w:noProof/>
              </w:rPr>
              <w:t>③</w:t>
            </w:r>
            <w:r>
              <w:fldChar w:fldCharType="end"/>
            </w:r>
            <w:r w:rsidR="004B6A81">
              <w:t>HW31</w:t>
            </w:r>
            <w:r w:rsidR="00691223" w:rsidRPr="00691223">
              <w:rPr>
                <w:rFonts w:hint="eastAsia"/>
                <w:kern w:val="0"/>
                <w:lang w:bidi="ar"/>
              </w:rPr>
              <w:t>废铅蓄电池</w:t>
            </w:r>
            <w:r w:rsidR="004B6A81">
              <w:t>贮存区</w:t>
            </w:r>
          </w:p>
          <w:p w14:paraId="6D83C20A" w14:textId="77777777" w:rsidR="003C4F46" w:rsidRDefault="004B6A81">
            <w:pPr>
              <w:ind w:firstLine="480"/>
              <w:contextualSpacing/>
              <w:textAlignment w:val="auto"/>
              <w:rPr>
                <w:rFonts w:cs="Times New Roman"/>
                <w:color w:val="000000"/>
              </w:rPr>
            </w:pPr>
            <w:r>
              <w:rPr>
                <w:rFonts w:hint="eastAsia"/>
              </w:rPr>
              <w:t>本项目收集的电池大部分为完整的废铅蓄电池，经专用车辆运至本暂存点，贮存于完整电池贮存区，在运输、装卸过程一般不会对电池造成创伤，不会产生硫酸雾。但项目收集的废铅蓄电池中，考虑有少量存在破损的情况，这类破损电池在贮存过程中可能会产生电解液渗漏，主要表现在：上盖与底槽之间密封欠好或因磕碰、封口胶开裂、帽阀松动、接线端破损或其他部位破损开裂导致电解液渗漏，从而挥发出一定量的硫酸雾废气。</w:t>
            </w:r>
          </w:p>
          <w:p w14:paraId="72B7F689" w14:textId="175A52F6" w:rsidR="003C4F46" w:rsidRDefault="004B6A81">
            <w:pPr>
              <w:ind w:firstLine="480"/>
              <w:contextualSpacing/>
              <w:textAlignment w:val="auto"/>
              <w:rPr>
                <w:rFonts w:cs="Times New Roman"/>
                <w:color w:val="000000"/>
              </w:rPr>
            </w:pPr>
            <w:r>
              <w:t>根据建设单位提供资料以及查阅</w:t>
            </w:r>
            <w:r>
              <w:rPr>
                <w:rFonts w:hint="eastAsia"/>
              </w:rPr>
              <w:t>相</w:t>
            </w:r>
            <w:r>
              <w:t>关企业信息，可能破损渗漏的废铅蓄电池占收集电池数量的</w:t>
            </w:r>
            <w:r>
              <w:t>0.1%</w:t>
            </w:r>
            <w:r>
              <w:t>，本项目废铅酸蓄电池转运量为</w:t>
            </w:r>
            <w:r>
              <w:t>16</w:t>
            </w:r>
            <w:r>
              <w:rPr>
                <w:rFonts w:hint="eastAsia"/>
              </w:rPr>
              <w:t>0</w:t>
            </w:r>
            <w:r>
              <w:t>0t/a</w:t>
            </w:r>
            <w:r>
              <w:t>，则可能破损渗漏的废铅蓄电池数量为</w:t>
            </w:r>
            <w:r>
              <w:t>1.6t/a</w:t>
            </w:r>
            <w:r>
              <w:t>。根据调查，</w:t>
            </w:r>
            <w:r w:rsidR="00691223" w:rsidRPr="00691223">
              <w:rPr>
                <w:rFonts w:hint="eastAsia"/>
                <w:kern w:val="0"/>
                <w:lang w:bidi="ar"/>
              </w:rPr>
              <w:t>废铅蓄电池</w:t>
            </w:r>
            <w:r>
              <w:t>中电解液最大占比约为</w:t>
            </w:r>
            <w:r>
              <w:t>18%</w:t>
            </w:r>
            <w:r>
              <w:t>，电解液中硫酸含量</w:t>
            </w:r>
            <w:r>
              <w:t>37.4%</w:t>
            </w:r>
            <w:r>
              <w:t>，破损电池放入加盖</w:t>
            </w:r>
            <w:r>
              <w:rPr>
                <w:rFonts w:hint="eastAsia"/>
              </w:rPr>
              <w:t>塑料耐酸容器中</w:t>
            </w:r>
            <w:r>
              <w:t>，可以</w:t>
            </w:r>
            <w:r>
              <w:rPr>
                <w:rFonts w:hint="eastAsia"/>
              </w:rPr>
              <w:t>一</w:t>
            </w:r>
            <w:r>
              <w:t>定程度减少挥发量，同时，低浓度硫酸挥发性较小。本次环评电解液中</w:t>
            </w:r>
            <w:r>
              <w:rPr>
                <w:rFonts w:hint="eastAsia"/>
              </w:rPr>
              <w:t>硫</w:t>
            </w:r>
            <w:r>
              <w:t>酸雾挥发量按总含量的</w:t>
            </w:r>
            <w:r>
              <w:t>50%</w:t>
            </w:r>
            <w:r>
              <w:t>计，则</w:t>
            </w:r>
            <w:r>
              <w:rPr>
                <w:rFonts w:hint="eastAsia"/>
              </w:rPr>
              <w:t>硫</w:t>
            </w:r>
            <w:r>
              <w:t>酸雾产生量为</w:t>
            </w:r>
            <w:r>
              <w:t>0.05</w:t>
            </w:r>
            <w:r>
              <w:rPr>
                <w:rFonts w:hint="eastAsia"/>
              </w:rPr>
              <w:t>4</w:t>
            </w:r>
            <w:r>
              <w:t>t/a</w:t>
            </w:r>
            <w:r>
              <w:t>。项目</w:t>
            </w:r>
            <w:r>
              <w:rPr>
                <w:rFonts w:hint="eastAsia"/>
              </w:rPr>
              <w:t>贮存库</w:t>
            </w:r>
            <w:r>
              <w:t>整体密闭</w:t>
            </w:r>
            <w:r>
              <w:rPr>
                <w:rFonts w:hint="eastAsia"/>
              </w:rPr>
              <w:t>。</w:t>
            </w:r>
          </w:p>
          <w:p w14:paraId="73DC25B1" w14:textId="77777777" w:rsidR="00063039" w:rsidRDefault="004B6A81">
            <w:pPr>
              <w:ind w:firstLine="480"/>
              <w:contextualSpacing/>
              <w:textAlignment w:val="auto"/>
              <w:rPr>
                <w:rFonts w:cs="Times New Roman"/>
                <w:bCs/>
                <w:color w:val="000000"/>
                <w:szCs w:val="24"/>
              </w:rPr>
            </w:pPr>
            <w:r>
              <w:rPr>
                <w:rFonts w:cs="Times New Roman" w:hint="eastAsia"/>
                <w:bCs/>
                <w:color w:val="000000"/>
                <w:szCs w:val="24"/>
              </w:rPr>
              <w:t>根据《危险废物贮存污染控制标准》（</w:t>
            </w:r>
            <w:r>
              <w:rPr>
                <w:rFonts w:cs="Times New Roman" w:hint="eastAsia"/>
                <w:bCs/>
                <w:color w:val="000000"/>
                <w:szCs w:val="24"/>
              </w:rPr>
              <w:t>GB18597-2023</w:t>
            </w:r>
            <w:r>
              <w:rPr>
                <w:rFonts w:cs="Times New Roman" w:hint="eastAsia"/>
                <w:bCs/>
                <w:color w:val="000000"/>
                <w:szCs w:val="24"/>
              </w:rPr>
              <w:t>）要求，贮存易产生</w:t>
            </w:r>
            <w:r>
              <w:rPr>
                <w:rFonts w:cs="Times New Roman" w:hint="eastAsia"/>
                <w:bCs/>
                <w:color w:val="000000"/>
                <w:szCs w:val="24"/>
              </w:rPr>
              <w:t>VOCs</w:t>
            </w:r>
            <w:r>
              <w:rPr>
                <w:rFonts w:cs="Times New Roman" w:hint="eastAsia"/>
                <w:bCs/>
                <w:color w:val="000000"/>
                <w:szCs w:val="24"/>
              </w:rPr>
              <w:t>、酸雾、有毒有害大气污染物和刺激性气味气体的危险废物贮存库，应设置气体收集装置和气体净化设施；气体净化设施的排气筒高度应符合</w:t>
            </w:r>
            <w:r>
              <w:rPr>
                <w:rFonts w:cs="Times New Roman" w:hint="eastAsia"/>
                <w:bCs/>
                <w:color w:val="000000"/>
                <w:szCs w:val="24"/>
              </w:rPr>
              <w:t>GB16297</w:t>
            </w:r>
            <w:r>
              <w:rPr>
                <w:rFonts w:cs="Times New Roman" w:hint="eastAsia"/>
                <w:bCs/>
                <w:color w:val="000000"/>
                <w:szCs w:val="24"/>
              </w:rPr>
              <w:t>要求。</w:t>
            </w:r>
          </w:p>
          <w:p w14:paraId="1679DE2F" w14:textId="63BF8FD5" w:rsidR="003C4F46" w:rsidRDefault="00DE2A03">
            <w:pPr>
              <w:ind w:firstLine="480"/>
              <w:contextualSpacing/>
              <w:textAlignment w:val="auto"/>
              <w:rPr>
                <w:rFonts w:cs="Times New Roman"/>
                <w:bCs/>
                <w:color w:val="000000"/>
                <w:szCs w:val="24"/>
              </w:rPr>
            </w:pPr>
            <w:r w:rsidRPr="00DE2A03">
              <w:rPr>
                <w:rFonts w:cs="Times New Roman" w:hint="eastAsia"/>
                <w:bCs/>
                <w:color w:val="000000"/>
                <w:szCs w:val="24"/>
              </w:rPr>
              <w:t>本项目</w:t>
            </w:r>
            <w:r w:rsidRPr="00DE2A03">
              <w:rPr>
                <w:rFonts w:cs="Times New Roman" w:hint="eastAsia"/>
                <w:bCs/>
                <w:color w:val="000000"/>
                <w:szCs w:val="24"/>
              </w:rPr>
              <w:t>1#</w:t>
            </w:r>
            <w:r w:rsidRPr="00DE2A03">
              <w:rPr>
                <w:rFonts w:cs="Times New Roman" w:hint="eastAsia"/>
                <w:bCs/>
                <w:color w:val="000000"/>
                <w:szCs w:val="24"/>
              </w:rPr>
              <w:t>贮存库各危险废物贮存过程中产生的非甲烷总烃量合计为</w:t>
            </w:r>
            <w:r w:rsidRPr="00DE2A03">
              <w:rPr>
                <w:rFonts w:cs="Times New Roman" w:hint="eastAsia"/>
                <w:bCs/>
                <w:color w:val="000000"/>
                <w:szCs w:val="24"/>
              </w:rPr>
              <w:t>1.49t/</w:t>
            </w:r>
            <w:r w:rsidR="004B6A81">
              <w:rPr>
                <w:rFonts w:cs="Times New Roman" w:hint="eastAsia"/>
                <w:bCs/>
                <w:color w:val="000000"/>
                <w:szCs w:val="24"/>
              </w:rPr>
              <w:t>a</w:t>
            </w:r>
            <w:r w:rsidR="004B6A81">
              <w:rPr>
                <w:rFonts w:cs="Times New Roman" w:hint="eastAsia"/>
                <w:bCs/>
                <w:color w:val="000000"/>
                <w:szCs w:val="24"/>
              </w:rPr>
              <w:t>，硫酸雾产生量为</w:t>
            </w:r>
            <w:r w:rsidR="004B6A81">
              <w:rPr>
                <w:rFonts w:cs="Times New Roman" w:hint="eastAsia"/>
                <w:bCs/>
                <w:color w:val="000000"/>
                <w:szCs w:val="24"/>
              </w:rPr>
              <w:t>0.054t/a</w:t>
            </w:r>
            <w:r w:rsidR="004B6A81">
              <w:rPr>
                <w:rFonts w:cs="Times New Roman" w:hint="eastAsia"/>
                <w:bCs/>
                <w:color w:val="000000"/>
                <w:szCs w:val="24"/>
              </w:rPr>
              <w:t>，风机风量为</w:t>
            </w:r>
            <w:r w:rsidR="004B6A81">
              <w:rPr>
                <w:rFonts w:cs="Times New Roman" w:hint="eastAsia"/>
                <w:bCs/>
                <w:color w:val="000000"/>
                <w:szCs w:val="24"/>
              </w:rPr>
              <w:t>5000m</w:t>
            </w:r>
            <w:r w:rsidR="004B6A81">
              <w:rPr>
                <w:rFonts w:cs="Times New Roman" w:hint="eastAsia"/>
                <w:bCs/>
                <w:color w:val="000000"/>
                <w:szCs w:val="24"/>
              </w:rPr>
              <w:t>³</w:t>
            </w:r>
            <w:r w:rsidR="004B6A81">
              <w:rPr>
                <w:rFonts w:cs="Times New Roman" w:hint="eastAsia"/>
                <w:bCs/>
                <w:color w:val="000000"/>
                <w:szCs w:val="24"/>
              </w:rPr>
              <w:t>/h</w:t>
            </w:r>
            <w:r w:rsidR="004B6A81">
              <w:rPr>
                <w:rFonts w:cs="Times New Roman" w:hint="eastAsia"/>
                <w:bCs/>
                <w:color w:val="000000"/>
                <w:szCs w:val="24"/>
              </w:rPr>
              <w:t>。废气先经新建的碱液喷淋塔预处理去除硫酸雾，再依托厂区现有二级活性炭吸附装置处理，尾气通过</w:t>
            </w:r>
            <w:r w:rsidR="004B6A81">
              <w:rPr>
                <w:rFonts w:cs="Times New Roman" w:hint="eastAsia"/>
                <w:bCs/>
                <w:color w:val="000000"/>
                <w:szCs w:val="24"/>
              </w:rPr>
              <w:t>15m</w:t>
            </w:r>
            <w:r w:rsidR="004B6A81">
              <w:rPr>
                <w:rFonts w:cs="Times New Roman" w:hint="eastAsia"/>
                <w:bCs/>
                <w:color w:val="000000"/>
                <w:szCs w:val="24"/>
              </w:rPr>
              <w:t>高排气筒（</w:t>
            </w:r>
            <w:r w:rsidR="004B6A81">
              <w:rPr>
                <w:rFonts w:cs="Times New Roman" w:hint="eastAsia"/>
                <w:bCs/>
                <w:color w:val="000000"/>
                <w:szCs w:val="24"/>
              </w:rPr>
              <w:t>DA005</w:t>
            </w:r>
            <w:r w:rsidR="004B6A81">
              <w:rPr>
                <w:rFonts w:cs="Times New Roman" w:hint="eastAsia"/>
                <w:bCs/>
                <w:color w:val="000000"/>
                <w:szCs w:val="24"/>
              </w:rPr>
              <w:t>）排放。</w:t>
            </w:r>
          </w:p>
          <w:p w14:paraId="5C4D60A7" w14:textId="77777777" w:rsidR="003C4F46" w:rsidRDefault="004B6A81">
            <w:pPr>
              <w:ind w:firstLine="480"/>
              <w:contextualSpacing/>
              <w:textAlignment w:val="auto"/>
              <w:rPr>
                <w:rFonts w:cs="Times New Roman"/>
                <w:color w:val="000000"/>
              </w:rPr>
            </w:pPr>
            <w:r>
              <w:rPr>
                <w:rFonts w:cs="Times New Roman" w:hint="eastAsia"/>
                <w:szCs w:val="24"/>
              </w:rPr>
              <w:t>根</w:t>
            </w:r>
            <w:r>
              <w:rPr>
                <w:rFonts w:cs="Times New Roman"/>
                <w:szCs w:val="24"/>
              </w:rPr>
              <w:t>据《主要污染物总量减排核算技术指南（</w:t>
            </w:r>
            <w:r>
              <w:rPr>
                <w:rFonts w:cs="Times New Roman"/>
                <w:szCs w:val="24"/>
              </w:rPr>
              <w:t>2021</w:t>
            </w:r>
            <w:r>
              <w:rPr>
                <w:rFonts w:cs="Times New Roman"/>
                <w:szCs w:val="24"/>
              </w:rPr>
              <w:t>年版）》表</w:t>
            </w:r>
            <w:r>
              <w:rPr>
                <w:rFonts w:cs="Times New Roman"/>
                <w:szCs w:val="24"/>
              </w:rPr>
              <w:t>2-1</w:t>
            </w:r>
            <w:r>
              <w:rPr>
                <w:rFonts w:cs="Times New Roman"/>
                <w:bCs/>
                <w:color w:val="000000"/>
                <w:szCs w:val="24"/>
              </w:rPr>
              <w:t>，密闭空间内负压收集效率为</w:t>
            </w:r>
            <w:r>
              <w:rPr>
                <w:rFonts w:cs="Times New Roman"/>
                <w:bCs/>
                <w:color w:val="000000"/>
                <w:szCs w:val="24"/>
              </w:rPr>
              <w:t>90%</w:t>
            </w:r>
            <w:r>
              <w:rPr>
                <w:rFonts w:cs="Times New Roman"/>
                <w:bCs/>
                <w:color w:val="000000"/>
                <w:szCs w:val="24"/>
              </w:rPr>
              <w:t>。参照《排放源统计调查产排污核算方法和系数手册》（</w:t>
            </w:r>
            <w:r>
              <w:rPr>
                <w:rFonts w:cs="Times New Roman"/>
                <w:bCs/>
                <w:color w:val="000000"/>
                <w:szCs w:val="24"/>
              </w:rPr>
              <w:t>33-</w:t>
            </w:r>
            <w:r>
              <w:rPr>
                <w:rFonts w:cs="Times New Roman"/>
                <w:bCs/>
                <w:color w:val="000000"/>
                <w:szCs w:val="24"/>
              </w:rPr>
              <w:lastRenderedPageBreak/>
              <w:t>37</w:t>
            </w:r>
            <w:r>
              <w:rPr>
                <w:rFonts w:cs="Times New Roman"/>
                <w:bCs/>
                <w:color w:val="000000"/>
                <w:szCs w:val="24"/>
              </w:rPr>
              <w:t>，</w:t>
            </w:r>
            <w:r>
              <w:rPr>
                <w:rFonts w:cs="Times New Roman"/>
                <w:bCs/>
                <w:color w:val="000000"/>
                <w:szCs w:val="24"/>
              </w:rPr>
              <w:t>431-434</w:t>
            </w:r>
            <w:r>
              <w:rPr>
                <w:rFonts w:cs="Times New Roman"/>
                <w:bCs/>
                <w:color w:val="000000"/>
                <w:szCs w:val="24"/>
              </w:rPr>
              <w:t>机械行业系数手册），活性炭吸附法对挥发性有机废气的治理效率为</w:t>
            </w:r>
            <w:r>
              <w:rPr>
                <w:rFonts w:cs="Times New Roman"/>
                <w:bCs/>
                <w:color w:val="000000"/>
                <w:szCs w:val="24"/>
              </w:rPr>
              <w:t>18%</w:t>
            </w:r>
            <w:r>
              <w:rPr>
                <w:rFonts w:cs="Times New Roman"/>
                <w:bCs/>
                <w:color w:val="000000"/>
                <w:szCs w:val="24"/>
              </w:rPr>
              <w:t>。本项目采用二级活性炭吸附工艺，则有机废气总体处理效率为</w:t>
            </w:r>
            <w:r>
              <w:rPr>
                <w:rFonts w:cs="Times New Roman"/>
                <w:bCs/>
                <w:color w:val="000000"/>
                <w:szCs w:val="24"/>
              </w:rPr>
              <w:t>1-</w:t>
            </w:r>
            <w:r>
              <w:rPr>
                <w:rFonts w:cs="Times New Roman"/>
                <w:bCs/>
                <w:color w:val="000000"/>
                <w:szCs w:val="24"/>
              </w:rPr>
              <w:t>（</w:t>
            </w:r>
            <w:r>
              <w:rPr>
                <w:rFonts w:cs="Times New Roman"/>
                <w:bCs/>
                <w:color w:val="000000"/>
                <w:szCs w:val="24"/>
              </w:rPr>
              <w:t>1-18%</w:t>
            </w:r>
            <w:r>
              <w:rPr>
                <w:rFonts w:cs="Times New Roman"/>
                <w:bCs/>
                <w:color w:val="000000"/>
                <w:szCs w:val="24"/>
              </w:rPr>
              <w:t>）</w:t>
            </w:r>
            <w:r>
              <w:rPr>
                <w:rFonts w:cs="Times New Roman"/>
                <w:bCs/>
                <w:color w:val="000000"/>
                <w:szCs w:val="24"/>
              </w:rPr>
              <w:t>×</w:t>
            </w:r>
            <w:r>
              <w:rPr>
                <w:rFonts w:cs="Times New Roman"/>
                <w:bCs/>
                <w:color w:val="000000"/>
                <w:szCs w:val="24"/>
              </w:rPr>
              <w:t>（</w:t>
            </w:r>
            <w:r>
              <w:rPr>
                <w:rFonts w:cs="Times New Roman"/>
                <w:bCs/>
                <w:color w:val="000000"/>
                <w:szCs w:val="24"/>
              </w:rPr>
              <w:t>1-18%</w:t>
            </w:r>
            <w:r>
              <w:rPr>
                <w:rFonts w:cs="Times New Roman"/>
                <w:bCs/>
                <w:color w:val="000000"/>
                <w:szCs w:val="24"/>
              </w:rPr>
              <w:t>）</w:t>
            </w:r>
            <w:r>
              <w:rPr>
                <w:rFonts w:cs="Times New Roman"/>
                <w:bCs/>
                <w:color w:val="000000"/>
                <w:szCs w:val="24"/>
              </w:rPr>
              <w:t>=32.76%</w:t>
            </w:r>
            <w:r>
              <w:rPr>
                <w:rFonts w:cs="Times New Roman"/>
                <w:bCs/>
                <w:color w:val="000000"/>
                <w:szCs w:val="24"/>
              </w:rPr>
              <w:t>，本次评价二级活性炭吸附处理效率按</w:t>
            </w:r>
            <w:r>
              <w:rPr>
                <w:rFonts w:cs="Times New Roman"/>
                <w:bCs/>
                <w:color w:val="000000"/>
                <w:szCs w:val="24"/>
              </w:rPr>
              <w:t>32.76%</w:t>
            </w:r>
            <w:r>
              <w:rPr>
                <w:rFonts w:cs="Times New Roman"/>
                <w:bCs/>
                <w:color w:val="000000"/>
                <w:szCs w:val="24"/>
              </w:rPr>
              <w:t>计。</w:t>
            </w:r>
            <w:r>
              <w:rPr>
                <w:rFonts w:cs="Times New Roman"/>
                <w:color w:val="000000"/>
                <w:kern w:val="0"/>
                <w:szCs w:val="24"/>
              </w:rPr>
              <w:t>本项目活性炭类型为果壳型颗粒活性炭，碘值</w:t>
            </w:r>
            <w:r>
              <w:rPr>
                <w:rFonts w:cs="Times New Roman"/>
                <w:color w:val="000000"/>
                <w:kern w:val="0"/>
                <w:szCs w:val="24"/>
              </w:rPr>
              <w:t>≥800mg/g</w:t>
            </w:r>
            <w:r>
              <w:rPr>
                <w:rFonts w:cs="Times New Roman"/>
                <w:color w:val="000000"/>
                <w:kern w:val="0"/>
                <w:szCs w:val="24"/>
              </w:rPr>
              <w:t>，单套填充量</w:t>
            </w:r>
            <w:r>
              <w:rPr>
                <w:rFonts w:cs="Times New Roman"/>
                <w:color w:val="000000"/>
                <w:kern w:val="0"/>
                <w:szCs w:val="24"/>
              </w:rPr>
              <w:t>0.5t</w:t>
            </w:r>
            <w:r>
              <w:rPr>
                <w:rFonts w:cs="Times New Roman"/>
                <w:color w:val="000000"/>
                <w:kern w:val="0"/>
                <w:szCs w:val="24"/>
              </w:rPr>
              <w:t>（两级共</w:t>
            </w:r>
            <w:r>
              <w:rPr>
                <w:rFonts w:cs="Times New Roman"/>
                <w:color w:val="000000"/>
                <w:kern w:val="0"/>
                <w:szCs w:val="24"/>
              </w:rPr>
              <w:t>1.0t</w:t>
            </w:r>
            <w:r>
              <w:rPr>
                <w:rFonts w:cs="Times New Roman"/>
                <w:color w:val="000000"/>
                <w:kern w:val="0"/>
                <w:szCs w:val="24"/>
              </w:rPr>
              <w:t>），更换周期</w:t>
            </w:r>
            <w:r>
              <w:rPr>
                <w:rFonts w:cs="Times New Roman"/>
                <w:color w:val="000000"/>
                <w:kern w:val="0"/>
                <w:szCs w:val="24"/>
              </w:rPr>
              <w:t>3</w:t>
            </w:r>
            <w:r>
              <w:rPr>
                <w:rFonts w:cs="Times New Roman"/>
                <w:color w:val="000000"/>
                <w:kern w:val="0"/>
                <w:szCs w:val="24"/>
              </w:rPr>
              <w:t>个月</w:t>
            </w:r>
            <w:r>
              <w:rPr>
                <w:rFonts w:cs="Times New Roman"/>
                <w:color w:val="000000"/>
                <w:kern w:val="0"/>
                <w:szCs w:val="24"/>
              </w:rPr>
              <w:t>/</w:t>
            </w:r>
            <w:r>
              <w:rPr>
                <w:rFonts w:cs="Times New Roman"/>
                <w:color w:val="000000"/>
                <w:kern w:val="0"/>
                <w:szCs w:val="24"/>
              </w:rPr>
              <w:t>次，炭层过滤风速按《吸附法工业有机废气治理工程技术规范》（</w:t>
            </w:r>
            <w:r>
              <w:rPr>
                <w:rFonts w:cs="Times New Roman"/>
                <w:color w:val="000000"/>
                <w:kern w:val="0"/>
                <w:szCs w:val="24"/>
              </w:rPr>
              <w:t>HJ2026-2013</w:t>
            </w:r>
            <w:r>
              <w:rPr>
                <w:rFonts w:cs="Times New Roman"/>
                <w:color w:val="000000"/>
                <w:kern w:val="0"/>
                <w:szCs w:val="24"/>
              </w:rPr>
              <w:t>）要求控制</w:t>
            </w:r>
            <w:r w:rsidRPr="00616AD1">
              <w:rPr>
                <w:rFonts w:cs="Times New Roman"/>
                <w:color w:val="000000"/>
                <w:kern w:val="0"/>
                <w:szCs w:val="24"/>
              </w:rPr>
              <w:t>在</w:t>
            </w:r>
            <w:r w:rsidRPr="00616AD1">
              <w:rPr>
                <w:rFonts w:cs="Times New Roman"/>
                <w:color w:val="000000"/>
                <w:kern w:val="0"/>
                <w:szCs w:val="24"/>
              </w:rPr>
              <w:t>0.60m/s</w:t>
            </w:r>
            <w:r w:rsidRPr="00616AD1">
              <w:rPr>
                <w:rFonts w:cs="Times New Roman"/>
                <w:color w:val="000000"/>
                <w:kern w:val="0"/>
                <w:szCs w:val="24"/>
              </w:rPr>
              <w:t>以下，保证废气与活性炭有足够的接触停留时间。各项设计参数均满足技术规范要求，可保证活性炭吸附效率达到参考值水平。硫酸雾采用碱液喷淋塔处理，根据《污染源源强核算技术指南</w:t>
            </w:r>
            <w:r w:rsidRPr="00616AD1">
              <w:rPr>
                <w:rFonts w:cs="Times New Roman"/>
                <w:color w:val="000000"/>
                <w:kern w:val="0"/>
                <w:szCs w:val="24"/>
              </w:rPr>
              <w:t xml:space="preserve"> </w:t>
            </w:r>
            <w:r w:rsidRPr="00616AD1">
              <w:rPr>
                <w:rFonts w:cs="Times New Roman"/>
                <w:color w:val="000000"/>
                <w:kern w:val="0"/>
                <w:szCs w:val="24"/>
              </w:rPr>
              <w:t>电镀》（</w:t>
            </w:r>
            <w:r w:rsidRPr="00616AD1">
              <w:rPr>
                <w:rFonts w:cs="Times New Roman"/>
                <w:color w:val="000000"/>
                <w:kern w:val="0"/>
                <w:szCs w:val="24"/>
              </w:rPr>
              <w:t>HJ984-2018</w:t>
            </w:r>
            <w:r w:rsidRPr="00616AD1">
              <w:rPr>
                <w:rFonts w:cs="Times New Roman"/>
                <w:color w:val="000000"/>
                <w:kern w:val="0"/>
                <w:szCs w:val="24"/>
              </w:rPr>
              <w:t>）附录</w:t>
            </w:r>
            <w:r w:rsidRPr="00616AD1">
              <w:rPr>
                <w:rFonts w:cs="Times New Roman"/>
                <w:color w:val="000000"/>
                <w:kern w:val="0"/>
                <w:szCs w:val="24"/>
              </w:rPr>
              <w:t>F</w:t>
            </w:r>
            <w:r w:rsidRPr="00616AD1">
              <w:rPr>
                <w:rFonts w:cs="Times New Roman"/>
                <w:color w:val="000000"/>
                <w:kern w:val="0"/>
                <w:szCs w:val="24"/>
              </w:rPr>
              <w:t>表</w:t>
            </w:r>
            <w:r w:rsidRPr="00616AD1">
              <w:rPr>
                <w:rFonts w:cs="Times New Roman"/>
                <w:color w:val="000000"/>
                <w:kern w:val="0"/>
                <w:szCs w:val="24"/>
              </w:rPr>
              <w:t>F.1</w:t>
            </w:r>
            <w:r w:rsidRPr="00616AD1">
              <w:rPr>
                <w:rFonts w:cs="Times New Roman"/>
                <w:color w:val="000000"/>
                <w:kern w:val="0"/>
                <w:szCs w:val="24"/>
              </w:rPr>
              <w:t>，喷淋塔中和法对硫酸雾的去除效率</w:t>
            </w:r>
            <w:r w:rsidRPr="00616AD1">
              <w:rPr>
                <w:rFonts w:cs="Times New Roman"/>
                <w:color w:val="000000"/>
                <w:kern w:val="0"/>
                <w:szCs w:val="24"/>
              </w:rPr>
              <w:t>≥90%</w:t>
            </w:r>
            <w:r w:rsidRPr="00616AD1">
              <w:rPr>
                <w:rFonts w:cs="Times New Roman"/>
                <w:color w:val="000000"/>
                <w:kern w:val="0"/>
                <w:szCs w:val="24"/>
              </w:rPr>
              <w:t>，本次评价按</w:t>
            </w:r>
            <w:r w:rsidRPr="00616AD1">
              <w:rPr>
                <w:rFonts w:cs="Times New Roman"/>
                <w:color w:val="000000"/>
                <w:kern w:val="0"/>
                <w:szCs w:val="24"/>
              </w:rPr>
              <w:t>90%</w:t>
            </w:r>
            <w:r w:rsidRPr="00616AD1">
              <w:rPr>
                <w:rFonts w:cs="Times New Roman"/>
                <w:color w:val="000000"/>
                <w:kern w:val="0"/>
                <w:szCs w:val="24"/>
              </w:rPr>
              <w:t>计。危险废物贮存库年运行时间为</w:t>
            </w:r>
            <w:r w:rsidRPr="00616AD1">
              <w:rPr>
                <w:rFonts w:cs="Times New Roman"/>
                <w:color w:val="000000"/>
                <w:kern w:val="0"/>
                <w:szCs w:val="24"/>
              </w:rPr>
              <w:t>7920h</w:t>
            </w:r>
            <w:r w:rsidRPr="00616AD1">
              <w:rPr>
                <w:rFonts w:cs="Times New Roman"/>
                <w:color w:val="000000"/>
                <w:kern w:val="0"/>
                <w:szCs w:val="24"/>
              </w:rPr>
              <w:t>（</w:t>
            </w:r>
            <w:r w:rsidRPr="00616AD1">
              <w:rPr>
                <w:rFonts w:cs="Times New Roman"/>
                <w:color w:val="000000"/>
                <w:kern w:val="0"/>
                <w:szCs w:val="24"/>
              </w:rPr>
              <w:t>330</w:t>
            </w:r>
            <w:r w:rsidRPr="00616AD1">
              <w:rPr>
                <w:rFonts w:cs="Times New Roman"/>
                <w:color w:val="000000"/>
                <w:kern w:val="0"/>
                <w:szCs w:val="24"/>
              </w:rPr>
              <w:t>天</w:t>
            </w:r>
            <w:r w:rsidRPr="00616AD1">
              <w:rPr>
                <w:rFonts w:cs="Times New Roman"/>
                <w:color w:val="000000"/>
                <w:kern w:val="0"/>
                <w:szCs w:val="24"/>
              </w:rPr>
              <w:t>×24h</w:t>
            </w:r>
            <w:r w:rsidRPr="00616AD1">
              <w:rPr>
                <w:rFonts w:cs="Times New Roman"/>
                <w:color w:val="000000"/>
                <w:kern w:val="0"/>
                <w:szCs w:val="24"/>
              </w:rPr>
              <w:t>）</w:t>
            </w:r>
            <w:r>
              <w:rPr>
                <w:rFonts w:cs="Times New Roman"/>
                <w:bCs/>
                <w:color w:val="000000"/>
                <w:szCs w:val="24"/>
              </w:rPr>
              <w:t>。</w:t>
            </w:r>
          </w:p>
          <w:p w14:paraId="1F81CD9F" w14:textId="3DC90673" w:rsidR="003C4F46" w:rsidRDefault="004B6A81">
            <w:pPr>
              <w:ind w:firstLine="480"/>
              <w:contextualSpacing/>
              <w:textAlignment w:val="auto"/>
              <w:rPr>
                <w:rFonts w:cs="Times New Roman"/>
                <w:color w:val="000000"/>
              </w:rPr>
            </w:pPr>
            <w:r>
              <w:rPr>
                <w:rFonts w:cs="Times New Roman" w:hint="eastAsia"/>
                <w:bCs/>
                <w:color w:val="000000"/>
                <w:szCs w:val="24"/>
              </w:rPr>
              <w:t>据此计算，项目有组织非甲烷总烃排放量为</w:t>
            </w:r>
            <w:r w:rsidR="00063039">
              <w:rPr>
                <w:rFonts w:cs="Times New Roman"/>
                <w:bCs/>
                <w:color w:val="000000"/>
                <w:szCs w:val="24"/>
              </w:rPr>
              <w:t>0.9</w:t>
            </w:r>
            <w:r>
              <w:rPr>
                <w:rFonts w:cs="Times New Roman" w:hint="eastAsia"/>
                <w:bCs/>
                <w:color w:val="000000"/>
                <w:szCs w:val="24"/>
              </w:rPr>
              <w:t>t/a</w:t>
            </w:r>
            <w:r>
              <w:rPr>
                <w:rFonts w:cs="Times New Roman" w:hint="eastAsia"/>
                <w:bCs/>
                <w:color w:val="000000"/>
                <w:szCs w:val="24"/>
              </w:rPr>
              <w:t>，排放速率为</w:t>
            </w:r>
            <w:r w:rsidR="00063039">
              <w:rPr>
                <w:rFonts w:cs="Times New Roman"/>
                <w:bCs/>
                <w:color w:val="000000"/>
                <w:szCs w:val="24"/>
              </w:rPr>
              <w:t>0.11</w:t>
            </w:r>
            <w:r>
              <w:rPr>
                <w:rFonts w:cs="Times New Roman" w:hint="eastAsia"/>
                <w:bCs/>
                <w:color w:val="000000"/>
                <w:szCs w:val="24"/>
              </w:rPr>
              <w:t>kg/h</w:t>
            </w:r>
            <w:r>
              <w:rPr>
                <w:rFonts w:cs="Times New Roman" w:hint="eastAsia"/>
                <w:bCs/>
                <w:color w:val="000000"/>
                <w:szCs w:val="24"/>
              </w:rPr>
              <w:t>，排放浓度为</w:t>
            </w:r>
            <w:r w:rsidR="00063039">
              <w:rPr>
                <w:rFonts w:cs="Times New Roman"/>
                <w:bCs/>
                <w:color w:val="000000"/>
                <w:szCs w:val="24"/>
              </w:rPr>
              <w:t>22</w:t>
            </w:r>
            <w:r>
              <w:rPr>
                <w:rFonts w:cs="Times New Roman" w:hint="eastAsia"/>
                <w:bCs/>
                <w:color w:val="000000"/>
                <w:szCs w:val="24"/>
              </w:rPr>
              <w:t>mg/m</w:t>
            </w:r>
            <w:r>
              <w:rPr>
                <w:rFonts w:cs="Times New Roman" w:hint="eastAsia"/>
                <w:bCs/>
                <w:color w:val="000000"/>
                <w:szCs w:val="24"/>
              </w:rPr>
              <w:t>³；有组织硫酸雾排放量为</w:t>
            </w:r>
            <w:r>
              <w:rPr>
                <w:rFonts w:cs="Times New Roman" w:hint="eastAsia"/>
                <w:bCs/>
                <w:color w:val="000000"/>
                <w:szCs w:val="24"/>
              </w:rPr>
              <w:t>0.0049t/a</w:t>
            </w:r>
            <w:r>
              <w:rPr>
                <w:rFonts w:cs="Times New Roman" w:hint="eastAsia"/>
                <w:bCs/>
                <w:color w:val="000000"/>
                <w:szCs w:val="24"/>
              </w:rPr>
              <w:t>，排放速率为</w:t>
            </w:r>
            <w:r>
              <w:rPr>
                <w:rFonts w:cs="Times New Roman" w:hint="eastAsia"/>
                <w:bCs/>
                <w:color w:val="000000"/>
                <w:szCs w:val="24"/>
              </w:rPr>
              <w:t>0.0006kg/h</w:t>
            </w:r>
            <w:r>
              <w:rPr>
                <w:rFonts w:cs="Times New Roman" w:hint="eastAsia"/>
                <w:bCs/>
                <w:color w:val="000000"/>
                <w:szCs w:val="24"/>
              </w:rPr>
              <w:t>，排放浓度为</w:t>
            </w:r>
            <w:r>
              <w:rPr>
                <w:rFonts w:cs="Times New Roman" w:hint="eastAsia"/>
                <w:bCs/>
                <w:color w:val="000000"/>
                <w:szCs w:val="24"/>
              </w:rPr>
              <w:t>0.124mg/m</w:t>
            </w:r>
            <w:r>
              <w:rPr>
                <w:rFonts w:cs="Times New Roman" w:hint="eastAsia"/>
                <w:bCs/>
                <w:color w:val="000000"/>
                <w:szCs w:val="24"/>
              </w:rPr>
              <w:t>³。无组织非甲烷总烃排放量为</w:t>
            </w:r>
            <w:r w:rsidR="00063039">
              <w:rPr>
                <w:rFonts w:cs="Times New Roman"/>
                <w:bCs/>
                <w:color w:val="000000"/>
                <w:szCs w:val="24"/>
              </w:rPr>
              <w:t>0.149</w:t>
            </w:r>
            <w:r>
              <w:rPr>
                <w:rFonts w:cs="Times New Roman" w:hint="eastAsia"/>
                <w:bCs/>
                <w:color w:val="000000"/>
                <w:szCs w:val="24"/>
              </w:rPr>
              <w:t>t/a</w:t>
            </w:r>
            <w:r>
              <w:rPr>
                <w:rFonts w:cs="Times New Roman" w:hint="eastAsia"/>
                <w:bCs/>
                <w:color w:val="000000"/>
                <w:szCs w:val="24"/>
              </w:rPr>
              <w:t>，排放速率为</w:t>
            </w:r>
            <w:r>
              <w:rPr>
                <w:rFonts w:cs="Times New Roman" w:hint="eastAsia"/>
                <w:bCs/>
                <w:color w:val="000000"/>
                <w:szCs w:val="24"/>
              </w:rPr>
              <w:t>0.</w:t>
            </w:r>
            <w:r w:rsidR="00063039">
              <w:rPr>
                <w:rFonts w:cs="Times New Roman"/>
                <w:bCs/>
                <w:color w:val="000000"/>
                <w:szCs w:val="24"/>
              </w:rPr>
              <w:t>019</w:t>
            </w:r>
            <w:r>
              <w:rPr>
                <w:rFonts w:cs="Times New Roman" w:hint="eastAsia"/>
                <w:bCs/>
                <w:color w:val="000000"/>
                <w:szCs w:val="24"/>
              </w:rPr>
              <w:t>kg/h</w:t>
            </w:r>
            <w:r>
              <w:rPr>
                <w:rFonts w:cs="Times New Roman" w:hint="eastAsia"/>
                <w:bCs/>
                <w:color w:val="000000"/>
                <w:szCs w:val="24"/>
              </w:rPr>
              <w:t>；无组织硫酸雾排放量为</w:t>
            </w:r>
            <w:r>
              <w:rPr>
                <w:rFonts w:cs="Times New Roman" w:hint="eastAsia"/>
                <w:bCs/>
                <w:color w:val="000000"/>
                <w:szCs w:val="24"/>
              </w:rPr>
              <w:t>0.0054t/a</w:t>
            </w:r>
            <w:r>
              <w:rPr>
                <w:rFonts w:cs="Times New Roman" w:hint="eastAsia"/>
                <w:bCs/>
                <w:color w:val="000000"/>
                <w:szCs w:val="24"/>
              </w:rPr>
              <w:t>，排放速率为</w:t>
            </w:r>
            <w:r>
              <w:rPr>
                <w:rFonts w:cs="Times New Roman" w:hint="eastAsia"/>
                <w:bCs/>
                <w:color w:val="000000"/>
                <w:szCs w:val="24"/>
              </w:rPr>
              <w:t>0.00068kg/h</w:t>
            </w:r>
            <w:r>
              <w:rPr>
                <w:rFonts w:cs="Times New Roman"/>
                <w:szCs w:val="24"/>
              </w:rPr>
              <w:t>。</w:t>
            </w:r>
          </w:p>
          <w:p w14:paraId="51BA1644" w14:textId="5544246C" w:rsidR="003C4F46" w:rsidRPr="00B87392" w:rsidRDefault="004B6A81">
            <w:pPr>
              <w:ind w:firstLine="480"/>
              <w:contextualSpacing/>
              <w:textAlignment w:val="auto"/>
              <w:rPr>
                <w:rFonts w:cs="Times New Roman"/>
                <w:color w:val="000000"/>
              </w:rPr>
            </w:pPr>
            <w:r w:rsidRPr="00B87392">
              <w:rPr>
                <w:rFonts w:cs="Times New Roman"/>
                <w:szCs w:val="24"/>
              </w:rPr>
              <w:t>（</w:t>
            </w:r>
            <w:r w:rsidRPr="00B87392">
              <w:rPr>
                <w:rFonts w:cs="Times New Roman"/>
                <w:szCs w:val="24"/>
              </w:rPr>
              <w:t>2</w:t>
            </w:r>
            <w:r w:rsidRPr="00B87392">
              <w:rPr>
                <w:rFonts w:cs="Times New Roman"/>
                <w:szCs w:val="24"/>
              </w:rPr>
              <w:t>）</w:t>
            </w:r>
            <w:r w:rsidRPr="00B87392">
              <w:rPr>
                <w:rFonts w:cs="Times New Roman"/>
                <w:spacing w:val="-6"/>
                <w:szCs w:val="24"/>
              </w:rPr>
              <w:t>HW08</w:t>
            </w:r>
            <w:r w:rsidR="00B87392">
              <w:rPr>
                <w:rFonts w:cs="Times New Roman" w:hint="eastAsia"/>
                <w:spacing w:val="-6"/>
                <w:szCs w:val="24"/>
              </w:rPr>
              <w:t>、</w:t>
            </w:r>
            <w:r w:rsidR="00B87392">
              <w:rPr>
                <w:rFonts w:cs="Times New Roman" w:hint="eastAsia"/>
                <w:spacing w:val="-6"/>
                <w:szCs w:val="24"/>
              </w:rPr>
              <w:t>H</w:t>
            </w:r>
            <w:r w:rsidR="00B87392">
              <w:rPr>
                <w:rFonts w:cs="Times New Roman"/>
                <w:spacing w:val="-6"/>
                <w:szCs w:val="24"/>
              </w:rPr>
              <w:t>W09</w:t>
            </w:r>
            <w:r w:rsidRPr="00B87392">
              <w:rPr>
                <w:rFonts w:cs="Times New Roman"/>
                <w:szCs w:val="24"/>
              </w:rPr>
              <w:t>储罐区</w:t>
            </w:r>
          </w:p>
          <w:p w14:paraId="3A328674" w14:textId="77777777" w:rsidR="00B87392" w:rsidRPr="00B87392" w:rsidRDefault="00B87392">
            <w:pPr>
              <w:ind w:firstLine="480"/>
              <w:contextualSpacing/>
              <w:textAlignment w:val="auto"/>
              <w:rPr>
                <w:rFonts w:cs="Times New Roman"/>
                <w:szCs w:val="24"/>
              </w:rPr>
            </w:pPr>
            <w:r w:rsidRPr="00B87392">
              <w:rPr>
                <w:rFonts w:cs="Times New Roman"/>
                <w:szCs w:val="24"/>
              </w:rPr>
              <w:t>本项目设置废矿物油（</w:t>
            </w:r>
            <w:r w:rsidRPr="00B87392">
              <w:rPr>
                <w:rFonts w:cs="Times New Roman"/>
                <w:szCs w:val="24"/>
              </w:rPr>
              <w:t>HW08</w:t>
            </w:r>
            <w:r w:rsidRPr="00B87392">
              <w:rPr>
                <w:rFonts w:cs="Times New Roman"/>
                <w:szCs w:val="24"/>
              </w:rPr>
              <w:t>）储罐</w:t>
            </w:r>
            <w:r w:rsidRPr="00B87392">
              <w:rPr>
                <w:rFonts w:cs="Times New Roman"/>
                <w:szCs w:val="24"/>
              </w:rPr>
              <w:t>3</w:t>
            </w:r>
            <w:r w:rsidRPr="00B87392">
              <w:rPr>
                <w:rFonts w:cs="Times New Roman"/>
                <w:szCs w:val="24"/>
              </w:rPr>
              <w:t>个、</w:t>
            </w:r>
            <w:r w:rsidRPr="00B87392">
              <w:rPr>
                <w:rFonts w:cs="Times New Roman"/>
                <w:szCs w:val="24"/>
              </w:rPr>
              <w:t>HW09</w:t>
            </w:r>
            <w:r w:rsidRPr="00B87392">
              <w:rPr>
                <w:rFonts w:cs="Times New Roman"/>
                <w:szCs w:val="24"/>
              </w:rPr>
              <w:t>储罐</w:t>
            </w:r>
            <w:r w:rsidRPr="00B87392">
              <w:rPr>
                <w:rFonts w:cs="Times New Roman"/>
                <w:szCs w:val="24"/>
              </w:rPr>
              <w:t>1</w:t>
            </w:r>
            <w:r w:rsidRPr="00B87392">
              <w:rPr>
                <w:rFonts w:cs="Times New Roman"/>
                <w:szCs w:val="24"/>
              </w:rPr>
              <w:t>个，单罐容积均为</w:t>
            </w:r>
            <w:r w:rsidRPr="00B87392">
              <w:rPr>
                <w:rFonts w:cs="Times New Roman"/>
                <w:szCs w:val="24"/>
              </w:rPr>
              <w:t>600m³</w:t>
            </w:r>
            <w:r w:rsidRPr="00B87392">
              <w:rPr>
                <w:rFonts w:cs="Times New Roman"/>
                <w:szCs w:val="24"/>
              </w:rPr>
              <w:t>，储罐形式均为固定顶罐。储罐挥发油气主要成分为</w:t>
            </w:r>
            <w:r w:rsidRPr="00B87392">
              <w:rPr>
                <w:rFonts w:cs="Times New Roman"/>
                <w:szCs w:val="24"/>
              </w:rPr>
              <w:t>C</w:t>
            </w:r>
            <w:r w:rsidRPr="008E42BA">
              <w:rPr>
                <w:rFonts w:cs="Times New Roman"/>
                <w:szCs w:val="24"/>
                <w:vertAlign w:val="subscript"/>
              </w:rPr>
              <w:t>19</w:t>
            </w:r>
            <w:r w:rsidRPr="00B87392">
              <w:rPr>
                <w:rFonts w:cs="Times New Roman"/>
                <w:szCs w:val="24"/>
              </w:rPr>
              <w:t>、</w:t>
            </w:r>
            <w:r w:rsidRPr="00B87392">
              <w:rPr>
                <w:rFonts w:cs="Times New Roman"/>
                <w:szCs w:val="24"/>
              </w:rPr>
              <w:t>C</w:t>
            </w:r>
            <w:r w:rsidRPr="008E42BA">
              <w:rPr>
                <w:rFonts w:cs="Times New Roman"/>
                <w:szCs w:val="24"/>
                <w:vertAlign w:val="subscript"/>
              </w:rPr>
              <w:t>20</w:t>
            </w:r>
            <w:r w:rsidRPr="00B87392">
              <w:rPr>
                <w:rFonts w:cs="Times New Roman"/>
                <w:szCs w:val="24"/>
              </w:rPr>
              <w:t>的烷烃、烯烃及芳香烃等。尽管废润滑油不属于轻质油等高挥发性油品，但仍具有一定挥发性。在环境温度、大气压变化及物料装卸过程中，储罐将产生呼吸废气，主要污染因子为非甲烷总烃</w:t>
            </w:r>
            <w:r w:rsidR="004B6A81" w:rsidRPr="00B87392">
              <w:rPr>
                <w:rFonts w:cs="Times New Roman"/>
                <w:szCs w:val="24"/>
              </w:rPr>
              <w:t>。</w:t>
            </w:r>
          </w:p>
          <w:p w14:paraId="6AF50FCF" w14:textId="0A0D11ED" w:rsidR="003C4F46" w:rsidRPr="00B87392" w:rsidRDefault="00B87392">
            <w:pPr>
              <w:ind w:firstLine="480"/>
              <w:contextualSpacing/>
              <w:textAlignment w:val="auto"/>
              <w:rPr>
                <w:rFonts w:cs="Times New Roman"/>
                <w:szCs w:val="24"/>
              </w:rPr>
            </w:pPr>
            <w:r w:rsidRPr="00B87392">
              <w:rPr>
                <w:rFonts w:cs="Times New Roman"/>
                <w:szCs w:val="24"/>
              </w:rPr>
              <w:t>储罐呼吸废气包含</w:t>
            </w:r>
            <w:r w:rsidRPr="00B87392">
              <w:rPr>
                <w:rFonts w:cs="Times New Roman"/>
                <w:szCs w:val="24"/>
              </w:rPr>
              <w:t>“</w:t>
            </w:r>
            <w:r w:rsidRPr="00B87392">
              <w:rPr>
                <w:rFonts w:cs="Times New Roman"/>
                <w:szCs w:val="24"/>
              </w:rPr>
              <w:t>小呼吸</w:t>
            </w:r>
            <w:r w:rsidRPr="00B87392">
              <w:rPr>
                <w:rFonts w:cs="Times New Roman"/>
                <w:szCs w:val="24"/>
              </w:rPr>
              <w:t>”</w:t>
            </w:r>
            <w:r w:rsidRPr="00B87392">
              <w:rPr>
                <w:rFonts w:cs="Times New Roman"/>
                <w:szCs w:val="24"/>
              </w:rPr>
              <w:t>和</w:t>
            </w:r>
            <w:r w:rsidRPr="00B87392">
              <w:rPr>
                <w:rFonts w:cs="Times New Roman"/>
                <w:szCs w:val="24"/>
              </w:rPr>
              <w:t>“</w:t>
            </w:r>
            <w:r w:rsidRPr="00B87392">
              <w:rPr>
                <w:rFonts w:cs="Times New Roman"/>
                <w:szCs w:val="24"/>
              </w:rPr>
              <w:t>大呼吸</w:t>
            </w:r>
            <w:r w:rsidRPr="00B87392">
              <w:rPr>
                <w:rFonts w:cs="Times New Roman"/>
                <w:szCs w:val="24"/>
              </w:rPr>
              <w:t>”</w:t>
            </w:r>
            <w:r w:rsidRPr="00B87392">
              <w:rPr>
                <w:rFonts w:cs="Times New Roman"/>
                <w:szCs w:val="24"/>
              </w:rPr>
              <w:t>损耗。其中，</w:t>
            </w:r>
            <w:r w:rsidRPr="00B87392">
              <w:rPr>
                <w:rFonts w:cs="Times New Roman"/>
                <w:szCs w:val="24"/>
              </w:rPr>
              <w:t>“</w:t>
            </w:r>
            <w:r w:rsidRPr="00B87392">
              <w:rPr>
                <w:rFonts w:cs="Times New Roman"/>
                <w:szCs w:val="24"/>
              </w:rPr>
              <w:t>小呼吸</w:t>
            </w:r>
            <w:r w:rsidRPr="00B87392">
              <w:rPr>
                <w:rFonts w:cs="Times New Roman"/>
                <w:szCs w:val="24"/>
              </w:rPr>
              <w:t>”</w:t>
            </w:r>
            <w:r w:rsidRPr="00B87392">
              <w:rPr>
                <w:rFonts w:cs="Times New Roman"/>
                <w:szCs w:val="24"/>
              </w:rPr>
              <w:t>损耗源于罐内液面静止状态下因温度或气压变化导致的自然排气，属于连续、持久的自然排放方式，非人为操作引起。</w:t>
            </w:r>
          </w:p>
          <w:p w14:paraId="32755BE2" w14:textId="4464C279" w:rsidR="00B87392" w:rsidRPr="00B87392" w:rsidRDefault="00B87392" w:rsidP="00B87392">
            <w:pPr>
              <w:ind w:firstLine="480"/>
              <w:contextualSpacing/>
              <w:textAlignment w:val="auto"/>
              <w:rPr>
                <w:rFonts w:cs="Times New Roman"/>
                <w:color w:val="000000"/>
              </w:rPr>
            </w:pPr>
            <w:r w:rsidRPr="00B87392">
              <w:rPr>
                <w:rFonts w:cs="Times New Roman"/>
                <w:color w:val="000000"/>
              </w:rPr>
              <w:t>根据《散装液态石油产品损耗》（</w:t>
            </w:r>
            <w:r w:rsidRPr="00B87392">
              <w:rPr>
                <w:rFonts w:cs="Times New Roman"/>
                <w:color w:val="000000"/>
              </w:rPr>
              <w:t>GB 11085-1989</w:t>
            </w:r>
            <w:r w:rsidRPr="00B87392">
              <w:rPr>
                <w:rFonts w:cs="Times New Roman"/>
                <w:color w:val="000000"/>
              </w:rPr>
              <w:t>）中</w:t>
            </w:r>
            <w:r w:rsidRPr="00B87392">
              <w:rPr>
                <w:rFonts w:cs="Times New Roman"/>
                <w:color w:val="000000"/>
              </w:rPr>
              <w:t>“</w:t>
            </w:r>
            <w:r w:rsidRPr="00B87392">
              <w:rPr>
                <w:rFonts w:cs="Times New Roman"/>
                <w:color w:val="000000"/>
              </w:rPr>
              <w:t>表</w:t>
            </w:r>
            <w:r w:rsidRPr="00B87392">
              <w:rPr>
                <w:rFonts w:cs="Times New Roman"/>
                <w:color w:val="000000"/>
              </w:rPr>
              <w:t>1</w:t>
            </w:r>
            <w:r w:rsidRPr="00B87392">
              <w:rPr>
                <w:rFonts w:cs="Times New Roman"/>
                <w:color w:val="000000"/>
              </w:rPr>
              <w:t>贮存损耗率</w:t>
            </w:r>
            <w:r w:rsidRPr="00B87392">
              <w:rPr>
                <w:rFonts w:cs="Times New Roman"/>
                <w:color w:val="000000"/>
              </w:rPr>
              <w:t>”</w:t>
            </w:r>
            <w:r w:rsidRPr="00B87392">
              <w:rPr>
                <w:rFonts w:cs="Times New Roman"/>
                <w:color w:val="000000"/>
              </w:rPr>
              <w:t>及</w:t>
            </w:r>
            <w:r w:rsidRPr="00B87392">
              <w:rPr>
                <w:rFonts w:cs="Times New Roman"/>
                <w:color w:val="000000"/>
              </w:rPr>
              <w:t>“</w:t>
            </w:r>
            <w:r w:rsidRPr="00B87392">
              <w:rPr>
                <w:rFonts w:cs="Times New Roman"/>
                <w:color w:val="000000"/>
              </w:rPr>
              <w:t>表</w:t>
            </w:r>
            <w:r w:rsidRPr="00B87392">
              <w:rPr>
                <w:rFonts w:cs="Times New Roman"/>
                <w:color w:val="000000"/>
              </w:rPr>
              <w:t>2</w:t>
            </w:r>
            <w:r w:rsidRPr="00B87392">
              <w:rPr>
                <w:rFonts w:cs="Times New Roman"/>
                <w:color w:val="000000"/>
              </w:rPr>
              <w:t>海拔高度修正率</w:t>
            </w:r>
            <w:r w:rsidRPr="00B87392">
              <w:rPr>
                <w:rFonts w:cs="Times New Roman"/>
                <w:color w:val="000000"/>
              </w:rPr>
              <w:t>”</w:t>
            </w:r>
            <w:r w:rsidRPr="00B87392">
              <w:rPr>
                <w:rFonts w:cs="Times New Roman"/>
                <w:color w:val="000000"/>
              </w:rPr>
              <w:t>，废矿物油属</w:t>
            </w:r>
            <w:r w:rsidRPr="00B87392">
              <w:rPr>
                <w:rFonts w:cs="Times New Roman"/>
                <w:color w:val="000000"/>
              </w:rPr>
              <w:t>“</w:t>
            </w:r>
            <w:r w:rsidRPr="00B87392">
              <w:rPr>
                <w:rFonts w:cs="Times New Roman"/>
                <w:color w:val="000000"/>
              </w:rPr>
              <w:t>其他油</w:t>
            </w:r>
            <w:r w:rsidRPr="00B87392">
              <w:rPr>
                <w:rFonts w:cs="Times New Roman"/>
                <w:color w:val="000000"/>
              </w:rPr>
              <w:t>”</w:t>
            </w:r>
            <w:r w:rsidRPr="00B87392">
              <w:rPr>
                <w:rFonts w:cs="Times New Roman"/>
                <w:color w:val="000000"/>
              </w:rPr>
              <w:t>类别，贮存损耗率取</w:t>
            </w:r>
            <w:r w:rsidRPr="00B87392">
              <w:rPr>
                <w:rFonts w:cs="Times New Roman"/>
                <w:color w:val="000000"/>
              </w:rPr>
              <w:t>0.01%</w:t>
            </w:r>
            <w:r w:rsidRPr="00B87392">
              <w:rPr>
                <w:rFonts w:cs="Times New Roman"/>
                <w:color w:val="000000"/>
              </w:rPr>
              <w:t>。本项目废矿物油年周转量为</w:t>
            </w:r>
            <w:r w:rsidRPr="00B87392">
              <w:rPr>
                <w:rFonts w:cs="Times New Roman"/>
                <w:color w:val="000000"/>
              </w:rPr>
              <w:t>2400t</w:t>
            </w:r>
            <w:r w:rsidRPr="00B87392">
              <w:rPr>
                <w:rFonts w:cs="Times New Roman"/>
                <w:color w:val="000000"/>
              </w:rPr>
              <w:t>，基础损耗量为</w:t>
            </w:r>
            <w:r w:rsidRPr="00B87392">
              <w:rPr>
                <w:rFonts w:cs="Times New Roman"/>
                <w:color w:val="000000"/>
              </w:rPr>
              <w:t>0.24t/a</w:t>
            </w:r>
            <w:r w:rsidRPr="00B87392">
              <w:rPr>
                <w:rFonts w:cs="Times New Roman"/>
                <w:color w:val="000000"/>
              </w:rPr>
              <w:t>。项目区海拔处于</w:t>
            </w:r>
            <w:r w:rsidRPr="00B87392">
              <w:rPr>
                <w:rFonts w:cs="Times New Roman"/>
                <w:color w:val="000000"/>
              </w:rPr>
              <w:t>1001~2000m</w:t>
            </w:r>
            <w:r w:rsidRPr="00B87392">
              <w:rPr>
                <w:rFonts w:cs="Times New Roman"/>
                <w:color w:val="000000"/>
              </w:rPr>
              <w:t>区间，修正率取</w:t>
            </w:r>
            <w:r w:rsidRPr="00B87392">
              <w:rPr>
                <w:rFonts w:cs="Times New Roman"/>
                <w:color w:val="000000"/>
              </w:rPr>
              <w:t>21%</w:t>
            </w:r>
            <w:r w:rsidRPr="00B87392">
              <w:rPr>
                <w:rFonts w:cs="Times New Roman"/>
                <w:color w:val="000000"/>
              </w:rPr>
              <w:t>，则贮存过程非甲烷总烃产生量为：</w:t>
            </w:r>
            <w:r w:rsidRPr="00B87392">
              <w:rPr>
                <w:rFonts w:cs="Times New Roman"/>
                <w:color w:val="000000"/>
              </w:rPr>
              <w:t>0.24t/a×1.21=0.2904t/a</w:t>
            </w:r>
            <w:r w:rsidRPr="00B87392">
              <w:rPr>
                <w:rFonts w:cs="Times New Roman"/>
                <w:color w:val="000000"/>
              </w:rPr>
              <w:t>。按年运行</w:t>
            </w:r>
            <w:r w:rsidRPr="00B87392">
              <w:rPr>
                <w:rFonts w:cs="Times New Roman"/>
                <w:color w:val="000000"/>
              </w:rPr>
              <w:t>7920</w:t>
            </w:r>
            <w:r w:rsidRPr="00B87392">
              <w:rPr>
                <w:rFonts w:cs="Times New Roman"/>
                <w:color w:val="000000"/>
              </w:rPr>
              <w:t>小时计，排放速率约为</w:t>
            </w:r>
            <w:r w:rsidRPr="00B87392">
              <w:rPr>
                <w:rFonts w:cs="Times New Roman"/>
                <w:color w:val="000000"/>
              </w:rPr>
              <w:t>0.0367kg/h</w:t>
            </w:r>
            <w:r w:rsidRPr="00B87392">
              <w:rPr>
                <w:rFonts w:cs="Times New Roman"/>
                <w:color w:val="000000"/>
              </w:rPr>
              <w:t>。</w:t>
            </w:r>
          </w:p>
          <w:p w14:paraId="64C270BC" w14:textId="7D95746F" w:rsidR="00B87392" w:rsidRPr="00B87392" w:rsidRDefault="00B87392">
            <w:pPr>
              <w:ind w:firstLine="480"/>
              <w:contextualSpacing/>
              <w:textAlignment w:val="auto"/>
              <w:rPr>
                <w:rFonts w:cs="Times New Roman"/>
                <w:color w:val="000000" w:themeColor="text1"/>
              </w:rPr>
            </w:pPr>
            <w:r w:rsidRPr="00B87392">
              <w:rPr>
                <w:rFonts w:cs="Times New Roman"/>
                <w:color w:val="000000" w:themeColor="text1"/>
              </w:rPr>
              <w:lastRenderedPageBreak/>
              <w:t>本项目</w:t>
            </w:r>
            <w:r w:rsidRPr="00B87392">
              <w:rPr>
                <w:rFonts w:cs="Times New Roman"/>
                <w:color w:val="000000" w:themeColor="text1"/>
              </w:rPr>
              <w:t>HW09</w:t>
            </w:r>
            <w:r w:rsidRPr="00B87392">
              <w:rPr>
                <w:rFonts w:cs="Times New Roman"/>
                <w:color w:val="000000" w:themeColor="text1"/>
              </w:rPr>
              <w:t>年周转量为</w:t>
            </w:r>
            <w:r w:rsidRPr="00B87392">
              <w:rPr>
                <w:rFonts w:cs="Times New Roman"/>
                <w:color w:val="000000" w:themeColor="text1"/>
              </w:rPr>
              <w:t>600t</w:t>
            </w:r>
            <w:r w:rsidRPr="00B87392">
              <w:rPr>
                <w:rFonts w:cs="Times New Roman"/>
                <w:color w:val="000000" w:themeColor="text1"/>
              </w:rPr>
              <w:t>，参照相同修正系数，其非甲烷总烃产生量为</w:t>
            </w:r>
            <w:r w:rsidRPr="00B87392">
              <w:rPr>
                <w:rFonts w:cs="Times New Roman"/>
                <w:color w:val="000000" w:themeColor="text1"/>
              </w:rPr>
              <w:t>0.06t/a×1.21=0.0726t/a</w:t>
            </w:r>
            <w:r w:rsidRPr="00B87392">
              <w:rPr>
                <w:rFonts w:cs="Times New Roman"/>
                <w:color w:val="000000" w:themeColor="text1"/>
              </w:rPr>
              <w:t>，排放速率约为</w:t>
            </w:r>
            <w:r w:rsidRPr="00B87392">
              <w:rPr>
                <w:rFonts w:cs="Times New Roman"/>
                <w:color w:val="000000" w:themeColor="text1"/>
              </w:rPr>
              <w:t>0.0092kg/h</w:t>
            </w:r>
            <w:r w:rsidRPr="00B87392">
              <w:rPr>
                <w:rFonts w:cs="Times New Roman"/>
                <w:color w:val="000000" w:themeColor="text1"/>
              </w:rPr>
              <w:t>。</w:t>
            </w:r>
          </w:p>
          <w:p w14:paraId="16EA007C" w14:textId="7F7A42C8" w:rsidR="003C4F46" w:rsidRDefault="004B6A81">
            <w:pPr>
              <w:ind w:firstLine="480"/>
              <w:contextualSpacing/>
              <w:textAlignment w:val="auto"/>
              <w:rPr>
                <w:rFonts w:cs="Times New Roman"/>
                <w:color w:val="000000"/>
              </w:rPr>
            </w:pPr>
            <w:r>
              <w:rPr>
                <w:rFonts w:cs="Times New Roman"/>
                <w:color w:val="000000"/>
              </w:rPr>
              <w:t>油罐在降温时收油，在发油后不久接着进油，因发油后罐内油气浓度较低，大呼吸损失较小。收油时，加大泵的流量使油品在收油过程中来不及大量蒸发而减少损耗；发油则相反，减慢速度，以减缓罐内气体空间蒸汽浓度的下降，以免发油终了后出现回逆呼出损耗。另外，</w:t>
            </w:r>
            <w:r w:rsidR="008222DE" w:rsidRPr="008222DE">
              <w:rPr>
                <w:rFonts w:cs="Times New Roman" w:hint="eastAsia"/>
                <w:color w:val="000000"/>
              </w:rPr>
              <w:t>罐顶安装呼吸阀挡板，空气被吸入罐内时受挡板阻碍，不能直接冲击油品表面，可有效减少油品蒸发</w:t>
            </w:r>
            <w:r>
              <w:rPr>
                <w:rFonts w:cs="Times New Roman"/>
                <w:color w:val="000000" w:themeColor="text1"/>
              </w:rPr>
              <w:t>；装车过程采用卸油软管，密闭装车，减少了储运过程非甲烷总烃的排放。</w:t>
            </w:r>
          </w:p>
          <w:p w14:paraId="2A2141DB" w14:textId="77777777" w:rsidR="003C4F46" w:rsidRDefault="004B6A81">
            <w:pPr>
              <w:adjustRightInd w:val="0"/>
              <w:snapToGrid w:val="0"/>
              <w:spacing w:line="240" w:lineRule="auto"/>
              <w:ind w:firstLineChars="0" w:firstLine="0"/>
              <w:jc w:val="center"/>
              <w:textAlignment w:val="auto"/>
              <w:rPr>
                <w:rFonts w:cs="Times New Roman"/>
                <w:b/>
                <w:sz w:val="21"/>
                <w:szCs w:val="21"/>
              </w:rPr>
            </w:pPr>
            <w:r>
              <w:rPr>
                <w:rFonts w:cs="Times New Roman"/>
                <w:b/>
                <w:sz w:val="21"/>
                <w:szCs w:val="21"/>
              </w:rPr>
              <w:t>表</w:t>
            </w:r>
            <w:r>
              <w:rPr>
                <w:rFonts w:cs="Times New Roman"/>
                <w:b/>
                <w:sz w:val="21"/>
                <w:szCs w:val="21"/>
              </w:rPr>
              <w:t xml:space="preserve">4-1  </w:t>
            </w:r>
            <w:r>
              <w:rPr>
                <w:rFonts w:cs="Times New Roman"/>
                <w:b/>
                <w:sz w:val="21"/>
                <w:szCs w:val="21"/>
              </w:rPr>
              <w:t>项目废气产生及排放情况表</w:t>
            </w:r>
          </w:p>
          <w:tbl>
            <w:tblPr>
              <w:tblW w:w="86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12"/>
              <w:gridCol w:w="558"/>
              <w:gridCol w:w="1271"/>
              <w:gridCol w:w="1273"/>
              <w:gridCol w:w="712"/>
              <w:gridCol w:w="1408"/>
              <w:gridCol w:w="864"/>
              <w:gridCol w:w="743"/>
              <w:gridCol w:w="1316"/>
            </w:tblGrid>
            <w:tr w:rsidR="003C4F46" w14:paraId="7706371F" w14:textId="77777777">
              <w:trPr>
                <w:jc w:val="center"/>
              </w:trPr>
              <w:tc>
                <w:tcPr>
                  <w:tcW w:w="295" w:type="pct"/>
                  <w:vAlign w:val="center"/>
                </w:tcPr>
                <w:p w14:paraId="58E839DC"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序号</w:t>
                  </w:r>
                </w:p>
              </w:tc>
              <w:tc>
                <w:tcPr>
                  <w:tcW w:w="322" w:type="pct"/>
                  <w:vAlign w:val="center"/>
                </w:tcPr>
                <w:p w14:paraId="60009BD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产污环节</w:t>
                  </w:r>
                </w:p>
              </w:tc>
              <w:tc>
                <w:tcPr>
                  <w:tcW w:w="734" w:type="pct"/>
                  <w:vAlign w:val="center"/>
                </w:tcPr>
                <w:p w14:paraId="1266742D"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污染物种类</w:t>
                  </w:r>
                </w:p>
              </w:tc>
              <w:tc>
                <w:tcPr>
                  <w:tcW w:w="735" w:type="pct"/>
                  <w:vAlign w:val="center"/>
                </w:tcPr>
                <w:p w14:paraId="7F838E4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污染物</w:t>
                  </w:r>
                </w:p>
                <w:p w14:paraId="74F53E6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产生量</w:t>
                  </w:r>
                </w:p>
              </w:tc>
              <w:tc>
                <w:tcPr>
                  <w:tcW w:w="411" w:type="pct"/>
                  <w:vAlign w:val="center"/>
                </w:tcPr>
                <w:p w14:paraId="7F672FA8"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排放</w:t>
                  </w:r>
                </w:p>
                <w:p w14:paraId="349C3C3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形式</w:t>
                  </w:r>
                </w:p>
              </w:tc>
              <w:tc>
                <w:tcPr>
                  <w:tcW w:w="813" w:type="pct"/>
                  <w:vAlign w:val="center"/>
                </w:tcPr>
                <w:p w14:paraId="68BDD686"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治理措施</w:t>
                  </w:r>
                </w:p>
              </w:tc>
              <w:tc>
                <w:tcPr>
                  <w:tcW w:w="499" w:type="pct"/>
                  <w:vAlign w:val="center"/>
                </w:tcPr>
                <w:p w14:paraId="55DBD1C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处理效率</w:t>
                  </w:r>
                </w:p>
              </w:tc>
              <w:tc>
                <w:tcPr>
                  <w:tcW w:w="429" w:type="pct"/>
                  <w:vAlign w:val="center"/>
                </w:tcPr>
                <w:p w14:paraId="6D0ADBB6"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是否为可行技术</w:t>
                  </w:r>
                </w:p>
              </w:tc>
              <w:tc>
                <w:tcPr>
                  <w:tcW w:w="760" w:type="pct"/>
                  <w:vAlign w:val="center"/>
                </w:tcPr>
                <w:p w14:paraId="549BC5F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污染物排放量、速率</w:t>
                  </w:r>
                </w:p>
              </w:tc>
            </w:tr>
            <w:tr w:rsidR="003C4F46" w14:paraId="23B44375" w14:textId="77777777">
              <w:trPr>
                <w:trHeight w:val="55"/>
                <w:jc w:val="center"/>
              </w:trPr>
              <w:tc>
                <w:tcPr>
                  <w:tcW w:w="295" w:type="pct"/>
                  <w:vMerge w:val="restart"/>
                  <w:vAlign w:val="center"/>
                </w:tcPr>
                <w:p w14:paraId="447D886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1</w:t>
                  </w:r>
                </w:p>
              </w:tc>
              <w:tc>
                <w:tcPr>
                  <w:tcW w:w="322" w:type="pct"/>
                  <w:vMerge w:val="restart"/>
                  <w:vAlign w:val="center"/>
                </w:tcPr>
                <w:p w14:paraId="1EE7109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1#</w:t>
                  </w:r>
                  <w:r>
                    <w:rPr>
                      <w:rFonts w:cs="Times New Roman" w:hint="eastAsia"/>
                      <w:sz w:val="21"/>
                      <w:szCs w:val="21"/>
                    </w:rPr>
                    <w:t>贮存库</w:t>
                  </w:r>
                </w:p>
              </w:tc>
              <w:tc>
                <w:tcPr>
                  <w:tcW w:w="734" w:type="pct"/>
                  <w:vAlign w:val="center"/>
                </w:tcPr>
                <w:p w14:paraId="21735E26"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非甲烷总烃</w:t>
                  </w:r>
                </w:p>
              </w:tc>
              <w:tc>
                <w:tcPr>
                  <w:tcW w:w="735" w:type="pct"/>
                  <w:vAlign w:val="center"/>
                </w:tcPr>
                <w:p w14:paraId="61EF989E" w14:textId="378A171A" w:rsidR="003C4F46" w:rsidRDefault="004B6A81">
                  <w:pPr>
                    <w:adjustRightInd w:val="0"/>
                    <w:snapToGrid w:val="0"/>
                    <w:spacing w:line="240" w:lineRule="auto"/>
                    <w:ind w:firstLineChars="0" w:firstLine="0"/>
                    <w:jc w:val="center"/>
                    <w:textAlignment w:val="auto"/>
                    <w:rPr>
                      <w:rFonts w:cs="Times New Roman"/>
                      <w:sz w:val="21"/>
                      <w:szCs w:val="21"/>
                    </w:rPr>
                  </w:pPr>
                  <w:bookmarkStart w:id="22" w:name="_Hlk219310327"/>
                  <w:r>
                    <w:rPr>
                      <w:rFonts w:cs="Times New Roman" w:hint="eastAsia"/>
                      <w:sz w:val="21"/>
                      <w:szCs w:val="21"/>
                    </w:rPr>
                    <w:t>1.4</w:t>
                  </w:r>
                  <w:r w:rsidR="008E42BA">
                    <w:rPr>
                      <w:rFonts w:cs="Times New Roman"/>
                      <w:sz w:val="21"/>
                      <w:szCs w:val="21"/>
                    </w:rPr>
                    <w:t>9</w:t>
                  </w:r>
                  <w:r>
                    <w:rPr>
                      <w:rFonts w:cs="Times New Roman"/>
                      <w:sz w:val="21"/>
                      <w:szCs w:val="21"/>
                    </w:rPr>
                    <w:t>t/a</w:t>
                  </w:r>
                </w:p>
                <w:p w14:paraId="3FBEC3CF" w14:textId="30850B5E"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0.1</w:t>
                  </w:r>
                  <w:r>
                    <w:rPr>
                      <w:rFonts w:cs="Times New Roman" w:hint="eastAsia"/>
                      <w:sz w:val="21"/>
                      <w:szCs w:val="21"/>
                    </w:rPr>
                    <w:t>8</w:t>
                  </w:r>
                  <w:r w:rsidR="00063039">
                    <w:rPr>
                      <w:rFonts w:cs="Times New Roman"/>
                      <w:sz w:val="21"/>
                      <w:szCs w:val="21"/>
                    </w:rPr>
                    <w:t>8</w:t>
                  </w:r>
                  <w:r>
                    <w:rPr>
                      <w:rFonts w:cs="Times New Roman" w:hint="eastAsia"/>
                      <w:sz w:val="21"/>
                      <w:szCs w:val="21"/>
                    </w:rPr>
                    <w:t>kg/h</w:t>
                  </w:r>
                  <w:bookmarkEnd w:id="22"/>
                </w:p>
              </w:tc>
              <w:tc>
                <w:tcPr>
                  <w:tcW w:w="411" w:type="pct"/>
                  <w:vMerge w:val="restart"/>
                  <w:vAlign w:val="center"/>
                </w:tcPr>
                <w:p w14:paraId="146AB0F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有</w:t>
                  </w:r>
                  <w:r>
                    <w:rPr>
                      <w:rFonts w:cs="Times New Roman"/>
                      <w:sz w:val="21"/>
                      <w:szCs w:val="21"/>
                    </w:rPr>
                    <w:t>组织</w:t>
                  </w:r>
                </w:p>
              </w:tc>
              <w:tc>
                <w:tcPr>
                  <w:tcW w:w="813" w:type="pct"/>
                  <w:vMerge w:val="restart"/>
                  <w:vAlign w:val="center"/>
                </w:tcPr>
                <w:p w14:paraId="5C12F819" w14:textId="77777777" w:rsidR="003C4F46" w:rsidRDefault="004B6A81">
                  <w:pPr>
                    <w:adjustRightInd w:val="0"/>
                    <w:snapToGrid w:val="0"/>
                    <w:spacing w:line="240" w:lineRule="auto"/>
                    <w:ind w:firstLineChars="0" w:firstLine="0"/>
                    <w:textAlignment w:val="auto"/>
                    <w:rPr>
                      <w:rFonts w:cs="Times New Roman"/>
                      <w:sz w:val="21"/>
                      <w:szCs w:val="21"/>
                      <w:highlight w:val="yellow"/>
                    </w:rPr>
                  </w:pPr>
                  <w:r>
                    <w:rPr>
                      <w:rFonts w:cs="Times New Roman" w:hint="eastAsia"/>
                      <w:sz w:val="21"/>
                      <w:szCs w:val="21"/>
                    </w:rPr>
                    <w:t>先经新建的碱液喷淋塔预处理去除硫酸雾，再依托厂区现有二级活性炭吸附装置处理，尾气通过</w:t>
                  </w:r>
                  <w:r>
                    <w:rPr>
                      <w:rFonts w:cs="Times New Roman" w:hint="eastAsia"/>
                      <w:sz w:val="21"/>
                      <w:szCs w:val="21"/>
                    </w:rPr>
                    <w:t>15m</w:t>
                  </w:r>
                  <w:r>
                    <w:rPr>
                      <w:rFonts w:cs="Times New Roman" w:hint="eastAsia"/>
                      <w:sz w:val="21"/>
                      <w:szCs w:val="21"/>
                    </w:rPr>
                    <w:t>高排气筒（</w:t>
                  </w:r>
                  <w:r>
                    <w:rPr>
                      <w:rFonts w:cs="Times New Roman" w:hint="eastAsia"/>
                      <w:sz w:val="21"/>
                      <w:szCs w:val="21"/>
                    </w:rPr>
                    <w:t>DA005</w:t>
                  </w:r>
                  <w:r>
                    <w:rPr>
                      <w:rFonts w:cs="Times New Roman" w:hint="eastAsia"/>
                      <w:sz w:val="21"/>
                      <w:szCs w:val="21"/>
                    </w:rPr>
                    <w:t>）排放</w:t>
                  </w:r>
                </w:p>
              </w:tc>
              <w:tc>
                <w:tcPr>
                  <w:tcW w:w="499" w:type="pct"/>
                  <w:vAlign w:val="center"/>
                </w:tcPr>
                <w:p w14:paraId="5EC4BC2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32.76</w:t>
                  </w:r>
                  <w:r>
                    <w:rPr>
                      <w:rFonts w:cs="Times New Roman" w:hint="eastAsia"/>
                      <w:sz w:val="21"/>
                      <w:szCs w:val="21"/>
                    </w:rPr>
                    <w:t>%</w:t>
                  </w:r>
                </w:p>
              </w:tc>
              <w:tc>
                <w:tcPr>
                  <w:tcW w:w="429" w:type="pct"/>
                  <w:vMerge w:val="restart"/>
                  <w:vAlign w:val="center"/>
                </w:tcPr>
                <w:p w14:paraId="3C734C02"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是</w:t>
                  </w:r>
                </w:p>
              </w:tc>
              <w:tc>
                <w:tcPr>
                  <w:tcW w:w="760" w:type="pct"/>
                  <w:vAlign w:val="center"/>
                </w:tcPr>
                <w:p w14:paraId="2E37BDC6" w14:textId="7B11CFF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0.9t/a</w:t>
                  </w:r>
                </w:p>
                <w:p w14:paraId="2B780EA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0.1</w:t>
                  </w:r>
                  <w:r>
                    <w:rPr>
                      <w:rFonts w:cs="Times New Roman" w:hint="eastAsia"/>
                      <w:sz w:val="21"/>
                      <w:szCs w:val="21"/>
                    </w:rPr>
                    <w:t>1kg/h</w:t>
                  </w:r>
                </w:p>
                <w:p w14:paraId="37D5E4B8" w14:textId="2F26CB5B"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2</w:t>
                  </w:r>
                  <w:r>
                    <w:rPr>
                      <w:rFonts w:cs="Times New Roman" w:hint="eastAsia"/>
                      <w:sz w:val="21"/>
                      <w:szCs w:val="21"/>
                    </w:rPr>
                    <w:t>2</w:t>
                  </w:r>
                  <w:r>
                    <w:rPr>
                      <w:rFonts w:cs="Times New Roman"/>
                      <w:sz w:val="21"/>
                      <w:szCs w:val="21"/>
                    </w:rPr>
                    <w:t>mg/m</w:t>
                  </w:r>
                  <w:r>
                    <w:rPr>
                      <w:rFonts w:cs="Times New Roman"/>
                      <w:sz w:val="21"/>
                      <w:szCs w:val="21"/>
                      <w:vertAlign w:val="superscript"/>
                    </w:rPr>
                    <w:t>3</w:t>
                  </w:r>
                </w:p>
              </w:tc>
            </w:tr>
            <w:tr w:rsidR="003C4F46" w14:paraId="14EF36A4" w14:textId="77777777">
              <w:trPr>
                <w:trHeight w:val="422"/>
                <w:jc w:val="center"/>
              </w:trPr>
              <w:tc>
                <w:tcPr>
                  <w:tcW w:w="295" w:type="pct"/>
                  <w:vMerge/>
                  <w:vAlign w:val="center"/>
                </w:tcPr>
                <w:p w14:paraId="558CA676"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22" w:type="pct"/>
                  <w:vMerge/>
                  <w:vAlign w:val="center"/>
                </w:tcPr>
                <w:p w14:paraId="0FDAD73C"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734" w:type="pct"/>
                  <w:vAlign w:val="center"/>
                </w:tcPr>
                <w:p w14:paraId="597FCE8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硫酸雾</w:t>
                  </w:r>
                </w:p>
              </w:tc>
              <w:tc>
                <w:tcPr>
                  <w:tcW w:w="735" w:type="pct"/>
                  <w:vAlign w:val="center"/>
                </w:tcPr>
                <w:p w14:paraId="1722A739"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color w:val="000000" w:themeColor="text1"/>
                      <w:sz w:val="21"/>
                      <w:szCs w:val="21"/>
                    </w:rPr>
                    <w:t>0.05</w:t>
                  </w:r>
                  <w:r>
                    <w:rPr>
                      <w:rFonts w:cs="Times New Roman" w:hint="eastAsia"/>
                      <w:color w:val="000000" w:themeColor="text1"/>
                      <w:sz w:val="21"/>
                      <w:szCs w:val="21"/>
                    </w:rPr>
                    <w:t>4t/a</w:t>
                  </w:r>
                </w:p>
                <w:p w14:paraId="2776068E"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color w:val="000000" w:themeColor="text1"/>
                      <w:sz w:val="21"/>
                      <w:szCs w:val="21"/>
                    </w:rPr>
                    <w:t>0.006</w:t>
                  </w:r>
                  <w:r>
                    <w:rPr>
                      <w:rFonts w:cs="Times New Roman" w:hint="eastAsia"/>
                      <w:color w:val="000000" w:themeColor="text1"/>
                      <w:sz w:val="21"/>
                      <w:szCs w:val="21"/>
                    </w:rPr>
                    <w:t>8kg/h</w:t>
                  </w:r>
                </w:p>
              </w:tc>
              <w:tc>
                <w:tcPr>
                  <w:tcW w:w="411" w:type="pct"/>
                  <w:vMerge/>
                  <w:vAlign w:val="center"/>
                </w:tcPr>
                <w:p w14:paraId="75E64F0C"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813" w:type="pct"/>
                  <w:vMerge/>
                  <w:vAlign w:val="center"/>
                </w:tcPr>
                <w:p w14:paraId="1F737AEB" w14:textId="77777777" w:rsidR="003C4F46" w:rsidRDefault="003C4F46">
                  <w:pPr>
                    <w:adjustRightInd w:val="0"/>
                    <w:snapToGrid w:val="0"/>
                    <w:spacing w:line="240" w:lineRule="auto"/>
                    <w:ind w:firstLineChars="0" w:firstLine="0"/>
                    <w:jc w:val="center"/>
                    <w:textAlignment w:val="auto"/>
                    <w:rPr>
                      <w:rFonts w:cs="Times New Roman"/>
                      <w:sz w:val="21"/>
                      <w:szCs w:val="21"/>
                      <w:highlight w:val="yellow"/>
                    </w:rPr>
                  </w:pPr>
                </w:p>
              </w:tc>
              <w:tc>
                <w:tcPr>
                  <w:tcW w:w="499" w:type="pct"/>
                  <w:vAlign w:val="center"/>
                </w:tcPr>
                <w:p w14:paraId="2C3F5114"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90%</w:t>
                  </w:r>
                </w:p>
              </w:tc>
              <w:tc>
                <w:tcPr>
                  <w:tcW w:w="429" w:type="pct"/>
                  <w:vMerge/>
                  <w:vAlign w:val="center"/>
                </w:tcPr>
                <w:p w14:paraId="14163F97"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760" w:type="pct"/>
                  <w:vAlign w:val="center"/>
                </w:tcPr>
                <w:p w14:paraId="349236BC"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0.0049</w:t>
                  </w:r>
                  <w:r>
                    <w:rPr>
                      <w:rFonts w:cs="Times New Roman"/>
                      <w:sz w:val="21"/>
                      <w:szCs w:val="21"/>
                    </w:rPr>
                    <w:t>t/a</w:t>
                  </w:r>
                </w:p>
                <w:p w14:paraId="684A8A9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0.00</w:t>
                  </w:r>
                  <w:r>
                    <w:rPr>
                      <w:rFonts w:cs="Times New Roman" w:hint="eastAsia"/>
                      <w:sz w:val="21"/>
                      <w:szCs w:val="21"/>
                    </w:rPr>
                    <w:t>06kg/h</w:t>
                  </w:r>
                </w:p>
                <w:p w14:paraId="0EB3707D"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0.124</w:t>
                  </w:r>
                  <w:r>
                    <w:rPr>
                      <w:rFonts w:cs="Times New Roman"/>
                      <w:sz w:val="21"/>
                      <w:szCs w:val="21"/>
                    </w:rPr>
                    <w:t>mg/m</w:t>
                  </w:r>
                  <w:r>
                    <w:rPr>
                      <w:rFonts w:cs="Times New Roman"/>
                      <w:sz w:val="21"/>
                      <w:szCs w:val="21"/>
                      <w:vertAlign w:val="superscript"/>
                    </w:rPr>
                    <w:t>3</w:t>
                  </w:r>
                </w:p>
              </w:tc>
            </w:tr>
            <w:tr w:rsidR="003C4F46" w14:paraId="53E8D005" w14:textId="77777777">
              <w:trPr>
                <w:trHeight w:val="55"/>
                <w:jc w:val="center"/>
              </w:trPr>
              <w:tc>
                <w:tcPr>
                  <w:tcW w:w="295" w:type="pct"/>
                  <w:vMerge w:val="restart"/>
                  <w:vAlign w:val="center"/>
                </w:tcPr>
                <w:p w14:paraId="380FF324"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2</w:t>
                  </w:r>
                </w:p>
              </w:tc>
              <w:tc>
                <w:tcPr>
                  <w:tcW w:w="322" w:type="pct"/>
                  <w:vMerge/>
                  <w:vAlign w:val="center"/>
                </w:tcPr>
                <w:p w14:paraId="56EF8372"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734" w:type="pct"/>
                  <w:vAlign w:val="center"/>
                </w:tcPr>
                <w:p w14:paraId="3D927E5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非甲烷总烃</w:t>
                  </w:r>
                </w:p>
              </w:tc>
              <w:tc>
                <w:tcPr>
                  <w:tcW w:w="735" w:type="pct"/>
                  <w:vAlign w:val="center"/>
                </w:tcPr>
                <w:p w14:paraId="38048AFF"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0.149</w:t>
                  </w:r>
                  <w:r>
                    <w:rPr>
                      <w:rFonts w:cs="Times New Roman"/>
                      <w:sz w:val="21"/>
                      <w:szCs w:val="21"/>
                    </w:rPr>
                    <w:t>t/a</w:t>
                  </w:r>
                </w:p>
                <w:p w14:paraId="21551A80"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sz w:val="21"/>
                      <w:szCs w:val="21"/>
                    </w:rPr>
                    <w:t>0.019kg/h</w:t>
                  </w:r>
                </w:p>
              </w:tc>
              <w:tc>
                <w:tcPr>
                  <w:tcW w:w="411" w:type="pct"/>
                  <w:vMerge w:val="restart"/>
                  <w:vAlign w:val="center"/>
                </w:tcPr>
                <w:p w14:paraId="58E66D6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无</w:t>
                  </w:r>
                  <w:r>
                    <w:rPr>
                      <w:rFonts w:cs="Times New Roman"/>
                      <w:sz w:val="21"/>
                      <w:szCs w:val="21"/>
                    </w:rPr>
                    <w:t>组织</w:t>
                  </w:r>
                </w:p>
              </w:tc>
              <w:tc>
                <w:tcPr>
                  <w:tcW w:w="813" w:type="pct"/>
                  <w:vMerge w:val="restart"/>
                  <w:vAlign w:val="center"/>
                </w:tcPr>
                <w:p w14:paraId="1AFEE3A7" w14:textId="77777777" w:rsidR="003C4F46" w:rsidRDefault="004B6A81">
                  <w:pPr>
                    <w:adjustRightInd w:val="0"/>
                    <w:snapToGrid w:val="0"/>
                    <w:spacing w:line="240" w:lineRule="auto"/>
                    <w:ind w:firstLineChars="0" w:firstLine="0"/>
                    <w:jc w:val="center"/>
                    <w:textAlignment w:val="auto"/>
                    <w:rPr>
                      <w:rFonts w:cs="Times New Roman"/>
                      <w:sz w:val="21"/>
                      <w:szCs w:val="21"/>
                      <w:highlight w:val="yellow"/>
                    </w:rPr>
                  </w:pPr>
                  <w:r>
                    <w:rPr>
                      <w:rFonts w:cs="Times New Roman" w:hint="eastAsia"/>
                      <w:sz w:val="21"/>
                      <w:szCs w:val="21"/>
                    </w:rPr>
                    <w:t>密闭贮存库</w:t>
                  </w:r>
                </w:p>
              </w:tc>
              <w:tc>
                <w:tcPr>
                  <w:tcW w:w="499" w:type="pct"/>
                  <w:vMerge w:val="restart"/>
                  <w:vAlign w:val="center"/>
                </w:tcPr>
                <w:p w14:paraId="3F704719"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w:t>
                  </w:r>
                </w:p>
              </w:tc>
              <w:tc>
                <w:tcPr>
                  <w:tcW w:w="429" w:type="pct"/>
                  <w:vMerge w:val="restart"/>
                  <w:vAlign w:val="center"/>
                </w:tcPr>
                <w:p w14:paraId="51646438"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w:t>
                  </w:r>
                </w:p>
              </w:tc>
              <w:tc>
                <w:tcPr>
                  <w:tcW w:w="760" w:type="pct"/>
                  <w:vAlign w:val="center"/>
                </w:tcPr>
                <w:p w14:paraId="1365A5E4"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0.149</w:t>
                  </w:r>
                  <w:r>
                    <w:rPr>
                      <w:rFonts w:cs="Times New Roman"/>
                      <w:sz w:val="21"/>
                      <w:szCs w:val="21"/>
                    </w:rPr>
                    <w:t>t/a</w:t>
                  </w:r>
                </w:p>
                <w:p w14:paraId="3D99E4BC" w14:textId="77777777" w:rsidR="003C4F46" w:rsidRDefault="004B6A81">
                  <w:pPr>
                    <w:pStyle w:val="af6"/>
                    <w:spacing w:line="240" w:lineRule="auto"/>
                    <w:ind w:left="199" w:hangingChars="95" w:hanging="199"/>
                    <w:jc w:val="center"/>
                    <w:rPr>
                      <w:rFonts w:cs="Times New Roman"/>
                      <w:sz w:val="21"/>
                      <w:szCs w:val="21"/>
                    </w:rPr>
                  </w:pPr>
                  <w:r>
                    <w:rPr>
                      <w:rFonts w:cs="Times New Roman"/>
                      <w:sz w:val="21"/>
                      <w:szCs w:val="21"/>
                    </w:rPr>
                    <w:t>0.019kg/h</w:t>
                  </w:r>
                </w:p>
              </w:tc>
            </w:tr>
            <w:tr w:rsidR="003C4F46" w14:paraId="263CC3F0" w14:textId="77777777">
              <w:trPr>
                <w:trHeight w:val="55"/>
                <w:jc w:val="center"/>
              </w:trPr>
              <w:tc>
                <w:tcPr>
                  <w:tcW w:w="295" w:type="pct"/>
                  <w:vMerge/>
                  <w:vAlign w:val="center"/>
                </w:tcPr>
                <w:p w14:paraId="258133D9"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322" w:type="pct"/>
                  <w:vMerge/>
                  <w:vAlign w:val="center"/>
                </w:tcPr>
                <w:p w14:paraId="68AED21D"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734" w:type="pct"/>
                  <w:vAlign w:val="center"/>
                </w:tcPr>
                <w:p w14:paraId="15BF8AEA"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硫酸雾</w:t>
                  </w:r>
                </w:p>
              </w:tc>
              <w:tc>
                <w:tcPr>
                  <w:tcW w:w="735" w:type="pct"/>
                  <w:vAlign w:val="center"/>
                </w:tcPr>
                <w:p w14:paraId="7040E774"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color w:val="000000" w:themeColor="text1"/>
                      <w:sz w:val="21"/>
                      <w:szCs w:val="21"/>
                    </w:rPr>
                    <w:t>0.0</w:t>
                  </w:r>
                  <w:r>
                    <w:rPr>
                      <w:rFonts w:cs="Times New Roman" w:hint="eastAsia"/>
                      <w:color w:val="000000" w:themeColor="text1"/>
                      <w:sz w:val="21"/>
                      <w:szCs w:val="21"/>
                    </w:rPr>
                    <w:t>0</w:t>
                  </w:r>
                  <w:r>
                    <w:rPr>
                      <w:rFonts w:cs="Times New Roman"/>
                      <w:color w:val="000000" w:themeColor="text1"/>
                      <w:sz w:val="21"/>
                      <w:szCs w:val="21"/>
                    </w:rPr>
                    <w:t>5</w:t>
                  </w:r>
                  <w:r>
                    <w:rPr>
                      <w:rFonts w:cs="Times New Roman" w:hint="eastAsia"/>
                      <w:color w:val="000000" w:themeColor="text1"/>
                      <w:sz w:val="21"/>
                      <w:szCs w:val="21"/>
                    </w:rPr>
                    <w:t>4t/a</w:t>
                  </w:r>
                </w:p>
                <w:p w14:paraId="04FC530B"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color w:val="000000" w:themeColor="text1"/>
                      <w:sz w:val="21"/>
                      <w:szCs w:val="21"/>
                    </w:rPr>
                    <w:t>0.00</w:t>
                  </w:r>
                  <w:r>
                    <w:rPr>
                      <w:rFonts w:cs="Times New Roman" w:hint="eastAsia"/>
                      <w:color w:val="000000" w:themeColor="text1"/>
                      <w:sz w:val="21"/>
                      <w:szCs w:val="21"/>
                    </w:rPr>
                    <w:t>0</w:t>
                  </w:r>
                  <w:r>
                    <w:rPr>
                      <w:rFonts w:cs="Times New Roman"/>
                      <w:color w:val="000000" w:themeColor="text1"/>
                      <w:sz w:val="21"/>
                      <w:szCs w:val="21"/>
                    </w:rPr>
                    <w:t>6</w:t>
                  </w:r>
                  <w:r>
                    <w:rPr>
                      <w:rFonts w:cs="Times New Roman" w:hint="eastAsia"/>
                      <w:color w:val="000000" w:themeColor="text1"/>
                      <w:sz w:val="21"/>
                      <w:szCs w:val="21"/>
                    </w:rPr>
                    <w:t>8kg/h</w:t>
                  </w:r>
                </w:p>
              </w:tc>
              <w:tc>
                <w:tcPr>
                  <w:tcW w:w="411" w:type="pct"/>
                  <w:vMerge/>
                  <w:vAlign w:val="center"/>
                </w:tcPr>
                <w:p w14:paraId="5F0A70E3"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813" w:type="pct"/>
                  <w:vMerge/>
                  <w:vAlign w:val="center"/>
                </w:tcPr>
                <w:p w14:paraId="2E998E88" w14:textId="77777777" w:rsidR="003C4F46" w:rsidRDefault="003C4F46">
                  <w:pPr>
                    <w:adjustRightInd w:val="0"/>
                    <w:snapToGrid w:val="0"/>
                    <w:spacing w:line="240" w:lineRule="auto"/>
                    <w:ind w:firstLineChars="0" w:firstLine="0"/>
                    <w:jc w:val="center"/>
                    <w:textAlignment w:val="auto"/>
                    <w:rPr>
                      <w:rFonts w:cs="Times New Roman"/>
                      <w:sz w:val="21"/>
                      <w:szCs w:val="21"/>
                      <w:highlight w:val="yellow"/>
                    </w:rPr>
                  </w:pPr>
                </w:p>
              </w:tc>
              <w:tc>
                <w:tcPr>
                  <w:tcW w:w="499" w:type="pct"/>
                  <w:vMerge/>
                  <w:vAlign w:val="center"/>
                </w:tcPr>
                <w:p w14:paraId="53FDB79E"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429" w:type="pct"/>
                  <w:vMerge/>
                  <w:vAlign w:val="center"/>
                </w:tcPr>
                <w:p w14:paraId="477A1BCA" w14:textId="77777777" w:rsidR="003C4F46" w:rsidRDefault="003C4F46">
                  <w:pPr>
                    <w:adjustRightInd w:val="0"/>
                    <w:snapToGrid w:val="0"/>
                    <w:spacing w:line="240" w:lineRule="auto"/>
                    <w:ind w:firstLineChars="0" w:firstLine="0"/>
                    <w:jc w:val="center"/>
                    <w:textAlignment w:val="auto"/>
                    <w:rPr>
                      <w:rFonts w:cs="Times New Roman"/>
                      <w:sz w:val="21"/>
                      <w:szCs w:val="21"/>
                    </w:rPr>
                  </w:pPr>
                </w:p>
              </w:tc>
              <w:tc>
                <w:tcPr>
                  <w:tcW w:w="760" w:type="pct"/>
                  <w:vAlign w:val="center"/>
                </w:tcPr>
                <w:p w14:paraId="3288E3BC"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color w:val="000000" w:themeColor="text1"/>
                      <w:sz w:val="21"/>
                      <w:szCs w:val="21"/>
                    </w:rPr>
                    <w:t>0.0</w:t>
                  </w:r>
                  <w:r>
                    <w:rPr>
                      <w:rFonts w:cs="Times New Roman" w:hint="eastAsia"/>
                      <w:color w:val="000000" w:themeColor="text1"/>
                      <w:sz w:val="21"/>
                      <w:szCs w:val="21"/>
                    </w:rPr>
                    <w:t>0</w:t>
                  </w:r>
                  <w:r>
                    <w:rPr>
                      <w:rFonts w:cs="Times New Roman"/>
                      <w:color w:val="000000" w:themeColor="text1"/>
                      <w:sz w:val="21"/>
                      <w:szCs w:val="21"/>
                    </w:rPr>
                    <w:t>5</w:t>
                  </w:r>
                  <w:r>
                    <w:rPr>
                      <w:rFonts w:cs="Times New Roman" w:hint="eastAsia"/>
                      <w:color w:val="000000" w:themeColor="text1"/>
                      <w:sz w:val="21"/>
                      <w:szCs w:val="21"/>
                    </w:rPr>
                    <w:t>4t/a</w:t>
                  </w:r>
                </w:p>
                <w:p w14:paraId="4895647C"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color w:val="000000" w:themeColor="text1"/>
                      <w:sz w:val="21"/>
                      <w:szCs w:val="21"/>
                    </w:rPr>
                    <w:t>0.00</w:t>
                  </w:r>
                  <w:r>
                    <w:rPr>
                      <w:rFonts w:cs="Times New Roman" w:hint="eastAsia"/>
                      <w:color w:val="000000" w:themeColor="text1"/>
                      <w:sz w:val="21"/>
                      <w:szCs w:val="21"/>
                    </w:rPr>
                    <w:t>0</w:t>
                  </w:r>
                  <w:r>
                    <w:rPr>
                      <w:rFonts w:cs="Times New Roman"/>
                      <w:color w:val="000000" w:themeColor="text1"/>
                      <w:sz w:val="21"/>
                      <w:szCs w:val="21"/>
                    </w:rPr>
                    <w:t>6</w:t>
                  </w:r>
                  <w:r>
                    <w:rPr>
                      <w:rFonts w:cs="Times New Roman" w:hint="eastAsia"/>
                      <w:color w:val="000000" w:themeColor="text1"/>
                      <w:sz w:val="21"/>
                      <w:szCs w:val="21"/>
                    </w:rPr>
                    <w:t>8kg/h</w:t>
                  </w:r>
                </w:p>
              </w:tc>
            </w:tr>
            <w:tr w:rsidR="003C4F46" w14:paraId="7D9B552B" w14:textId="77777777">
              <w:trPr>
                <w:trHeight w:val="158"/>
                <w:jc w:val="center"/>
              </w:trPr>
              <w:tc>
                <w:tcPr>
                  <w:tcW w:w="295" w:type="pct"/>
                  <w:vAlign w:val="center"/>
                </w:tcPr>
                <w:p w14:paraId="04358E55"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3</w:t>
                  </w:r>
                </w:p>
              </w:tc>
              <w:tc>
                <w:tcPr>
                  <w:tcW w:w="322" w:type="pct"/>
                  <w:vAlign w:val="center"/>
                </w:tcPr>
                <w:p w14:paraId="15A1F294" w14:textId="69A0CC38"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储罐</w:t>
                  </w:r>
                </w:p>
              </w:tc>
              <w:tc>
                <w:tcPr>
                  <w:tcW w:w="734" w:type="pct"/>
                  <w:vAlign w:val="center"/>
                </w:tcPr>
                <w:p w14:paraId="00E3C4E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非甲烷总烃</w:t>
                  </w:r>
                </w:p>
              </w:tc>
              <w:tc>
                <w:tcPr>
                  <w:tcW w:w="735" w:type="pct"/>
                  <w:vAlign w:val="center"/>
                </w:tcPr>
                <w:p w14:paraId="3D048630"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0.363t/a</w:t>
                  </w:r>
                </w:p>
                <w:p w14:paraId="719CBDD8"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0.046kg/h</w:t>
                  </w:r>
                </w:p>
              </w:tc>
              <w:tc>
                <w:tcPr>
                  <w:tcW w:w="411" w:type="pct"/>
                  <w:vAlign w:val="center"/>
                </w:tcPr>
                <w:p w14:paraId="252C0E0B"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无组织</w:t>
                  </w:r>
                </w:p>
              </w:tc>
              <w:tc>
                <w:tcPr>
                  <w:tcW w:w="813" w:type="pct"/>
                  <w:vAlign w:val="center"/>
                </w:tcPr>
                <w:p w14:paraId="2623782A" w14:textId="584F03AB" w:rsidR="003C4F46" w:rsidRDefault="00691223">
                  <w:pPr>
                    <w:adjustRightInd w:val="0"/>
                    <w:snapToGrid w:val="0"/>
                    <w:spacing w:line="240" w:lineRule="auto"/>
                    <w:ind w:firstLineChars="0" w:firstLine="0"/>
                    <w:textAlignment w:val="auto"/>
                    <w:rPr>
                      <w:rFonts w:cs="Times New Roman"/>
                      <w:sz w:val="21"/>
                      <w:szCs w:val="21"/>
                    </w:rPr>
                  </w:pPr>
                  <w:r w:rsidRPr="00691223">
                    <w:rPr>
                      <w:rFonts w:cs="Times New Roman" w:hint="eastAsia"/>
                      <w:sz w:val="21"/>
                      <w:szCs w:val="21"/>
                    </w:rPr>
                    <w:t>固定顶罐</w:t>
                  </w:r>
                  <w:r w:rsidR="004B6A81">
                    <w:rPr>
                      <w:rFonts w:cs="Times New Roman" w:hint="eastAsia"/>
                      <w:sz w:val="21"/>
                      <w:szCs w:val="21"/>
                    </w:rPr>
                    <w:t>安装呼吸阀挡板，减少油品蒸发；卸油时采用卸油软管，密闭装车；收油时加大泵的流量使油品来不及大量蒸发，发油时减慢速度减缓罐内气体空间蒸汽浓度下降，减少“大呼吸”损耗</w:t>
                  </w:r>
                </w:p>
              </w:tc>
              <w:tc>
                <w:tcPr>
                  <w:tcW w:w="499" w:type="pct"/>
                  <w:vAlign w:val="center"/>
                </w:tcPr>
                <w:p w14:paraId="39C5B7A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w:t>
                  </w:r>
                </w:p>
              </w:tc>
              <w:tc>
                <w:tcPr>
                  <w:tcW w:w="429" w:type="pct"/>
                  <w:vAlign w:val="center"/>
                </w:tcPr>
                <w:p w14:paraId="71226331"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w:t>
                  </w:r>
                </w:p>
              </w:tc>
              <w:tc>
                <w:tcPr>
                  <w:tcW w:w="760" w:type="pct"/>
                  <w:vAlign w:val="center"/>
                </w:tcPr>
                <w:p w14:paraId="4F44487C"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0.363t/a</w:t>
                  </w:r>
                </w:p>
                <w:p w14:paraId="099D964A"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0.046kg/h</w:t>
                  </w:r>
                </w:p>
              </w:tc>
            </w:tr>
          </w:tbl>
          <w:p w14:paraId="4B1F4CFB" w14:textId="77777777" w:rsidR="003C4F46" w:rsidRDefault="004B6A81">
            <w:pPr>
              <w:ind w:firstLineChars="0" w:firstLine="0"/>
              <w:rPr>
                <w:b/>
                <w:bCs/>
              </w:rPr>
            </w:pPr>
            <w:r>
              <w:rPr>
                <w:rFonts w:hint="eastAsia"/>
                <w:b/>
                <w:bCs/>
              </w:rPr>
              <w:lastRenderedPageBreak/>
              <w:t>4.2.1.2</w:t>
            </w:r>
            <w:r>
              <w:rPr>
                <w:rFonts w:hint="eastAsia"/>
                <w:b/>
                <w:bCs/>
              </w:rPr>
              <w:t>排放口基本情况</w:t>
            </w:r>
          </w:p>
          <w:p w14:paraId="0AD9047D" w14:textId="77777777" w:rsidR="003C4F46" w:rsidRDefault="004B6A81">
            <w:pPr>
              <w:ind w:firstLine="480"/>
            </w:pPr>
            <w:r>
              <w:rPr>
                <w:rFonts w:hint="eastAsia"/>
              </w:rPr>
              <w:t>该项目建成运营期间，有组织污染源排放口基本情况及排放标准见表</w:t>
            </w:r>
            <w:r>
              <w:rPr>
                <w:rFonts w:hint="eastAsia"/>
              </w:rPr>
              <w:t>4</w:t>
            </w:r>
            <w:r>
              <w:t>-2</w:t>
            </w:r>
            <w:r>
              <w:rPr>
                <w:rFonts w:hint="eastAsia"/>
              </w:rPr>
              <w:t>。</w:t>
            </w:r>
          </w:p>
          <w:p w14:paraId="428DF7F1" w14:textId="77777777" w:rsidR="003C4F46" w:rsidRDefault="004B6A81">
            <w:pPr>
              <w:adjustRightInd w:val="0"/>
              <w:snapToGrid w:val="0"/>
              <w:spacing w:line="240" w:lineRule="auto"/>
              <w:ind w:firstLineChars="0" w:firstLine="0"/>
              <w:jc w:val="center"/>
              <w:textAlignment w:val="auto"/>
              <w:rPr>
                <w:rFonts w:cs="Times New Roman"/>
                <w:b/>
                <w:sz w:val="21"/>
                <w:szCs w:val="21"/>
              </w:rPr>
            </w:pPr>
            <w:r>
              <w:rPr>
                <w:rFonts w:cs="Times New Roman" w:hint="eastAsia"/>
                <w:b/>
                <w:sz w:val="21"/>
                <w:szCs w:val="21"/>
              </w:rPr>
              <w:t>表</w:t>
            </w:r>
            <w:r>
              <w:rPr>
                <w:rFonts w:cs="Times New Roman" w:hint="eastAsia"/>
                <w:b/>
                <w:sz w:val="21"/>
                <w:szCs w:val="21"/>
              </w:rPr>
              <w:t>4-</w:t>
            </w:r>
            <w:r>
              <w:rPr>
                <w:rFonts w:cs="Times New Roman"/>
                <w:b/>
                <w:sz w:val="21"/>
                <w:szCs w:val="21"/>
              </w:rPr>
              <w:t>2</w:t>
            </w:r>
            <w:r>
              <w:rPr>
                <w:rFonts w:cs="Times New Roman" w:hint="eastAsia"/>
                <w:b/>
                <w:sz w:val="21"/>
                <w:szCs w:val="21"/>
              </w:rPr>
              <w:t xml:space="preserve">  </w:t>
            </w:r>
            <w:r>
              <w:rPr>
                <w:rFonts w:cs="Times New Roman" w:hint="eastAsia"/>
                <w:b/>
                <w:sz w:val="21"/>
                <w:szCs w:val="21"/>
              </w:rPr>
              <w:t>排放口基本情况一览表</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90"/>
              <w:gridCol w:w="819"/>
              <w:gridCol w:w="2041"/>
              <w:gridCol w:w="743"/>
              <w:gridCol w:w="637"/>
              <w:gridCol w:w="673"/>
              <w:gridCol w:w="743"/>
              <w:gridCol w:w="862"/>
              <w:gridCol w:w="1213"/>
            </w:tblGrid>
            <w:tr w:rsidR="003C4F46" w14:paraId="60849788" w14:textId="77777777">
              <w:trPr>
                <w:trHeight w:val="757"/>
              </w:trPr>
              <w:tc>
                <w:tcPr>
                  <w:tcW w:w="463" w:type="pct"/>
                  <w:vAlign w:val="center"/>
                </w:tcPr>
                <w:p w14:paraId="5B6DABCB"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名称</w:t>
                  </w:r>
                </w:p>
              </w:tc>
              <w:tc>
                <w:tcPr>
                  <w:tcW w:w="480" w:type="pct"/>
                  <w:vAlign w:val="center"/>
                </w:tcPr>
                <w:p w14:paraId="19648362"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编号</w:t>
                  </w:r>
                </w:p>
              </w:tc>
              <w:tc>
                <w:tcPr>
                  <w:tcW w:w="1197" w:type="pct"/>
                  <w:vAlign w:val="center"/>
                </w:tcPr>
                <w:p w14:paraId="40110B03"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坐标</w:t>
                  </w:r>
                </w:p>
              </w:tc>
              <w:tc>
                <w:tcPr>
                  <w:tcW w:w="436" w:type="pct"/>
                  <w:vAlign w:val="center"/>
                </w:tcPr>
                <w:p w14:paraId="68E045B5"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b/>
                      <w:kern w:val="0"/>
                      <w:sz w:val="21"/>
                      <w:szCs w:val="21"/>
                    </w:rPr>
                    <w:t>污染物</w:t>
                  </w:r>
                </w:p>
              </w:tc>
              <w:tc>
                <w:tcPr>
                  <w:tcW w:w="374" w:type="pct"/>
                  <w:vAlign w:val="center"/>
                </w:tcPr>
                <w:p w14:paraId="7EDF25DD"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高度</w:t>
                  </w:r>
                  <w:r>
                    <w:rPr>
                      <w:rFonts w:cs="Times New Roman" w:hint="eastAsia"/>
                      <w:b/>
                      <w:kern w:val="0"/>
                      <w:sz w:val="21"/>
                      <w:szCs w:val="21"/>
                    </w:rPr>
                    <w:br/>
                  </w:r>
                  <w:r>
                    <w:rPr>
                      <w:rFonts w:cs="Times New Roman" w:hint="eastAsia"/>
                      <w:b/>
                      <w:kern w:val="0"/>
                      <w:sz w:val="21"/>
                      <w:szCs w:val="21"/>
                    </w:rPr>
                    <w:t>（</w:t>
                  </w:r>
                  <w:r>
                    <w:rPr>
                      <w:rFonts w:cs="Times New Roman" w:hint="eastAsia"/>
                      <w:b/>
                      <w:kern w:val="0"/>
                      <w:sz w:val="21"/>
                      <w:szCs w:val="21"/>
                    </w:rPr>
                    <w:t>m</w:t>
                  </w:r>
                  <w:r>
                    <w:rPr>
                      <w:rFonts w:cs="Times New Roman" w:hint="eastAsia"/>
                      <w:b/>
                      <w:kern w:val="0"/>
                      <w:sz w:val="21"/>
                      <w:szCs w:val="21"/>
                    </w:rPr>
                    <w:t>）</w:t>
                  </w:r>
                </w:p>
              </w:tc>
              <w:tc>
                <w:tcPr>
                  <w:tcW w:w="395" w:type="pct"/>
                  <w:vAlign w:val="center"/>
                </w:tcPr>
                <w:p w14:paraId="51BC8BD1"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内径</w:t>
                  </w:r>
                </w:p>
                <w:p w14:paraId="494CA692"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w:t>
                  </w:r>
                  <w:r>
                    <w:rPr>
                      <w:rFonts w:cs="Times New Roman" w:hint="eastAsia"/>
                      <w:b/>
                      <w:kern w:val="0"/>
                      <w:sz w:val="21"/>
                      <w:szCs w:val="21"/>
                    </w:rPr>
                    <w:t>m</w:t>
                  </w:r>
                  <w:r>
                    <w:rPr>
                      <w:rFonts w:cs="Times New Roman" w:hint="eastAsia"/>
                      <w:b/>
                      <w:kern w:val="0"/>
                      <w:sz w:val="21"/>
                      <w:szCs w:val="21"/>
                    </w:rPr>
                    <w:t>）</w:t>
                  </w:r>
                </w:p>
              </w:tc>
              <w:tc>
                <w:tcPr>
                  <w:tcW w:w="436" w:type="pct"/>
                  <w:vAlign w:val="center"/>
                </w:tcPr>
                <w:p w14:paraId="1C9EFA1F"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出口</w:t>
                  </w:r>
                </w:p>
                <w:p w14:paraId="19EE2AE4"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温度</w:t>
                  </w:r>
                </w:p>
                <w:p w14:paraId="60F02612"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b/>
                      <w:kern w:val="0"/>
                      <w:sz w:val="21"/>
                      <w:szCs w:val="21"/>
                    </w:rPr>
                    <w:t>（</w:t>
                  </w:r>
                  <w:r>
                    <w:rPr>
                      <w:rFonts w:cs="Times New Roman" w:hint="eastAsia"/>
                      <w:b/>
                      <w:kern w:val="0"/>
                      <w:sz w:val="21"/>
                      <w:szCs w:val="21"/>
                    </w:rPr>
                    <w:t>℃</w:t>
                  </w:r>
                  <w:r>
                    <w:rPr>
                      <w:rFonts w:cs="Times New Roman"/>
                      <w:b/>
                      <w:kern w:val="0"/>
                      <w:sz w:val="21"/>
                      <w:szCs w:val="21"/>
                    </w:rPr>
                    <w:t>）</w:t>
                  </w:r>
                </w:p>
              </w:tc>
              <w:tc>
                <w:tcPr>
                  <w:tcW w:w="506" w:type="pct"/>
                  <w:vAlign w:val="center"/>
                </w:tcPr>
                <w:p w14:paraId="77F1780C"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年排放小时数</w:t>
                  </w:r>
                </w:p>
                <w:p w14:paraId="059759B3"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w:t>
                  </w:r>
                  <w:r>
                    <w:rPr>
                      <w:rFonts w:cs="Times New Roman" w:hint="eastAsia"/>
                      <w:b/>
                      <w:kern w:val="0"/>
                      <w:sz w:val="21"/>
                      <w:szCs w:val="21"/>
                    </w:rPr>
                    <w:t>h</w:t>
                  </w:r>
                  <w:r>
                    <w:rPr>
                      <w:rFonts w:cs="Times New Roman" w:hint="eastAsia"/>
                      <w:b/>
                      <w:kern w:val="0"/>
                      <w:sz w:val="21"/>
                      <w:szCs w:val="21"/>
                    </w:rPr>
                    <w:t>）</w:t>
                  </w:r>
                </w:p>
              </w:tc>
              <w:tc>
                <w:tcPr>
                  <w:tcW w:w="712" w:type="pct"/>
                  <w:vAlign w:val="center"/>
                </w:tcPr>
                <w:p w14:paraId="1A58ECE4"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
                      <w:kern w:val="0"/>
                      <w:sz w:val="21"/>
                      <w:szCs w:val="21"/>
                    </w:rPr>
                  </w:pPr>
                  <w:r>
                    <w:rPr>
                      <w:rFonts w:cs="Times New Roman" w:hint="eastAsia"/>
                      <w:b/>
                      <w:kern w:val="0"/>
                      <w:sz w:val="21"/>
                      <w:szCs w:val="21"/>
                    </w:rPr>
                    <w:t>类型</w:t>
                  </w:r>
                </w:p>
              </w:tc>
            </w:tr>
            <w:tr w:rsidR="003C4F46" w14:paraId="07688159" w14:textId="77777777">
              <w:trPr>
                <w:trHeight w:val="401"/>
              </w:trPr>
              <w:tc>
                <w:tcPr>
                  <w:tcW w:w="463" w:type="pct"/>
                  <w:vMerge w:val="restart"/>
                  <w:vAlign w:val="center"/>
                </w:tcPr>
                <w:p w14:paraId="59B618CB" w14:textId="24EBAE5F"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贮存</w:t>
                  </w:r>
                  <w:r w:rsidR="00CF46A4" w:rsidRPr="00CF46A4">
                    <w:rPr>
                      <w:rFonts w:cs="Times New Roman" w:hint="eastAsia"/>
                      <w:color w:val="000000" w:themeColor="text1"/>
                      <w:sz w:val="21"/>
                      <w:szCs w:val="21"/>
                    </w:rPr>
                    <w:t>库</w:t>
                  </w:r>
                  <w:r>
                    <w:rPr>
                      <w:rFonts w:cs="Times New Roman" w:hint="eastAsia"/>
                      <w:bCs/>
                      <w:kern w:val="0"/>
                      <w:sz w:val="21"/>
                      <w:szCs w:val="21"/>
                    </w:rPr>
                    <w:t>排气筒</w:t>
                  </w:r>
                </w:p>
              </w:tc>
              <w:tc>
                <w:tcPr>
                  <w:tcW w:w="480" w:type="pct"/>
                  <w:vMerge w:val="restart"/>
                  <w:vAlign w:val="center"/>
                </w:tcPr>
                <w:p w14:paraId="39E1FC2A"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DA005</w:t>
                  </w:r>
                </w:p>
              </w:tc>
              <w:tc>
                <w:tcPr>
                  <w:tcW w:w="1197" w:type="pct"/>
                  <w:vMerge w:val="restart"/>
                  <w:vAlign w:val="center"/>
                </w:tcPr>
                <w:p w14:paraId="2D93979F" w14:textId="7BFEC8F0"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436" w:type="pct"/>
                  <w:vAlign w:val="center"/>
                </w:tcPr>
                <w:p w14:paraId="122C89BA"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硫酸雾</w:t>
                  </w:r>
                </w:p>
              </w:tc>
              <w:tc>
                <w:tcPr>
                  <w:tcW w:w="374" w:type="pct"/>
                  <w:vMerge w:val="restart"/>
                  <w:vAlign w:val="center"/>
                </w:tcPr>
                <w:p w14:paraId="51AC6BAD"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15</w:t>
                  </w:r>
                </w:p>
              </w:tc>
              <w:tc>
                <w:tcPr>
                  <w:tcW w:w="395" w:type="pct"/>
                  <w:vMerge w:val="restart"/>
                  <w:vAlign w:val="center"/>
                </w:tcPr>
                <w:p w14:paraId="5EABB425"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0.2</w:t>
                  </w:r>
                </w:p>
              </w:tc>
              <w:tc>
                <w:tcPr>
                  <w:tcW w:w="436" w:type="pct"/>
                  <w:vMerge w:val="restart"/>
                  <w:vAlign w:val="center"/>
                </w:tcPr>
                <w:p w14:paraId="7C2AE9A5"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常温</w:t>
                  </w:r>
                </w:p>
              </w:tc>
              <w:tc>
                <w:tcPr>
                  <w:tcW w:w="506" w:type="pct"/>
                  <w:vMerge w:val="restart"/>
                  <w:vAlign w:val="center"/>
                </w:tcPr>
                <w:p w14:paraId="155268F6"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bCs/>
                      <w:kern w:val="0"/>
                      <w:sz w:val="21"/>
                      <w:szCs w:val="21"/>
                    </w:rPr>
                    <w:t>7920</w:t>
                  </w:r>
                </w:p>
              </w:tc>
              <w:tc>
                <w:tcPr>
                  <w:tcW w:w="712" w:type="pct"/>
                  <w:vMerge w:val="restart"/>
                  <w:vAlign w:val="center"/>
                </w:tcPr>
                <w:p w14:paraId="15916F53"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一般排放口</w:t>
                  </w:r>
                </w:p>
              </w:tc>
            </w:tr>
            <w:tr w:rsidR="003C4F46" w14:paraId="69A3E7A3" w14:textId="77777777">
              <w:trPr>
                <w:trHeight w:val="401"/>
              </w:trPr>
              <w:tc>
                <w:tcPr>
                  <w:tcW w:w="463" w:type="pct"/>
                  <w:vMerge/>
                  <w:vAlign w:val="center"/>
                </w:tcPr>
                <w:p w14:paraId="4F36DDAA"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480" w:type="pct"/>
                  <w:vMerge/>
                  <w:vAlign w:val="center"/>
                </w:tcPr>
                <w:p w14:paraId="06E2B4A7"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1197" w:type="pct"/>
                  <w:vMerge/>
                  <w:vAlign w:val="center"/>
                </w:tcPr>
                <w:p w14:paraId="423921BE"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436" w:type="pct"/>
                  <w:vAlign w:val="center"/>
                </w:tcPr>
                <w:p w14:paraId="24D03CE8" w14:textId="77777777" w:rsidR="003C4F46" w:rsidRDefault="004B6A81">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r>
                    <w:rPr>
                      <w:rFonts w:cs="Times New Roman" w:hint="eastAsia"/>
                      <w:bCs/>
                      <w:kern w:val="0"/>
                      <w:sz w:val="21"/>
                      <w:szCs w:val="21"/>
                    </w:rPr>
                    <w:t>VOCs</w:t>
                  </w:r>
                </w:p>
              </w:tc>
              <w:tc>
                <w:tcPr>
                  <w:tcW w:w="374" w:type="pct"/>
                  <w:vMerge/>
                  <w:vAlign w:val="center"/>
                </w:tcPr>
                <w:p w14:paraId="63BD63AD"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395" w:type="pct"/>
                  <w:vMerge/>
                  <w:vAlign w:val="center"/>
                </w:tcPr>
                <w:p w14:paraId="73A5C40E"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436" w:type="pct"/>
                  <w:vMerge/>
                  <w:vAlign w:val="center"/>
                </w:tcPr>
                <w:p w14:paraId="395F2F9E"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506" w:type="pct"/>
                  <w:vMerge/>
                  <w:vAlign w:val="center"/>
                </w:tcPr>
                <w:p w14:paraId="13B294D8"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c>
                <w:tcPr>
                  <w:tcW w:w="712" w:type="pct"/>
                  <w:vMerge/>
                  <w:vAlign w:val="center"/>
                </w:tcPr>
                <w:p w14:paraId="4504F125" w14:textId="77777777" w:rsidR="003C4F46" w:rsidRDefault="003C4F46">
                  <w:pPr>
                    <w:widowControl/>
                    <w:tabs>
                      <w:tab w:val="center" w:pos="4200"/>
                      <w:tab w:val="right" w:pos="8400"/>
                    </w:tabs>
                    <w:adjustRightInd w:val="0"/>
                    <w:snapToGrid w:val="0"/>
                    <w:spacing w:line="240" w:lineRule="auto"/>
                    <w:ind w:firstLineChars="0" w:firstLine="0"/>
                    <w:jc w:val="center"/>
                    <w:textAlignment w:val="auto"/>
                    <w:rPr>
                      <w:rFonts w:cs="Times New Roman"/>
                      <w:bCs/>
                      <w:kern w:val="0"/>
                      <w:sz w:val="21"/>
                      <w:szCs w:val="21"/>
                    </w:rPr>
                  </w:pPr>
                </w:p>
              </w:tc>
            </w:tr>
          </w:tbl>
          <w:p w14:paraId="4FFA5831" w14:textId="77777777" w:rsidR="003C4F46" w:rsidRDefault="004B6A81">
            <w:pPr>
              <w:ind w:firstLineChars="0" w:firstLine="0"/>
              <w:rPr>
                <w:b/>
                <w:bCs/>
              </w:rPr>
            </w:pPr>
            <w:r>
              <w:rPr>
                <w:rFonts w:hint="eastAsia"/>
                <w:b/>
                <w:bCs/>
              </w:rPr>
              <w:t>4</w:t>
            </w:r>
            <w:r>
              <w:rPr>
                <w:b/>
                <w:bCs/>
              </w:rPr>
              <w:t>.2.1.3</w:t>
            </w:r>
            <w:r>
              <w:rPr>
                <w:rFonts w:hint="eastAsia"/>
                <w:b/>
                <w:bCs/>
              </w:rPr>
              <w:t>废气污染控制措施及可行性分析</w:t>
            </w:r>
          </w:p>
          <w:p w14:paraId="521632EE" w14:textId="77777777" w:rsidR="003C4F46" w:rsidRDefault="004B6A81">
            <w:pPr>
              <w:ind w:firstLine="480"/>
              <w:textAlignment w:val="auto"/>
              <w:rPr>
                <w:rFonts w:cs="Times New Roman"/>
                <w:bCs/>
                <w:color w:val="000000"/>
                <w:szCs w:val="24"/>
              </w:rPr>
            </w:pPr>
            <w:r>
              <w:rPr>
                <w:rFonts w:cs="Times New Roman" w:hint="eastAsia"/>
                <w:bCs/>
                <w:color w:val="000000"/>
                <w:szCs w:val="24"/>
              </w:rPr>
              <w:t>项目废气主要为破损铅酸电池挥发产生的硫酸雾及废油品等物质产生的挥发性有机物，产生量较少。</w:t>
            </w:r>
          </w:p>
          <w:p w14:paraId="38ACBA37" w14:textId="645D07A9" w:rsidR="003C4F46" w:rsidRDefault="004B6A81">
            <w:pPr>
              <w:ind w:firstLine="480"/>
              <w:textAlignment w:val="auto"/>
              <w:rPr>
                <w:rFonts w:cs="Times New Roman"/>
                <w:bCs/>
                <w:color w:val="000000"/>
                <w:szCs w:val="24"/>
              </w:rPr>
            </w:pPr>
            <w:r>
              <w:rPr>
                <w:rFonts w:cs="Times New Roman" w:hint="eastAsia"/>
                <w:bCs/>
                <w:color w:val="000000"/>
                <w:szCs w:val="24"/>
              </w:rPr>
              <w:t>根据《</w:t>
            </w:r>
            <w:r w:rsidR="00691223" w:rsidRPr="00691223">
              <w:rPr>
                <w:rFonts w:cs="Times New Roman" w:hint="eastAsia"/>
                <w:bCs/>
                <w:color w:val="000000"/>
                <w:szCs w:val="24"/>
              </w:rPr>
              <w:t>新疆维吾尔自治区废铅蓄电池收集贮存和转移管理规范</w:t>
            </w:r>
            <w:r>
              <w:rPr>
                <w:rFonts w:cs="Times New Roman" w:hint="eastAsia"/>
                <w:bCs/>
                <w:color w:val="000000"/>
                <w:szCs w:val="24"/>
              </w:rPr>
              <w:t>（试行）》“应具有空气收集、排气系统，用以过滤空气中的含铅灰尘和更新空气”。根据《危险废物贮存污染控制标准》（</w:t>
            </w:r>
            <w:r>
              <w:rPr>
                <w:rFonts w:cs="Times New Roman" w:hint="eastAsia"/>
                <w:bCs/>
                <w:color w:val="000000"/>
                <w:szCs w:val="24"/>
              </w:rPr>
              <w:t>GB18597-2023</w:t>
            </w:r>
            <w:r>
              <w:rPr>
                <w:rFonts w:cs="Times New Roman" w:hint="eastAsia"/>
                <w:bCs/>
                <w:color w:val="000000"/>
                <w:szCs w:val="24"/>
              </w:rPr>
              <w:t>）要求，贮存易产生</w:t>
            </w:r>
            <w:r>
              <w:rPr>
                <w:rFonts w:cs="Times New Roman" w:hint="eastAsia"/>
                <w:bCs/>
                <w:color w:val="000000"/>
                <w:szCs w:val="24"/>
              </w:rPr>
              <w:t>VOCs</w:t>
            </w:r>
            <w:r>
              <w:rPr>
                <w:rFonts w:cs="Times New Roman" w:hint="eastAsia"/>
                <w:bCs/>
                <w:color w:val="000000"/>
                <w:szCs w:val="24"/>
              </w:rPr>
              <w:t>、酸雾、有毒有害大气污染物和刺激性气味气体的危险废物贮存库，应设置气体收集装置和气体净化设施；气体净化设施的排气筒高度应符合</w:t>
            </w:r>
            <w:r>
              <w:rPr>
                <w:rFonts w:cs="Times New Roman" w:hint="eastAsia"/>
                <w:bCs/>
                <w:color w:val="000000"/>
                <w:szCs w:val="24"/>
              </w:rPr>
              <w:t>GB16297</w:t>
            </w:r>
            <w:r>
              <w:rPr>
                <w:rFonts w:cs="Times New Roman" w:hint="eastAsia"/>
                <w:bCs/>
                <w:color w:val="000000"/>
                <w:szCs w:val="24"/>
              </w:rPr>
              <w:t>要求。本项目</w:t>
            </w:r>
            <w:r>
              <w:rPr>
                <w:rFonts w:cs="Times New Roman" w:hint="eastAsia"/>
                <w:bCs/>
                <w:color w:val="000000"/>
                <w:szCs w:val="24"/>
              </w:rPr>
              <w:t>1#</w:t>
            </w:r>
            <w:r>
              <w:rPr>
                <w:rFonts w:cs="Times New Roman" w:hint="eastAsia"/>
                <w:bCs/>
                <w:color w:val="000000"/>
                <w:szCs w:val="24"/>
              </w:rPr>
              <w:t>贮存库废气经负压收集后，先经新建的碱液喷淋塔预处理去除硫酸雾，再依托厂区现有二级活性炭吸附装置处理，尾气通过</w:t>
            </w:r>
            <w:r>
              <w:rPr>
                <w:rFonts w:cs="Times New Roman" w:hint="eastAsia"/>
                <w:bCs/>
                <w:color w:val="000000"/>
                <w:szCs w:val="24"/>
              </w:rPr>
              <w:t>15m</w:t>
            </w:r>
            <w:r>
              <w:rPr>
                <w:rFonts w:cs="Times New Roman" w:hint="eastAsia"/>
                <w:bCs/>
                <w:color w:val="000000"/>
                <w:szCs w:val="24"/>
              </w:rPr>
              <w:t>高排气筒（</w:t>
            </w:r>
            <w:r>
              <w:rPr>
                <w:rFonts w:cs="Times New Roman" w:hint="eastAsia"/>
                <w:bCs/>
                <w:color w:val="000000"/>
                <w:szCs w:val="24"/>
              </w:rPr>
              <w:t>DA005</w:t>
            </w:r>
            <w:r>
              <w:rPr>
                <w:rFonts w:cs="Times New Roman" w:hint="eastAsia"/>
                <w:bCs/>
                <w:color w:val="000000"/>
                <w:szCs w:val="24"/>
              </w:rPr>
              <w:t>）排放</w:t>
            </w:r>
            <w:r>
              <w:rPr>
                <w:rFonts w:cs="Times New Roman"/>
                <w:bCs/>
                <w:color w:val="000000"/>
                <w:szCs w:val="24"/>
              </w:rPr>
              <w:t>。</w:t>
            </w:r>
          </w:p>
          <w:p w14:paraId="55709D15" w14:textId="77777777" w:rsidR="003C4F46" w:rsidRDefault="004B6A81">
            <w:pPr>
              <w:ind w:firstLine="480"/>
              <w:textAlignment w:val="auto"/>
              <w:rPr>
                <w:rFonts w:cs="Times New Roman"/>
                <w:bCs/>
                <w:color w:val="000000"/>
                <w:szCs w:val="24"/>
              </w:rPr>
            </w:pPr>
            <w:r>
              <w:rPr>
                <w:rFonts w:cs="Times New Roman" w:hint="eastAsia"/>
                <w:bCs/>
                <w:color w:val="000000"/>
                <w:szCs w:val="24"/>
              </w:rPr>
              <w:t>本项目二级活性炭吸附装置单级吸附效率取</w:t>
            </w:r>
            <w:r>
              <w:rPr>
                <w:rFonts w:cs="Times New Roman"/>
                <w:bCs/>
                <w:color w:val="000000"/>
                <w:szCs w:val="24"/>
              </w:rPr>
              <w:t>18%</w:t>
            </w:r>
            <w:r>
              <w:rPr>
                <w:rFonts w:cs="Times New Roman" w:hint="eastAsia"/>
                <w:bCs/>
                <w:color w:val="000000"/>
                <w:szCs w:val="24"/>
              </w:rPr>
              <w:t>，依据为《排放源统计调查产排污核算方法和系数手册》中《机械行业系数手册》（</w:t>
            </w:r>
            <w:r>
              <w:rPr>
                <w:rFonts w:cs="Times New Roman"/>
                <w:bCs/>
                <w:color w:val="000000"/>
                <w:szCs w:val="24"/>
              </w:rPr>
              <w:t>33-37</w:t>
            </w:r>
            <w:r>
              <w:rPr>
                <w:rFonts w:cs="Times New Roman" w:hint="eastAsia"/>
                <w:bCs/>
                <w:color w:val="000000"/>
                <w:szCs w:val="24"/>
              </w:rPr>
              <w:t>，</w:t>
            </w:r>
            <w:r>
              <w:rPr>
                <w:rFonts w:cs="Times New Roman"/>
                <w:bCs/>
                <w:color w:val="000000"/>
                <w:szCs w:val="24"/>
              </w:rPr>
              <w:t>431-434</w:t>
            </w:r>
            <w:r>
              <w:rPr>
                <w:rFonts w:cs="Times New Roman" w:hint="eastAsia"/>
                <w:bCs/>
                <w:color w:val="000000"/>
                <w:szCs w:val="24"/>
              </w:rPr>
              <w:t>）。二级综合处理效率</w:t>
            </w:r>
            <w:r>
              <w:rPr>
                <w:rFonts w:cs="Times New Roman"/>
                <w:bCs/>
                <w:color w:val="000000"/>
                <w:szCs w:val="24"/>
              </w:rPr>
              <w:t>按</w:t>
            </w:r>
            <w:r>
              <w:rPr>
                <w:rFonts w:cs="Times New Roman"/>
                <w:bCs/>
                <w:color w:val="000000"/>
                <w:szCs w:val="24"/>
              </w:rPr>
              <w:t>η=1−(1−18%)×(1−18%)=32.76%</w:t>
            </w:r>
            <w:r>
              <w:rPr>
                <w:rFonts w:cs="Times New Roman"/>
                <w:bCs/>
                <w:color w:val="000000"/>
                <w:szCs w:val="24"/>
              </w:rPr>
              <w:t>计算。活性炭类型为果壳型颗粒活性炭，碘值</w:t>
            </w:r>
            <w:r>
              <w:rPr>
                <w:rFonts w:cs="Times New Roman"/>
                <w:bCs/>
                <w:color w:val="000000"/>
                <w:szCs w:val="24"/>
              </w:rPr>
              <w:t>≥800mg/g</w:t>
            </w:r>
            <w:r>
              <w:rPr>
                <w:rFonts w:cs="Times New Roman"/>
                <w:bCs/>
                <w:color w:val="000000"/>
                <w:szCs w:val="24"/>
              </w:rPr>
              <w:t>，单套填充量</w:t>
            </w:r>
            <w:r>
              <w:rPr>
                <w:rFonts w:cs="Times New Roman"/>
                <w:bCs/>
                <w:color w:val="000000"/>
                <w:szCs w:val="24"/>
              </w:rPr>
              <w:t>0.5t</w:t>
            </w:r>
            <w:r>
              <w:rPr>
                <w:rFonts w:cs="Times New Roman"/>
                <w:bCs/>
                <w:color w:val="000000"/>
                <w:szCs w:val="24"/>
              </w:rPr>
              <w:t>（两级共</w:t>
            </w:r>
            <w:r>
              <w:rPr>
                <w:rFonts w:cs="Times New Roman"/>
                <w:bCs/>
                <w:color w:val="000000"/>
                <w:szCs w:val="24"/>
              </w:rPr>
              <w:t>1.0t</w:t>
            </w:r>
            <w:r>
              <w:rPr>
                <w:rFonts w:cs="Times New Roman"/>
                <w:bCs/>
                <w:color w:val="000000"/>
                <w:szCs w:val="24"/>
              </w:rPr>
              <w:t>），更换周期</w:t>
            </w:r>
            <w:r>
              <w:rPr>
                <w:rFonts w:cs="Times New Roman"/>
                <w:bCs/>
                <w:color w:val="000000"/>
                <w:szCs w:val="24"/>
              </w:rPr>
              <w:t>3</w:t>
            </w:r>
            <w:r>
              <w:rPr>
                <w:rFonts w:cs="Times New Roman"/>
                <w:bCs/>
                <w:color w:val="000000"/>
                <w:szCs w:val="24"/>
              </w:rPr>
              <w:t>个月</w:t>
            </w:r>
            <w:r>
              <w:rPr>
                <w:rFonts w:cs="Times New Roman"/>
                <w:bCs/>
                <w:color w:val="000000"/>
                <w:szCs w:val="24"/>
              </w:rPr>
              <w:t>/</w:t>
            </w:r>
            <w:r>
              <w:rPr>
                <w:rFonts w:cs="Times New Roman"/>
                <w:bCs/>
                <w:color w:val="000000"/>
                <w:szCs w:val="24"/>
              </w:rPr>
              <w:t>次，炭层过滤风速按《吸附法工业有机废气治理工程技术规范》（</w:t>
            </w:r>
            <w:r>
              <w:rPr>
                <w:rFonts w:cs="Times New Roman"/>
                <w:bCs/>
                <w:color w:val="000000"/>
                <w:szCs w:val="24"/>
              </w:rPr>
              <w:t>HJ2026-2013</w:t>
            </w:r>
            <w:r>
              <w:rPr>
                <w:rFonts w:cs="Times New Roman"/>
                <w:bCs/>
                <w:color w:val="000000"/>
                <w:szCs w:val="24"/>
              </w:rPr>
              <w:t>）要求控制在</w:t>
            </w:r>
            <w:r>
              <w:rPr>
                <w:rFonts w:cs="Times New Roman"/>
                <w:bCs/>
                <w:color w:val="000000"/>
                <w:szCs w:val="24"/>
              </w:rPr>
              <w:t>0.60m/s</w:t>
            </w:r>
            <w:r>
              <w:rPr>
                <w:rFonts w:cs="Times New Roman"/>
                <w:bCs/>
                <w:color w:val="000000"/>
                <w:szCs w:val="24"/>
              </w:rPr>
              <w:t>以下，确保废气与活性炭有足够的接触时间。各项设计参数均满足技术规范要求，可保证活性炭吸附效率达到参考值水平。</w:t>
            </w:r>
          </w:p>
          <w:p w14:paraId="5C4704F2" w14:textId="77777777" w:rsidR="003C4F46" w:rsidRDefault="004B6A81">
            <w:pPr>
              <w:ind w:firstLine="480"/>
              <w:textAlignment w:val="auto"/>
              <w:rPr>
                <w:rFonts w:cs="Times New Roman"/>
                <w:bCs/>
                <w:color w:val="000000"/>
                <w:szCs w:val="24"/>
              </w:rPr>
            </w:pPr>
            <w:r>
              <w:rPr>
                <w:rFonts w:cs="Times New Roman" w:hint="eastAsia"/>
                <w:bCs/>
                <w:color w:val="000000"/>
                <w:szCs w:val="24"/>
              </w:rPr>
              <w:t>碱液喷淋塔处理原理：项目所产生的硫酸酸雾通过集气管收集至碱液喷淋塔，碱液喷淋塔设置三层喷淋，三层填料，废气在防腐风机的作用下进入喷淋塔，喷淋塔采用气液逆向运行，喷淋装置位于喷淋塔上部，喷淋液与气流逆向，在对气流增湿的同时，形成大量的雾状水珠与气流中的酸雾微粒作用，使酸雾微粒增重凝聚，更易分离；废气中的有害成分传质于液相，与喷淋液中的碱液反应，从而得到净化。</w:t>
            </w:r>
            <w:r>
              <w:rPr>
                <w:rFonts w:cs="Times New Roman" w:hint="eastAsia"/>
                <w:bCs/>
                <w:color w:val="000000"/>
                <w:szCs w:val="24"/>
              </w:rPr>
              <w:lastRenderedPageBreak/>
              <w:t>净化后的气体经过位于设备顶部的水雾分离装置分离水雾以后由风机经管道排放。其中喷淋废水经中和后循环使用，反应饱和后定期排放。涉及化学反应式如下：</w:t>
            </w:r>
          </w:p>
          <w:p w14:paraId="2B959B58" w14:textId="77777777" w:rsidR="003C4F46" w:rsidRDefault="004B6A81" w:rsidP="009C535D">
            <w:pPr>
              <w:widowControl/>
              <w:ind w:firstLine="480"/>
              <w:jc w:val="center"/>
              <w:textAlignment w:val="auto"/>
            </w:pPr>
            <w:r>
              <w:rPr>
                <w:rFonts w:cs="Times New Roman"/>
                <w:color w:val="000000"/>
                <w:kern w:val="0"/>
                <w:szCs w:val="24"/>
                <w:lang w:bidi="ar"/>
              </w:rPr>
              <w:t>2NaOH+SO₂=</w:t>
            </w:r>
            <w:proofErr w:type="spellStart"/>
            <w:r>
              <w:rPr>
                <w:rFonts w:cs="Times New Roman"/>
                <w:color w:val="000000"/>
                <w:kern w:val="0"/>
                <w:szCs w:val="24"/>
                <w:lang w:bidi="ar"/>
              </w:rPr>
              <w:t>Na₂SO</w:t>
            </w:r>
            <w:proofErr w:type="spellEnd"/>
            <w:r>
              <w:rPr>
                <w:rFonts w:cs="Times New Roman"/>
                <w:color w:val="000000"/>
                <w:kern w:val="0"/>
                <w:szCs w:val="24"/>
                <w:lang w:bidi="ar"/>
              </w:rPr>
              <w:t>₃+H₂O</w:t>
            </w:r>
          </w:p>
          <w:p w14:paraId="25755A3C" w14:textId="77777777" w:rsidR="003C4F46" w:rsidRDefault="004B6A81" w:rsidP="009C535D">
            <w:pPr>
              <w:widowControl/>
              <w:ind w:firstLine="480"/>
              <w:jc w:val="center"/>
              <w:textAlignment w:val="auto"/>
            </w:pPr>
            <w:proofErr w:type="spellStart"/>
            <w:r>
              <w:rPr>
                <w:rFonts w:cs="Times New Roman"/>
                <w:color w:val="000000"/>
                <w:kern w:val="0"/>
                <w:szCs w:val="24"/>
                <w:lang w:bidi="ar"/>
              </w:rPr>
              <w:t>Na₂SO</w:t>
            </w:r>
            <w:proofErr w:type="spellEnd"/>
            <w:r>
              <w:rPr>
                <w:rFonts w:cs="Times New Roman"/>
                <w:color w:val="000000"/>
                <w:kern w:val="0"/>
                <w:szCs w:val="24"/>
                <w:lang w:bidi="ar"/>
              </w:rPr>
              <w:t>₃+SO₂+H₂O=2NaHSO₃</w:t>
            </w:r>
          </w:p>
          <w:p w14:paraId="22136C6B" w14:textId="77777777" w:rsidR="003C4F46" w:rsidRDefault="004B6A81" w:rsidP="009C535D">
            <w:pPr>
              <w:widowControl/>
              <w:ind w:firstLine="480"/>
              <w:jc w:val="center"/>
              <w:textAlignment w:val="auto"/>
            </w:pPr>
            <w:proofErr w:type="spellStart"/>
            <w:r>
              <w:rPr>
                <w:rFonts w:cs="Times New Roman"/>
                <w:color w:val="000000"/>
                <w:kern w:val="0"/>
                <w:szCs w:val="24"/>
                <w:lang w:bidi="ar"/>
              </w:rPr>
              <w:t>Na₂SO</w:t>
            </w:r>
            <w:proofErr w:type="spellEnd"/>
            <w:r>
              <w:rPr>
                <w:rFonts w:cs="Times New Roman"/>
                <w:color w:val="000000"/>
                <w:kern w:val="0"/>
                <w:szCs w:val="24"/>
                <w:lang w:bidi="ar"/>
              </w:rPr>
              <w:t>₃+SO₂=Na₂S₂O</w:t>
            </w:r>
            <w:r>
              <w:rPr>
                <w:rFonts w:cs="Times New Roman" w:hint="eastAsia"/>
                <w:color w:val="000000"/>
                <w:kern w:val="0"/>
                <w:szCs w:val="24"/>
                <w:vertAlign w:val="subscript"/>
                <w:lang w:bidi="ar"/>
              </w:rPr>
              <w:t>5</w:t>
            </w:r>
          </w:p>
          <w:p w14:paraId="5E32F652" w14:textId="77777777" w:rsidR="003C4F46" w:rsidRDefault="004B6A81">
            <w:pPr>
              <w:widowControl/>
              <w:ind w:firstLine="480"/>
              <w:jc w:val="left"/>
              <w:textAlignment w:val="auto"/>
            </w:pPr>
            <w:r>
              <w:rPr>
                <w:rFonts w:ascii="宋体" w:hAnsi="宋体" w:cs="宋体" w:hint="eastAsia"/>
                <w:color w:val="000000"/>
                <w:kern w:val="0"/>
                <w:szCs w:val="24"/>
                <w:lang w:bidi="ar"/>
              </w:rPr>
              <w:t>由于废气中有氧气</w:t>
            </w:r>
            <w:r>
              <w:rPr>
                <w:rFonts w:cs="Times New Roman"/>
                <w:color w:val="000000"/>
                <w:kern w:val="0"/>
                <w:szCs w:val="24"/>
                <w:lang w:bidi="ar"/>
              </w:rPr>
              <w:t>(O₂)</w:t>
            </w:r>
            <w:r>
              <w:rPr>
                <w:rFonts w:ascii="宋体" w:hAnsi="宋体" w:cs="宋体" w:hint="eastAsia"/>
                <w:color w:val="000000"/>
                <w:kern w:val="0"/>
                <w:szCs w:val="24"/>
                <w:lang w:bidi="ar"/>
              </w:rPr>
              <w:t>存在，</w:t>
            </w:r>
            <w:proofErr w:type="spellStart"/>
            <w:r>
              <w:rPr>
                <w:rFonts w:cs="Times New Roman"/>
                <w:color w:val="000000"/>
                <w:kern w:val="0"/>
                <w:szCs w:val="24"/>
                <w:lang w:bidi="ar"/>
              </w:rPr>
              <w:t>Na₂SO</w:t>
            </w:r>
            <w:proofErr w:type="spellEnd"/>
            <w:r>
              <w:rPr>
                <w:rFonts w:cs="Times New Roman"/>
                <w:color w:val="000000"/>
                <w:kern w:val="0"/>
                <w:szCs w:val="24"/>
                <w:lang w:bidi="ar"/>
              </w:rPr>
              <w:t>₃</w:t>
            </w:r>
            <w:r>
              <w:rPr>
                <w:rFonts w:ascii="宋体" w:hAnsi="宋体" w:cs="宋体" w:hint="eastAsia"/>
                <w:color w:val="000000"/>
                <w:kern w:val="0"/>
                <w:szCs w:val="24"/>
                <w:lang w:bidi="ar"/>
              </w:rPr>
              <w:t>部分将被氧化成</w:t>
            </w:r>
            <w:proofErr w:type="spellStart"/>
            <w:r>
              <w:rPr>
                <w:rFonts w:cs="Times New Roman"/>
                <w:color w:val="000000"/>
                <w:kern w:val="0"/>
                <w:szCs w:val="24"/>
                <w:lang w:bidi="ar"/>
              </w:rPr>
              <w:t>Na₂SO</w:t>
            </w:r>
            <w:proofErr w:type="spellEnd"/>
            <w:r>
              <w:rPr>
                <w:rFonts w:cs="Times New Roman"/>
                <w:color w:val="000000"/>
                <w:kern w:val="0"/>
                <w:szCs w:val="24"/>
                <w:lang w:bidi="ar"/>
              </w:rPr>
              <w:t>₄</w:t>
            </w:r>
          </w:p>
          <w:p w14:paraId="6420A37E" w14:textId="77777777" w:rsidR="003C4F46" w:rsidRDefault="004B6A81" w:rsidP="009C535D">
            <w:pPr>
              <w:widowControl/>
              <w:ind w:firstLine="480"/>
              <w:jc w:val="center"/>
              <w:textAlignment w:val="auto"/>
              <w:rPr>
                <w:rFonts w:cs="Times New Roman"/>
                <w:color w:val="000000"/>
                <w:kern w:val="0"/>
                <w:szCs w:val="24"/>
                <w:lang w:bidi="ar"/>
              </w:rPr>
            </w:pPr>
            <w:r>
              <w:rPr>
                <w:rFonts w:cs="Times New Roman"/>
                <w:color w:val="000000"/>
                <w:kern w:val="0"/>
                <w:szCs w:val="24"/>
                <w:lang w:bidi="ar"/>
              </w:rPr>
              <w:t>Na₂SO</w:t>
            </w:r>
            <w:r>
              <w:rPr>
                <w:rFonts w:cs="Times New Roman"/>
                <w:color w:val="000000"/>
                <w:kern w:val="0"/>
                <w:sz w:val="15"/>
                <w:szCs w:val="15"/>
                <w:lang w:bidi="ar"/>
              </w:rPr>
              <w:t>3</w:t>
            </w:r>
            <w:r>
              <w:rPr>
                <w:rFonts w:cs="Times New Roman"/>
                <w:color w:val="000000"/>
                <w:kern w:val="0"/>
                <w:szCs w:val="24"/>
                <w:lang w:bidi="ar"/>
              </w:rPr>
              <w:t>+1/2O₂=</w:t>
            </w:r>
            <w:proofErr w:type="spellStart"/>
            <w:r>
              <w:rPr>
                <w:rFonts w:cs="Times New Roman"/>
                <w:color w:val="000000"/>
                <w:kern w:val="0"/>
                <w:szCs w:val="24"/>
                <w:lang w:bidi="ar"/>
              </w:rPr>
              <w:t>Na₂SO</w:t>
            </w:r>
            <w:proofErr w:type="spellEnd"/>
            <w:r>
              <w:rPr>
                <w:rFonts w:cs="Times New Roman"/>
                <w:color w:val="000000"/>
                <w:kern w:val="0"/>
                <w:szCs w:val="24"/>
                <w:lang w:bidi="ar"/>
              </w:rPr>
              <w:t>₄</w:t>
            </w:r>
          </w:p>
          <w:p w14:paraId="532D14B4" w14:textId="77777777" w:rsidR="003C4F46" w:rsidRDefault="004B6A81" w:rsidP="009C535D">
            <w:pPr>
              <w:ind w:firstLine="480"/>
              <w:jc w:val="center"/>
              <w:textAlignment w:val="auto"/>
              <w:rPr>
                <w:rFonts w:cs="Times New Roman"/>
                <w:bCs/>
                <w:color w:val="000000"/>
                <w:szCs w:val="24"/>
              </w:rPr>
            </w:pPr>
            <w:r>
              <w:rPr>
                <w:rFonts w:cs="Times New Roman"/>
                <w:color w:val="000000"/>
                <w:kern w:val="0"/>
                <w:szCs w:val="24"/>
                <w:lang w:bidi="ar"/>
              </w:rPr>
              <w:t>H</w:t>
            </w:r>
            <w:r>
              <w:rPr>
                <w:rFonts w:cs="Times New Roman"/>
                <w:color w:val="000000"/>
                <w:kern w:val="0"/>
                <w:sz w:val="15"/>
                <w:szCs w:val="15"/>
                <w:lang w:bidi="ar"/>
              </w:rPr>
              <w:t>2</w:t>
            </w:r>
            <w:r>
              <w:rPr>
                <w:rFonts w:cs="Times New Roman"/>
                <w:color w:val="000000"/>
                <w:kern w:val="0"/>
                <w:szCs w:val="24"/>
                <w:lang w:bidi="ar"/>
              </w:rPr>
              <w:t>SO</w:t>
            </w:r>
            <w:r>
              <w:rPr>
                <w:rFonts w:cs="Times New Roman"/>
                <w:color w:val="000000"/>
                <w:kern w:val="0"/>
                <w:sz w:val="15"/>
                <w:szCs w:val="15"/>
                <w:lang w:bidi="ar"/>
              </w:rPr>
              <w:t>4</w:t>
            </w:r>
            <w:r>
              <w:rPr>
                <w:rFonts w:cs="Times New Roman"/>
                <w:color w:val="000000"/>
                <w:kern w:val="0"/>
                <w:szCs w:val="24"/>
                <w:lang w:bidi="ar"/>
              </w:rPr>
              <w:t>+</w:t>
            </w:r>
            <w:r>
              <w:rPr>
                <w:rFonts w:cs="Times New Roman"/>
                <w:bCs/>
                <w:color w:val="000000"/>
                <w:szCs w:val="24"/>
              </w:rPr>
              <w:t>2NaOH→Na</w:t>
            </w:r>
            <w:r>
              <w:rPr>
                <w:rFonts w:cs="Times New Roman"/>
                <w:bCs/>
                <w:color w:val="000000"/>
                <w:szCs w:val="24"/>
                <w:vertAlign w:val="subscript"/>
              </w:rPr>
              <w:t>2</w:t>
            </w:r>
            <w:r>
              <w:rPr>
                <w:rFonts w:cs="Times New Roman"/>
                <w:bCs/>
                <w:color w:val="000000"/>
                <w:szCs w:val="24"/>
              </w:rPr>
              <w:t>SO</w:t>
            </w:r>
            <w:r>
              <w:rPr>
                <w:rFonts w:cs="Times New Roman"/>
                <w:bCs/>
                <w:color w:val="000000"/>
                <w:szCs w:val="24"/>
                <w:vertAlign w:val="subscript"/>
              </w:rPr>
              <w:t>4</w:t>
            </w:r>
            <w:r>
              <w:rPr>
                <w:rFonts w:cs="Times New Roman"/>
                <w:bCs/>
                <w:color w:val="000000"/>
                <w:szCs w:val="24"/>
              </w:rPr>
              <w:t>+2H</w:t>
            </w:r>
            <w:r>
              <w:rPr>
                <w:rFonts w:cs="Times New Roman"/>
                <w:bCs/>
                <w:color w:val="000000"/>
                <w:szCs w:val="24"/>
                <w:vertAlign w:val="subscript"/>
              </w:rPr>
              <w:t>2</w:t>
            </w:r>
            <w:r>
              <w:rPr>
                <w:rFonts w:cs="Times New Roman"/>
                <w:bCs/>
                <w:color w:val="000000"/>
                <w:szCs w:val="24"/>
              </w:rPr>
              <w:t>O</w:t>
            </w:r>
          </w:p>
          <w:p w14:paraId="038027DE" w14:textId="77777777" w:rsidR="003C4F46" w:rsidRDefault="004B6A81">
            <w:pPr>
              <w:ind w:firstLine="480"/>
              <w:textAlignment w:val="auto"/>
              <w:rPr>
                <w:rFonts w:cs="Times New Roman"/>
                <w:bCs/>
                <w:color w:val="000000"/>
                <w:szCs w:val="24"/>
              </w:rPr>
            </w:pPr>
            <w:r>
              <w:rPr>
                <w:rFonts w:cs="Times New Roman" w:hint="eastAsia"/>
                <w:bCs/>
                <w:color w:val="000000"/>
                <w:szCs w:val="24"/>
              </w:rPr>
              <w:t>根据企业提供资料以及查阅相关手册，碱液喷淋塔为《排污许可证申请与核发技术规范</w:t>
            </w:r>
            <w:r>
              <w:rPr>
                <w:rFonts w:cs="Times New Roman" w:hint="eastAsia"/>
                <w:bCs/>
                <w:color w:val="000000"/>
                <w:szCs w:val="24"/>
              </w:rPr>
              <w:t xml:space="preserve"> </w:t>
            </w:r>
            <w:r>
              <w:rPr>
                <w:rFonts w:cs="Times New Roman" w:hint="eastAsia"/>
                <w:bCs/>
                <w:color w:val="000000"/>
                <w:szCs w:val="24"/>
              </w:rPr>
              <w:t>石墨及其他非金属矿物制品制造》（</w:t>
            </w:r>
            <w:r>
              <w:rPr>
                <w:rFonts w:cs="Times New Roman" w:hint="eastAsia"/>
                <w:bCs/>
                <w:color w:val="000000"/>
                <w:szCs w:val="24"/>
              </w:rPr>
              <w:t>HJ1119-2020</w:t>
            </w:r>
            <w:r>
              <w:rPr>
                <w:rFonts w:cs="Times New Roman" w:hint="eastAsia"/>
                <w:bCs/>
                <w:color w:val="000000"/>
                <w:szCs w:val="24"/>
              </w:rPr>
              <w:t>）中推荐的可行技术用于酸性废气治理，碱液喷淋塔中的碱液与尾气的化学反应较为强烈，反应较为充分，每层喷淋塔的吸收效率可达</w:t>
            </w:r>
            <w:r>
              <w:rPr>
                <w:rFonts w:cs="Times New Roman"/>
                <w:bCs/>
                <w:color w:val="000000"/>
                <w:szCs w:val="24"/>
              </w:rPr>
              <w:t>90%</w:t>
            </w:r>
            <w:r>
              <w:rPr>
                <w:rFonts w:cs="Times New Roman" w:hint="eastAsia"/>
                <w:bCs/>
                <w:color w:val="000000"/>
                <w:szCs w:val="24"/>
              </w:rPr>
              <w:t>以上，且该治理措施已得到多数企业的实践验证，通过碱液吸收的方式对上述酸性废气的处理效率甚至可达</w:t>
            </w:r>
            <w:r>
              <w:rPr>
                <w:rFonts w:cs="Times New Roman"/>
                <w:bCs/>
                <w:color w:val="000000"/>
                <w:szCs w:val="24"/>
              </w:rPr>
              <w:t>9</w:t>
            </w:r>
            <w:r>
              <w:rPr>
                <w:rFonts w:cs="Times New Roman" w:hint="eastAsia"/>
                <w:bCs/>
                <w:color w:val="000000"/>
                <w:szCs w:val="24"/>
              </w:rPr>
              <w:t>0</w:t>
            </w:r>
            <w:r>
              <w:rPr>
                <w:rFonts w:cs="Times New Roman"/>
                <w:bCs/>
                <w:color w:val="000000"/>
                <w:szCs w:val="24"/>
              </w:rPr>
              <w:t>%</w:t>
            </w:r>
            <w:r>
              <w:rPr>
                <w:rFonts w:cs="Times New Roman" w:hint="eastAsia"/>
                <w:bCs/>
                <w:color w:val="000000"/>
                <w:szCs w:val="24"/>
              </w:rPr>
              <w:t>以上，本项目酸雾废气经处理后可以达到《大气污染物综合排放标准》（</w:t>
            </w:r>
            <w:r>
              <w:rPr>
                <w:rFonts w:cs="Times New Roman" w:hint="eastAsia"/>
                <w:bCs/>
                <w:color w:val="000000"/>
                <w:szCs w:val="24"/>
              </w:rPr>
              <w:t>GB16297-1996</w:t>
            </w:r>
            <w:r>
              <w:rPr>
                <w:rFonts w:cs="Times New Roman" w:hint="eastAsia"/>
                <w:bCs/>
                <w:color w:val="000000"/>
                <w:szCs w:val="24"/>
              </w:rPr>
              <w:t>）表</w:t>
            </w:r>
            <w:r>
              <w:rPr>
                <w:rFonts w:cs="Times New Roman" w:hint="eastAsia"/>
                <w:bCs/>
                <w:color w:val="000000"/>
                <w:szCs w:val="24"/>
              </w:rPr>
              <w:t>2</w:t>
            </w:r>
            <w:r>
              <w:rPr>
                <w:rFonts w:cs="Times New Roman" w:hint="eastAsia"/>
                <w:bCs/>
                <w:color w:val="000000"/>
                <w:szCs w:val="24"/>
              </w:rPr>
              <w:t>中排放标准限值。</w:t>
            </w:r>
          </w:p>
          <w:p w14:paraId="66862765" w14:textId="77777777" w:rsidR="003C4F46" w:rsidRDefault="004B6A81">
            <w:pPr>
              <w:ind w:firstLine="480"/>
              <w:textAlignment w:val="auto"/>
              <w:rPr>
                <w:rFonts w:cs="Times New Roman"/>
                <w:bCs/>
                <w:color w:val="000000"/>
                <w:szCs w:val="24"/>
              </w:rPr>
            </w:pPr>
            <w:r>
              <w:rPr>
                <w:rFonts w:cs="Times New Roman" w:hint="eastAsia"/>
                <w:bCs/>
                <w:color w:val="000000"/>
                <w:szCs w:val="24"/>
              </w:rPr>
              <w:t>综上，本项目采用碱液喷淋塔处理废气中硫酸雾的技术可行，设备简单高效，故障率低。经处理后，污染物排放浓度均满足《大气污染物综合排放标准》（</w:t>
            </w:r>
            <w:r>
              <w:rPr>
                <w:rFonts w:cs="Times New Roman" w:hint="eastAsia"/>
                <w:bCs/>
                <w:color w:val="000000"/>
                <w:szCs w:val="24"/>
              </w:rPr>
              <w:t>GB16297-1996</w:t>
            </w:r>
            <w:r>
              <w:rPr>
                <w:rFonts w:cs="Times New Roman" w:hint="eastAsia"/>
                <w:bCs/>
                <w:color w:val="000000"/>
                <w:szCs w:val="24"/>
              </w:rPr>
              <w:t>）表</w:t>
            </w:r>
            <w:r>
              <w:rPr>
                <w:rFonts w:cs="Times New Roman" w:hint="eastAsia"/>
                <w:bCs/>
                <w:color w:val="000000"/>
                <w:szCs w:val="24"/>
              </w:rPr>
              <w:t>2</w:t>
            </w:r>
            <w:r>
              <w:rPr>
                <w:rFonts w:cs="Times New Roman" w:hint="eastAsia"/>
                <w:bCs/>
                <w:color w:val="000000"/>
                <w:szCs w:val="24"/>
              </w:rPr>
              <w:t>排放限值要求。</w:t>
            </w:r>
          </w:p>
          <w:p w14:paraId="43A22CED" w14:textId="77777777" w:rsidR="003C4F46" w:rsidRDefault="004B6A81">
            <w:pPr>
              <w:ind w:firstLine="480"/>
              <w:textAlignment w:val="auto"/>
              <w:rPr>
                <w:rFonts w:cs="Times New Roman"/>
                <w:bCs/>
                <w:color w:val="000000"/>
                <w:szCs w:val="24"/>
              </w:rPr>
            </w:pPr>
            <w:r>
              <w:rPr>
                <w:rFonts w:cs="Times New Roman"/>
                <w:bCs/>
                <w:color w:val="000000"/>
                <w:szCs w:val="24"/>
              </w:rPr>
              <w:t>本项目废气处理依托现有</w:t>
            </w:r>
            <w:r>
              <w:rPr>
                <w:rFonts w:cs="Times New Roman"/>
                <w:bCs/>
                <w:color w:val="000000"/>
                <w:szCs w:val="24"/>
              </w:rPr>
              <w:t>“2</w:t>
            </w:r>
            <w:r>
              <w:rPr>
                <w:rFonts w:cs="Times New Roman"/>
                <w:bCs/>
                <w:color w:val="000000"/>
                <w:szCs w:val="24"/>
              </w:rPr>
              <w:t>万吨</w:t>
            </w:r>
            <w:r>
              <w:rPr>
                <w:rFonts w:cs="Times New Roman"/>
                <w:bCs/>
                <w:color w:val="000000"/>
                <w:szCs w:val="24"/>
              </w:rPr>
              <w:t>/</w:t>
            </w:r>
            <w:r>
              <w:rPr>
                <w:rFonts w:cs="Times New Roman"/>
                <w:bCs/>
                <w:color w:val="000000"/>
                <w:szCs w:val="24"/>
              </w:rPr>
              <w:t>年废包装桶及废机油滤芯再生利用扩建项目</w:t>
            </w:r>
            <w:r>
              <w:rPr>
                <w:rFonts w:cs="Times New Roman"/>
                <w:bCs/>
                <w:color w:val="000000"/>
                <w:szCs w:val="24"/>
              </w:rPr>
              <w:t>”</w:t>
            </w:r>
            <w:r>
              <w:rPr>
                <w:rFonts w:cs="Times New Roman"/>
                <w:bCs/>
                <w:color w:val="000000"/>
                <w:szCs w:val="24"/>
              </w:rPr>
              <w:t>生产车间配套的二级活性炭吸附装置。该设施设计风量为</w:t>
            </w:r>
            <w:r>
              <w:rPr>
                <w:rFonts w:cs="Times New Roman"/>
                <w:bCs/>
                <w:color w:val="000000"/>
                <w:szCs w:val="24"/>
              </w:rPr>
              <w:t>8000m³/h</w:t>
            </w:r>
            <w:r>
              <w:rPr>
                <w:rFonts w:cs="Times New Roman"/>
                <w:bCs/>
                <w:color w:val="000000"/>
                <w:szCs w:val="24"/>
              </w:rPr>
              <w:t>。根据现有项目验收监测报告，现有项目实际运行标干流量为</w:t>
            </w:r>
            <w:r>
              <w:rPr>
                <w:rFonts w:cs="Times New Roman"/>
                <w:bCs/>
                <w:color w:val="000000"/>
                <w:szCs w:val="24"/>
              </w:rPr>
              <w:t>1230m³/h</w:t>
            </w:r>
            <w:r>
              <w:rPr>
                <w:rFonts w:cs="Times New Roman"/>
                <w:bCs/>
                <w:color w:val="000000"/>
                <w:szCs w:val="24"/>
              </w:rPr>
              <w:t>，</w:t>
            </w:r>
            <w:r>
              <w:rPr>
                <w:rFonts w:cs="Times New Roman"/>
                <w:bCs/>
                <w:color w:val="000000"/>
                <w:szCs w:val="24"/>
              </w:rPr>
              <w:t>VOCs</w:t>
            </w:r>
            <w:r>
              <w:rPr>
                <w:rFonts w:cs="Times New Roman"/>
                <w:bCs/>
                <w:color w:val="000000"/>
                <w:szCs w:val="24"/>
              </w:rPr>
              <w:t>排放浓度为</w:t>
            </w:r>
            <w:r>
              <w:rPr>
                <w:rFonts w:cs="Times New Roman"/>
                <w:bCs/>
                <w:color w:val="000000"/>
                <w:szCs w:val="24"/>
              </w:rPr>
              <w:t>3.57mg/m³</w:t>
            </w:r>
            <w:r>
              <w:rPr>
                <w:rFonts w:cs="Times New Roman"/>
                <w:bCs/>
                <w:color w:val="000000"/>
                <w:szCs w:val="24"/>
              </w:rPr>
              <w:t>。设施设计风量</w:t>
            </w:r>
            <w:r>
              <w:rPr>
                <w:rFonts w:cs="Times New Roman"/>
                <w:bCs/>
                <w:color w:val="000000"/>
                <w:szCs w:val="24"/>
              </w:rPr>
              <w:t>8000m³/h</w:t>
            </w:r>
            <w:r>
              <w:rPr>
                <w:rFonts w:cs="Times New Roman"/>
                <w:bCs/>
                <w:color w:val="000000"/>
                <w:szCs w:val="24"/>
              </w:rPr>
              <w:t>，现有项目实际风量</w:t>
            </w:r>
            <w:r>
              <w:rPr>
                <w:rFonts w:cs="Times New Roman"/>
                <w:bCs/>
                <w:color w:val="000000"/>
                <w:szCs w:val="24"/>
              </w:rPr>
              <w:t>1230m³/h</w:t>
            </w:r>
            <w:r>
              <w:rPr>
                <w:rFonts w:cs="Times New Roman"/>
                <w:bCs/>
                <w:color w:val="000000"/>
                <w:szCs w:val="24"/>
              </w:rPr>
              <w:t>，富余风量</w:t>
            </w:r>
            <w:r>
              <w:rPr>
                <w:rFonts w:cs="Times New Roman"/>
                <w:bCs/>
                <w:color w:val="000000"/>
                <w:szCs w:val="24"/>
              </w:rPr>
              <w:t>6770m³/h</w:t>
            </w:r>
            <w:r>
              <w:rPr>
                <w:rFonts w:cs="Times New Roman"/>
                <w:bCs/>
                <w:color w:val="000000"/>
                <w:szCs w:val="24"/>
              </w:rPr>
              <w:t>。本项目新增风量</w:t>
            </w:r>
            <w:r>
              <w:rPr>
                <w:rFonts w:cs="Times New Roman"/>
                <w:bCs/>
                <w:color w:val="000000"/>
                <w:szCs w:val="24"/>
              </w:rPr>
              <w:t>5</w:t>
            </w:r>
            <w:r>
              <w:rPr>
                <w:rFonts w:cs="Times New Roman" w:hint="eastAsia"/>
                <w:bCs/>
                <w:color w:val="000000"/>
                <w:szCs w:val="24"/>
              </w:rPr>
              <w:t>000m</w:t>
            </w:r>
            <w:r>
              <w:rPr>
                <w:rFonts w:cs="Times New Roman" w:hint="eastAsia"/>
                <w:bCs/>
                <w:color w:val="000000"/>
                <w:szCs w:val="24"/>
              </w:rPr>
              <w:t>³</w:t>
            </w:r>
            <w:r>
              <w:rPr>
                <w:rFonts w:cs="Times New Roman" w:hint="eastAsia"/>
                <w:bCs/>
                <w:color w:val="000000"/>
                <w:szCs w:val="24"/>
              </w:rPr>
              <w:t>/h</w:t>
            </w:r>
            <w:r>
              <w:rPr>
                <w:rFonts w:cs="Times New Roman" w:hint="eastAsia"/>
                <w:bCs/>
                <w:color w:val="000000"/>
                <w:szCs w:val="24"/>
              </w:rPr>
              <w:t>，占富余风量的</w:t>
            </w:r>
            <w:r>
              <w:rPr>
                <w:rFonts w:cs="Times New Roman" w:hint="eastAsia"/>
                <w:bCs/>
                <w:color w:val="000000"/>
                <w:szCs w:val="24"/>
              </w:rPr>
              <w:t>73.9%</w:t>
            </w:r>
            <w:r>
              <w:rPr>
                <w:rFonts w:cs="Times New Roman" w:hint="eastAsia"/>
                <w:bCs/>
                <w:color w:val="000000"/>
                <w:szCs w:val="24"/>
              </w:rPr>
              <w:t>，未超出设施设计处理能力。</w:t>
            </w:r>
          </w:p>
          <w:p w14:paraId="3FA254C4" w14:textId="77777777" w:rsidR="003C4F46" w:rsidRDefault="004B6A81">
            <w:pPr>
              <w:pStyle w:val="af6"/>
              <w:ind w:leftChars="200" w:left="480" w:firstLineChars="0" w:firstLine="0"/>
            </w:pPr>
            <w:r>
              <w:rPr>
                <w:rFonts w:hint="eastAsia"/>
              </w:rPr>
              <w:t>综上，项目废气处理措施技术可行。</w:t>
            </w:r>
          </w:p>
          <w:p w14:paraId="519AC6C8" w14:textId="77777777" w:rsidR="003C4F46" w:rsidRDefault="004B6A81">
            <w:pPr>
              <w:ind w:firstLineChars="0" w:firstLine="0"/>
              <w:rPr>
                <w:rFonts w:cs="Times New Roman"/>
              </w:rPr>
            </w:pPr>
            <w:r>
              <w:rPr>
                <w:rFonts w:hint="eastAsia"/>
                <w:b/>
                <w:bCs/>
              </w:rPr>
              <w:t>4</w:t>
            </w:r>
            <w:r>
              <w:rPr>
                <w:b/>
                <w:bCs/>
              </w:rPr>
              <w:t>.2.1.4</w:t>
            </w:r>
            <w:r>
              <w:rPr>
                <w:rFonts w:cs="Times New Roman" w:hint="eastAsia"/>
                <w:b/>
                <w:color w:val="000000"/>
                <w:szCs w:val="24"/>
              </w:rPr>
              <w:t>废气处理设施非正常工况状态下影响分析</w:t>
            </w:r>
          </w:p>
          <w:p w14:paraId="39C8CFDB" w14:textId="3A712569" w:rsidR="003C4F46" w:rsidRDefault="004B6A81">
            <w:pPr>
              <w:ind w:firstLine="480"/>
              <w:rPr>
                <w:rFonts w:cs="Times New Roman"/>
                <w:szCs w:val="24"/>
                <w:lang w:bidi="ar"/>
              </w:rPr>
            </w:pPr>
            <w:r>
              <w:rPr>
                <w:rFonts w:cs="Times New Roman" w:hint="eastAsia"/>
                <w:szCs w:val="24"/>
                <w:lang w:bidi="ar"/>
              </w:rPr>
              <w:t>根据本项目实际情况，项目非正常工况主要包括以下三种情景：①废气处理设施故障，导致废气未经有效处理直接排放；②储罐泄漏，导致废油进入环境；③危</w:t>
            </w:r>
            <w:r>
              <w:rPr>
                <w:rFonts w:cs="Times New Roman" w:hint="eastAsia"/>
                <w:szCs w:val="24"/>
                <w:lang w:bidi="ar"/>
              </w:rPr>
              <w:lastRenderedPageBreak/>
              <w:t>废包装桶（袋）破损，导致液态危废泄漏及挥发。现分别对上述情景进行污染物释放量核算及影响分析。</w:t>
            </w:r>
          </w:p>
          <w:p w14:paraId="67DADF4B" w14:textId="77777777" w:rsidR="003C4F46" w:rsidRDefault="004B6A81">
            <w:pPr>
              <w:ind w:firstLine="480"/>
              <w:rPr>
                <w:rFonts w:cs="Times New Roman"/>
                <w:szCs w:val="24"/>
                <w:lang w:bidi="ar"/>
              </w:rPr>
            </w:pPr>
            <w:r>
              <w:rPr>
                <w:rFonts w:cs="Times New Roman" w:hint="eastAsia"/>
                <w:szCs w:val="24"/>
                <w:lang w:bidi="ar"/>
              </w:rPr>
              <w:t>（</w:t>
            </w:r>
            <w:r>
              <w:rPr>
                <w:rFonts w:cs="Times New Roman" w:hint="eastAsia"/>
                <w:szCs w:val="24"/>
                <w:lang w:bidi="ar"/>
              </w:rPr>
              <w:t>1</w:t>
            </w:r>
            <w:r>
              <w:rPr>
                <w:rFonts w:cs="Times New Roman" w:hint="eastAsia"/>
                <w:szCs w:val="24"/>
                <w:lang w:bidi="ar"/>
              </w:rPr>
              <w:t>）废气处理设施故障</w:t>
            </w:r>
          </w:p>
          <w:p w14:paraId="30830503" w14:textId="12738AAF" w:rsidR="00DB5A72" w:rsidRDefault="00DB5A72" w:rsidP="00DB5A72">
            <w:pPr>
              <w:ind w:firstLine="480"/>
              <w:rPr>
                <w:rFonts w:cs="Times New Roman"/>
                <w:szCs w:val="24"/>
                <w:lang w:bidi="ar"/>
              </w:rPr>
            </w:pPr>
            <w:r w:rsidRPr="00DB5A72">
              <w:rPr>
                <w:rFonts w:cs="Times New Roman" w:hint="eastAsia"/>
                <w:szCs w:val="24"/>
                <w:lang w:bidi="ar"/>
              </w:rPr>
              <w:t>本项目废气处理设施发生故障时，处理效率降为零，贮存</w:t>
            </w:r>
            <w:r w:rsidR="00CF46A4" w:rsidRPr="00CF46A4">
              <w:rPr>
                <w:rFonts w:cs="Times New Roman" w:hint="eastAsia"/>
                <w:szCs w:val="24"/>
                <w:lang w:bidi="ar"/>
              </w:rPr>
              <w:t>库</w:t>
            </w:r>
            <w:r w:rsidRPr="00DB5A72">
              <w:rPr>
                <w:rFonts w:cs="Times New Roman" w:hint="eastAsia"/>
                <w:szCs w:val="24"/>
                <w:lang w:bidi="ar"/>
              </w:rPr>
              <w:t>废气仅经收集后直接通过</w:t>
            </w:r>
            <w:r w:rsidRPr="00DB5A72">
              <w:rPr>
                <w:rFonts w:cs="Times New Roman" w:hint="eastAsia"/>
                <w:szCs w:val="24"/>
                <w:lang w:bidi="ar"/>
              </w:rPr>
              <w:t>15m</w:t>
            </w:r>
            <w:r w:rsidRPr="00DB5A72">
              <w:rPr>
                <w:rFonts w:cs="Times New Roman" w:hint="eastAsia"/>
                <w:szCs w:val="24"/>
                <w:lang w:bidi="ar"/>
              </w:rPr>
              <w:t>排气筒（</w:t>
            </w:r>
            <w:r w:rsidRPr="00DB5A72">
              <w:rPr>
                <w:rFonts w:cs="Times New Roman" w:hint="eastAsia"/>
                <w:szCs w:val="24"/>
                <w:lang w:bidi="ar"/>
              </w:rPr>
              <w:t>DA005</w:t>
            </w:r>
            <w:r w:rsidRPr="00DB5A72">
              <w:rPr>
                <w:rFonts w:cs="Times New Roman" w:hint="eastAsia"/>
                <w:szCs w:val="24"/>
                <w:lang w:bidi="ar"/>
              </w:rPr>
              <w:t>）排放。废气收集系统仍正常运行，收集效率按</w:t>
            </w:r>
            <w:r w:rsidRPr="00DB5A72">
              <w:rPr>
                <w:rFonts w:cs="Times New Roman" w:hint="eastAsia"/>
                <w:szCs w:val="24"/>
                <w:lang w:bidi="ar"/>
              </w:rPr>
              <w:t>90%</w:t>
            </w:r>
            <w:r w:rsidRPr="00DB5A72">
              <w:rPr>
                <w:rFonts w:cs="Times New Roman" w:hint="eastAsia"/>
                <w:szCs w:val="24"/>
                <w:lang w:bidi="ar"/>
              </w:rPr>
              <w:t>计</w:t>
            </w:r>
            <w:r>
              <w:rPr>
                <w:rFonts w:cs="Times New Roman" w:hint="eastAsia"/>
                <w:szCs w:val="24"/>
                <w:lang w:bidi="ar"/>
              </w:rPr>
              <w:t>。</w:t>
            </w:r>
            <w:r w:rsidRPr="00DB5A72">
              <w:rPr>
                <w:rFonts w:cs="Times New Roman" w:hint="eastAsia"/>
                <w:szCs w:val="24"/>
                <w:lang w:bidi="ar"/>
              </w:rPr>
              <w:t>故障持续时间按</w:t>
            </w:r>
            <w:r w:rsidRPr="00DB5A72">
              <w:rPr>
                <w:rFonts w:cs="Times New Roman" w:hint="eastAsia"/>
                <w:szCs w:val="24"/>
                <w:lang w:bidi="ar"/>
              </w:rPr>
              <w:t>8h</w:t>
            </w:r>
            <w:r w:rsidRPr="00DB5A72">
              <w:rPr>
                <w:rFonts w:cs="Times New Roman" w:hint="eastAsia"/>
                <w:szCs w:val="24"/>
                <w:lang w:bidi="ar"/>
              </w:rPr>
              <w:t>计，源强核算采用正常工况下的瞬时排放速率</w:t>
            </w:r>
            <w:r>
              <w:rPr>
                <w:rFonts w:cs="Times New Roman" w:hint="eastAsia"/>
                <w:szCs w:val="24"/>
                <w:lang w:bidi="ar"/>
              </w:rPr>
              <w:t>，</w:t>
            </w:r>
            <w:r>
              <w:rPr>
                <w:rFonts w:ascii="Segoe UI" w:hAnsi="Segoe UI" w:cs="Segoe UI"/>
                <w:color w:val="0F1115"/>
                <w:shd w:val="clear" w:color="auto" w:fill="FFFFFF"/>
              </w:rPr>
              <w:t>污染物释放量如下：</w:t>
            </w:r>
          </w:p>
          <w:p w14:paraId="0E456FA7" w14:textId="77777777" w:rsidR="003C4F46" w:rsidRDefault="004B6A81">
            <w:pPr>
              <w:adjustRightInd w:val="0"/>
              <w:snapToGrid w:val="0"/>
              <w:spacing w:line="240" w:lineRule="auto"/>
              <w:ind w:firstLineChars="0" w:firstLine="0"/>
              <w:jc w:val="center"/>
              <w:textAlignment w:val="auto"/>
              <w:rPr>
                <w:rFonts w:cs="Times New Roman"/>
                <w:b/>
                <w:sz w:val="21"/>
                <w:szCs w:val="21"/>
              </w:rPr>
            </w:pPr>
            <w:r>
              <w:rPr>
                <w:rFonts w:cs="Times New Roman"/>
                <w:b/>
                <w:sz w:val="21"/>
                <w:szCs w:val="21"/>
              </w:rPr>
              <w:t>表</w:t>
            </w:r>
            <w:r>
              <w:rPr>
                <w:rFonts w:cs="Times New Roman"/>
                <w:b/>
                <w:sz w:val="21"/>
                <w:szCs w:val="21"/>
              </w:rPr>
              <w:t>4-3</w:t>
            </w:r>
            <w:r>
              <w:rPr>
                <w:rFonts w:cs="Times New Roman" w:hint="eastAsia"/>
                <w:b/>
                <w:sz w:val="21"/>
                <w:szCs w:val="21"/>
              </w:rPr>
              <w:t xml:space="preserve">  </w:t>
            </w:r>
            <w:r>
              <w:rPr>
                <w:rFonts w:cs="Times New Roman"/>
                <w:b/>
                <w:sz w:val="21"/>
                <w:szCs w:val="21"/>
              </w:rPr>
              <w:t>污染源非正常排放量一览表</w:t>
            </w:r>
          </w:p>
          <w:tbl>
            <w:tblPr>
              <w:tblW w:w="4998"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90"/>
              <w:gridCol w:w="1630"/>
              <w:gridCol w:w="1879"/>
              <w:gridCol w:w="1879"/>
              <w:gridCol w:w="1840"/>
            </w:tblGrid>
            <w:tr w:rsidR="003C4F46" w14:paraId="3A277826" w14:textId="77777777">
              <w:trPr>
                <w:trHeight w:val="385"/>
                <w:jc w:val="center"/>
              </w:trPr>
              <w:tc>
                <w:tcPr>
                  <w:tcW w:w="758" w:type="pct"/>
                  <w:vAlign w:val="center"/>
                </w:tcPr>
                <w:p w14:paraId="18D90607"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非正常排放源</w:t>
                  </w:r>
                </w:p>
              </w:tc>
              <w:tc>
                <w:tcPr>
                  <w:tcW w:w="956" w:type="pct"/>
                  <w:vAlign w:val="center"/>
                </w:tcPr>
                <w:p w14:paraId="58C90266"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污染物</w:t>
                  </w:r>
                </w:p>
              </w:tc>
              <w:tc>
                <w:tcPr>
                  <w:tcW w:w="1102" w:type="pct"/>
                  <w:vAlign w:val="center"/>
                </w:tcPr>
                <w:p w14:paraId="326DE450"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非正常排放速率（</w:t>
                  </w:r>
                  <w:r>
                    <w:rPr>
                      <w:rFonts w:ascii="Times New Roman" w:hAnsi="Times New Roman" w:cs="Times New Roman"/>
                      <w:kern w:val="2"/>
                      <w:sz w:val="21"/>
                      <w:szCs w:val="21"/>
                      <w:lang w:bidi="ar"/>
                    </w:rPr>
                    <w:t>kg/h</w:t>
                  </w:r>
                  <w:r>
                    <w:rPr>
                      <w:rFonts w:ascii="Times New Roman" w:hAnsi="Times New Roman" w:cs="Times New Roman"/>
                      <w:kern w:val="2"/>
                      <w:sz w:val="21"/>
                      <w:szCs w:val="21"/>
                      <w:lang w:bidi="ar"/>
                    </w:rPr>
                    <w:t>）</w:t>
                  </w:r>
                </w:p>
              </w:tc>
              <w:tc>
                <w:tcPr>
                  <w:tcW w:w="1102" w:type="pct"/>
                  <w:vAlign w:val="center"/>
                </w:tcPr>
                <w:p w14:paraId="3CDCA20F"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非正常排放时间（</w:t>
                  </w:r>
                  <w:r>
                    <w:rPr>
                      <w:rFonts w:ascii="Times New Roman" w:hAnsi="Times New Roman" w:cs="Times New Roman"/>
                      <w:kern w:val="2"/>
                      <w:sz w:val="21"/>
                      <w:szCs w:val="21"/>
                      <w:lang w:bidi="ar"/>
                    </w:rPr>
                    <w:t>h</w:t>
                  </w:r>
                  <w:r>
                    <w:rPr>
                      <w:rFonts w:ascii="Times New Roman" w:hAnsi="Times New Roman" w:cs="Times New Roman"/>
                      <w:kern w:val="2"/>
                      <w:sz w:val="21"/>
                      <w:szCs w:val="21"/>
                      <w:lang w:bidi="ar"/>
                    </w:rPr>
                    <w:t>）</w:t>
                  </w:r>
                </w:p>
              </w:tc>
              <w:tc>
                <w:tcPr>
                  <w:tcW w:w="1079" w:type="pct"/>
                  <w:vAlign w:val="center"/>
                </w:tcPr>
                <w:p w14:paraId="774200D9"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排放量（</w:t>
                  </w:r>
                  <w:r>
                    <w:rPr>
                      <w:rFonts w:ascii="Times New Roman" w:hAnsi="Times New Roman" w:cs="Times New Roman"/>
                      <w:kern w:val="2"/>
                      <w:sz w:val="21"/>
                      <w:szCs w:val="21"/>
                      <w:lang w:bidi="ar"/>
                    </w:rPr>
                    <w:t>kg</w:t>
                  </w:r>
                  <w:r>
                    <w:rPr>
                      <w:rFonts w:ascii="Times New Roman" w:hAnsi="Times New Roman" w:cs="Times New Roman"/>
                      <w:kern w:val="2"/>
                      <w:sz w:val="21"/>
                      <w:szCs w:val="21"/>
                      <w:lang w:bidi="ar"/>
                    </w:rPr>
                    <w:t>）</w:t>
                  </w:r>
                </w:p>
              </w:tc>
            </w:tr>
            <w:tr w:rsidR="003C4F46" w14:paraId="55E87E77" w14:textId="77777777">
              <w:trPr>
                <w:trHeight w:val="60"/>
                <w:jc w:val="center"/>
              </w:trPr>
              <w:tc>
                <w:tcPr>
                  <w:tcW w:w="758" w:type="pct"/>
                  <w:vMerge w:val="restart"/>
                  <w:vAlign w:val="center"/>
                </w:tcPr>
                <w:p w14:paraId="17391243" w14:textId="5436146E" w:rsidR="003C4F46" w:rsidRDefault="004B6A81">
                  <w:pPr>
                    <w:pStyle w:val="TableParagraph"/>
                    <w:widowControl/>
                    <w:ind w:right="112"/>
                    <w:jc w:val="center"/>
                    <w:rPr>
                      <w:rFonts w:eastAsia="宋体"/>
                      <w:sz w:val="21"/>
                      <w:szCs w:val="21"/>
                      <w:lang w:eastAsia="zh-CN"/>
                    </w:rPr>
                  </w:pPr>
                  <w:r>
                    <w:rPr>
                      <w:rFonts w:eastAsia="宋体" w:hint="eastAsia"/>
                      <w:sz w:val="21"/>
                      <w:szCs w:val="21"/>
                      <w:lang w:eastAsia="zh-CN"/>
                    </w:rPr>
                    <w:t>贮存</w:t>
                  </w:r>
                  <w:r w:rsidR="00CF46A4" w:rsidRPr="00CF46A4">
                    <w:rPr>
                      <w:rFonts w:eastAsia="宋体" w:hint="eastAsia"/>
                      <w:sz w:val="21"/>
                      <w:szCs w:val="21"/>
                      <w:lang w:eastAsia="zh-CN"/>
                    </w:rPr>
                    <w:t>库</w:t>
                  </w:r>
                </w:p>
              </w:tc>
              <w:tc>
                <w:tcPr>
                  <w:tcW w:w="956" w:type="pct"/>
                  <w:vAlign w:val="center"/>
                </w:tcPr>
                <w:p w14:paraId="037E609F" w14:textId="77777777" w:rsidR="003C4F46" w:rsidRDefault="004B6A81">
                  <w:pPr>
                    <w:pStyle w:val="TableParagraph"/>
                    <w:widowControl/>
                    <w:ind w:right="91"/>
                    <w:jc w:val="center"/>
                    <w:rPr>
                      <w:rFonts w:eastAsia="宋体"/>
                      <w:sz w:val="21"/>
                      <w:szCs w:val="21"/>
                      <w:lang w:eastAsia="zh-CN"/>
                    </w:rPr>
                  </w:pPr>
                  <w:proofErr w:type="spellStart"/>
                  <w:r>
                    <w:rPr>
                      <w:sz w:val="21"/>
                      <w:szCs w:val="21"/>
                      <w:lang w:eastAsia="zh-CN"/>
                    </w:rPr>
                    <w:t>硫酸雾</w:t>
                  </w:r>
                  <w:proofErr w:type="spellEnd"/>
                </w:p>
              </w:tc>
              <w:tc>
                <w:tcPr>
                  <w:tcW w:w="1102" w:type="pct"/>
                  <w:vAlign w:val="center"/>
                </w:tcPr>
                <w:p w14:paraId="224D63CB" w14:textId="04141D7F" w:rsidR="003C4F46" w:rsidRDefault="00DB5A72">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0.006</w:t>
                  </w:r>
                </w:p>
              </w:tc>
              <w:tc>
                <w:tcPr>
                  <w:tcW w:w="1102" w:type="pct"/>
                  <w:vAlign w:val="center"/>
                </w:tcPr>
                <w:p w14:paraId="0DFA26C9"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8</w:t>
                  </w:r>
                </w:p>
              </w:tc>
              <w:tc>
                <w:tcPr>
                  <w:tcW w:w="1079" w:type="pct"/>
                  <w:vAlign w:val="center"/>
                </w:tcPr>
                <w:p w14:paraId="50AE9DCC" w14:textId="35E730E6" w:rsidR="003C4F46" w:rsidRDefault="00DB5A72">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0.048</w:t>
                  </w:r>
                </w:p>
              </w:tc>
            </w:tr>
            <w:tr w:rsidR="003C4F46" w14:paraId="641637AA" w14:textId="77777777">
              <w:trPr>
                <w:trHeight w:val="271"/>
                <w:jc w:val="center"/>
              </w:trPr>
              <w:tc>
                <w:tcPr>
                  <w:tcW w:w="758" w:type="pct"/>
                  <w:vMerge/>
                  <w:vAlign w:val="center"/>
                </w:tcPr>
                <w:p w14:paraId="53486F86" w14:textId="77777777" w:rsidR="003C4F46" w:rsidRDefault="003C4F46">
                  <w:pPr>
                    <w:pStyle w:val="TableParagraph"/>
                    <w:widowControl/>
                    <w:ind w:right="112" w:firstLine="420"/>
                    <w:jc w:val="center"/>
                    <w:rPr>
                      <w:rFonts w:eastAsia="宋体"/>
                      <w:sz w:val="21"/>
                      <w:szCs w:val="21"/>
                      <w:lang w:eastAsia="zh-CN"/>
                    </w:rPr>
                  </w:pPr>
                </w:p>
              </w:tc>
              <w:tc>
                <w:tcPr>
                  <w:tcW w:w="956" w:type="pct"/>
                  <w:vAlign w:val="center"/>
                </w:tcPr>
                <w:p w14:paraId="1CEB4EC9" w14:textId="77777777" w:rsidR="003C4F46" w:rsidRDefault="004B6A81">
                  <w:pPr>
                    <w:pStyle w:val="TableParagraph"/>
                    <w:widowControl/>
                    <w:ind w:right="91"/>
                    <w:jc w:val="center"/>
                    <w:rPr>
                      <w:sz w:val="21"/>
                      <w:szCs w:val="21"/>
                      <w:lang w:eastAsia="zh-CN"/>
                    </w:rPr>
                  </w:pPr>
                  <w:r>
                    <w:rPr>
                      <w:sz w:val="21"/>
                      <w:szCs w:val="21"/>
                      <w:lang w:eastAsia="zh-CN"/>
                    </w:rPr>
                    <w:t>VOCs</w:t>
                  </w:r>
                </w:p>
              </w:tc>
              <w:tc>
                <w:tcPr>
                  <w:tcW w:w="1102" w:type="pct"/>
                  <w:vAlign w:val="center"/>
                </w:tcPr>
                <w:p w14:paraId="0A3A261A" w14:textId="329E998D" w:rsidR="003C4F46" w:rsidRDefault="00DB5A72">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0.17</w:t>
                  </w:r>
                </w:p>
              </w:tc>
              <w:tc>
                <w:tcPr>
                  <w:tcW w:w="1102" w:type="pct"/>
                  <w:vAlign w:val="center"/>
                </w:tcPr>
                <w:p w14:paraId="73D465F2" w14:textId="77777777" w:rsidR="003C4F46" w:rsidRDefault="004B6A81">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8</w:t>
                  </w:r>
                </w:p>
              </w:tc>
              <w:tc>
                <w:tcPr>
                  <w:tcW w:w="1079" w:type="pct"/>
                  <w:vAlign w:val="center"/>
                </w:tcPr>
                <w:p w14:paraId="3657DF17" w14:textId="67E0787D" w:rsidR="003C4F46" w:rsidRDefault="00DB5A72">
                  <w:pPr>
                    <w:pStyle w:val="af7"/>
                    <w:widowControl w:val="0"/>
                    <w:autoSpaceDE w:val="0"/>
                    <w:adjustRightInd w:val="0"/>
                    <w:spacing w:before="0" w:beforeAutospacing="0" w:after="0" w:afterAutospacing="0"/>
                    <w:jc w:val="center"/>
                    <w:textAlignment w:val="baseline"/>
                    <w:rPr>
                      <w:rFonts w:ascii="Times New Roman" w:hAnsi="Times New Roman" w:cs="Times New Roman"/>
                      <w:kern w:val="2"/>
                      <w:sz w:val="21"/>
                      <w:szCs w:val="21"/>
                      <w:lang w:bidi="ar"/>
                    </w:rPr>
                  </w:pPr>
                  <w:r>
                    <w:rPr>
                      <w:rFonts w:ascii="Times New Roman" w:hAnsi="Times New Roman" w:cs="Times New Roman"/>
                      <w:kern w:val="2"/>
                      <w:sz w:val="21"/>
                      <w:szCs w:val="21"/>
                      <w:lang w:bidi="ar"/>
                    </w:rPr>
                    <w:t>1.36</w:t>
                  </w:r>
                </w:p>
              </w:tc>
            </w:tr>
          </w:tbl>
          <w:p w14:paraId="43626B72" w14:textId="77777777" w:rsidR="003C4F46" w:rsidRDefault="004B6A81">
            <w:pPr>
              <w:adjustRightInd w:val="0"/>
              <w:snapToGrid w:val="0"/>
              <w:ind w:firstLine="480"/>
            </w:pPr>
            <w:r>
              <w:rPr>
                <w:rFonts w:hint="eastAsia"/>
              </w:rPr>
              <w:t>当废气处理设施发生故障时，本项目须立即停止危险废物入库作业，保持贮存库密闭，减少无组织排放。故障排除、设施恢复正常运行后方可恢复接收作业。企业须安排专人负责环保设备的日常维护，定期检查活性炭饱和度并及时更换，建立检修台账。</w:t>
            </w:r>
          </w:p>
          <w:p w14:paraId="31C0C377" w14:textId="1DAEB10A" w:rsidR="003C4F46" w:rsidRDefault="004B6A81">
            <w:pPr>
              <w:adjustRightInd w:val="0"/>
              <w:snapToGrid w:val="0"/>
              <w:ind w:firstLine="480"/>
            </w:pPr>
            <w:r>
              <w:rPr>
                <w:rFonts w:hint="eastAsia"/>
              </w:rPr>
              <w:t>（</w:t>
            </w:r>
            <w:r>
              <w:rPr>
                <w:rFonts w:hint="eastAsia"/>
              </w:rPr>
              <w:t>2</w:t>
            </w:r>
            <w:r>
              <w:rPr>
                <w:rFonts w:hint="eastAsia"/>
              </w:rPr>
              <w:t>）废矿物油</w:t>
            </w:r>
            <w:r w:rsidR="009C535D">
              <w:rPr>
                <w:rFonts w:hint="eastAsia"/>
              </w:rPr>
              <w:t>、</w:t>
            </w:r>
            <w:r w:rsidR="009C535D">
              <w:rPr>
                <w:rFonts w:cs="Times New Roman"/>
              </w:rPr>
              <w:t>油</w:t>
            </w:r>
            <w:r w:rsidR="009C535D">
              <w:rPr>
                <w:rFonts w:cs="Times New Roman"/>
              </w:rPr>
              <w:t>/</w:t>
            </w:r>
            <w:r w:rsidR="009C535D">
              <w:rPr>
                <w:rFonts w:cs="Times New Roman"/>
              </w:rPr>
              <w:t>水混合物</w:t>
            </w:r>
            <w:r>
              <w:rPr>
                <w:rFonts w:hint="eastAsia"/>
              </w:rPr>
              <w:t>储罐泄漏</w:t>
            </w:r>
          </w:p>
          <w:p w14:paraId="205ADD96" w14:textId="08C286F6" w:rsidR="009C535D" w:rsidRPr="009C535D" w:rsidRDefault="00985A62">
            <w:pPr>
              <w:adjustRightInd w:val="0"/>
              <w:snapToGrid w:val="0"/>
              <w:ind w:firstLine="480"/>
              <w:rPr>
                <w:szCs w:val="24"/>
              </w:rPr>
            </w:pPr>
            <w:r w:rsidRPr="00985A62">
              <w:rPr>
                <w:rFonts w:hint="eastAsia"/>
                <w:szCs w:val="24"/>
              </w:rPr>
              <w:t>本项目设</w:t>
            </w:r>
            <w:r w:rsidRPr="00985A62">
              <w:rPr>
                <w:rFonts w:hint="eastAsia"/>
                <w:szCs w:val="24"/>
              </w:rPr>
              <w:t>4</w:t>
            </w:r>
            <w:r w:rsidRPr="00985A62">
              <w:rPr>
                <w:rFonts w:hint="eastAsia"/>
                <w:szCs w:val="24"/>
              </w:rPr>
              <w:t>座</w:t>
            </w:r>
            <w:r w:rsidRPr="00985A62">
              <w:rPr>
                <w:rFonts w:hint="eastAsia"/>
                <w:szCs w:val="24"/>
              </w:rPr>
              <w:t>600m</w:t>
            </w:r>
            <w:r w:rsidRPr="00985A62">
              <w:rPr>
                <w:rFonts w:hint="eastAsia"/>
                <w:szCs w:val="24"/>
              </w:rPr>
              <w:t>³储罐，分别用于贮存</w:t>
            </w:r>
            <w:r w:rsidR="004B4554" w:rsidRPr="00985A62">
              <w:rPr>
                <w:rFonts w:hint="eastAsia"/>
                <w:szCs w:val="24"/>
              </w:rPr>
              <w:t>HW08</w:t>
            </w:r>
            <w:r w:rsidRPr="00985A62">
              <w:rPr>
                <w:rFonts w:hint="eastAsia"/>
                <w:szCs w:val="24"/>
              </w:rPr>
              <w:t>废矿物油和</w:t>
            </w:r>
            <w:r w:rsidRPr="00985A62">
              <w:rPr>
                <w:rFonts w:hint="eastAsia"/>
                <w:szCs w:val="24"/>
              </w:rPr>
              <w:t>HW09</w:t>
            </w:r>
            <w:r w:rsidRPr="00985A62">
              <w:rPr>
                <w:rFonts w:hint="eastAsia"/>
                <w:szCs w:val="24"/>
              </w:rPr>
              <w:t>油</w:t>
            </w:r>
            <w:r w:rsidRPr="00985A62">
              <w:rPr>
                <w:rFonts w:hint="eastAsia"/>
                <w:szCs w:val="24"/>
              </w:rPr>
              <w:t>/</w:t>
            </w:r>
            <w:r w:rsidRPr="00985A62">
              <w:rPr>
                <w:rFonts w:hint="eastAsia"/>
                <w:szCs w:val="24"/>
              </w:rPr>
              <w:t>水、烃</w:t>
            </w:r>
            <w:r w:rsidRPr="00985A62">
              <w:rPr>
                <w:rFonts w:hint="eastAsia"/>
                <w:szCs w:val="24"/>
              </w:rPr>
              <w:t>/</w:t>
            </w:r>
            <w:r w:rsidRPr="00985A62">
              <w:rPr>
                <w:rFonts w:hint="eastAsia"/>
                <w:szCs w:val="24"/>
              </w:rPr>
              <w:t>水混合物或乳化液。假设单个储罐因罐体腐蚀、阀门损坏或管道破裂发生泄漏事故，泄漏孔径取</w:t>
            </w:r>
            <w:r w:rsidRPr="00985A62">
              <w:rPr>
                <w:rFonts w:hint="eastAsia"/>
                <w:szCs w:val="24"/>
              </w:rPr>
              <w:t>10mm</w:t>
            </w:r>
            <w:r w:rsidRPr="00985A62">
              <w:rPr>
                <w:rFonts w:hint="eastAsia"/>
                <w:szCs w:val="24"/>
              </w:rPr>
              <w:t>，泄漏时间按</w:t>
            </w:r>
            <w:r w:rsidRPr="00985A62">
              <w:rPr>
                <w:rFonts w:hint="eastAsia"/>
                <w:szCs w:val="24"/>
              </w:rPr>
              <w:t>30min</w:t>
            </w:r>
            <w:r w:rsidRPr="00985A62">
              <w:rPr>
                <w:rFonts w:hint="eastAsia"/>
                <w:szCs w:val="24"/>
              </w:rPr>
              <w:t>计。根据《建设项目环境风险评价技术导则》（</w:t>
            </w:r>
            <w:r w:rsidRPr="00985A62">
              <w:rPr>
                <w:rFonts w:hint="eastAsia"/>
                <w:szCs w:val="24"/>
              </w:rPr>
              <w:t>HJ169-2018</w:t>
            </w:r>
            <w:r w:rsidRPr="00985A62">
              <w:rPr>
                <w:rFonts w:hint="eastAsia"/>
                <w:szCs w:val="24"/>
              </w:rPr>
              <w:t>）附录</w:t>
            </w:r>
            <w:r w:rsidRPr="00985A62">
              <w:rPr>
                <w:rFonts w:hint="eastAsia"/>
                <w:szCs w:val="24"/>
              </w:rPr>
              <w:t>F.1.1</w:t>
            </w:r>
            <w:r w:rsidRPr="00985A62">
              <w:rPr>
                <w:rFonts w:hint="eastAsia"/>
                <w:szCs w:val="24"/>
              </w:rPr>
              <w:t>液体泄漏速率伯努利方程计算，结合储罐设计压力及液位高度等参数，废矿物油泄漏速率约为</w:t>
            </w:r>
            <w:r w:rsidRPr="00985A62">
              <w:rPr>
                <w:rFonts w:hint="eastAsia"/>
                <w:szCs w:val="24"/>
              </w:rPr>
              <w:t>1.55kg/s</w:t>
            </w:r>
            <w:r w:rsidRPr="00985A62">
              <w:rPr>
                <w:rFonts w:hint="eastAsia"/>
                <w:szCs w:val="24"/>
              </w:rPr>
              <w:t>，</w:t>
            </w:r>
            <w:r w:rsidRPr="00985A62">
              <w:rPr>
                <w:rFonts w:hint="eastAsia"/>
                <w:szCs w:val="24"/>
              </w:rPr>
              <w:t>30min</w:t>
            </w:r>
            <w:r w:rsidRPr="00985A62">
              <w:rPr>
                <w:rFonts w:hint="eastAsia"/>
                <w:szCs w:val="24"/>
              </w:rPr>
              <w:t>内总泄漏量约为</w:t>
            </w:r>
            <w:r w:rsidRPr="00985A62">
              <w:rPr>
                <w:rFonts w:hint="eastAsia"/>
                <w:szCs w:val="24"/>
              </w:rPr>
              <w:t>2.79t</w:t>
            </w:r>
            <w:r w:rsidRPr="00985A62">
              <w:rPr>
                <w:rFonts w:hint="eastAsia"/>
                <w:szCs w:val="24"/>
              </w:rPr>
              <w:t>；</w:t>
            </w:r>
            <w:r w:rsidRPr="00985A62">
              <w:rPr>
                <w:rFonts w:hint="eastAsia"/>
                <w:szCs w:val="24"/>
              </w:rPr>
              <w:t>HW09</w:t>
            </w:r>
            <w:r w:rsidRPr="00985A62">
              <w:rPr>
                <w:rFonts w:hint="eastAsia"/>
                <w:szCs w:val="24"/>
              </w:rPr>
              <w:t>油</w:t>
            </w:r>
            <w:r w:rsidRPr="00985A62">
              <w:rPr>
                <w:rFonts w:hint="eastAsia"/>
                <w:szCs w:val="24"/>
              </w:rPr>
              <w:t>/</w:t>
            </w:r>
            <w:r w:rsidRPr="00985A62">
              <w:rPr>
                <w:rFonts w:hint="eastAsia"/>
                <w:szCs w:val="24"/>
              </w:rPr>
              <w:t>水混合物（密度取</w:t>
            </w:r>
            <w:r w:rsidRPr="00985A62">
              <w:rPr>
                <w:rFonts w:hint="eastAsia"/>
                <w:szCs w:val="24"/>
              </w:rPr>
              <w:t>900kg/m</w:t>
            </w:r>
            <w:r w:rsidRPr="00985A62">
              <w:rPr>
                <w:rFonts w:hint="eastAsia"/>
                <w:szCs w:val="24"/>
              </w:rPr>
              <w:t>³）泄漏速率约为</w:t>
            </w:r>
            <w:r w:rsidRPr="00985A62">
              <w:rPr>
                <w:rFonts w:hint="eastAsia"/>
                <w:szCs w:val="24"/>
              </w:rPr>
              <w:t>1.59kg/s</w:t>
            </w:r>
            <w:r w:rsidRPr="00985A62">
              <w:rPr>
                <w:rFonts w:hint="eastAsia"/>
                <w:szCs w:val="24"/>
              </w:rPr>
              <w:t>，</w:t>
            </w:r>
            <w:r w:rsidRPr="00985A62">
              <w:rPr>
                <w:rFonts w:hint="eastAsia"/>
                <w:szCs w:val="24"/>
              </w:rPr>
              <w:t>30min</w:t>
            </w:r>
            <w:r w:rsidRPr="00985A62">
              <w:rPr>
                <w:rFonts w:hint="eastAsia"/>
                <w:szCs w:val="24"/>
              </w:rPr>
              <w:t>内总泄漏量约为</w:t>
            </w:r>
            <w:r w:rsidRPr="00985A62">
              <w:rPr>
                <w:rFonts w:hint="eastAsia"/>
                <w:szCs w:val="24"/>
              </w:rPr>
              <w:t>2.86t</w:t>
            </w:r>
            <w:r w:rsidRPr="00985A62">
              <w:rPr>
                <w:rFonts w:hint="eastAsia"/>
                <w:szCs w:val="24"/>
              </w:rPr>
              <w:t>。泄漏的废矿物油及</w:t>
            </w:r>
            <w:r w:rsidRPr="00985A62">
              <w:rPr>
                <w:rFonts w:hint="eastAsia"/>
                <w:szCs w:val="24"/>
              </w:rPr>
              <w:t>HW09</w:t>
            </w:r>
            <w:r w:rsidRPr="00985A62">
              <w:rPr>
                <w:rFonts w:hint="eastAsia"/>
                <w:szCs w:val="24"/>
              </w:rPr>
              <w:t>油</w:t>
            </w:r>
            <w:r w:rsidRPr="00985A62">
              <w:rPr>
                <w:rFonts w:hint="eastAsia"/>
                <w:szCs w:val="24"/>
              </w:rPr>
              <w:t>/</w:t>
            </w:r>
            <w:r w:rsidRPr="00985A62">
              <w:rPr>
                <w:rFonts w:hint="eastAsia"/>
                <w:szCs w:val="24"/>
              </w:rPr>
              <w:t>水混合物将被罐区围堰拦截，不会漫流出罐区。泄漏产生的挥发性有机物（非甲烷总烃）无组织排放量按泄漏量的</w:t>
            </w:r>
            <w:r w:rsidRPr="00985A62">
              <w:rPr>
                <w:rFonts w:hint="eastAsia"/>
                <w:szCs w:val="24"/>
              </w:rPr>
              <w:t>0.01%</w:t>
            </w:r>
            <w:r w:rsidRPr="00985A62">
              <w:rPr>
                <w:rFonts w:hint="eastAsia"/>
                <w:szCs w:val="24"/>
              </w:rPr>
              <w:t>计，废矿物油泄漏</w:t>
            </w:r>
            <w:r w:rsidRPr="00985A62">
              <w:rPr>
                <w:rFonts w:hint="eastAsia"/>
                <w:szCs w:val="24"/>
              </w:rPr>
              <w:t>NMHC</w:t>
            </w:r>
            <w:r w:rsidRPr="00985A62">
              <w:rPr>
                <w:rFonts w:hint="eastAsia"/>
                <w:szCs w:val="24"/>
              </w:rPr>
              <w:t>排放量约为</w:t>
            </w:r>
            <w:r w:rsidRPr="00985A62">
              <w:rPr>
                <w:rFonts w:hint="eastAsia"/>
                <w:szCs w:val="24"/>
              </w:rPr>
              <w:t>0.28kg</w:t>
            </w:r>
            <w:r w:rsidRPr="00985A62">
              <w:rPr>
                <w:rFonts w:hint="eastAsia"/>
                <w:szCs w:val="24"/>
              </w:rPr>
              <w:t>，</w:t>
            </w:r>
            <w:r w:rsidRPr="00985A62">
              <w:rPr>
                <w:rFonts w:hint="eastAsia"/>
                <w:szCs w:val="24"/>
              </w:rPr>
              <w:t>HW09</w:t>
            </w:r>
            <w:r w:rsidRPr="00985A62">
              <w:rPr>
                <w:rFonts w:hint="eastAsia"/>
                <w:szCs w:val="24"/>
              </w:rPr>
              <w:t>油</w:t>
            </w:r>
            <w:r w:rsidRPr="00985A62">
              <w:rPr>
                <w:rFonts w:hint="eastAsia"/>
                <w:szCs w:val="24"/>
              </w:rPr>
              <w:t>/</w:t>
            </w:r>
            <w:r w:rsidRPr="00985A62">
              <w:rPr>
                <w:rFonts w:hint="eastAsia"/>
                <w:szCs w:val="24"/>
              </w:rPr>
              <w:t>水混合物泄漏</w:t>
            </w:r>
            <w:r w:rsidRPr="00985A62">
              <w:rPr>
                <w:rFonts w:hint="eastAsia"/>
                <w:szCs w:val="24"/>
              </w:rPr>
              <w:t>NMHC</w:t>
            </w:r>
            <w:r w:rsidRPr="00985A62">
              <w:rPr>
                <w:rFonts w:hint="eastAsia"/>
                <w:szCs w:val="24"/>
              </w:rPr>
              <w:t>排放量约为</w:t>
            </w:r>
            <w:r w:rsidRPr="00985A62">
              <w:rPr>
                <w:rFonts w:hint="eastAsia"/>
                <w:szCs w:val="24"/>
              </w:rPr>
              <w:t>0.29kg</w:t>
            </w:r>
            <w:r w:rsidRPr="00985A62">
              <w:rPr>
                <w:rFonts w:hint="eastAsia"/>
                <w:szCs w:val="24"/>
              </w:rPr>
              <w:t>。</w:t>
            </w:r>
            <w:r w:rsidRPr="00985A62">
              <w:rPr>
                <w:rFonts w:hint="eastAsia"/>
                <w:szCs w:val="24"/>
              </w:rPr>
              <w:t>HW09</w:t>
            </w:r>
            <w:r w:rsidRPr="00985A62">
              <w:rPr>
                <w:rFonts w:hint="eastAsia"/>
                <w:szCs w:val="24"/>
              </w:rPr>
              <w:t>油</w:t>
            </w:r>
            <w:r w:rsidRPr="00985A62">
              <w:rPr>
                <w:rFonts w:hint="eastAsia"/>
                <w:szCs w:val="24"/>
              </w:rPr>
              <w:t>/</w:t>
            </w:r>
            <w:r w:rsidRPr="00985A62">
              <w:rPr>
                <w:rFonts w:hint="eastAsia"/>
                <w:szCs w:val="24"/>
              </w:rPr>
              <w:t>水、烃</w:t>
            </w:r>
            <w:r w:rsidRPr="00985A62">
              <w:rPr>
                <w:rFonts w:hint="eastAsia"/>
                <w:szCs w:val="24"/>
              </w:rPr>
              <w:t>/</w:t>
            </w:r>
            <w:r w:rsidRPr="00985A62">
              <w:rPr>
                <w:rFonts w:hint="eastAsia"/>
                <w:szCs w:val="24"/>
              </w:rPr>
              <w:t>水混合物或乳化液中含有醇类、酮类、酯类、醚类、芳烃类、卤代烃类等易挥发组分，泄漏后挥发出的有机物对环境空气造成一定影响。泄漏发生后，立即关闭储罐进出料管道截断阀，将罐内剩余物料转移至备用储罐或槽车，同时将围堰内泄漏的废油及油水混合物通过导流槽全部导入</w:t>
            </w:r>
            <w:r w:rsidR="00F1134E">
              <w:rPr>
                <w:rFonts w:hint="eastAsia"/>
                <w:szCs w:val="24"/>
              </w:rPr>
              <w:t>收集</w:t>
            </w:r>
            <w:r w:rsidR="00F1134E">
              <w:rPr>
                <w:rFonts w:hint="eastAsia"/>
                <w:szCs w:val="24"/>
              </w:rPr>
              <w:lastRenderedPageBreak/>
              <w:t>池</w:t>
            </w:r>
            <w:r w:rsidRPr="00985A62">
              <w:rPr>
                <w:rFonts w:hint="eastAsia"/>
                <w:szCs w:val="24"/>
              </w:rPr>
              <w:t>，作为危险废物委托有资质单位处置</w:t>
            </w:r>
            <w:r w:rsidR="009C535D">
              <w:rPr>
                <w:rFonts w:hint="eastAsia"/>
                <w:szCs w:val="24"/>
              </w:rPr>
              <w:t>。</w:t>
            </w:r>
          </w:p>
          <w:p w14:paraId="5E5FEAA7" w14:textId="77777777" w:rsidR="003C4F46" w:rsidRPr="00D31995" w:rsidRDefault="004B6A81">
            <w:pPr>
              <w:adjustRightInd w:val="0"/>
              <w:snapToGrid w:val="0"/>
              <w:ind w:firstLine="480"/>
              <w:rPr>
                <w:rFonts w:cs="Times New Roman"/>
                <w:bCs/>
              </w:rPr>
            </w:pPr>
            <w:r w:rsidRPr="00D31995">
              <w:rPr>
                <w:rFonts w:cs="Times New Roman"/>
                <w:bCs/>
              </w:rPr>
              <w:t>（</w:t>
            </w:r>
            <w:r w:rsidRPr="00D31995">
              <w:rPr>
                <w:rFonts w:cs="Times New Roman"/>
                <w:bCs/>
              </w:rPr>
              <w:t>3</w:t>
            </w:r>
            <w:r w:rsidRPr="00D31995">
              <w:rPr>
                <w:rFonts w:cs="Times New Roman"/>
                <w:bCs/>
              </w:rPr>
              <w:t>）危废包装桶（袋）破损</w:t>
            </w:r>
          </w:p>
          <w:p w14:paraId="20B9EDAC" w14:textId="04DB05BE" w:rsidR="003C4F46" w:rsidRPr="00D31995" w:rsidRDefault="004B6A81">
            <w:pPr>
              <w:adjustRightInd w:val="0"/>
              <w:snapToGrid w:val="0"/>
              <w:ind w:firstLine="480"/>
              <w:rPr>
                <w:rFonts w:cs="Times New Roman"/>
                <w:bCs/>
              </w:rPr>
            </w:pPr>
            <w:r w:rsidRPr="00D31995">
              <w:rPr>
                <w:rFonts w:cs="Times New Roman"/>
                <w:bCs/>
              </w:rPr>
              <w:t>本项目</w:t>
            </w:r>
            <w:r w:rsidRPr="00D31995">
              <w:rPr>
                <w:rFonts w:cs="Times New Roman"/>
                <w:bCs/>
              </w:rPr>
              <w:t>1#</w:t>
            </w:r>
            <w:r w:rsidRPr="00D31995">
              <w:rPr>
                <w:rFonts w:cs="Times New Roman"/>
                <w:bCs/>
              </w:rPr>
              <w:t>贮存库内各类危险废物采用密封桶或密封袋盛装，可能发生泄漏的主要类别包括</w:t>
            </w:r>
            <w:r w:rsidRPr="00D31995">
              <w:rPr>
                <w:rFonts w:cs="Times New Roman"/>
                <w:bCs/>
              </w:rPr>
              <w:t>HW06</w:t>
            </w:r>
            <w:r w:rsidRPr="00D31995">
              <w:rPr>
                <w:rFonts w:cs="Times New Roman"/>
                <w:bCs/>
              </w:rPr>
              <w:t>废有机溶剂、</w:t>
            </w:r>
            <w:r w:rsidRPr="00D31995">
              <w:rPr>
                <w:rFonts w:cs="Times New Roman"/>
                <w:bCs/>
              </w:rPr>
              <w:t>HW08</w:t>
            </w:r>
            <w:r w:rsidRPr="00D31995">
              <w:rPr>
                <w:rFonts w:cs="Times New Roman"/>
                <w:bCs/>
              </w:rPr>
              <w:t>废矿物油、</w:t>
            </w:r>
            <w:r w:rsidRPr="00D31995">
              <w:rPr>
                <w:rFonts w:cs="Times New Roman"/>
                <w:bCs/>
              </w:rPr>
              <w:t>HW12</w:t>
            </w:r>
            <w:r w:rsidRPr="00D31995">
              <w:rPr>
                <w:rFonts w:cs="Times New Roman"/>
                <w:bCs/>
              </w:rPr>
              <w:t>染料涂料废物等液态或半固态废物。</w:t>
            </w:r>
            <w:r w:rsidRPr="00D31995">
              <w:rPr>
                <w:rFonts w:cs="Times New Roman"/>
                <w:bCs/>
              </w:rPr>
              <w:t>1#</w:t>
            </w:r>
            <w:r w:rsidRPr="00D31995">
              <w:rPr>
                <w:rFonts w:cs="Times New Roman"/>
                <w:bCs/>
              </w:rPr>
              <w:t>贮存库内单个包装容器最大容积为</w:t>
            </w:r>
            <w:r w:rsidRPr="00D31995">
              <w:rPr>
                <w:rFonts w:cs="Times New Roman"/>
                <w:bCs/>
              </w:rPr>
              <w:t>120L</w:t>
            </w:r>
            <w:r w:rsidRPr="00D31995">
              <w:rPr>
                <w:rFonts w:cs="Times New Roman"/>
                <w:bCs/>
              </w:rPr>
              <w:t>，按有效装填系数</w:t>
            </w:r>
            <w:r w:rsidRPr="00D31995">
              <w:rPr>
                <w:rFonts w:cs="Times New Roman"/>
                <w:bCs/>
              </w:rPr>
              <w:t>0.85</w:t>
            </w:r>
            <w:r w:rsidRPr="00D31995">
              <w:rPr>
                <w:rFonts w:cs="Times New Roman"/>
                <w:bCs/>
              </w:rPr>
              <w:t>计，单个包装桶完全破损时单次最大泄漏量为</w:t>
            </w:r>
            <w:r w:rsidRPr="00D31995">
              <w:rPr>
                <w:rFonts w:cs="Times New Roman"/>
                <w:bCs/>
              </w:rPr>
              <w:t>102L</w:t>
            </w:r>
            <w:r w:rsidRPr="00D31995">
              <w:rPr>
                <w:rFonts w:cs="Times New Roman"/>
                <w:bCs/>
              </w:rPr>
              <w:t>（约</w:t>
            </w:r>
            <w:r w:rsidRPr="00D31995">
              <w:rPr>
                <w:rFonts w:cs="Times New Roman"/>
                <w:bCs/>
              </w:rPr>
              <w:t>0.09~0.10t</w:t>
            </w:r>
            <w:r w:rsidRPr="00D31995">
              <w:rPr>
                <w:rFonts w:cs="Times New Roman"/>
                <w:bCs/>
              </w:rPr>
              <w:t>）。泄漏液态</w:t>
            </w:r>
            <w:r w:rsidR="000228A3" w:rsidRPr="00D31995">
              <w:rPr>
                <w:rFonts w:cs="Times New Roman"/>
                <w:bCs/>
              </w:rPr>
              <w:t>危险废物</w:t>
            </w:r>
            <w:r w:rsidRPr="00D31995">
              <w:rPr>
                <w:rFonts w:cs="Times New Roman"/>
                <w:bCs/>
              </w:rPr>
              <w:t>挥发产生的非甲烷总烃量按泄漏量的</w:t>
            </w:r>
            <w:r w:rsidRPr="00D31995">
              <w:rPr>
                <w:rFonts w:cs="Times New Roman"/>
                <w:bCs/>
              </w:rPr>
              <w:t>0.5‰</w:t>
            </w:r>
            <w:r w:rsidRPr="00D31995">
              <w:rPr>
                <w:rFonts w:cs="Times New Roman"/>
                <w:bCs/>
              </w:rPr>
              <w:t>计，约为</w:t>
            </w:r>
            <w:r w:rsidRPr="00D31995">
              <w:rPr>
                <w:rFonts w:cs="Times New Roman"/>
                <w:bCs/>
              </w:rPr>
              <w:t>0.05kg/</w:t>
            </w:r>
            <w:r w:rsidRPr="00D31995">
              <w:rPr>
                <w:rFonts w:cs="Times New Roman"/>
                <w:bCs/>
              </w:rPr>
              <w:t>次。泄漏液体将被所在分区导流槽完全收集，导入</w:t>
            </w:r>
            <w:r w:rsidR="00F1134E">
              <w:rPr>
                <w:rFonts w:cs="Times New Roman" w:hint="eastAsia"/>
                <w:bCs/>
              </w:rPr>
              <w:t>收集池</w:t>
            </w:r>
            <w:r w:rsidRPr="00D31995">
              <w:rPr>
                <w:rFonts w:cs="Times New Roman"/>
                <w:bCs/>
              </w:rPr>
              <w:t>，不会漫流出库。库管人员发现包装破损后，立即将破损容器中剩余液体转入完好专用容器，对泄漏物进行拦截收集，清理过程中产生的沾染</w:t>
            </w:r>
            <w:r w:rsidR="000228A3" w:rsidRPr="00D31995">
              <w:rPr>
                <w:rFonts w:cs="Times New Roman"/>
                <w:bCs/>
              </w:rPr>
              <w:t>危险废物</w:t>
            </w:r>
            <w:r w:rsidRPr="00D31995">
              <w:rPr>
                <w:rFonts w:cs="Times New Roman"/>
                <w:bCs/>
              </w:rPr>
              <w:t>的吸附材料按危险废物管理处置。</w:t>
            </w:r>
          </w:p>
          <w:p w14:paraId="17DFB3A2" w14:textId="77777777" w:rsidR="003C4F46" w:rsidRPr="00D31995" w:rsidRDefault="004B6A81">
            <w:pPr>
              <w:adjustRightInd w:val="0"/>
              <w:snapToGrid w:val="0"/>
              <w:ind w:firstLine="480"/>
              <w:rPr>
                <w:rFonts w:cs="Times New Roman"/>
                <w:bCs/>
              </w:rPr>
            </w:pPr>
            <w:r w:rsidRPr="00D31995">
              <w:rPr>
                <w:rFonts w:cs="Times New Roman"/>
                <w:bCs/>
              </w:rPr>
              <w:t>上述非正常工况下，企业须严格落实各项应急处置措施，将污染物释放量控制在最小范围内，确保不对厂区外环境造成明显影响。同时，企业应加强日常管理，定期开展应急演练，最大限度降低非正常工况发生概率。</w:t>
            </w:r>
          </w:p>
          <w:p w14:paraId="7BFB00A6" w14:textId="77777777" w:rsidR="003C4F46" w:rsidRDefault="004B6A81">
            <w:pPr>
              <w:adjustRightInd w:val="0"/>
              <w:snapToGrid w:val="0"/>
              <w:ind w:firstLineChars="0" w:firstLine="0"/>
              <w:rPr>
                <w:rFonts w:cs="Times New Roman"/>
                <w:b/>
                <w:bCs/>
              </w:rPr>
            </w:pPr>
            <w:r>
              <w:rPr>
                <w:b/>
                <w:bCs/>
              </w:rPr>
              <w:t>4.2.2</w:t>
            </w:r>
            <w:r>
              <w:rPr>
                <w:b/>
                <w:bCs/>
              </w:rPr>
              <w:t>废水</w:t>
            </w:r>
            <w:r>
              <w:rPr>
                <w:rFonts w:hint="eastAsia"/>
                <w:b/>
                <w:bCs/>
              </w:rPr>
              <w:t>环境影响分析及保护措施</w:t>
            </w:r>
          </w:p>
          <w:p w14:paraId="3F15E2E3" w14:textId="3D2E5DF9" w:rsidR="003C4F46" w:rsidRPr="00127FED" w:rsidRDefault="004B6A81" w:rsidP="00C926EE">
            <w:pPr>
              <w:adjustRightInd w:val="0"/>
              <w:snapToGrid w:val="0"/>
              <w:ind w:firstLine="480"/>
              <w:rPr>
                <w:rFonts w:cs="Times New Roman"/>
                <w:bCs/>
              </w:rPr>
            </w:pPr>
            <w:r>
              <w:rPr>
                <w:rFonts w:cs="Times New Roman" w:hint="eastAsia"/>
                <w:bCs/>
              </w:rPr>
              <w:t>本项目新增工作人员</w:t>
            </w:r>
            <w:r>
              <w:rPr>
                <w:rFonts w:cs="Times New Roman" w:hint="eastAsia"/>
                <w:bCs/>
              </w:rPr>
              <w:t>6</w:t>
            </w:r>
            <w:r>
              <w:rPr>
                <w:rFonts w:cs="Times New Roman" w:hint="eastAsia"/>
                <w:bCs/>
              </w:rPr>
              <w:t>人，根据《新疆维吾尔自治区生活用水定额》集体宿舍人均耗水量</w:t>
            </w:r>
            <w:r>
              <w:rPr>
                <w:rFonts w:cs="Times New Roman" w:hint="eastAsia"/>
                <w:bCs/>
              </w:rPr>
              <w:t>80~100L/</w:t>
            </w:r>
            <w:r>
              <w:rPr>
                <w:rFonts w:cs="Times New Roman" w:hint="eastAsia"/>
                <w:bCs/>
              </w:rPr>
              <w:t>人·日，本项目取</w:t>
            </w:r>
            <w:r>
              <w:rPr>
                <w:rFonts w:cs="Times New Roman" w:hint="eastAsia"/>
                <w:bCs/>
              </w:rPr>
              <w:t>100L/</w:t>
            </w:r>
            <w:r>
              <w:rPr>
                <w:rFonts w:cs="Times New Roman" w:hint="eastAsia"/>
                <w:bCs/>
              </w:rPr>
              <w:t>人·</w:t>
            </w:r>
            <w:r>
              <w:rPr>
                <w:rFonts w:cs="Times New Roman" w:hint="eastAsia"/>
                <w:bCs/>
              </w:rPr>
              <w:t>d</w:t>
            </w:r>
            <w:r>
              <w:rPr>
                <w:rFonts w:cs="Times New Roman" w:hint="eastAsia"/>
                <w:bCs/>
              </w:rPr>
              <w:t>，新增用水量为</w:t>
            </w:r>
            <w:r>
              <w:rPr>
                <w:rFonts w:cs="Times New Roman" w:hint="eastAsia"/>
                <w:bCs/>
              </w:rPr>
              <w:t>198m</w:t>
            </w:r>
            <w:r>
              <w:rPr>
                <w:rFonts w:cs="Times New Roman" w:hint="eastAsia"/>
                <w:bCs/>
                <w:vertAlign w:val="superscript"/>
              </w:rPr>
              <w:t>3</w:t>
            </w:r>
            <w:r>
              <w:rPr>
                <w:rFonts w:cs="Times New Roman" w:hint="eastAsia"/>
                <w:bCs/>
              </w:rPr>
              <w:t>/a</w:t>
            </w:r>
            <w:r>
              <w:rPr>
                <w:rFonts w:cs="Times New Roman" w:hint="eastAsia"/>
                <w:bCs/>
              </w:rPr>
              <w:t>，排水量按用水量的</w:t>
            </w:r>
            <w:r>
              <w:rPr>
                <w:rFonts w:cs="Times New Roman" w:hint="eastAsia"/>
                <w:bCs/>
              </w:rPr>
              <w:t>80%</w:t>
            </w:r>
            <w:r>
              <w:rPr>
                <w:rFonts w:cs="Times New Roman" w:hint="eastAsia"/>
                <w:bCs/>
              </w:rPr>
              <w:t>计，则项目生活废水排放量为</w:t>
            </w:r>
            <w:r>
              <w:rPr>
                <w:rFonts w:cs="Times New Roman" w:hint="eastAsia"/>
                <w:bCs/>
              </w:rPr>
              <w:t>158.4m</w:t>
            </w:r>
            <w:r>
              <w:rPr>
                <w:rFonts w:cs="Times New Roman" w:hint="eastAsia"/>
                <w:bCs/>
                <w:vertAlign w:val="superscript"/>
              </w:rPr>
              <w:t>3</w:t>
            </w:r>
            <w:r>
              <w:rPr>
                <w:rFonts w:cs="Times New Roman" w:hint="eastAsia"/>
                <w:bCs/>
              </w:rPr>
              <w:t>/a</w:t>
            </w:r>
            <w:r>
              <w:rPr>
                <w:rFonts w:hint="eastAsia"/>
              </w:rPr>
              <w:t>。</w:t>
            </w:r>
            <w:r>
              <w:rPr>
                <w:rFonts w:cs="Times New Roman" w:hint="eastAsia"/>
                <w:bCs/>
              </w:rPr>
              <w:t>项目生活污水排入园区管网最终由</w:t>
            </w:r>
            <w:r w:rsidR="00C926EE" w:rsidRPr="00C926EE">
              <w:rPr>
                <w:rFonts w:cs="Times New Roman" w:hint="eastAsia"/>
                <w:bCs/>
              </w:rPr>
              <w:t>轮台县拉依苏化工区</w:t>
            </w:r>
            <w:r w:rsidRPr="00127FED">
              <w:rPr>
                <w:rFonts w:cs="Times New Roman"/>
                <w:bCs/>
              </w:rPr>
              <w:t>5</w:t>
            </w:r>
            <w:r w:rsidRPr="00127FED">
              <w:rPr>
                <w:rFonts w:cs="Times New Roman"/>
                <w:bCs/>
              </w:rPr>
              <w:t>万</w:t>
            </w:r>
            <w:r w:rsidRPr="00127FED">
              <w:rPr>
                <w:rFonts w:cs="Times New Roman"/>
                <w:bCs/>
              </w:rPr>
              <w:t>m</w:t>
            </w:r>
            <w:r w:rsidRPr="00127FED">
              <w:rPr>
                <w:rFonts w:cs="Times New Roman"/>
                <w:bCs/>
                <w:vertAlign w:val="superscript"/>
              </w:rPr>
              <w:t>3</w:t>
            </w:r>
            <w:r w:rsidRPr="00127FED">
              <w:rPr>
                <w:rFonts w:cs="Times New Roman"/>
                <w:bCs/>
              </w:rPr>
              <w:t>/d</w:t>
            </w:r>
            <w:r w:rsidRPr="00127FED">
              <w:rPr>
                <w:rFonts w:cs="Times New Roman"/>
                <w:bCs/>
              </w:rPr>
              <w:t>污水处理厂处理。</w:t>
            </w:r>
          </w:p>
          <w:p w14:paraId="45ADF049" w14:textId="08751C41" w:rsidR="003C4F46" w:rsidRPr="00127FED" w:rsidRDefault="004B6A81">
            <w:pPr>
              <w:adjustRightInd w:val="0"/>
              <w:snapToGrid w:val="0"/>
              <w:ind w:firstLine="480"/>
              <w:rPr>
                <w:rFonts w:cs="Times New Roman"/>
              </w:rPr>
            </w:pPr>
            <w:r w:rsidRPr="00127FED">
              <w:rPr>
                <w:rFonts w:cs="Times New Roman"/>
              </w:rPr>
              <w:t>主要污染物为</w:t>
            </w:r>
            <w:proofErr w:type="spellStart"/>
            <w:r w:rsidRPr="00127FED">
              <w:rPr>
                <w:rFonts w:cs="Times New Roman"/>
              </w:rPr>
              <w:t>COD</w:t>
            </w:r>
            <w:r w:rsidRPr="00127FED">
              <w:rPr>
                <w:rFonts w:cs="Times New Roman"/>
                <w:color w:val="000000" w:themeColor="text1"/>
                <w:sz w:val="21"/>
                <w:szCs w:val="21"/>
              </w:rPr>
              <w:t>cr</w:t>
            </w:r>
            <w:proofErr w:type="spellEnd"/>
            <w:r w:rsidRPr="00127FED">
              <w:rPr>
                <w:rFonts w:cs="Times New Roman"/>
              </w:rPr>
              <w:t>、</w:t>
            </w:r>
            <w:r w:rsidRPr="00127FED">
              <w:rPr>
                <w:rFonts w:cs="Times New Roman"/>
              </w:rPr>
              <w:t>BOD</w:t>
            </w:r>
            <w:r w:rsidRPr="00127FED">
              <w:rPr>
                <w:rFonts w:cs="Times New Roman"/>
                <w:vertAlign w:val="subscript"/>
              </w:rPr>
              <w:t>5</w:t>
            </w:r>
            <w:r w:rsidRPr="00127FED">
              <w:rPr>
                <w:rFonts w:cs="Times New Roman"/>
              </w:rPr>
              <w:t>、氨氮、</w:t>
            </w:r>
            <w:r w:rsidRPr="00127FED">
              <w:rPr>
                <w:rFonts w:cs="Times New Roman"/>
              </w:rPr>
              <w:t>SS</w:t>
            </w:r>
            <w:r w:rsidRPr="00127FED">
              <w:rPr>
                <w:rFonts w:cs="Times New Roman"/>
              </w:rPr>
              <w:t>等。典型生活污水主要污染物产生浓度</w:t>
            </w:r>
            <w:r w:rsidRPr="00127FED">
              <w:rPr>
                <w:rFonts w:cs="Times New Roman"/>
              </w:rPr>
              <w:t>COD</w:t>
            </w:r>
            <w:r w:rsidRPr="00127FED">
              <w:rPr>
                <w:rFonts w:cs="Times New Roman"/>
                <w:color w:val="000000" w:themeColor="text1"/>
                <w:sz w:val="21"/>
                <w:szCs w:val="21"/>
              </w:rPr>
              <w:t>cr</w:t>
            </w:r>
            <w:r w:rsidRPr="00127FED">
              <w:rPr>
                <w:rFonts w:cs="Times New Roman"/>
              </w:rPr>
              <w:t>400mg/L</w:t>
            </w:r>
            <w:r w:rsidRPr="00127FED">
              <w:rPr>
                <w:rFonts w:cs="Times New Roman"/>
              </w:rPr>
              <w:t>、</w:t>
            </w:r>
            <w:r w:rsidRPr="00127FED">
              <w:rPr>
                <w:rFonts w:cs="Times New Roman"/>
              </w:rPr>
              <w:t>BOD</w:t>
            </w:r>
            <w:r w:rsidRPr="00127FED">
              <w:rPr>
                <w:rFonts w:cs="Times New Roman"/>
                <w:vertAlign w:val="subscript"/>
              </w:rPr>
              <w:t>5</w:t>
            </w:r>
            <w:r w:rsidRPr="00127FED">
              <w:rPr>
                <w:rFonts w:cs="Times New Roman"/>
              </w:rPr>
              <w:t>200mg/L</w:t>
            </w:r>
            <w:r w:rsidRPr="00127FED">
              <w:rPr>
                <w:rFonts w:cs="Times New Roman"/>
              </w:rPr>
              <w:t>、</w:t>
            </w:r>
            <w:r w:rsidRPr="00127FED">
              <w:rPr>
                <w:rFonts w:cs="Times New Roman"/>
              </w:rPr>
              <w:t>SS220mg/L</w:t>
            </w:r>
            <w:r w:rsidRPr="00127FED">
              <w:rPr>
                <w:rFonts w:cs="Times New Roman"/>
              </w:rPr>
              <w:t>、</w:t>
            </w:r>
            <w:r w:rsidRPr="00127FED">
              <w:rPr>
                <w:rFonts w:cs="Times New Roman"/>
              </w:rPr>
              <w:t>NH</w:t>
            </w:r>
            <w:r w:rsidRPr="00127FED">
              <w:rPr>
                <w:rFonts w:cs="Times New Roman"/>
                <w:vertAlign w:val="subscript"/>
              </w:rPr>
              <w:t>3</w:t>
            </w:r>
            <w:r w:rsidRPr="00127FED">
              <w:rPr>
                <w:rFonts w:cs="Times New Roman"/>
              </w:rPr>
              <w:t>-N25mg/L</w:t>
            </w:r>
            <w:r w:rsidRPr="00127FED">
              <w:rPr>
                <w:rFonts w:cs="Times New Roman"/>
              </w:rPr>
              <w:t>。</w:t>
            </w:r>
          </w:p>
          <w:p w14:paraId="0FC9B1D9" w14:textId="77BEB818" w:rsidR="0062372C" w:rsidRPr="00127FED" w:rsidRDefault="00127FED">
            <w:pPr>
              <w:adjustRightInd w:val="0"/>
              <w:snapToGrid w:val="0"/>
              <w:ind w:firstLine="480"/>
              <w:rPr>
                <w:rFonts w:cs="Times New Roman"/>
                <w:bCs/>
              </w:rPr>
            </w:pPr>
            <w:r w:rsidRPr="00127FED">
              <w:rPr>
                <w:rFonts w:cs="Times New Roman"/>
                <w:bCs/>
              </w:rPr>
              <w:t>碱液喷淋塔中的喷淋废水经中和后循环使用，反应饱和后定期排放。喷淋塔依托碱液池容积为</w:t>
            </w:r>
            <w:r w:rsidRPr="00127FED">
              <w:rPr>
                <w:rFonts w:cs="Times New Roman"/>
                <w:bCs/>
              </w:rPr>
              <w:t>2m³</w:t>
            </w:r>
            <w:r w:rsidRPr="00127FED">
              <w:rPr>
                <w:rFonts w:cs="Times New Roman"/>
                <w:bCs/>
              </w:rPr>
              <w:t>，喷淋碱液约每</w:t>
            </w:r>
            <w:r w:rsidRPr="00127FED">
              <w:rPr>
                <w:rFonts w:cs="Times New Roman"/>
                <w:bCs/>
              </w:rPr>
              <w:t>7</w:t>
            </w:r>
            <w:r w:rsidRPr="00127FED">
              <w:rPr>
                <w:rFonts w:cs="Times New Roman"/>
                <w:bCs/>
              </w:rPr>
              <w:t>天更换一次，运行过程蒸发损耗水量约为</w:t>
            </w:r>
            <w:r w:rsidRPr="00127FED">
              <w:rPr>
                <w:rFonts w:cs="Times New Roman"/>
                <w:bCs/>
              </w:rPr>
              <w:t>30%</w:t>
            </w:r>
            <w:r w:rsidRPr="00127FED">
              <w:rPr>
                <w:rFonts w:cs="Times New Roman"/>
                <w:bCs/>
              </w:rPr>
              <w:t>，则单次喷淋废水排放量约为</w:t>
            </w:r>
            <w:r w:rsidRPr="00127FED">
              <w:rPr>
                <w:rFonts w:cs="Times New Roman"/>
                <w:bCs/>
              </w:rPr>
              <w:t>1.4m³/</w:t>
            </w:r>
            <w:r w:rsidRPr="00127FED">
              <w:rPr>
                <w:rFonts w:cs="Times New Roman"/>
                <w:bCs/>
              </w:rPr>
              <w:t>次，年更换频次按</w:t>
            </w:r>
            <w:r w:rsidRPr="00127FED">
              <w:rPr>
                <w:rFonts w:cs="Times New Roman"/>
                <w:bCs/>
              </w:rPr>
              <w:t>330</w:t>
            </w:r>
            <w:r w:rsidRPr="00127FED">
              <w:rPr>
                <w:rFonts w:cs="Times New Roman"/>
                <w:bCs/>
              </w:rPr>
              <w:t>天计约为</w:t>
            </w:r>
            <w:r w:rsidRPr="00127FED">
              <w:rPr>
                <w:rFonts w:cs="Times New Roman"/>
                <w:bCs/>
              </w:rPr>
              <w:t>47.14</w:t>
            </w:r>
            <w:r w:rsidRPr="00127FED">
              <w:rPr>
                <w:rFonts w:cs="Times New Roman"/>
                <w:bCs/>
              </w:rPr>
              <w:t>次，折合年排放量约</w:t>
            </w:r>
            <w:r w:rsidRPr="00127FED">
              <w:rPr>
                <w:rFonts w:cs="Times New Roman"/>
                <w:bCs/>
              </w:rPr>
              <w:t>66.0m³/a</w:t>
            </w:r>
            <w:r w:rsidRPr="00127FED">
              <w:rPr>
                <w:rFonts w:cs="Times New Roman"/>
                <w:bCs/>
              </w:rPr>
              <w:t>。喷淋废水产生量少且污染因子简单，主要污染因子为</w:t>
            </w:r>
            <w:r w:rsidRPr="00127FED">
              <w:rPr>
                <w:rFonts w:cs="Times New Roman"/>
                <w:bCs/>
              </w:rPr>
              <w:t>pH</w:t>
            </w:r>
            <w:r w:rsidRPr="00127FED">
              <w:rPr>
                <w:rFonts w:cs="Times New Roman"/>
                <w:bCs/>
              </w:rPr>
              <w:t>、硫酸盐、</w:t>
            </w:r>
            <w:r w:rsidRPr="00127FED">
              <w:rPr>
                <w:rFonts w:cs="Times New Roman"/>
                <w:bCs/>
              </w:rPr>
              <w:t>SS</w:t>
            </w:r>
            <w:r w:rsidRPr="00127FED">
              <w:rPr>
                <w:rFonts w:cs="Times New Roman"/>
                <w:bCs/>
              </w:rPr>
              <w:t>、</w:t>
            </w:r>
            <w:r w:rsidRPr="00127FED">
              <w:rPr>
                <w:rFonts w:cs="Times New Roman"/>
                <w:bCs/>
              </w:rPr>
              <w:t>COD</w:t>
            </w:r>
            <w:r w:rsidRPr="00127FED">
              <w:rPr>
                <w:rFonts w:cs="Times New Roman"/>
                <w:bCs/>
              </w:rPr>
              <w:t>，可依托厂区现有污水处理站处理后排入园区管网。本项目生活污水及喷淋废水产生及排放情况见表</w:t>
            </w:r>
            <w:r w:rsidRPr="00127FED">
              <w:rPr>
                <w:rFonts w:cs="Times New Roman"/>
                <w:bCs/>
              </w:rPr>
              <w:t>4-4</w:t>
            </w:r>
            <w:r w:rsidRPr="00127FED">
              <w:rPr>
                <w:rFonts w:cs="Times New Roman"/>
                <w:bCs/>
              </w:rPr>
              <w:t>。</w:t>
            </w:r>
          </w:p>
          <w:p w14:paraId="3CE807D9" w14:textId="4279D992" w:rsidR="003C4F46" w:rsidRDefault="004B6A81">
            <w:pPr>
              <w:spacing w:beforeLines="50" w:before="163" w:line="240" w:lineRule="auto"/>
              <w:ind w:firstLineChars="0" w:firstLine="0"/>
              <w:jc w:val="center"/>
              <w:rPr>
                <w:b/>
                <w:sz w:val="21"/>
              </w:rPr>
            </w:pPr>
            <w:r>
              <w:rPr>
                <w:rFonts w:hint="eastAsia"/>
                <w:b/>
                <w:sz w:val="21"/>
              </w:rPr>
              <w:t>表</w:t>
            </w:r>
            <w:r>
              <w:rPr>
                <w:b/>
                <w:sz w:val="21"/>
              </w:rPr>
              <w:t xml:space="preserve">4-4  </w:t>
            </w:r>
            <w:r w:rsidR="00127FED" w:rsidRPr="00127FED">
              <w:rPr>
                <w:rFonts w:hint="eastAsia"/>
                <w:b/>
                <w:sz w:val="21"/>
              </w:rPr>
              <w:t>项目生活污水及喷淋废水排放量一览表</w:t>
            </w:r>
          </w:p>
          <w:tbl>
            <w:tblPr>
              <w:tblW w:w="5000"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559"/>
              <w:gridCol w:w="956"/>
              <w:gridCol w:w="1108"/>
              <w:gridCol w:w="1055"/>
              <w:gridCol w:w="828"/>
              <w:gridCol w:w="1128"/>
              <w:gridCol w:w="1091"/>
              <w:gridCol w:w="946"/>
              <w:gridCol w:w="850"/>
            </w:tblGrid>
            <w:tr w:rsidR="003C4F46" w:rsidRPr="00D31995" w14:paraId="68229993" w14:textId="77777777" w:rsidTr="00127FED">
              <w:trPr>
                <w:trHeight w:val="340"/>
              </w:trPr>
              <w:tc>
                <w:tcPr>
                  <w:tcW w:w="328" w:type="pct"/>
                  <w:vMerge w:val="restart"/>
                  <w:vAlign w:val="center"/>
                </w:tcPr>
                <w:p w14:paraId="2C81D5D1"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污染源</w:t>
                  </w:r>
                </w:p>
              </w:tc>
              <w:tc>
                <w:tcPr>
                  <w:tcW w:w="561" w:type="pct"/>
                  <w:vMerge w:val="restart"/>
                  <w:vAlign w:val="center"/>
                </w:tcPr>
                <w:p w14:paraId="0BF47F6E"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污染物</w:t>
                  </w:r>
                </w:p>
              </w:tc>
              <w:tc>
                <w:tcPr>
                  <w:tcW w:w="1269" w:type="pct"/>
                  <w:gridSpan w:val="2"/>
                  <w:vAlign w:val="center"/>
                </w:tcPr>
                <w:p w14:paraId="3DC963E5"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进水</w:t>
                  </w:r>
                </w:p>
              </w:tc>
              <w:tc>
                <w:tcPr>
                  <w:tcW w:w="486" w:type="pct"/>
                  <w:vMerge w:val="restart"/>
                  <w:vAlign w:val="center"/>
                </w:tcPr>
                <w:p w14:paraId="720A2639"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治理措施</w:t>
                  </w:r>
                </w:p>
              </w:tc>
              <w:tc>
                <w:tcPr>
                  <w:tcW w:w="662" w:type="pct"/>
                  <w:vMerge w:val="restart"/>
                  <w:vAlign w:val="center"/>
                </w:tcPr>
                <w:p w14:paraId="0A695757"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去除</w:t>
                  </w:r>
                </w:p>
                <w:p w14:paraId="06485730"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效率（</w:t>
                  </w:r>
                  <w:r w:rsidRPr="00D31995">
                    <w:rPr>
                      <w:color w:val="000000" w:themeColor="text1"/>
                      <w:sz w:val="21"/>
                      <w:szCs w:val="21"/>
                    </w:rPr>
                    <w:t>%</w:t>
                  </w:r>
                  <w:r w:rsidRPr="00D31995">
                    <w:rPr>
                      <w:rFonts w:hint="eastAsia"/>
                      <w:color w:val="000000" w:themeColor="text1"/>
                      <w:sz w:val="21"/>
                      <w:szCs w:val="21"/>
                    </w:rPr>
                    <w:t>）</w:t>
                  </w:r>
                </w:p>
              </w:tc>
              <w:tc>
                <w:tcPr>
                  <w:tcW w:w="1195" w:type="pct"/>
                  <w:gridSpan w:val="2"/>
                  <w:vAlign w:val="center"/>
                </w:tcPr>
                <w:p w14:paraId="204570DB"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出水</w:t>
                  </w:r>
                </w:p>
              </w:tc>
              <w:tc>
                <w:tcPr>
                  <w:tcW w:w="499" w:type="pct"/>
                  <w:vMerge w:val="restart"/>
                  <w:vAlign w:val="center"/>
                </w:tcPr>
                <w:p w14:paraId="23073FAD"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是否为可行技术</w:t>
                  </w:r>
                </w:p>
              </w:tc>
            </w:tr>
            <w:tr w:rsidR="003C4F46" w:rsidRPr="00D31995" w14:paraId="24E5D41D" w14:textId="77777777" w:rsidTr="00127FED">
              <w:trPr>
                <w:trHeight w:val="340"/>
              </w:trPr>
              <w:tc>
                <w:tcPr>
                  <w:tcW w:w="328" w:type="pct"/>
                  <w:vMerge/>
                  <w:vAlign w:val="center"/>
                </w:tcPr>
                <w:p w14:paraId="126A926B" w14:textId="77777777" w:rsidR="003C4F46" w:rsidRPr="00D31995" w:rsidRDefault="003C4F46">
                  <w:pPr>
                    <w:spacing w:line="240" w:lineRule="auto"/>
                    <w:ind w:firstLineChars="0" w:firstLine="0"/>
                    <w:contextualSpacing/>
                    <w:jc w:val="center"/>
                    <w:rPr>
                      <w:color w:val="000000" w:themeColor="text1"/>
                      <w:sz w:val="21"/>
                      <w:szCs w:val="21"/>
                    </w:rPr>
                  </w:pPr>
                </w:p>
              </w:tc>
              <w:tc>
                <w:tcPr>
                  <w:tcW w:w="561" w:type="pct"/>
                  <w:vMerge/>
                  <w:vAlign w:val="center"/>
                </w:tcPr>
                <w:p w14:paraId="1D7FC992" w14:textId="77777777" w:rsidR="003C4F46" w:rsidRPr="00D31995" w:rsidRDefault="003C4F46">
                  <w:pPr>
                    <w:spacing w:line="240" w:lineRule="auto"/>
                    <w:ind w:firstLineChars="0" w:firstLine="0"/>
                    <w:contextualSpacing/>
                    <w:jc w:val="center"/>
                    <w:rPr>
                      <w:color w:val="000000" w:themeColor="text1"/>
                      <w:sz w:val="21"/>
                      <w:szCs w:val="21"/>
                    </w:rPr>
                  </w:pPr>
                </w:p>
              </w:tc>
              <w:tc>
                <w:tcPr>
                  <w:tcW w:w="650" w:type="pct"/>
                  <w:vAlign w:val="center"/>
                </w:tcPr>
                <w:p w14:paraId="4A64B071"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浓度（</w:t>
                  </w:r>
                  <w:r w:rsidRPr="00D31995">
                    <w:rPr>
                      <w:color w:val="000000" w:themeColor="text1"/>
                      <w:sz w:val="21"/>
                      <w:szCs w:val="21"/>
                    </w:rPr>
                    <w:t>mg/L</w:t>
                  </w:r>
                  <w:r w:rsidRPr="00D31995">
                    <w:rPr>
                      <w:rFonts w:hint="eastAsia"/>
                      <w:color w:val="000000" w:themeColor="text1"/>
                      <w:sz w:val="21"/>
                      <w:szCs w:val="21"/>
                    </w:rPr>
                    <w:t>）</w:t>
                  </w:r>
                </w:p>
              </w:tc>
              <w:tc>
                <w:tcPr>
                  <w:tcW w:w="619" w:type="pct"/>
                  <w:vAlign w:val="center"/>
                </w:tcPr>
                <w:p w14:paraId="13D1C70E"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发生量（</w:t>
                  </w:r>
                  <w:r w:rsidRPr="00D31995">
                    <w:rPr>
                      <w:color w:val="000000" w:themeColor="text1"/>
                      <w:sz w:val="21"/>
                      <w:szCs w:val="21"/>
                    </w:rPr>
                    <w:t>t/a</w:t>
                  </w:r>
                  <w:r w:rsidRPr="00D31995">
                    <w:rPr>
                      <w:rFonts w:hint="eastAsia"/>
                      <w:color w:val="000000" w:themeColor="text1"/>
                      <w:sz w:val="21"/>
                      <w:szCs w:val="21"/>
                    </w:rPr>
                    <w:t>）</w:t>
                  </w:r>
                </w:p>
              </w:tc>
              <w:tc>
                <w:tcPr>
                  <w:tcW w:w="486" w:type="pct"/>
                  <w:vMerge/>
                  <w:vAlign w:val="center"/>
                </w:tcPr>
                <w:p w14:paraId="71CE1C0E" w14:textId="77777777" w:rsidR="003C4F46" w:rsidRPr="00D31995" w:rsidRDefault="003C4F46">
                  <w:pPr>
                    <w:spacing w:line="240" w:lineRule="auto"/>
                    <w:ind w:firstLineChars="0" w:firstLine="0"/>
                    <w:contextualSpacing/>
                    <w:jc w:val="center"/>
                    <w:rPr>
                      <w:color w:val="000000" w:themeColor="text1"/>
                      <w:sz w:val="21"/>
                      <w:szCs w:val="21"/>
                    </w:rPr>
                  </w:pPr>
                </w:p>
              </w:tc>
              <w:tc>
                <w:tcPr>
                  <w:tcW w:w="662" w:type="pct"/>
                  <w:vMerge/>
                  <w:vAlign w:val="center"/>
                </w:tcPr>
                <w:p w14:paraId="0B17393A" w14:textId="77777777" w:rsidR="003C4F46" w:rsidRPr="00D31995" w:rsidRDefault="003C4F46">
                  <w:pPr>
                    <w:spacing w:line="240" w:lineRule="auto"/>
                    <w:ind w:firstLineChars="0" w:firstLine="0"/>
                    <w:contextualSpacing/>
                    <w:jc w:val="center"/>
                    <w:rPr>
                      <w:color w:val="000000" w:themeColor="text1"/>
                      <w:sz w:val="21"/>
                      <w:szCs w:val="21"/>
                    </w:rPr>
                  </w:pPr>
                </w:p>
              </w:tc>
              <w:tc>
                <w:tcPr>
                  <w:tcW w:w="640" w:type="pct"/>
                  <w:vAlign w:val="center"/>
                </w:tcPr>
                <w:p w14:paraId="14FB2E87" w14:textId="77777777" w:rsidR="003C4F46" w:rsidRPr="00D31995" w:rsidRDefault="004B6A81">
                  <w:pPr>
                    <w:spacing w:line="240" w:lineRule="auto"/>
                    <w:ind w:firstLineChars="0" w:firstLine="0"/>
                    <w:contextualSpacing/>
                    <w:rPr>
                      <w:color w:val="000000" w:themeColor="text1"/>
                      <w:sz w:val="21"/>
                      <w:szCs w:val="21"/>
                    </w:rPr>
                  </w:pPr>
                  <w:r w:rsidRPr="00D31995">
                    <w:rPr>
                      <w:rFonts w:hint="eastAsia"/>
                      <w:color w:val="000000" w:themeColor="text1"/>
                      <w:sz w:val="21"/>
                      <w:szCs w:val="21"/>
                    </w:rPr>
                    <w:t>浓度（</w:t>
                  </w:r>
                  <w:r w:rsidRPr="00D31995">
                    <w:rPr>
                      <w:color w:val="000000" w:themeColor="text1"/>
                      <w:sz w:val="21"/>
                      <w:szCs w:val="21"/>
                    </w:rPr>
                    <w:t>mg/L</w:t>
                  </w:r>
                  <w:r w:rsidRPr="00D31995">
                    <w:rPr>
                      <w:rFonts w:hint="eastAsia"/>
                      <w:color w:val="000000" w:themeColor="text1"/>
                      <w:sz w:val="21"/>
                      <w:szCs w:val="21"/>
                    </w:rPr>
                    <w:t>）</w:t>
                  </w:r>
                </w:p>
              </w:tc>
              <w:tc>
                <w:tcPr>
                  <w:tcW w:w="555" w:type="pct"/>
                  <w:vAlign w:val="center"/>
                </w:tcPr>
                <w:p w14:paraId="0334BD53" w14:textId="77777777" w:rsidR="003C4F46" w:rsidRPr="00D31995" w:rsidRDefault="004B6A81">
                  <w:pPr>
                    <w:spacing w:line="240" w:lineRule="auto"/>
                    <w:ind w:firstLineChars="0" w:firstLine="0"/>
                    <w:contextualSpacing/>
                    <w:rPr>
                      <w:color w:val="000000" w:themeColor="text1"/>
                      <w:sz w:val="21"/>
                      <w:szCs w:val="21"/>
                    </w:rPr>
                  </w:pPr>
                  <w:r w:rsidRPr="00D31995">
                    <w:rPr>
                      <w:rFonts w:hint="eastAsia"/>
                      <w:color w:val="000000" w:themeColor="text1"/>
                      <w:sz w:val="21"/>
                      <w:szCs w:val="21"/>
                    </w:rPr>
                    <w:t>发生量（</w:t>
                  </w:r>
                  <w:r w:rsidRPr="00D31995">
                    <w:rPr>
                      <w:color w:val="000000" w:themeColor="text1"/>
                      <w:sz w:val="21"/>
                      <w:szCs w:val="21"/>
                    </w:rPr>
                    <w:t>t/a</w:t>
                  </w:r>
                  <w:r w:rsidRPr="00D31995">
                    <w:rPr>
                      <w:rFonts w:hint="eastAsia"/>
                      <w:color w:val="000000" w:themeColor="text1"/>
                      <w:sz w:val="21"/>
                      <w:szCs w:val="21"/>
                    </w:rPr>
                    <w:t>）</w:t>
                  </w:r>
                </w:p>
              </w:tc>
              <w:tc>
                <w:tcPr>
                  <w:tcW w:w="499" w:type="pct"/>
                  <w:vMerge/>
                  <w:vAlign w:val="center"/>
                </w:tcPr>
                <w:p w14:paraId="194FC92F" w14:textId="77777777" w:rsidR="003C4F46" w:rsidRPr="00D31995" w:rsidRDefault="003C4F46">
                  <w:pPr>
                    <w:spacing w:line="240" w:lineRule="auto"/>
                    <w:ind w:firstLineChars="0" w:firstLine="0"/>
                    <w:contextualSpacing/>
                    <w:jc w:val="center"/>
                    <w:rPr>
                      <w:color w:val="000000" w:themeColor="text1"/>
                      <w:sz w:val="21"/>
                      <w:szCs w:val="21"/>
                    </w:rPr>
                  </w:pPr>
                </w:p>
              </w:tc>
            </w:tr>
            <w:tr w:rsidR="003C4F46" w:rsidRPr="00D31995" w14:paraId="1369900E" w14:textId="77777777" w:rsidTr="00127FED">
              <w:trPr>
                <w:trHeight w:val="340"/>
              </w:trPr>
              <w:tc>
                <w:tcPr>
                  <w:tcW w:w="328" w:type="pct"/>
                  <w:vMerge w:val="restart"/>
                  <w:vAlign w:val="center"/>
                </w:tcPr>
                <w:p w14:paraId="20072452"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lastRenderedPageBreak/>
                    <w:t>生活污水</w:t>
                  </w:r>
                </w:p>
              </w:tc>
              <w:tc>
                <w:tcPr>
                  <w:tcW w:w="561" w:type="pct"/>
                  <w:vAlign w:val="center"/>
                </w:tcPr>
                <w:p w14:paraId="4D0911B7"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废水</w:t>
                  </w:r>
                </w:p>
              </w:tc>
              <w:tc>
                <w:tcPr>
                  <w:tcW w:w="650" w:type="pct"/>
                  <w:vAlign w:val="center"/>
                </w:tcPr>
                <w:p w14:paraId="6FF96E99"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c>
                <w:tcPr>
                  <w:tcW w:w="619" w:type="pct"/>
                  <w:vAlign w:val="center"/>
                </w:tcPr>
                <w:p w14:paraId="4F14CA9C"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158.4</w:t>
                  </w:r>
                </w:p>
              </w:tc>
              <w:tc>
                <w:tcPr>
                  <w:tcW w:w="486" w:type="pct"/>
                  <w:vMerge w:val="restart"/>
                  <w:vAlign w:val="center"/>
                </w:tcPr>
                <w:p w14:paraId="6BAD9338"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cs="Times New Roman"/>
                      <w:snapToGrid w:val="0"/>
                      <w:kern w:val="0"/>
                      <w:sz w:val="21"/>
                      <w:szCs w:val="21"/>
                    </w:rPr>
                    <w:t>化粪池</w:t>
                  </w:r>
                </w:p>
              </w:tc>
              <w:tc>
                <w:tcPr>
                  <w:tcW w:w="662" w:type="pct"/>
                  <w:vAlign w:val="center"/>
                </w:tcPr>
                <w:p w14:paraId="7CF5AF4B"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w:t>
                  </w:r>
                </w:p>
              </w:tc>
              <w:tc>
                <w:tcPr>
                  <w:tcW w:w="640" w:type="pct"/>
                  <w:vAlign w:val="center"/>
                </w:tcPr>
                <w:p w14:paraId="7852DC6F"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c>
                <w:tcPr>
                  <w:tcW w:w="555" w:type="pct"/>
                  <w:vAlign w:val="center"/>
                </w:tcPr>
                <w:p w14:paraId="1DDF88D6"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158.4</w:t>
                  </w:r>
                </w:p>
              </w:tc>
              <w:tc>
                <w:tcPr>
                  <w:tcW w:w="499" w:type="pct"/>
                  <w:vMerge w:val="restart"/>
                  <w:vAlign w:val="center"/>
                </w:tcPr>
                <w:p w14:paraId="23912C9F"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r>
            <w:tr w:rsidR="003C4F46" w:rsidRPr="00D31995" w14:paraId="310179FC" w14:textId="77777777" w:rsidTr="00127FED">
              <w:trPr>
                <w:trHeight w:val="340"/>
              </w:trPr>
              <w:tc>
                <w:tcPr>
                  <w:tcW w:w="328" w:type="pct"/>
                  <w:vMerge/>
                  <w:vAlign w:val="center"/>
                </w:tcPr>
                <w:p w14:paraId="53C816B7" w14:textId="77777777" w:rsidR="003C4F46" w:rsidRPr="00D31995" w:rsidRDefault="003C4F46">
                  <w:pPr>
                    <w:spacing w:line="240" w:lineRule="auto"/>
                    <w:ind w:firstLineChars="0" w:firstLine="0"/>
                    <w:contextualSpacing/>
                    <w:jc w:val="center"/>
                    <w:rPr>
                      <w:color w:val="000000" w:themeColor="text1"/>
                      <w:sz w:val="21"/>
                      <w:szCs w:val="21"/>
                    </w:rPr>
                  </w:pPr>
                </w:p>
              </w:tc>
              <w:tc>
                <w:tcPr>
                  <w:tcW w:w="561" w:type="pct"/>
                  <w:vAlign w:val="center"/>
                </w:tcPr>
                <w:p w14:paraId="3E1C5C12" w14:textId="77777777" w:rsidR="003C4F46" w:rsidRPr="00D31995" w:rsidRDefault="004B6A81">
                  <w:pPr>
                    <w:spacing w:line="240" w:lineRule="auto"/>
                    <w:ind w:firstLineChars="0" w:firstLine="0"/>
                    <w:contextualSpacing/>
                    <w:jc w:val="center"/>
                    <w:rPr>
                      <w:color w:val="000000" w:themeColor="text1"/>
                      <w:sz w:val="21"/>
                      <w:szCs w:val="21"/>
                    </w:rPr>
                  </w:pPr>
                  <w:proofErr w:type="spellStart"/>
                  <w:r w:rsidRPr="00D31995">
                    <w:rPr>
                      <w:color w:val="000000" w:themeColor="text1"/>
                      <w:sz w:val="21"/>
                      <w:szCs w:val="21"/>
                    </w:rPr>
                    <w:t>CODcr</w:t>
                  </w:r>
                  <w:proofErr w:type="spellEnd"/>
                </w:p>
              </w:tc>
              <w:tc>
                <w:tcPr>
                  <w:tcW w:w="650" w:type="pct"/>
                  <w:vAlign w:val="center"/>
                </w:tcPr>
                <w:p w14:paraId="61050677"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400</w:t>
                  </w:r>
                </w:p>
              </w:tc>
              <w:tc>
                <w:tcPr>
                  <w:tcW w:w="619" w:type="pct"/>
                  <w:vAlign w:val="center"/>
                </w:tcPr>
                <w:p w14:paraId="18D5DA99"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.063</w:t>
                  </w:r>
                </w:p>
              </w:tc>
              <w:tc>
                <w:tcPr>
                  <w:tcW w:w="486" w:type="pct"/>
                  <w:vMerge/>
                  <w:vAlign w:val="center"/>
                </w:tcPr>
                <w:p w14:paraId="5F2FF17A" w14:textId="77777777" w:rsidR="003C4F46" w:rsidRPr="00D31995" w:rsidRDefault="003C4F46">
                  <w:pPr>
                    <w:spacing w:line="240" w:lineRule="auto"/>
                    <w:ind w:firstLineChars="0" w:firstLine="0"/>
                    <w:contextualSpacing/>
                    <w:jc w:val="center"/>
                    <w:rPr>
                      <w:color w:val="FF0000"/>
                      <w:sz w:val="21"/>
                      <w:szCs w:val="21"/>
                    </w:rPr>
                  </w:pPr>
                </w:p>
              </w:tc>
              <w:tc>
                <w:tcPr>
                  <w:tcW w:w="662" w:type="pct"/>
                  <w:vAlign w:val="center"/>
                </w:tcPr>
                <w:p w14:paraId="4D4FC39D"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10</w:t>
                  </w:r>
                </w:p>
              </w:tc>
              <w:tc>
                <w:tcPr>
                  <w:tcW w:w="640" w:type="pct"/>
                  <w:vAlign w:val="center"/>
                </w:tcPr>
                <w:p w14:paraId="08104644"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360</w:t>
                  </w:r>
                </w:p>
              </w:tc>
              <w:tc>
                <w:tcPr>
                  <w:tcW w:w="555" w:type="pct"/>
                  <w:vAlign w:val="center"/>
                </w:tcPr>
                <w:p w14:paraId="73644537"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.057</w:t>
                  </w:r>
                </w:p>
              </w:tc>
              <w:tc>
                <w:tcPr>
                  <w:tcW w:w="499" w:type="pct"/>
                  <w:vMerge/>
                  <w:vAlign w:val="center"/>
                </w:tcPr>
                <w:p w14:paraId="68C036C1" w14:textId="77777777" w:rsidR="003C4F46" w:rsidRPr="00D31995" w:rsidRDefault="003C4F46">
                  <w:pPr>
                    <w:spacing w:line="240" w:lineRule="auto"/>
                    <w:ind w:firstLineChars="0" w:firstLine="0"/>
                    <w:contextualSpacing/>
                    <w:jc w:val="center"/>
                    <w:rPr>
                      <w:color w:val="FF0000"/>
                      <w:sz w:val="21"/>
                      <w:szCs w:val="21"/>
                    </w:rPr>
                  </w:pPr>
                </w:p>
              </w:tc>
            </w:tr>
            <w:tr w:rsidR="003C4F46" w:rsidRPr="00D31995" w14:paraId="5A5A205E" w14:textId="77777777" w:rsidTr="00127FED">
              <w:trPr>
                <w:trHeight w:val="340"/>
              </w:trPr>
              <w:tc>
                <w:tcPr>
                  <w:tcW w:w="328" w:type="pct"/>
                  <w:vMerge/>
                  <w:vAlign w:val="center"/>
                </w:tcPr>
                <w:p w14:paraId="20B1734B" w14:textId="77777777" w:rsidR="003C4F46" w:rsidRPr="00D31995" w:rsidRDefault="003C4F46">
                  <w:pPr>
                    <w:spacing w:line="240" w:lineRule="auto"/>
                    <w:ind w:firstLineChars="0" w:firstLine="0"/>
                    <w:contextualSpacing/>
                    <w:jc w:val="center"/>
                    <w:rPr>
                      <w:color w:val="000000" w:themeColor="text1"/>
                      <w:sz w:val="21"/>
                      <w:szCs w:val="21"/>
                    </w:rPr>
                  </w:pPr>
                </w:p>
              </w:tc>
              <w:tc>
                <w:tcPr>
                  <w:tcW w:w="561" w:type="pct"/>
                  <w:vAlign w:val="center"/>
                </w:tcPr>
                <w:p w14:paraId="52A0C74E"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BOD</w:t>
                  </w:r>
                  <w:r w:rsidRPr="00D31995">
                    <w:rPr>
                      <w:color w:val="000000" w:themeColor="text1"/>
                      <w:sz w:val="21"/>
                      <w:szCs w:val="21"/>
                      <w:vertAlign w:val="subscript"/>
                    </w:rPr>
                    <w:t>5</w:t>
                  </w:r>
                </w:p>
              </w:tc>
              <w:tc>
                <w:tcPr>
                  <w:tcW w:w="650" w:type="pct"/>
                  <w:vAlign w:val="center"/>
                </w:tcPr>
                <w:p w14:paraId="7D0AEAFA"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2</w:t>
                  </w:r>
                  <w:r w:rsidRPr="00D31995">
                    <w:rPr>
                      <w:rFonts w:hint="eastAsia"/>
                      <w:color w:val="000000" w:themeColor="text1"/>
                      <w:sz w:val="21"/>
                      <w:szCs w:val="21"/>
                    </w:rPr>
                    <w:t>00</w:t>
                  </w:r>
                </w:p>
              </w:tc>
              <w:tc>
                <w:tcPr>
                  <w:tcW w:w="619" w:type="pct"/>
                  <w:vAlign w:val="center"/>
                </w:tcPr>
                <w:p w14:paraId="26E56B63"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.032</w:t>
                  </w:r>
                </w:p>
              </w:tc>
              <w:tc>
                <w:tcPr>
                  <w:tcW w:w="486" w:type="pct"/>
                  <w:vMerge/>
                  <w:vAlign w:val="center"/>
                </w:tcPr>
                <w:p w14:paraId="4A558477" w14:textId="77777777" w:rsidR="003C4F46" w:rsidRPr="00D31995" w:rsidRDefault="003C4F46">
                  <w:pPr>
                    <w:spacing w:line="240" w:lineRule="auto"/>
                    <w:ind w:firstLineChars="0" w:firstLine="0"/>
                    <w:contextualSpacing/>
                    <w:jc w:val="center"/>
                    <w:rPr>
                      <w:color w:val="FF0000"/>
                      <w:sz w:val="21"/>
                      <w:szCs w:val="21"/>
                    </w:rPr>
                  </w:pPr>
                </w:p>
              </w:tc>
              <w:tc>
                <w:tcPr>
                  <w:tcW w:w="662" w:type="pct"/>
                  <w:vAlign w:val="center"/>
                </w:tcPr>
                <w:p w14:paraId="4DC7985B"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9</w:t>
                  </w:r>
                </w:p>
              </w:tc>
              <w:tc>
                <w:tcPr>
                  <w:tcW w:w="640" w:type="pct"/>
                  <w:vAlign w:val="center"/>
                </w:tcPr>
                <w:p w14:paraId="7D2CADB3"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180</w:t>
                  </w:r>
                </w:p>
              </w:tc>
              <w:tc>
                <w:tcPr>
                  <w:tcW w:w="555" w:type="pct"/>
                  <w:vAlign w:val="center"/>
                </w:tcPr>
                <w:p w14:paraId="3610B9A5"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.029</w:t>
                  </w:r>
                </w:p>
              </w:tc>
              <w:tc>
                <w:tcPr>
                  <w:tcW w:w="499" w:type="pct"/>
                  <w:vMerge/>
                  <w:vAlign w:val="center"/>
                </w:tcPr>
                <w:p w14:paraId="3AAEAE1B" w14:textId="77777777" w:rsidR="003C4F46" w:rsidRPr="00D31995" w:rsidRDefault="003C4F46">
                  <w:pPr>
                    <w:spacing w:line="240" w:lineRule="auto"/>
                    <w:ind w:firstLineChars="0" w:firstLine="0"/>
                    <w:contextualSpacing/>
                    <w:jc w:val="center"/>
                    <w:rPr>
                      <w:color w:val="FF0000"/>
                      <w:sz w:val="21"/>
                      <w:szCs w:val="21"/>
                    </w:rPr>
                  </w:pPr>
                </w:p>
              </w:tc>
            </w:tr>
            <w:tr w:rsidR="003C4F46" w:rsidRPr="00D31995" w14:paraId="2E0FDB21" w14:textId="77777777" w:rsidTr="00127FED">
              <w:trPr>
                <w:trHeight w:val="340"/>
              </w:trPr>
              <w:tc>
                <w:tcPr>
                  <w:tcW w:w="328" w:type="pct"/>
                  <w:vMerge/>
                  <w:vAlign w:val="center"/>
                </w:tcPr>
                <w:p w14:paraId="4E9898D4" w14:textId="77777777" w:rsidR="003C4F46" w:rsidRPr="00D31995" w:rsidRDefault="003C4F46">
                  <w:pPr>
                    <w:spacing w:line="240" w:lineRule="auto"/>
                    <w:ind w:firstLineChars="0" w:firstLine="0"/>
                    <w:contextualSpacing/>
                    <w:jc w:val="center"/>
                    <w:rPr>
                      <w:color w:val="000000" w:themeColor="text1"/>
                      <w:sz w:val="21"/>
                      <w:szCs w:val="21"/>
                    </w:rPr>
                  </w:pPr>
                </w:p>
              </w:tc>
              <w:tc>
                <w:tcPr>
                  <w:tcW w:w="561" w:type="pct"/>
                  <w:vAlign w:val="center"/>
                </w:tcPr>
                <w:p w14:paraId="4F2BDF52"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SS</w:t>
                  </w:r>
                </w:p>
              </w:tc>
              <w:tc>
                <w:tcPr>
                  <w:tcW w:w="650" w:type="pct"/>
                  <w:vAlign w:val="center"/>
                </w:tcPr>
                <w:p w14:paraId="6123329D"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220</w:t>
                  </w:r>
                </w:p>
              </w:tc>
              <w:tc>
                <w:tcPr>
                  <w:tcW w:w="619" w:type="pct"/>
                  <w:vAlign w:val="center"/>
                </w:tcPr>
                <w:p w14:paraId="1E59AB78"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.035</w:t>
                  </w:r>
                </w:p>
              </w:tc>
              <w:tc>
                <w:tcPr>
                  <w:tcW w:w="486" w:type="pct"/>
                  <w:vMerge/>
                  <w:vAlign w:val="center"/>
                </w:tcPr>
                <w:p w14:paraId="7113ECCA" w14:textId="77777777" w:rsidR="003C4F46" w:rsidRPr="00D31995" w:rsidRDefault="003C4F46">
                  <w:pPr>
                    <w:spacing w:line="240" w:lineRule="auto"/>
                    <w:ind w:firstLineChars="0" w:firstLine="0"/>
                    <w:contextualSpacing/>
                    <w:jc w:val="center"/>
                    <w:rPr>
                      <w:color w:val="FF0000"/>
                      <w:sz w:val="21"/>
                      <w:szCs w:val="21"/>
                    </w:rPr>
                  </w:pPr>
                </w:p>
              </w:tc>
              <w:tc>
                <w:tcPr>
                  <w:tcW w:w="662" w:type="pct"/>
                  <w:vAlign w:val="center"/>
                </w:tcPr>
                <w:p w14:paraId="246FE530"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25</w:t>
                  </w:r>
                </w:p>
              </w:tc>
              <w:tc>
                <w:tcPr>
                  <w:tcW w:w="640" w:type="pct"/>
                  <w:vAlign w:val="center"/>
                </w:tcPr>
                <w:p w14:paraId="73B83A2D"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165</w:t>
                  </w:r>
                </w:p>
              </w:tc>
              <w:tc>
                <w:tcPr>
                  <w:tcW w:w="555" w:type="pct"/>
                  <w:vAlign w:val="center"/>
                </w:tcPr>
                <w:p w14:paraId="7D9CC515"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.026</w:t>
                  </w:r>
                </w:p>
              </w:tc>
              <w:tc>
                <w:tcPr>
                  <w:tcW w:w="499" w:type="pct"/>
                  <w:vMerge/>
                  <w:vAlign w:val="center"/>
                </w:tcPr>
                <w:p w14:paraId="0241B6D6" w14:textId="77777777" w:rsidR="003C4F46" w:rsidRPr="00D31995" w:rsidRDefault="003C4F46">
                  <w:pPr>
                    <w:spacing w:line="240" w:lineRule="auto"/>
                    <w:ind w:firstLineChars="0" w:firstLine="0"/>
                    <w:contextualSpacing/>
                    <w:jc w:val="center"/>
                    <w:rPr>
                      <w:color w:val="FF0000"/>
                      <w:sz w:val="21"/>
                      <w:szCs w:val="21"/>
                    </w:rPr>
                  </w:pPr>
                </w:p>
              </w:tc>
            </w:tr>
            <w:tr w:rsidR="003C4F46" w:rsidRPr="00D31995" w14:paraId="74D3AC13" w14:textId="77777777" w:rsidTr="00127FED">
              <w:trPr>
                <w:trHeight w:val="340"/>
              </w:trPr>
              <w:tc>
                <w:tcPr>
                  <w:tcW w:w="328" w:type="pct"/>
                  <w:vMerge/>
                  <w:vAlign w:val="center"/>
                </w:tcPr>
                <w:p w14:paraId="31563AFD" w14:textId="77777777" w:rsidR="003C4F46" w:rsidRPr="00D31995" w:rsidRDefault="003C4F46">
                  <w:pPr>
                    <w:spacing w:line="240" w:lineRule="auto"/>
                    <w:ind w:firstLineChars="0" w:firstLine="0"/>
                    <w:contextualSpacing/>
                    <w:jc w:val="center"/>
                    <w:rPr>
                      <w:color w:val="000000" w:themeColor="text1"/>
                      <w:sz w:val="21"/>
                      <w:szCs w:val="21"/>
                    </w:rPr>
                  </w:pPr>
                </w:p>
              </w:tc>
              <w:tc>
                <w:tcPr>
                  <w:tcW w:w="561" w:type="pct"/>
                  <w:vAlign w:val="center"/>
                </w:tcPr>
                <w:p w14:paraId="5421B6A7"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NH</w:t>
                  </w:r>
                  <w:r w:rsidRPr="00D31995">
                    <w:rPr>
                      <w:color w:val="000000" w:themeColor="text1"/>
                      <w:sz w:val="21"/>
                      <w:szCs w:val="21"/>
                      <w:vertAlign w:val="subscript"/>
                    </w:rPr>
                    <w:t>3</w:t>
                  </w:r>
                  <w:r w:rsidRPr="00D31995">
                    <w:rPr>
                      <w:color w:val="000000" w:themeColor="text1"/>
                      <w:sz w:val="21"/>
                      <w:szCs w:val="21"/>
                    </w:rPr>
                    <w:t>-N</w:t>
                  </w:r>
                </w:p>
              </w:tc>
              <w:tc>
                <w:tcPr>
                  <w:tcW w:w="650" w:type="pct"/>
                  <w:vAlign w:val="center"/>
                </w:tcPr>
                <w:p w14:paraId="2C690E18"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25</w:t>
                  </w:r>
                </w:p>
              </w:tc>
              <w:tc>
                <w:tcPr>
                  <w:tcW w:w="619" w:type="pct"/>
                  <w:vAlign w:val="center"/>
                </w:tcPr>
                <w:p w14:paraId="554E77FF"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.0040</w:t>
                  </w:r>
                </w:p>
              </w:tc>
              <w:tc>
                <w:tcPr>
                  <w:tcW w:w="486" w:type="pct"/>
                  <w:vMerge/>
                  <w:vAlign w:val="center"/>
                </w:tcPr>
                <w:p w14:paraId="3E5E6434" w14:textId="77777777" w:rsidR="003C4F46" w:rsidRPr="00D31995" w:rsidRDefault="003C4F46">
                  <w:pPr>
                    <w:spacing w:line="240" w:lineRule="auto"/>
                    <w:ind w:firstLineChars="0" w:firstLine="0"/>
                    <w:contextualSpacing/>
                    <w:jc w:val="center"/>
                    <w:rPr>
                      <w:color w:val="FF0000"/>
                      <w:sz w:val="21"/>
                      <w:szCs w:val="21"/>
                    </w:rPr>
                  </w:pPr>
                </w:p>
              </w:tc>
              <w:tc>
                <w:tcPr>
                  <w:tcW w:w="662" w:type="pct"/>
                  <w:vAlign w:val="center"/>
                </w:tcPr>
                <w:p w14:paraId="4636EE51"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3</w:t>
                  </w:r>
                </w:p>
              </w:tc>
              <w:tc>
                <w:tcPr>
                  <w:tcW w:w="640" w:type="pct"/>
                  <w:vAlign w:val="center"/>
                </w:tcPr>
                <w:p w14:paraId="44616195"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24.25</w:t>
                  </w:r>
                </w:p>
              </w:tc>
              <w:tc>
                <w:tcPr>
                  <w:tcW w:w="555" w:type="pct"/>
                  <w:vAlign w:val="center"/>
                </w:tcPr>
                <w:p w14:paraId="66E967E5"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.0038</w:t>
                  </w:r>
                </w:p>
              </w:tc>
              <w:tc>
                <w:tcPr>
                  <w:tcW w:w="499" w:type="pct"/>
                  <w:vMerge/>
                  <w:vAlign w:val="center"/>
                </w:tcPr>
                <w:p w14:paraId="2343A312" w14:textId="77777777" w:rsidR="003C4F46" w:rsidRPr="00D31995" w:rsidRDefault="003C4F46">
                  <w:pPr>
                    <w:spacing w:line="240" w:lineRule="auto"/>
                    <w:ind w:firstLineChars="0" w:firstLine="0"/>
                    <w:contextualSpacing/>
                    <w:jc w:val="center"/>
                    <w:rPr>
                      <w:color w:val="FF0000"/>
                      <w:sz w:val="21"/>
                      <w:szCs w:val="21"/>
                    </w:rPr>
                  </w:pPr>
                </w:p>
              </w:tc>
            </w:tr>
            <w:tr w:rsidR="003C4F46" w:rsidRPr="00D31995" w14:paraId="54DD5C53" w14:textId="77777777" w:rsidTr="00127FED">
              <w:trPr>
                <w:trHeight w:val="340"/>
              </w:trPr>
              <w:tc>
                <w:tcPr>
                  <w:tcW w:w="328" w:type="pct"/>
                  <w:vMerge/>
                  <w:vAlign w:val="center"/>
                </w:tcPr>
                <w:p w14:paraId="777D3A21" w14:textId="77777777" w:rsidR="003C4F46" w:rsidRPr="00D31995" w:rsidRDefault="003C4F46">
                  <w:pPr>
                    <w:spacing w:line="240" w:lineRule="auto"/>
                    <w:ind w:firstLineChars="0" w:firstLine="0"/>
                    <w:contextualSpacing/>
                    <w:jc w:val="center"/>
                    <w:rPr>
                      <w:color w:val="000000" w:themeColor="text1"/>
                      <w:sz w:val="21"/>
                      <w:szCs w:val="21"/>
                    </w:rPr>
                  </w:pPr>
                </w:p>
              </w:tc>
              <w:tc>
                <w:tcPr>
                  <w:tcW w:w="561" w:type="pct"/>
                  <w:vAlign w:val="center"/>
                </w:tcPr>
                <w:p w14:paraId="1A2BED1E"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总磷</w:t>
                  </w:r>
                </w:p>
              </w:tc>
              <w:tc>
                <w:tcPr>
                  <w:tcW w:w="650" w:type="pct"/>
                  <w:vAlign w:val="center"/>
                </w:tcPr>
                <w:p w14:paraId="22344562"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5</w:t>
                  </w:r>
                </w:p>
              </w:tc>
              <w:tc>
                <w:tcPr>
                  <w:tcW w:w="619" w:type="pct"/>
                  <w:vAlign w:val="center"/>
                </w:tcPr>
                <w:p w14:paraId="4A567DE5"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.0008</w:t>
                  </w:r>
                </w:p>
              </w:tc>
              <w:tc>
                <w:tcPr>
                  <w:tcW w:w="486" w:type="pct"/>
                  <w:vMerge/>
                  <w:vAlign w:val="center"/>
                </w:tcPr>
                <w:p w14:paraId="732883FE" w14:textId="77777777" w:rsidR="003C4F46" w:rsidRPr="00D31995" w:rsidRDefault="003C4F46">
                  <w:pPr>
                    <w:spacing w:line="240" w:lineRule="auto"/>
                    <w:ind w:firstLineChars="0" w:firstLine="0"/>
                    <w:contextualSpacing/>
                    <w:jc w:val="center"/>
                    <w:rPr>
                      <w:color w:val="FF0000"/>
                      <w:sz w:val="21"/>
                      <w:szCs w:val="21"/>
                    </w:rPr>
                  </w:pPr>
                </w:p>
              </w:tc>
              <w:tc>
                <w:tcPr>
                  <w:tcW w:w="662" w:type="pct"/>
                  <w:vAlign w:val="center"/>
                </w:tcPr>
                <w:p w14:paraId="745CA440" w14:textId="77777777" w:rsidR="003C4F46" w:rsidRPr="00D31995" w:rsidRDefault="004B6A81">
                  <w:pPr>
                    <w:spacing w:line="240" w:lineRule="auto"/>
                    <w:ind w:firstLineChars="0" w:firstLine="0"/>
                    <w:contextualSpacing/>
                    <w:jc w:val="center"/>
                    <w:rPr>
                      <w:color w:val="000000" w:themeColor="text1"/>
                      <w:sz w:val="21"/>
                      <w:szCs w:val="21"/>
                    </w:rPr>
                  </w:pPr>
                  <w:r w:rsidRPr="00D31995">
                    <w:rPr>
                      <w:color w:val="000000" w:themeColor="text1"/>
                      <w:sz w:val="21"/>
                      <w:szCs w:val="21"/>
                    </w:rPr>
                    <w:t>/</w:t>
                  </w:r>
                </w:p>
              </w:tc>
              <w:tc>
                <w:tcPr>
                  <w:tcW w:w="640" w:type="pct"/>
                  <w:vAlign w:val="center"/>
                </w:tcPr>
                <w:p w14:paraId="21162A8E"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5</w:t>
                  </w:r>
                </w:p>
              </w:tc>
              <w:tc>
                <w:tcPr>
                  <w:tcW w:w="555" w:type="pct"/>
                  <w:vAlign w:val="center"/>
                </w:tcPr>
                <w:p w14:paraId="6A6B5470" w14:textId="77777777" w:rsidR="003C4F46" w:rsidRPr="00D31995" w:rsidRDefault="004B6A81">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.0008</w:t>
                  </w:r>
                </w:p>
              </w:tc>
              <w:tc>
                <w:tcPr>
                  <w:tcW w:w="499" w:type="pct"/>
                  <w:vMerge/>
                  <w:vAlign w:val="center"/>
                </w:tcPr>
                <w:p w14:paraId="32933823" w14:textId="77777777" w:rsidR="003C4F46" w:rsidRPr="00D31995" w:rsidRDefault="003C4F46">
                  <w:pPr>
                    <w:spacing w:line="240" w:lineRule="auto"/>
                    <w:ind w:firstLineChars="0" w:firstLine="0"/>
                    <w:contextualSpacing/>
                    <w:jc w:val="center"/>
                    <w:rPr>
                      <w:color w:val="FF0000"/>
                      <w:sz w:val="21"/>
                      <w:szCs w:val="21"/>
                    </w:rPr>
                  </w:pPr>
                </w:p>
              </w:tc>
            </w:tr>
            <w:tr w:rsidR="00127FED" w:rsidRPr="00D31995" w14:paraId="345D42D7" w14:textId="77777777" w:rsidTr="00127FED">
              <w:trPr>
                <w:trHeight w:val="340"/>
              </w:trPr>
              <w:tc>
                <w:tcPr>
                  <w:tcW w:w="328" w:type="pct"/>
                  <w:vMerge w:val="restart"/>
                  <w:vAlign w:val="center"/>
                </w:tcPr>
                <w:p w14:paraId="5A8ADCCD" w14:textId="01226B61"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ascii="Segoe UI" w:hAnsi="Segoe UI" w:cs="Segoe UI"/>
                      <w:color w:val="0F1115"/>
                      <w:sz w:val="21"/>
                      <w:szCs w:val="21"/>
                      <w:shd w:val="clear" w:color="auto" w:fill="FFFFFF"/>
                    </w:rPr>
                    <w:t>喷淋废水</w:t>
                  </w:r>
                </w:p>
              </w:tc>
              <w:tc>
                <w:tcPr>
                  <w:tcW w:w="561" w:type="pct"/>
                  <w:vAlign w:val="center"/>
                </w:tcPr>
                <w:p w14:paraId="1C459BB0" w14:textId="289B874F" w:rsidR="00127FED" w:rsidRPr="00D31995" w:rsidRDefault="00127FED" w:rsidP="00127FED">
                  <w:pPr>
                    <w:spacing w:line="240" w:lineRule="auto"/>
                    <w:ind w:firstLineChars="0" w:firstLine="0"/>
                    <w:contextualSpacing/>
                    <w:jc w:val="center"/>
                    <w:rPr>
                      <w:rFonts w:cs="Times New Roman"/>
                      <w:color w:val="000000" w:themeColor="text1"/>
                      <w:sz w:val="21"/>
                      <w:szCs w:val="21"/>
                    </w:rPr>
                  </w:pPr>
                  <w:r w:rsidRPr="00D31995">
                    <w:rPr>
                      <w:rFonts w:cs="Times New Roman"/>
                      <w:color w:val="000000" w:themeColor="text1"/>
                      <w:sz w:val="21"/>
                      <w:szCs w:val="21"/>
                    </w:rPr>
                    <w:t>废水</w:t>
                  </w:r>
                </w:p>
              </w:tc>
              <w:tc>
                <w:tcPr>
                  <w:tcW w:w="650" w:type="pct"/>
                  <w:vAlign w:val="center"/>
                </w:tcPr>
                <w:p w14:paraId="3572620A" w14:textId="71A2A3A2"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c>
                <w:tcPr>
                  <w:tcW w:w="619" w:type="pct"/>
                  <w:vAlign w:val="center"/>
                </w:tcPr>
                <w:p w14:paraId="0027EED5" w14:textId="64A4CC53" w:rsidR="00127FED" w:rsidRPr="00D31995" w:rsidRDefault="00127FED" w:rsidP="00127FED">
                  <w:pPr>
                    <w:spacing w:line="240" w:lineRule="auto"/>
                    <w:ind w:firstLineChars="0" w:firstLine="0"/>
                    <w:contextualSpacing/>
                    <w:jc w:val="center"/>
                    <w:rPr>
                      <w:color w:val="000000" w:themeColor="text1"/>
                      <w:sz w:val="21"/>
                      <w:szCs w:val="21"/>
                    </w:rPr>
                  </w:pPr>
                  <w:r w:rsidRPr="00D31995">
                    <w:rPr>
                      <w:color w:val="000000" w:themeColor="text1"/>
                      <w:sz w:val="21"/>
                      <w:szCs w:val="21"/>
                    </w:rPr>
                    <w:t>66</w:t>
                  </w:r>
                </w:p>
              </w:tc>
              <w:tc>
                <w:tcPr>
                  <w:tcW w:w="486" w:type="pct"/>
                  <w:vMerge w:val="restart"/>
                  <w:vAlign w:val="center"/>
                </w:tcPr>
                <w:p w14:paraId="170202A6" w14:textId="079F42E4" w:rsidR="00127FED" w:rsidRPr="00D31995" w:rsidRDefault="00127FED" w:rsidP="00127FED">
                  <w:pPr>
                    <w:spacing w:line="240" w:lineRule="auto"/>
                    <w:ind w:firstLineChars="0" w:firstLine="0"/>
                    <w:contextualSpacing/>
                    <w:jc w:val="center"/>
                    <w:rPr>
                      <w:rFonts w:cs="Times New Roman"/>
                      <w:snapToGrid w:val="0"/>
                      <w:kern w:val="0"/>
                      <w:sz w:val="21"/>
                      <w:szCs w:val="21"/>
                    </w:rPr>
                  </w:pPr>
                  <w:r w:rsidRPr="00D31995">
                    <w:rPr>
                      <w:rFonts w:cs="Times New Roman" w:hint="eastAsia"/>
                      <w:snapToGrid w:val="0"/>
                      <w:kern w:val="0"/>
                      <w:sz w:val="21"/>
                      <w:szCs w:val="21"/>
                    </w:rPr>
                    <w:t>采取物化处理</w:t>
                  </w:r>
                  <w:r w:rsidRPr="00D31995">
                    <w:rPr>
                      <w:rFonts w:cs="Times New Roman" w:hint="eastAsia"/>
                      <w:snapToGrid w:val="0"/>
                      <w:kern w:val="0"/>
                      <w:sz w:val="21"/>
                      <w:szCs w:val="21"/>
                    </w:rPr>
                    <w:t>+</w:t>
                  </w:r>
                  <w:r w:rsidRPr="00D31995">
                    <w:rPr>
                      <w:rFonts w:cs="Times New Roman" w:hint="eastAsia"/>
                      <w:snapToGrid w:val="0"/>
                      <w:kern w:val="0"/>
                      <w:sz w:val="21"/>
                      <w:szCs w:val="21"/>
                    </w:rPr>
                    <w:t>生化处理</w:t>
                  </w:r>
                </w:p>
              </w:tc>
              <w:tc>
                <w:tcPr>
                  <w:tcW w:w="662" w:type="pct"/>
                  <w:vAlign w:val="center"/>
                </w:tcPr>
                <w:p w14:paraId="432C66A9" w14:textId="464D6420"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r w:rsidRPr="00D31995">
                    <w:rPr>
                      <w:color w:val="000000" w:themeColor="text1"/>
                      <w:sz w:val="21"/>
                      <w:szCs w:val="21"/>
                    </w:rPr>
                    <w:t>-</w:t>
                  </w:r>
                </w:p>
              </w:tc>
              <w:tc>
                <w:tcPr>
                  <w:tcW w:w="640" w:type="pct"/>
                  <w:vAlign w:val="center"/>
                </w:tcPr>
                <w:p w14:paraId="196B26C3" w14:textId="539B5273"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c>
                <w:tcPr>
                  <w:tcW w:w="555" w:type="pct"/>
                  <w:vAlign w:val="center"/>
                </w:tcPr>
                <w:p w14:paraId="3EBAC9D3" w14:textId="1C2A4A36" w:rsidR="00127FED" w:rsidRPr="00D31995" w:rsidRDefault="00127FED" w:rsidP="00127FED">
                  <w:pPr>
                    <w:spacing w:line="240" w:lineRule="auto"/>
                    <w:ind w:firstLineChars="0" w:firstLine="0"/>
                    <w:contextualSpacing/>
                    <w:jc w:val="center"/>
                    <w:rPr>
                      <w:color w:val="000000" w:themeColor="text1"/>
                      <w:sz w:val="21"/>
                      <w:szCs w:val="21"/>
                    </w:rPr>
                  </w:pPr>
                  <w:r w:rsidRPr="00D31995">
                    <w:rPr>
                      <w:color w:val="000000" w:themeColor="text1"/>
                      <w:sz w:val="21"/>
                      <w:szCs w:val="21"/>
                    </w:rPr>
                    <w:t>66</w:t>
                  </w:r>
                </w:p>
              </w:tc>
              <w:tc>
                <w:tcPr>
                  <w:tcW w:w="499" w:type="pct"/>
                  <w:vMerge w:val="restart"/>
                  <w:vAlign w:val="center"/>
                </w:tcPr>
                <w:p w14:paraId="1EDD8C54" w14:textId="6BF9AAC5" w:rsidR="00127FED" w:rsidRPr="00D31995" w:rsidRDefault="00127FED" w:rsidP="00127FED">
                  <w:pPr>
                    <w:spacing w:line="240" w:lineRule="auto"/>
                    <w:ind w:firstLineChars="0" w:firstLine="0"/>
                    <w:contextualSpacing/>
                    <w:jc w:val="center"/>
                    <w:rPr>
                      <w:color w:val="FF0000"/>
                      <w:sz w:val="21"/>
                      <w:szCs w:val="21"/>
                    </w:rPr>
                  </w:pPr>
                  <w:r w:rsidRPr="00D31995">
                    <w:rPr>
                      <w:rFonts w:hint="eastAsia"/>
                      <w:sz w:val="21"/>
                      <w:szCs w:val="21"/>
                    </w:rPr>
                    <w:t>可行</w:t>
                  </w:r>
                </w:p>
              </w:tc>
            </w:tr>
            <w:tr w:rsidR="00127FED" w:rsidRPr="00D31995" w14:paraId="53283933" w14:textId="77777777" w:rsidTr="00127FED">
              <w:trPr>
                <w:trHeight w:val="340"/>
              </w:trPr>
              <w:tc>
                <w:tcPr>
                  <w:tcW w:w="328" w:type="pct"/>
                  <w:vMerge/>
                  <w:vAlign w:val="center"/>
                </w:tcPr>
                <w:p w14:paraId="14418A50" w14:textId="77777777" w:rsidR="00127FED" w:rsidRPr="00D31995" w:rsidRDefault="00127FED" w:rsidP="00127FED">
                  <w:pPr>
                    <w:spacing w:line="240" w:lineRule="auto"/>
                    <w:ind w:firstLineChars="0" w:firstLine="0"/>
                    <w:contextualSpacing/>
                    <w:jc w:val="center"/>
                    <w:rPr>
                      <w:rFonts w:ascii="Segoe UI" w:hAnsi="Segoe UI" w:cs="Segoe UI"/>
                      <w:color w:val="0F1115"/>
                      <w:sz w:val="21"/>
                      <w:szCs w:val="21"/>
                      <w:shd w:val="clear" w:color="auto" w:fill="FFFFFF"/>
                    </w:rPr>
                  </w:pPr>
                </w:p>
              </w:tc>
              <w:tc>
                <w:tcPr>
                  <w:tcW w:w="561" w:type="pct"/>
                  <w:vAlign w:val="center"/>
                </w:tcPr>
                <w:p w14:paraId="3163D649" w14:textId="45963935" w:rsidR="00127FED" w:rsidRPr="00D31995" w:rsidRDefault="00127FED" w:rsidP="00127FED">
                  <w:pPr>
                    <w:spacing w:line="240" w:lineRule="auto"/>
                    <w:ind w:firstLineChars="0" w:firstLine="0"/>
                    <w:contextualSpacing/>
                    <w:jc w:val="center"/>
                    <w:rPr>
                      <w:rFonts w:cs="Times New Roman"/>
                      <w:color w:val="000000" w:themeColor="text1"/>
                      <w:sz w:val="21"/>
                      <w:szCs w:val="21"/>
                    </w:rPr>
                  </w:pPr>
                  <w:r w:rsidRPr="00D31995">
                    <w:rPr>
                      <w:rFonts w:cs="Times New Roman"/>
                      <w:color w:val="000000" w:themeColor="text1"/>
                      <w:sz w:val="21"/>
                      <w:szCs w:val="21"/>
                    </w:rPr>
                    <w:t>pH</w:t>
                  </w:r>
                </w:p>
              </w:tc>
              <w:tc>
                <w:tcPr>
                  <w:tcW w:w="650" w:type="pct"/>
                  <w:vAlign w:val="center"/>
                </w:tcPr>
                <w:p w14:paraId="5E208356" w14:textId="4039AE79"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8</w:t>
                  </w:r>
                  <w:r w:rsidRPr="00D31995">
                    <w:rPr>
                      <w:color w:val="000000" w:themeColor="text1"/>
                      <w:sz w:val="21"/>
                      <w:szCs w:val="21"/>
                    </w:rPr>
                    <w:t>-9</w:t>
                  </w:r>
                </w:p>
              </w:tc>
              <w:tc>
                <w:tcPr>
                  <w:tcW w:w="619" w:type="pct"/>
                  <w:vAlign w:val="center"/>
                </w:tcPr>
                <w:p w14:paraId="205B6BC3" w14:textId="7FE73324"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c>
                <w:tcPr>
                  <w:tcW w:w="486" w:type="pct"/>
                  <w:vMerge/>
                  <w:vAlign w:val="center"/>
                </w:tcPr>
                <w:p w14:paraId="6E41D26E" w14:textId="77777777" w:rsidR="00127FED" w:rsidRPr="00D31995" w:rsidRDefault="00127FED" w:rsidP="00127FED">
                  <w:pPr>
                    <w:spacing w:line="240" w:lineRule="auto"/>
                    <w:ind w:firstLineChars="0" w:firstLine="0"/>
                    <w:contextualSpacing/>
                    <w:jc w:val="center"/>
                    <w:rPr>
                      <w:color w:val="FF0000"/>
                      <w:sz w:val="21"/>
                      <w:szCs w:val="21"/>
                    </w:rPr>
                  </w:pPr>
                </w:p>
              </w:tc>
              <w:tc>
                <w:tcPr>
                  <w:tcW w:w="662" w:type="pct"/>
                  <w:vAlign w:val="center"/>
                </w:tcPr>
                <w:p w14:paraId="6E32C7CF" w14:textId="1C63443A" w:rsidR="00127FED" w:rsidRPr="00D31995" w:rsidRDefault="00127FED" w:rsidP="00127FED">
                  <w:pPr>
                    <w:spacing w:line="240" w:lineRule="auto"/>
                    <w:ind w:firstLineChars="0" w:firstLine="0"/>
                    <w:contextualSpacing/>
                    <w:jc w:val="center"/>
                    <w:rPr>
                      <w:color w:val="000000" w:themeColor="text1"/>
                      <w:sz w:val="21"/>
                      <w:szCs w:val="21"/>
                    </w:rPr>
                  </w:pPr>
                  <w:r w:rsidRPr="00D31995">
                    <w:rPr>
                      <w:color w:val="000000" w:themeColor="text1"/>
                      <w:sz w:val="21"/>
                      <w:szCs w:val="21"/>
                    </w:rPr>
                    <w:t>--</w:t>
                  </w:r>
                </w:p>
              </w:tc>
              <w:tc>
                <w:tcPr>
                  <w:tcW w:w="640" w:type="pct"/>
                  <w:vAlign w:val="center"/>
                </w:tcPr>
                <w:p w14:paraId="2D284829" w14:textId="63BF97B1"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8</w:t>
                  </w:r>
                  <w:r w:rsidRPr="00D31995">
                    <w:rPr>
                      <w:color w:val="000000" w:themeColor="text1"/>
                      <w:sz w:val="21"/>
                      <w:szCs w:val="21"/>
                    </w:rPr>
                    <w:t>-9</w:t>
                  </w:r>
                </w:p>
              </w:tc>
              <w:tc>
                <w:tcPr>
                  <w:tcW w:w="555" w:type="pct"/>
                  <w:vAlign w:val="center"/>
                </w:tcPr>
                <w:p w14:paraId="7D651F63" w14:textId="482B5EF5"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p>
              </w:tc>
              <w:tc>
                <w:tcPr>
                  <w:tcW w:w="499" w:type="pct"/>
                  <w:vMerge/>
                  <w:vAlign w:val="center"/>
                </w:tcPr>
                <w:p w14:paraId="2B7218A5" w14:textId="77777777" w:rsidR="00127FED" w:rsidRPr="00D31995" w:rsidRDefault="00127FED" w:rsidP="00127FED">
                  <w:pPr>
                    <w:spacing w:line="240" w:lineRule="auto"/>
                    <w:ind w:firstLineChars="0" w:firstLine="0"/>
                    <w:contextualSpacing/>
                    <w:jc w:val="center"/>
                    <w:rPr>
                      <w:color w:val="FF0000"/>
                      <w:sz w:val="21"/>
                      <w:szCs w:val="21"/>
                    </w:rPr>
                  </w:pPr>
                </w:p>
              </w:tc>
            </w:tr>
            <w:tr w:rsidR="00127FED" w:rsidRPr="00D31995" w14:paraId="6817D213" w14:textId="77777777" w:rsidTr="00127FED">
              <w:trPr>
                <w:trHeight w:val="340"/>
              </w:trPr>
              <w:tc>
                <w:tcPr>
                  <w:tcW w:w="328" w:type="pct"/>
                  <w:vMerge/>
                  <w:vAlign w:val="center"/>
                </w:tcPr>
                <w:p w14:paraId="425CAD15" w14:textId="77777777" w:rsidR="00127FED" w:rsidRPr="00D31995" w:rsidRDefault="00127FED" w:rsidP="00127FED">
                  <w:pPr>
                    <w:spacing w:line="240" w:lineRule="auto"/>
                    <w:ind w:firstLineChars="0" w:firstLine="0"/>
                    <w:contextualSpacing/>
                    <w:jc w:val="center"/>
                    <w:rPr>
                      <w:rFonts w:ascii="Segoe UI" w:hAnsi="Segoe UI" w:cs="Segoe UI"/>
                      <w:color w:val="0F1115"/>
                      <w:sz w:val="21"/>
                      <w:szCs w:val="21"/>
                      <w:shd w:val="clear" w:color="auto" w:fill="FFFFFF"/>
                    </w:rPr>
                  </w:pPr>
                </w:p>
              </w:tc>
              <w:tc>
                <w:tcPr>
                  <w:tcW w:w="561" w:type="pct"/>
                  <w:vAlign w:val="center"/>
                </w:tcPr>
                <w:p w14:paraId="7868DE62" w14:textId="34501346" w:rsidR="00127FED" w:rsidRPr="00D31995" w:rsidRDefault="00127FED" w:rsidP="00127FED">
                  <w:pPr>
                    <w:spacing w:line="240" w:lineRule="auto"/>
                    <w:ind w:firstLineChars="0" w:firstLine="0"/>
                    <w:contextualSpacing/>
                    <w:jc w:val="center"/>
                    <w:rPr>
                      <w:rFonts w:cs="Times New Roman"/>
                      <w:color w:val="000000" w:themeColor="text1"/>
                      <w:sz w:val="21"/>
                      <w:szCs w:val="21"/>
                    </w:rPr>
                  </w:pPr>
                  <w:r w:rsidRPr="00D31995">
                    <w:rPr>
                      <w:rFonts w:cs="Times New Roman"/>
                      <w:color w:val="0F1115"/>
                      <w:sz w:val="21"/>
                      <w:szCs w:val="21"/>
                      <w:shd w:val="clear" w:color="auto" w:fill="FFFFFF"/>
                    </w:rPr>
                    <w:t>SS</w:t>
                  </w:r>
                </w:p>
              </w:tc>
              <w:tc>
                <w:tcPr>
                  <w:tcW w:w="650" w:type="pct"/>
                  <w:vAlign w:val="center"/>
                </w:tcPr>
                <w:p w14:paraId="6A285B0C" w14:textId="128BD898"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2</w:t>
                  </w:r>
                  <w:r w:rsidRPr="00D31995">
                    <w:rPr>
                      <w:color w:val="000000" w:themeColor="text1"/>
                      <w:sz w:val="21"/>
                      <w:szCs w:val="21"/>
                    </w:rPr>
                    <w:t>50</w:t>
                  </w:r>
                </w:p>
              </w:tc>
              <w:tc>
                <w:tcPr>
                  <w:tcW w:w="619" w:type="pct"/>
                  <w:vAlign w:val="center"/>
                </w:tcPr>
                <w:p w14:paraId="2939C888" w14:textId="29521557" w:rsidR="00127FED" w:rsidRPr="00D31995" w:rsidRDefault="00127FED"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.0165</w:t>
                  </w:r>
                </w:p>
              </w:tc>
              <w:tc>
                <w:tcPr>
                  <w:tcW w:w="486" w:type="pct"/>
                  <w:vMerge/>
                  <w:vAlign w:val="center"/>
                </w:tcPr>
                <w:p w14:paraId="28CED5D6" w14:textId="77777777" w:rsidR="00127FED" w:rsidRPr="00D31995" w:rsidRDefault="00127FED" w:rsidP="00127FED">
                  <w:pPr>
                    <w:spacing w:line="240" w:lineRule="auto"/>
                    <w:ind w:firstLineChars="0" w:firstLine="0"/>
                    <w:contextualSpacing/>
                    <w:jc w:val="center"/>
                    <w:rPr>
                      <w:color w:val="FF0000"/>
                      <w:sz w:val="21"/>
                      <w:szCs w:val="21"/>
                    </w:rPr>
                  </w:pPr>
                </w:p>
              </w:tc>
              <w:tc>
                <w:tcPr>
                  <w:tcW w:w="662" w:type="pct"/>
                  <w:vAlign w:val="center"/>
                </w:tcPr>
                <w:p w14:paraId="21EE30B6" w14:textId="6EB8AEEF" w:rsidR="00127FED" w:rsidRPr="00D31995" w:rsidRDefault="00227664" w:rsidP="00127FED">
                  <w:pPr>
                    <w:spacing w:line="240" w:lineRule="auto"/>
                    <w:ind w:firstLineChars="0" w:firstLine="0"/>
                    <w:contextualSpacing/>
                    <w:jc w:val="center"/>
                    <w:rPr>
                      <w:color w:val="000000" w:themeColor="text1"/>
                      <w:sz w:val="21"/>
                      <w:szCs w:val="21"/>
                    </w:rPr>
                  </w:pPr>
                  <w:r w:rsidRPr="00D31995">
                    <w:rPr>
                      <w:color w:val="000000" w:themeColor="text1"/>
                      <w:sz w:val="21"/>
                      <w:szCs w:val="21"/>
                    </w:rPr>
                    <w:t>75</w:t>
                  </w:r>
                </w:p>
              </w:tc>
              <w:tc>
                <w:tcPr>
                  <w:tcW w:w="640" w:type="pct"/>
                  <w:vAlign w:val="center"/>
                </w:tcPr>
                <w:p w14:paraId="49CF71E9" w14:textId="78D75797" w:rsidR="00127FED" w:rsidRPr="00D31995" w:rsidRDefault="00227664" w:rsidP="00127FED">
                  <w:pPr>
                    <w:spacing w:line="240" w:lineRule="auto"/>
                    <w:ind w:firstLineChars="0" w:firstLine="0"/>
                    <w:contextualSpacing/>
                    <w:jc w:val="center"/>
                    <w:rPr>
                      <w:color w:val="000000" w:themeColor="text1"/>
                      <w:sz w:val="21"/>
                      <w:szCs w:val="21"/>
                    </w:rPr>
                  </w:pPr>
                  <w:r w:rsidRPr="00D31995">
                    <w:rPr>
                      <w:color w:val="000000" w:themeColor="text1"/>
                      <w:sz w:val="21"/>
                      <w:szCs w:val="21"/>
                    </w:rPr>
                    <w:t>62.5</w:t>
                  </w:r>
                </w:p>
              </w:tc>
              <w:tc>
                <w:tcPr>
                  <w:tcW w:w="555" w:type="pct"/>
                  <w:vAlign w:val="center"/>
                </w:tcPr>
                <w:p w14:paraId="3651CF89" w14:textId="4F3145A5" w:rsidR="00127FED" w:rsidRPr="00D31995" w:rsidRDefault="00227664" w:rsidP="00127FED">
                  <w:pPr>
                    <w:spacing w:line="240" w:lineRule="auto"/>
                    <w:ind w:firstLineChars="0" w:firstLine="0"/>
                    <w:contextualSpacing/>
                    <w:jc w:val="center"/>
                    <w:rPr>
                      <w:color w:val="000000" w:themeColor="text1"/>
                      <w:sz w:val="21"/>
                      <w:szCs w:val="21"/>
                    </w:rPr>
                  </w:pPr>
                  <w:r w:rsidRPr="00D31995">
                    <w:rPr>
                      <w:color w:val="000000" w:themeColor="text1"/>
                      <w:sz w:val="21"/>
                      <w:szCs w:val="21"/>
                    </w:rPr>
                    <w:t>0.0042</w:t>
                  </w:r>
                </w:p>
              </w:tc>
              <w:tc>
                <w:tcPr>
                  <w:tcW w:w="499" w:type="pct"/>
                  <w:vMerge/>
                  <w:vAlign w:val="center"/>
                </w:tcPr>
                <w:p w14:paraId="7B939714" w14:textId="77777777" w:rsidR="00127FED" w:rsidRPr="00D31995" w:rsidRDefault="00127FED" w:rsidP="00127FED">
                  <w:pPr>
                    <w:spacing w:line="240" w:lineRule="auto"/>
                    <w:ind w:firstLineChars="0" w:firstLine="0"/>
                    <w:contextualSpacing/>
                    <w:jc w:val="center"/>
                    <w:rPr>
                      <w:color w:val="FF0000"/>
                      <w:sz w:val="21"/>
                      <w:szCs w:val="21"/>
                    </w:rPr>
                  </w:pPr>
                </w:p>
              </w:tc>
            </w:tr>
            <w:tr w:rsidR="00127FED" w:rsidRPr="00D31995" w14:paraId="7D8F988D" w14:textId="77777777" w:rsidTr="00127FED">
              <w:trPr>
                <w:trHeight w:val="340"/>
              </w:trPr>
              <w:tc>
                <w:tcPr>
                  <w:tcW w:w="328" w:type="pct"/>
                  <w:vMerge/>
                  <w:vAlign w:val="center"/>
                </w:tcPr>
                <w:p w14:paraId="1151068F" w14:textId="77777777" w:rsidR="00127FED" w:rsidRPr="00D31995" w:rsidRDefault="00127FED" w:rsidP="00127FED">
                  <w:pPr>
                    <w:spacing w:line="240" w:lineRule="auto"/>
                    <w:ind w:firstLineChars="0" w:firstLine="0"/>
                    <w:contextualSpacing/>
                    <w:jc w:val="center"/>
                    <w:rPr>
                      <w:rFonts w:ascii="Segoe UI" w:hAnsi="Segoe UI" w:cs="Segoe UI"/>
                      <w:color w:val="0F1115"/>
                      <w:sz w:val="21"/>
                      <w:szCs w:val="21"/>
                      <w:shd w:val="clear" w:color="auto" w:fill="FFFFFF"/>
                    </w:rPr>
                  </w:pPr>
                </w:p>
              </w:tc>
              <w:tc>
                <w:tcPr>
                  <w:tcW w:w="561" w:type="pct"/>
                  <w:vAlign w:val="center"/>
                </w:tcPr>
                <w:p w14:paraId="6C755AA9" w14:textId="1B3C0AC7" w:rsidR="00127FED" w:rsidRPr="00D31995" w:rsidRDefault="00127FED" w:rsidP="00127FED">
                  <w:pPr>
                    <w:spacing w:line="240" w:lineRule="auto"/>
                    <w:ind w:firstLineChars="0" w:firstLine="0"/>
                    <w:contextualSpacing/>
                    <w:jc w:val="center"/>
                    <w:rPr>
                      <w:rFonts w:cs="Times New Roman"/>
                      <w:color w:val="000000" w:themeColor="text1"/>
                      <w:sz w:val="21"/>
                      <w:szCs w:val="21"/>
                    </w:rPr>
                  </w:pPr>
                  <w:r w:rsidRPr="00D31995">
                    <w:rPr>
                      <w:rFonts w:cs="Times New Roman"/>
                      <w:color w:val="0F1115"/>
                      <w:sz w:val="21"/>
                      <w:szCs w:val="21"/>
                      <w:shd w:val="clear" w:color="auto" w:fill="FFFFFF"/>
                    </w:rPr>
                    <w:t>COD</w:t>
                  </w:r>
                </w:p>
              </w:tc>
              <w:tc>
                <w:tcPr>
                  <w:tcW w:w="650" w:type="pct"/>
                  <w:vAlign w:val="center"/>
                </w:tcPr>
                <w:p w14:paraId="6D2406DE" w14:textId="28F9C364"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4</w:t>
                  </w:r>
                  <w:r w:rsidRPr="00D31995">
                    <w:rPr>
                      <w:color w:val="000000" w:themeColor="text1"/>
                      <w:sz w:val="21"/>
                      <w:szCs w:val="21"/>
                    </w:rPr>
                    <w:t>00</w:t>
                  </w:r>
                </w:p>
              </w:tc>
              <w:tc>
                <w:tcPr>
                  <w:tcW w:w="619" w:type="pct"/>
                  <w:vAlign w:val="center"/>
                </w:tcPr>
                <w:p w14:paraId="1A286E0F" w14:textId="16999686"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.0264</w:t>
                  </w:r>
                </w:p>
              </w:tc>
              <w:tc>
                <w:tcPr>
                  <w:tcW w:w="486" w:type="pct"/>
                  <w:vMerge/>
                  <w:vAlign w:val="center"/>
                </w:tcPr>
                <w:p w14:paraId="1C12EF39" w14:textId="77777777" w:rsidR="00127FED" w:rsidRPr="00D31995" w:rsidRDefault="00127FED" w:rsidP="00127FED">
                  <w:pPr>
                    <w:spacing w:line="240" w:lineRule="auto"/>
                    <w:ind w:firstLineChars="0" w:firstLine="0"/>
                    <w:contextualSpacing/>
                    <w:jc w:val="center"/>
                    <w:rPr>
                      <w:color w:val="FF0000"/>
                      <w:sz w:val="21"/>
                      <w:szCs w:val="21"/>
                    </w:rPr>
                  </w:pPr>
                </w:p>
              </w:tc>
              <w:tc>
                <w:tcPr>
                  <w:tcW w:w="662" w:type="pct"/>
                  <w:vAlign w:val="center"/>
                </w:tcPr>
                <w:p w14:paraId="1D7012E9" w14:textId="5232A14A"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8</w:t>
                  </w:r>
                  <w:r w:rsidRPr="00D31995">
                    <w:rPr>
                      <w:color w:val="000000" w:themeColor="text1"/>
                      <w:sz w:val="21"/>
                      <w:szCs w:val="21"/>
                    </w:rPr>
                    <w:t>5</w:t>
                  </w:r>
                </w:p>
              </w:tc>
              <w:tc>
                <w:tcPr>
                  <w:tcW w:w="640" w:type="pct"/>
                  <w:vAlign w:val="center"/>
                </w:tcPr>
                <w:p w14:paraId="6F9226C5" w14:textId="56D035B8"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6</w:t>
                  </w:r>
                  <w:r w:rsidRPr="00D31995">
                    <w:rPr>
                      <w:color w:val="000000" w:themeColor="text1"/>
                      <w:sz w:val="21"/>
                      <w:szCs w:val="21"/>
                    </w:rPr>
                    <w:t>0</w:t>
                  </w:r>
                </w:p>
              </w:tc>
              <w:tc>
                <w:tcPr>
                  <w:tcW w:w="555" w:type="pct"/>
                  <w:vAlign w:val="center"/>
                </w:tcPr>
                <w:p w14:paraId="54E64143" w14:textId="362A5E6E"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.004</w:t>
                  </w:r>
                </w:p>
              </w:tc>
              <w:tc>
                <w:tcPr>
                  <w:tcW w:w="499" w:type="pct"/>
                  <w:vMerge/>
                  <w:vAlign w:val="center"/>
                </w:tcPr>
                <w:p w14:paraId="20627E2F" w14:textId="77777777" w:rsidR="00127FED" w:rsidRPr="00D31995" w:rsidRDefault="00127FED" w:rsidP="00127FED">
                  <w:pPr>
                    <w:spacing w:line="240" w:lineRule="auto"/>
                    <w:ind w:firstLineChars="0" w:firstLine="0"/>
                    <w:contextualSpacing/>
                    <w:jc w:val="center"/>
                    <w:rPr>
                      <w:color w:val="FF0000"/>
                      <w:sz w:val="21"/>
                      <w:szCs w:val="21"/>
                    </w:rPr>
                  </w:pPr>
                </w:p>
              </w:tc>
            </w:tr>
            <w:tr w:rsidR="00127FED" w:rsidRPr="00D31995" w14:paraId="5545C469" w14:textId="77777777" w:rsidTr="00127FED">
              <w:trPr>
                <w:trHeight w:val="340"/>
              </w:trPr>
              <w:tc>
                <w:tcPr>
                  <w:tcW w:w="328" w:type="pct"/>
                  <w:vMerge/>
                  <w:vAlign w:val="center"/>
                </w:tcPr>
                <w:p w14:paraId="02F9F7D1" w14:textId="77777777" w:rsidR="00127FED" w:rsidRPr="00D31995" w:rsidRDefault="00127FED" w:rsidP="00127FED">
                  <w:pPr>
                    <w:spacing w:line="240" w:lineRule="auto"/>
                    <w:ind w:firstLineChars="0" w:firstLine="0"/>
                    <w:contextualSpacing/>
                    <w:jc w:val="center"/>
                    <w:rPr>
                      <w:rFonts w:ascii="Segoe UI" w:hAnsi="Segoe UI" w:cs="Segoe UI"/>
                      <w:color w:val="0F1115"/>
                      <w:sz w:val="21"/>
                      <w:szCs w:val="21"/>
                      <w:shd w:val="clear" w:color="auto" w:fill="FFFFFF"/>
                    </w:rPr>
                  </w:pPr>
                </w:p>
              </w:tc>
              <w:tc>
                <w:tcPr>
                  <w:tcW w:w="561" w:type="pct"/>
                  <w:vAlign w:val="center"/>
                </w:tcPr>
                <w:p w14:paraId="4AA4CE90" w14:textId="4EFE8D7B" w:rsidR="00127FED" w:rsidRPr="00D31995" w:rsidRDefault="00127FED" w:rsidP="00127FED">
                  <w:pPr>
                    <w:spacing w:line="240" w:lineRule="auto"/>
                    <w:ind w:firstLineChars="0" w:firstLine="0"/>
                    <w:contextualSpacing/>
                    <w:jc w:val="center"/>
                    <w:rPr>
                      <w:rFonts w:cs="Times New Roman"/>
                      <w:color w:val="0F1115"/>
                      <w:sz w:val="21"/>
                      <w:szCs w:val="21"/>
                      <w:shd w:val="clear" w:color="auto" w:fill="FFFFFF"/>
                    </w:rPr>
                  </w:pPr>
                  <w:r w:rsidRPr="00D31995">
                    <w:rPr>
                      <w:rFonts w:cs="Times New Roman"/>
                      <w:color w:val="0F1115"/>
                      <w:sz w:val="21"/>
                      <w:szCs w:val="21"/>
                      <w:shd w:val="clear" w:color="auto" w:fill="FFFFFF"/>
                    </w:rPr>
                    <w:t>硫酸盐</w:t>
                  </w:r>
                </w:p>
              </w:tc>
              <w:tc>
                <w:tcPr>
                  <w:tcW w:w="650" w:type="pct"/>
                  <w:vAlign w:val="center"/>
                </w:tcPr>
                <w:p w14:paraId="2F9548A7" w14:textId="6721AD01"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3</w:t>
                  </w:r>
                  <w:r w:rsidRPr="00D31995">
                    <w:rPr>
                      <w:color w:val="000000" w:themeColor="text1"/>
                      <w:sz w:val="21"/>
                      <w:szCs w:val="21"/>
                    </w:rPr>
                    <w:t>500</w:t>
                  </w:r>
                </w:p>
              </w:tc>
              <w:tc>
                <w:tcPr>
                  <w:tcW w:w="619" w:type="pct"/>
                  <w:vAlign w:val="center"/>
                </w:tcPr>
                <w:p w14:paraId="0D10ED16" w14:textId="5E4ED358"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.2310</w:t>
                  </w:r>
                </w:p>
              </w:tc>
              <w:tc>
                <w:tcPr>
                  <w:tcW w:w="486" w:type="pct"/>
                  <w:vMerge/>
                  <w:vAlign w:val="center"/>
                </w:tcPr>
                <w:p w14:paraId="5D64243B" w14:textId="77777777" w:rsidR="00127FED" w:rsidRPr="00D31995" w:rsidRDefault="00127FED" w:rsidP="00127FED">
                  <w:pPr>
                    <w:spacing w:line="240" w:lineRule="auto"/>
                    <w:ind w:firstLineChars="0" w:firstLine="0"/>
                    <w:contextualSpacing/>
                    <w:jc w:val="center"/>
                    <w:rPr>
                      <w:color w:val="FF0000"/>
                      <w:sz w:val="21"/>
                      <w:szCs w:val="21"/>
                    </w:rPr>
                  </w:pPr>
                </w:p>
              </w:tc>
              <w:tc>
                <w:tcPr>
                  <w:tcW w:w="662" w:type="pct"/>
                  <w:vAlign w:val="center"/>
                </w:tcPr>
                <w:p w14:paraId="65CED0F6" w14:textId="0B62B503"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w:t>
                  </w:r>
                  <w:r w:rsidRPr="00D31995">
                    <w:rPr>
                      <w:color w:val="000000" w:themeColor="text1"/>
                      <w:sz w:val="21"/>
                      <w:szCs w:val="21"/>
                    </w:rPr>
                    <w:t>-</w:t>
                  </w:r>
                </w:p>
              </w:tc>
              <w:tc>
                <w:tcPr>
                  <w:tcW w:w="640" w:type="pct"/>
                  <w:vAlign w:val="center"/>
                </w:tcPr>
                <w:p w14:paraId="4A334BED" w14:textId="7609C3B7"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3</w:t>
                  </w:r>
                  <w:r w:rsidRPr="00D31995">
                    <w:rPr>
                      <w:color w:val="000000" w:themeColor="text1"/>
                      <w:sz w:val="21"/>
                      <w:szCs w:val="21"/>
                    </w:rPr>
                    <w:t>500</w:t>
                  </w:r>
                </w:p>
              </w:tc>
              <w:tc>
                <w:tcPr>
                  <w:tcW w:w="555" w:type="pct"/>
                  <w:vAlign w:val="center"/>
                </w:tcPr>
                <w:p w14:paraId="2CF4A5C8" w14:textId="6F09CDA0" w:rsidR="00127FED" w:rsidRPr="00D31995" w:rsidRDefault="00227664" w:rsidP="00127FED">
                  <w:pPr>
                    <w:spacing w:line="240" w:lineRule="auto"/>
                    <w:ind w:firstLineChars="0" w:firstLine="0"/>
                    <w:contextualSpacing/>
                    <w:jc w:val="center"/>
                    <w:rPr>
                      <w:color w:val="000000" w:themeColor="text1"/>
                      <w:sz w:val="21"/>
                      <w:szCs w:val="21"/>
                    </w:rPr>
                  </w:pPr>
                  <w:r w:rsidRPr="00D31995">
                    <w:rPr>
                      <w:rFonts w:hint="eastAsia"/>
                      <w:color w:val="000000" w:themeColor="text1"/>
                      <w:sz w:val="21"/>
                      <w:szCs w:val="21"/>
                    </w:rPr>
                    <w:t>0</w:t>
                  </w:r>
                  <w:r w:rsidRPr="00D31995">
                    <w:rPr>
                      <w:color w:val="000000" w:themeColor="text1"/>
                      <w:sz w:val="21"/>
                      <w:szCs w:val="21"/>
                    </w:rPr>
                    <w:t>.2310</w:t>
                  </w:r>
                </w:p>
              </w:tc>
              <w:tc>
                <w:tcPr>
                  <w:tcW w:w="499" w:type="pct"/>
                  <w:vMerge/>
                  <w:vAlign w:val="center"/>
                </w:tcPr>
                <w:p w14:paraId="4088A599" w14:textId="77777777" w:rsidR="00127FED" w:rsidRPr="00D31995" w:rsidRDefault="00127FED" w:rsidP="00127FED">
                  <w:pPr>
                    <w:spacing w:line="240" w:lineRule="auto"/>
                    <w:ind w:firstLineChars="0" w:firstLine="0"/>
                    <w:contextualSpacing/>
                    <w:jc w:val="center"/>
                    <w:rPr>
                      <w:color w:val="FF0000"/>
                      <w:sz w:val="21"/>
                      <w:szCs w:val="21"/>
                    </w:rPr>
                  </w:pPr>
                </w:p>
              </w:tc>
            </w:tr>
          </w:tbl>
          <w:p w14:paraId="3172E701" w14:textId="77777777" w:rsidR="00D31995" w:rsidRDefault="004B6A81" w:rsidP="00D31995">
            <w:pPr>
              <w:ind w:firstLineChars="0" w:firstLine="0"/>
              <w:rPr>
                <w:rFonts w:cs="Times New Roman"/>
                <w:b/>
                <w:bCs/>
              </w:rPr>
            </w:pPr>
            <w:r>
              <w:rPr>
                <w:rFonts w:cs="Times New Roman"/>
                <w:b/>
                <w:bCs/>
                <w:color w:val="000000" w:themeColor="text1"/>
              </w:rPr>
              <w:t>4.2.2.1</w:t>
            </w:r>
            <w:r w:rsidR="0062372C">
              <w:rPr>
                <w:rFonts w:cs="Times New Roman" w:hint="eastAsia"/>
                <w:b/>
                <w:bCs/>
                <w:color w:val="000000" w:themeColor="text1"/>
              </w:rPr>
              <w:t>废水</w:t>
            </w:r>
            <w:r>
              <w:rPr>
                <w:rFonts w:cs="Times New Roman" w:hint="eastAsia"/>
                <w:b/>
                <w:bCs/>
                <w:color w:val="000000" w:themeColor="text1"/>
              </w:rPr>
              <w:t>处理可行性分析</w:t>
            </w:r>
          </w:p>
          <w:p w14:paraId="36BF2AAC" w14:textId="77777777" w:rsidR="00D31995" w:rsidRDefault="0062372C" w:rsidP="00D31995">
            <w:pPr>
              <w:ind w:firstLine="482"/>
              <w:rPr>
                <w:rFonts w:cs="Times New Roman"/>
                <w:b/>
                <w:bCs/>
              </w:rPr>
            </w:pPr>
            <w:r w:rsidRPr="00127FED">
              <w:rPr>
                <w:rFonts w:cs="Times New Roman"/>
                <w:b/>
              </w:rPr>
              <w:fldChar w:fldCharType="begin"/>
            </w:r>
            <w:r w:rsidRPr="00127FED">
              <w:rPr>
                <w:rFonts w:cs="Times New Roman"/>
                <w:b/>
              </w:rPr>
              <w:instrText xml:space="preserve"> </w:instrText>
            </w:r>
            <w:r w:rsidRPr="00127FED">
              <w:rPr>
                <w:rFonts w:cs="Times New Roman" w:hint="eastAsia"/>
                <w:b/>
              </w:rPr>
              <w:instrText>= 1 \* GB3</w:instrText>
            </w:r>
            <w:r w:rsidRPr="00127FED">
              <w:rPr>
                <w:rFonts w:cs="Times New Roman"/>
                <w:b/>
              </w:rPr>
              <w:instrText xml:space="preserve"> </w:instrText>
            </w:r>
            <w:r w:rsidRPr="00127FED">
              <w:rPr>
                <w:rFonts w:cs="Times New Roman"/>
                <w:b/>
              </w:rPr>
              <w:fldChar w:fldCharType="separate"/>
            </w:r>
            <w:r w:rsidRPr="00127FED">
              <w:rPr>
                <w:rFonts w:cs="Times New Roman" w:hint="eastAsia"/>
                <w:b/>
                <w:noProof/>
              </w:rPr>
              <w:t>①</w:t>
            </w:r>
            <w:r w:rsidRPr="00127FED">
              <w:rPr>
                <w:rFonts w:cs="Times New Roman"/>
                <w:b/>
              </w:rPr>
              <w:fldChar w:fldCharType="end"/>
            </w:r>
            <w:r w:rsidRPr="00127FED">
              <w:rPr>
                <w:rFonts w:cs="Times New Roman" w:hint="eastAsia"/>
                <w:b/>
              </w:rPr>
              <w:t>厂区污水处理站依托可行性</w:t>
            </w:r>
          </w:p>
          <w:p w14:paraId="28E4BF90" w14:textId="0A70D8E2" w:rsidR="00572664" w:rsidRDefault="0062372C" w:rsidP="00572664">
            <w:pPr>
              <w:ind w:firstLine="480"/>
              <w:rPr>
                <w:rFonts w:cs="Times New Roman"/>
                <w:b/>
                <w:bCs/>
              </w:rPr>
            </w:pPr>
            <w:r>
              <w:rPr>
                <w:rFonts w:hint="eastAsia"/>
              </w:rPr>
              <w:t>轮台塔中石油化工有限公司的生产废水主要为</w:t>
            </w:r>
            <w:r>
              <w:rPr>
                <w:rFonts w:ascii="宋体" w:hAnsi="宋体" w:cs="宋体" w:hint="eastAsia"/>
                <w:color w:val="000000"/>
                <w:kern w:val="0"/>
                <w:szCs w:val="24"/>
                <w:lang w:bidi="ar"/>
              </w:rPr>
              <w:t>含油废水，</w:t>
            </w:r>
            <w:r>
              <w:rPr>
                <w:rFonts w:hint="eastAsia"/>
              </w:rPr>
              <w:t>根据该废水的特性，厂区原有污水处理站采取《石油炼制工业废水治理工程技术规范》（</w:t>
            </w:r>
            <w:r>
              <w:rPr>
                <w:rFonts w:hint="eastAsia"/>
              </w:rPr>
              <w:t>HJ2045-2014</w:t>
            </w:r>
            <w:r>
              <w:rPr>
                <w:rFonts w:hint="eastAsia"/>
              </w:rPr>
              <w:t>）中推荐工艺，采取物化处理</w:t>
            </w:r>
            <w:r>
              <w:rPr>
                <w:rFonts w:hint="eastAsia"/>
              </w:rPr>
              <w:t>+</w:t>
            </w:r>
            <w:r>
              <w:rPr>
                <w:rFonts w:hint="eastAsia"/>
              </w:rPr>
              <w:t>生化处理，具体工艺流程为：调节池—隔油池—中和池—均质池—气浮池—水解酸</w:t>
            </w:r>
            <w:r>
              <w:rPr>
                <w:rFonts w:cs="Times New Roman"/>
              </w:rPr>
              <w:t>化</w:t>
            </w:r>
            <w:r>
              <w:rPr>
                <w:rFonts w:cs="Times New Roman"/>
              </w:rPr>
              <w:t>—SBR—</w:t>
            </w:r>
            <w:r>
              <w:rPr>
                <w:rFonts w:cs="Times New Roman"/>
              </w:rPr>
              <w:t>二沉池，</w:t>
            </w:r>
            <w:r>
              <w:rPr>
                <w:rFonts w:cs="Times New Roman"/>
                <w:color w:val="000000"/>
                <w:kern w:val="0"/>
                <w:szCs w:val="24"/>
                <w:lang w:bidi="ar"/>
              </w:rPr>
              <w:t>处理后废水达到《污水综合排放标准》（</w:t>
            </w:r>
            <w:r>
              <w:rPr>
                <w:rFonts w:cs="Times New Roman"/>
                <w:color w:val="000000"/>
                <w:kern w:val="0"/>
                <w:szCs w:val="24"/>
                <w:lang w:bidi="ar"/>
              </w:rPr>
              <w:t>GB8978-1996</w:t>
            </w:r>
            <w:r>
              <w:rPr>
                <w:rFonts w:cs="Times New Roman"/>
                <w:color w:val="000000"/>
                <w:kern w:val="0"/>
                <w:szCs w:val="24"/>
                <w:lang w:bidi="ar"/>
              </w:rPr>
              <w:t>）表</w:t>
            </w:r>
            <w:r>
              <w:rPr>
                <w:rFonts w:cs="Times New Roman"/>
                <w:color w:val="000000"/>
                <w:kern w:val="0"/>
                <w:szCs w:val="24"/>
                <w:lang w:bidi="ar"/>
              </w:rPr>
              <w:t>4</w:t>
            </w:r>
            <w:r>
              <w:rPr>
                <w:rFonts w:cs="Times New Roman"/>
                <w:color w:val="000000"/>
                <w:kern w:val="0"/>
                <w:szCs w:val="24"/>
                <w:lang w:bidi="ar"/>
              </w:rPr>
              <w:t>三级排放标准、《石油炼制工业污染物排放标准》</w:t>
            </w:r>
            <w:r w:rsidR="00227664">
              <w:rPr>
                <w:rFonts w:cs="Times New Roman" w:hint="eastAsia"/>
                <w:color w:val="000000"/>
                <w:kern w:val="0"/>
                <w:szCs w:val="24"/>
                <w:lang w:bidi="ar"/>
              </w:rPr>
              <w:t>（</w:t>
            </w:r>
            <w:r w:rsidR="00227664" w:rsidRPr="00227664">
              <w:rPr>
                <w:rFonts w:cs="Times New Roman"/>
                <w:color w:val="000000"/>
                <w:kern w:val="0"/>
                <w:szCs w:val="24"/>
                <w:lang w:bidi="ar"/>
              </w:rPr>
              <w:t>GB31570-2015</w:t>
            </w:r>
            <w:r w:rsidR="00227664">
              <w:rPr>
                <w:rFonts w:cs="Times New Roman" w:hint="eastAsia"/>
                <w:color w:val="000000"/>
                <w:kern w:val="0"/>
                <w:szCs w:val="24"/>
                <w:lang w:bidi="ar"/>
              </w:rPr>
              <w:t>）</w:t>
            </w:r>
            <w:r>
              <w:rPr>
                <w:rFonts w:cs="Times New Roman"/>
                <w:color w:val="000000"/>
                <w:kern w:val="0"/>
                <w:szCs w:val="24"/>
                <w:lang w:bidi="ar"/>
              </w:rPr>
              <w:t>表</w:t>
            </w:r>
            <w:r>
              <w:rPr>
                <w:rFonts w:cs="Times New Roman"/>
                <w:color w:val="000000"/>
                <w:kern w:val="0"/>
                <w:szCs w:val="24"/>
                <w:lang w:bidi="ar"/>
              </w:rPr>
              <w:t>1</w:t>
            </w:r>
            <w:r>
              <w:rPr>
                <w:rFonts w:cs="Times New Roman"/>
                <w:color w:val="000000"/>
                <w:kern w:val="0"/>
                <w:szCs w:val="24"/>
                <w:lang w:bidi="ar"/>
              </w:rPr>
              <w:t>间接</w:t>
            </w:r>
            <w:r>
              <w:rPr>
                <w:rFonts w:ascii="宋体" w:hAnsi="宋体" w:cs="宋体" w:hint="eastAsia"/>
                <w:color w:val="000000"/>
                <w:kern w:val="0"/>
                <w:szCs w:val="24"/>
                <w:lang w:bidi="ar"/>
              </w:rPr>
              <w:t>排放标准后，汇入</w:t>
            </w:r>
            <w:r w:rsidR="00C926EE" w:rsidRPr="00C926EE">
              <w:rPr>
                <w:rFonts w:ascii="宋体" w:hAnsi="宋体" w:cs="宋体" w:hint="eastAsia"/>
                <w:color w:val="000000"/>
                <w:kern w:val="0"/>
                <w:szCs w:val="24"/>
                <w:lang w:bidi="ar"/>
              </w:rPr>
              <w:t>轮台县拉依苏化工区污水处理厂</w:t>
            </w:r>
            <w:r>
              <w:rPr>
                <w:rFonts w:ascii="宋体" w:hAnsi="宋体" w:cs="宋体" w:hint="eastAsia"/>
                <w:color w:val="000000"/>
                <w:kern w:val="0"/>
                <w:szCs w:val="24"/>
                <w:lang w:bidi="ar"/>
              </w:rPr>
              <w:t>处理。</w:t>
            </w:r>
          </w:p>
          <w:p w14:paraId="679B2FD4" w14:textId="11D15876" w:rsidR="00D31995" w:rsidRPr="00572664" w:rsidRDefault="0062372C" w:rsidP="00572664">
            <w:pPr>
              <w:ind w:firstLine="480"/>
              <w:rPr>
                <w:rFonts w:cs="Times New Roman"/>
                <w:b/>
                <w:bCs/>
              </w:rPr>
            </w:pPr>
            <w:r>
              <w:rPr>
                <w:rFonts w:hint="eastAsia"/>
              </w:rPr>
              <w:t>厂区原有项目含油</w:t>
            </w:r>
            <w:r>
              <w:rPr>
                <w:rFonts w:cs="Times New Roman" w:hint="eastAsia"/>
                <w:color w:val="000000"/>
                <w:kern w:val="0"/>
                <w:szCs w:val="24"/>
                <w:lang w:bidi="ar"/>
              </w:rPr>
              <w:t>污水产生量为</w:t>
            </w:r>
            <w:r>
              <w:rPr>
                <w:rFonts w:cs="Times New Roman" w:hint="eastAsia"/>
                <w:color w:val="000000"/>
                <w:kern w:val="0"/>
                <w:szCs w:val="24"/>
                <w:lang w:bidi="ar"/>
              </w:rPr>
              <w:t>7079.6m</w:t>
            </w:r>
            <w:r>
              <w:rPr>
                <w:rFonts w:cs="Times New Roman" w:hint="eastAsia"/>
                <w:color w:val="000000"/>
                <w:kern w:val="0"/>
                <w:szCs w:val="24"/>
                <w:vertAlign w:val="superscript"/>
                <w:lang w:bidi="ar"/>
              </w:rPr>
              <w:t>3</w:t>
            </w:r>
            <w:r>
              <w:rPr>
                <w:rFonts w:cs="Times New Roman" w:hint="eastAsia"/>
                <w:color w:val="000000"/>
                <w:kern w:val="0"/>
                <w:szCs w:val="24"/>
                <w:lang w:bidi="ar"/>
              </w:rPr>
              <w:t>/a</w:t>
            </w:r>
            <w:r>
              <w:rPr>
                <w:rFonts w:cs="Times New Roman" w:hint="eastAsia"/>
                <w:color w:val="000000"/>
                <w:kern w:val="0"/>
                <w:szCs w:val="24"/>
                <w:lang w:bidi="ar"/>
              </w:rPr>
              <w:t>，本项目新增生产废水</w:t>
            </w:r>
            <w:r w:rsidR="00572664">
              <w:rPr>
                <w:rFonts w:cs="Times New Roman"/>
                <w:color w:val="000000"/>
                <w:kern w:val="0"/>
                <w:szCs w:val="24"/>
                <w:lang w:bidi="ar"/>
              </w:rPr>
              <w:t>66</w:t>
            </w:r>
            <w:r>
              <w:rPr>
                <w:rFonts w:cs="Times New Roman" w:hint="eastAsia"/>
                <w:color w:val="000000"/>
                <w:kern w:val="0"/>
                <w:szCs w:val="24"/>
                <w:lang w:bidi="ar"/>
              </w:rPr>
              <w:t>m</w:t>
            </w:r>
            <w:r>
              <w:rPr>
                <w:rFonts w:cs="Times New Roman" w:hint="eastAsia"/>
                <w:color w:val="000000"/>
                <w:kern w:val="0"/>
                <w:szCs w:val="24"/>
                <w:vertAlign w:val="superscript"/>
                <w:lang w:bidi="ar"/>
              </w:rPr>
              <w:t>3</w:t>
            </w:r>
            <w:r>
              <w:rPr>
                <w:rFonts w:cs="Times New Roman" w:hint="eastAsia"/>
                <w:color w:val="000000"/>
                <w:kern w:val="0"/>
                <w:szCs w:val="24"/>
                <w:lang w:bidi="ar"/>
              </w:rPr>
              <w:t>/a</w:t>
            </w:r>
            <w:r>
              <w:rPr>
                <w:rFonts w:cs="Times New Roman" w:hint="eastAsia"/>
                <w:color w:val="000000"/>
                <w:kern w:val="0"/>
                <w:szCs w:val="24"/>
                <w:lang w:bidi="ar"/>
              </w:rPr>
              <w:t>，厂区废水处理站，处理规模</w:t>
            </w:r>
            <w:r>
              <w:rPr>
                <w:rFonts w:cs="Times New Roman"/>
                <w:color w:val="000000"/>
                <w:kern w:val="0"/>
                <w:szCs w:val="24"/>
                <w:lang w:bidi="ar"/>
              </w:rPr>
              <w:t>50m</w:t>
            </w:r>
            <w:r>
              <w:rPr>
                <w:rFonts w:cs="Times New Roman" w:hint="eastAsia"/>
                <w:color w:val="000000"/>
                <w:kern w:val="0"/>
                <w:szCs w:val="24"/>
                <w:vertAlign w:val="superscript"/>
                <w:lang w:bidi="ar"/>
              </w:rPr>
              <w:t>3</w:t>
            </w:r>
            <w:r>
              <w:rPr>
                <w:rFonts w:cs="Times New Roman"/>
                <w:color w:val="000000"/>
                <w:kern w:val="0"/>
                <w:szCs w:val="24"/>
                <w:lang w:bidi="ar"/>
              </w:rPr>
              <w:t>/d</w:t>
            </w:r>
            <w:r>
              <w:rPr>
                <w:rFonts w:cs="Times New Roman" w:hint="eastAsia"/>
                <w:color w:val="000000"/>
                <w:kern w:val="0"/>
                <w:szCs w:val="24"/>
                <w:lang w:bidi="ar"/>
              </w:rPr>
              <w:t>，</w:t>
            </w:r>
            <w:r>
              <w:rPr>
                <w:rFonts w:cs="Times New Roman" w:hint="eastAsia"/>
                <w:color w:val="000000"/>
                <w:kern w:val="0"/>
                <w:szCs w:val="24"/>
                <w:lang w:bidi="ar"/>
              </w:rPr>
              <w:t>15000m</w:t>
            </w:r>
            <w:r>
              <w:rPr>
                <w:rFonts w:cs="Times New Roman" w:hint="eastAsia"/>
                <w:color w:val="000000"/>
                <w:kern w:val="0"/>
                <w:szCs w:val="24"/>
                <w:vertAlign w:val="superscript"/>
                <w:lang w:bidi="ar"/>
              </w:rPr>
              <w:t>3</w:t>
            </w:r>
            <w:r>
              <w:rPr>
                <w:rFonts w:cs="Times New Roman" w:hint="eastAsia"/>
                <w:color w:val="000000"/>
                <w:kern w:val="0"/>
                <w:szCs w:val="24"/>
                <w:lang w:bidi="ar"/>
              </w:rPr>
              <w:t>/a</w:t>
            </w:r>
            <w:r>
              <w:rPr>
                <w:rFonts w:cs="Times New Roman" w:hint="eastAsia"/>
                <w:color w:val="000000"/>
                <w:kern w:val="0"/>
                <w:szCs w:val="24"/>
                <w:lang w:bidi="ar"/>
              </w:rPr>
              <w:t>，污水处理厂可受纳处理本项目新增生产废水。</w:t>
            </w:r>
          </w:p>
          <w:p w14:paraId="41987F52" w14:textId="11A5FFF1" w:rsidR="00572664" w:rsidRDefault="0062372C" w:rsidP="00572664">
            <w:pPr>
              <w:adjustRightInd w:val="0"/>
              <w:snapToGrid w:val="0"/>
              <w:ind w:firstLine="482"/>
              <w:rPr>
                <w:rFonts w:cs="Times New Roman"/>
                <w:bCs/>
              </w:rPr>
            </w:pPr>
            <w:r w:rsidRPr="00127FED">
              <w:rPr>
                <w:rFonts w:ascii="宋体" w:hAnsi="宋体" w:cs="宋体"/>
                <w:b/>
                <w:bCs/>
                <w:color w:val="000000"/>
                <w:kern w:val="0"/>
                <w:szCs w:val="24"/>
                <w:lang w:bidi="ar"/>
              </w:rPr>
              <w:fldChar w:fldCharType="begin"/>
            </w:r>
            <w:r w:rsidRPr="00127FED">
              <w:rPr>
                <w:rFonts w:ascii="宋体" w:hAnsi="宋体" w:cs="宋体"/>
                <w:b/>
                <w:bCs/>
                <w:color w:val="000000"/>
                <w:kern w:val="0"/>
                <w:szCs w:val="24"/>
                <w:lang w:bidi="ar"/>
              </w:rPr>
              <w:instrText xml:space="preserve"> </w:instrText>
            </w:r>
            <w:r w:rsidRPr="00127FED">
              <w:rPr>
                <w:rFonts w:ascii="宋体" w:hAnsi="宋体" w:cs="宋体" w:hint="eastAsia"/>
                <w:b/>
                <w:bCs/>
                <w:color w:val="000000"/>
                <w:kern w:val="0"/>
                <w:szCs w:val="24"/>
                <w:lang w:bidi="ar"/>
              </w:rPr>
              <w:instrText>= 2 \* GB3</w:instrText>
            </w:r>
            <w:r w:rsidRPr="00127FED">
              <w:rPr>
                <w:rFonts w:ascii="宋体" w:hAnsi="宋体" w:cs="宋体"/>
                <w:b/>
                <w:bCs/>
                <w:color w:val="000000"/>
                <w:kern w:val="0"/>
                <w:szCs w:val="24"/>
                <w:lang w:bidi="ar"/>
              </w:rPr>
              <w:instrText xml:space="preserve"> </w:instrText>
            </w:r>
            <w:r w:rsidRPr="00127FED">
              <w:rPr>
                <w:rFonts w:ascii="宋体" w:hAnsi="宋体" w:cs="宋体"/>
                <w:b/>
                <w:bCs/>
                <w:color w:val="000000"/>
                <w:kern w:val="0"/>
                <w:szCs w:val="24"/>
                <w:lang w:bidi="ar"/>
              </w:rPr>
              <w:fldChar w:fldCharType="separate"/>
            </w:r>
            <w:r w:rsidRPr="00127FED">
              <w:rPr>
                <w:rFonts w:ascii="宋体" w:hAnsi="宋体" w:cs="宋体" w:hint="eastAsia"/>
                <w:b/>
                <w:bCs/>
                <w:noProof/>
                <w:color w:val="000000"/>
                <w:kern w:val="0"/>
                <w:szCs w:val="24"/>
                <w:lang w:bidi="ar"/>
              </w:rPr>
              <w:t>②</w:t>
            </w:r>
            <w:r w:rsidRPr="00127FED">
              <w:rPr>
                <w:rFonts w:ascii="宋体" w:hAnsi="宋体" w:cs="宋体"/>
                <w:b/>
                <w:bCs/>
                <w:color w:val="000000"/>
                <w:kern w:val="0"/>
                <w:szCs w:val="24"/>
                <w:lang w:bidi="ar"/>
              </w:rPr>
              <w:fldChar w:fldCharType="end"/>
            </w:r>
            <w:r w:rsidR="00C926EE" w:rsidRPr="00C926EE">
              <w:rPr>
                <w:rFonts w:ascii="宋体" w:hAnsi="宋体" w:cs="宋体" w:hint="eastAsia"/>
                <w:b/>
                <w:bCs/>
                <w:color w:val="000000"/>
                <w:kern w:val="0"/>
                <w:szCs w:val="24"/>
                <w:lang w:bidi="ar"/>
              </w:rPr>
              <w:t>轮台县拉依苏化工区污水处理厂</w:t>
            </w:r>
            <w:r w:rsidRPr="00127FED">
              <w:rPr>
                <w:rFonts w:cs="Times New Roman" w:hint="eastAsia"/>
                <w:b/>
                <w:bCs/>
              </w:rPr>
              <w:t>依托可行性</w:t>
            </w:r>
          </w:p>
          <w:p w14:paraId="657913E3" w14:textId="278ACD9A" w:rsidR="003C4F46" w:rsidRPr="00572664" w:rsidRDefault="00C926EE" w:rsidP="00572664">
            <w:pPr>
              <w:adjustRightInd w:val="0"/>
              <w:snapToGrid w:val="0"/>
              <w:ind w:firstLine="480"/>
              <w:rPr>
                <w:rFonts w:cs="Times New Roman"/>
                <w:bCs/>
              </w:rPr>
            </w:pPr>
            <w:r w:rsidRPr="00C926EE">
              <w:rPr>
                <w:rFonts w:cs="Times New Roman" w:hint="eastAsia"/>
                <w:bCs/>
              </w:rPr>
              <w:t>轮台县拉依苏化工区污水处理厂</w:t>
            </w:r>
            <w:r w:rsidR="003536F2">
              <w:rPr>
                <w:rFonts w:cs="Times New Roman" w:hint="eastAsia"/>
                <w:bCs/>
              </w:rPr>
              <w:t>（</w:t>
            </w:r>
            <w:r w:rsidR="003536F2" w:rsidRPr="003536F2">
              <w:rPr>
                <w:rFonts w:cs="Times New Roman" w:hint="eastAsia"/>
                <w:bCs/>
              </w:rPr>
              <w:t>轮台县长瑞鑫水务有限公司</w:t>
            </w:r>
            <w:r w:rsidR="003536F2">
              <w:rPr>
                <w:rFonts w:cs="Times New Roman" w:hint="eastAsia"/>
                <w:bCs/>
              </w:rPr>
              <w:t>）</w:t>
            </w:r>
            <w:r w:rsidR="004B6A81">
              <w:rPr>
                <w:rFonts w:cs="Times New Roman" w:hint="eastAsia"/>
                <w:bCs/>
              </w:rPr>
              <w:t>于</w:t>
            </w:r>
            <w:r w:rsidR="004B6A81">
              <w:rPr>
                <w:rFonts w:cs="Times New Roman" w:hint="eastAsia"/>
                <w:bCs/>
              </w:rPr>
              <w:t>2015</w:t>
            </w:r>
            <w:r w:rsidR="004B6A81">
              <w:rPr>
                <w:rFonts w:cs="Times New Roman" w:hint="eastAsia"/>
                <w:bCs/>
              </w:rPr>
              <w:t>年</w:t>
            </w:r>
            <w:r w:rsidR="004B6A81">
              <w:rPr>
                <w:rFonts w:cs="Times New Roman" w:hint="eastAsia"/>
                <w:bCs/>
              </w:rPr>
              <w:t>11</w:t>
            </w:r>
            <w:r w:rsidR="004B6A81">
              <w:rPr>
                <w:rFonts w:cs="Times New Roman" w:hint="eastAsia"/>
                <w:bCs/>
              </w:rPr>
              <w:t>月</w:t>
            </w:r>
            <w:r w:rsidR="004B6A81">
              <w:rPr>
                <w:rFonts w:cs="Times New Roman" w:hint="eastAsia"/>
                <w:bCs/>
              </w:rPr>
              <w:t>5</w:t>
            </w:r>
            <w:r w:rsidR="004B6A81">
              <w:rPr>
                <w:rFonts w:cs="Times New Roman" w:hint="eastAsia"/>
                <w:bCs/>
              </w:rPr>
              <w:t>日取得新疆维吾尔自</w:t>
            </w:r>
            <w:r w:rsidR="004B6A81">
              <w:rPr>
                <w:rFonts w:cs="Times New Roman"/>
                <w:bCs/>
              </w:rPr>
              <w:t>治区环保厅《关于拉依苏工业园区</w:t>
            </w:r>
            <w:r w:rsidR="004B6A81">
              <w:rPr>
                <w:rFonts w:cs="Times New Roman"/>
                <w:bCs/>
              </w:rPr>
              <w:t>5</w:t>
            </w:r>
            <w:r w:rsidR="004B6A81">
              <w:rPr>
                <w:rFonts w:cs="Times New Roman"/>
                <w:bCs/>
              </w:rPr>
              <w:t>万</w:t>
            </w:r>
            <w:r w:rsidR="004B6A81">
              <w:rPr>
                <w:rFonts w:cs="Times New Roman"/>
                <w:bCs/>
              </w:rPr>
              <w:t>m</w:t>
            </w:r>
            <w:r w:rsidR="004B6A81">
              <w:rPr>
                <w:rFonts w:cs="Times New Roman"/>
                <w:bCs/>
                <w:vertAlign w:val="superscript"/>
              </w:rPr>
              <w:t>3</w:t>
            </w:r>
            <w:r w:rsidR="004B6A81">
              <w:rPr>
                <w:rFonts w:cs="Times New Roman"/>
                <w:bCs/>
              </w:rPr>
              <w:t>/d</w:t>
            </w:r>
            <w:r w:rsidR="004B6A81">
              <w:rPr>
                <w:rFonts w:cs="Times New Roman"/>
                <w:bCs/>
              </w:rPr>
              <w:t>污水处理厂建设项目环境影响报告书的批复》（新环函〔</w:t>
            </w:r>
            <w:r w:rsidR="004B6A81">
              <w:rPr>
                <w:rFonts w:cs="Times New Roman"/>
                <w:bCs/>
              </w:rPr>
              <w:t>2015</w:t>
            </w:r>
            <w:r w:rsidR="004B6A81">
              <w:rPr>
                <w:rFonts w:cs="Times New Roman"/>
                <w:bCs/>
              </w:rPr>
              <w:t>〕</w:t>
            </w:r>
            <w:r w:rsidR="004B6A81">
              <w:rPr>
                <w:rFonts w:cs="Times New Roman"/>
                <w:bCs/>
              </w:rPr>
              <w:t>1199</w:t>
            </w:r>
            <w:r w:rsidR="004B6A81">
              <w:rPr>
                <w:rFonts w:cs="Times New Roman"/>
                <w:bCs/>
              </w:rPr>
              <w:t>号），污水处理厂处理工艺为</w:t>
            </w:r>
            <w:r w:rsidR="004B6A81">
              <w:rPr>
                <w:rFonts w:cs="Times New Roman"/>
                <w:bCs/>
              </w:rPr>
              <w:t>A/O</w:t>
            </w:r>
            <w:r w:rsidR="004B6A81">
              <w:rPr>
                <w:rFonts w:cs="Times New Roman"/>
                <w:bCs/>
              </w:rPr>
              <w:t>处理工艺，预处理采用</w:t>
            </w:r>
            <w:r w:rsidR="004B6A81">
              <w:rPr>
                <w:rFonts w:cs="Times New Roman"/>
                <w:bCs/>
              </w:rPr>
              <w:t>“</w:t>
            </w:r>
            <w:r w:rsidR="004B6A81">
              <w:rPr>
                <w:rFonts w:cs="Times New Roman"/>
                <w:bCs/>
              </w:rPr>
              <w:t>粗格栅</w:t>
            </w:r>
            <w:r w:rsidR="004B6A81">
              <w:rPr>
                <w:rFonts w:cs="Times New Roman"/>
                <w:bCs/>
              </w:rPr>
              <w:t>+</w:t>
            </w:r>
            <w:r w:rsidR="004B6A81">
              <w:rPr>
                <w:rFonts w:cs="Times New Roman"/>
                <w:bCs/>
              </w:rPr>
              <w:t>事故调解池</w:t>
            </w:r>
            <w:r w:rsidR="004B6A81">
              <w:rPr>
                <w:rFonts w:cs="Times New Roman"/>
                <w:bCs/>
              </w:rPr>
              <w:t>+</w:t>
            </w:r>
            <w:r w:rsidR="004B6A81">
              <w:rPr>
                <w:rFonts w:cs="Times New Roman"/>
                <w:bCs/>
              </w:rPr>
              <w:t>细格栅及沉砂池</w:t>
            </w:r>
            <w:r w:rsidR="004B6A81">
              <w:rPr>
                <w:rFonts w:cs="Times New Roman"/>
                <w:bCs/>
              </w:rPr>
              <w:t>+</w:t>
            </w:r>
            <w:r w:rsidR="004B6A81">
              <w:rPr>
                <w:rFonts w:cs="Times New Roman"/>
                <w:bCs/>
              </w:rPr>
              <w:t>混凝沉淀池</w:t>
            </w:r>
            <w:r w:rsidR="004B6A81">
              <w:rPr>
                <w:rFonts w:cs="Times New Roman"/>
                <w:bCs/>
              </w:rPr>
              <w:t>”</w:t>
            </w:r>
            <w:r w:rsidR="004B6A81">
              <w:rPr>
                <w:rFonts w:cs="Times New Roman"/>
                <w:bCs/>
              </w:rPr>
              <w:t>，生化深度处理采用</w:t>
            </w:r>
            <w:r w:rsidR="004B6A81">
              <w:rPr>
                <w:rFonts w:cs="Times New Roman"/>
                <w:bCs/>
              </w:rPr>
              <w:t>“</w:t>
            </w:r>
            <w:r w:rsidR="004B6A81">
              <w:rPr>
                <w:rFonts w:cs="Times New Roman"/>
                <w:bCs/>
              </w:rPr>
              <w:t>水解酸化池</w:t>
            </w:r>
            <w:r w:rsidR="004B6A81">
              <w:rPr>
                <w:rFonts w:cs="Times New Roman"/>
                <w:bCs/>
              </w:rPr>
              <w:t>+</w:t>
            </w:r>
            <w:r w:rsidR="004B6A81">
              <w:rPr>
                <w:rFonts w:cs="Times New Roman"/>
                <w:bCs/>
              </w:rPr>
              <w:t>缺氧池</w:t>
            </w:r>
            <w:r w:rsidR="004B6A81">
              <w:rPr>
                <w:rFonts w:cs="Times New Roman"/>
                <w:bCs/>
              </w:rPr>
              <w:t>/</w:t>
            </w:r>
            <w:r w:rsidR="004B6A81">
              <w:rPr>
                <w:rFonts w:cs="Times New Roman"/>
                <w:bCs/>
              </w:rPr>
              <w:t>好氧池</w:t>
            </w:r>
            <w:r w:rsidR="004B6A81">
              <w:rPr>
                <w:rFonts w:cs="Times New Roman"/>
                <w:bCs/>
              </w:rPr>
              <w:t>+MBR</w:t>
            </w:r>
            <w:r w:rsidR="004B6A81">
              <w:rPr>
                <w:rFonts w:cs="Times New Roman"/>
                <w:bCs/>
              </w:rPr>
              <w:t>膜池</w:t>
            </w:r>
            <w:r w:rsidR="004B6A81">
              <w:rPr>
                <w:rFonts w:cs="Times New Roman"/>
                <w:bCs/>
              </w:rPr>
              <w:t>+</w:t>
            </w:r>
            <w:r w:rsidR="004B6A81">
              <w:rPr>
                <w:rFonts w:cs="Times New Roman"/>
                <w:bCs/>
              </w:rPr>
              <w:t>臭氧催化氧化</w:t>
            </w:r>
            <w:r w:rsidR="004B6A81">
              <w:rPr>
                <w:rFonts w:cs="Times New Roman"/>
                <w:bCs/>
              </w:rPr>
              <w:t>”</w:t>
            </w:r>
            <w:r w:rsidR="004B6A81">
              <w:rPr>
                <w:rFonts w:cs="Times New Roman"/>
                <w:bCs/>
              </w:rPr>
              <w:t>，污泥处理工艺采用压滤脱水一体脱水机，消毒采用臭氧消毒，处理后出水水质可达《城镇污水处理厂污染物排放标准》（</w:t>
            </w:r>
            <w:r w:rsidR="004B6A81">
              <w:rPr>
                <w:rFonts w:cs="Times New Roman"/>
                <w:bCs/>
              </w:rPr>
              <w:t>GB18918-2002</w:t>
            </w:r>
            <w:r w:rsidR="004B6A81">
              <w:rPr>
                <w:rFonts w:cs="Times New Roman"/>
                <w:bCs/>
              </w:rPr>
              <w:t>）中一级</w:t>
            </w:r>
            <w:r w:rsidR="004B6A81">
              <w:rPr>
                <w:rFonts w:cs="Times New Roman"/>
                <w:bCs/>
              </w:rPr>
              <w:t>A</w:t>
            </w:r>
            <w:r w:rsidR="004B6A81">
              <w:rPr>
                <w:rFonts w:cs="Times New Roman"/>
                <w:bCs/>
              </w:rPr>
              <w:t>标准，同时满足</w:t>
            </w:r>
            <w:r w:rsidR="004B6A81">
              <w:rPr>
                <w:rFonts w:cs="Times New Roman"/>
                <w:bCs/>
              </w:rPr>
              <w:lastRenderedPageBreak/>
              <w:t>《城市污水再生利用城市杂用水水质》（</w:t>
            </w:r>
            <w:r w:rsidR="004B6A81">
              <w:rPr>
                <w:rFonts w:cs="Times New Roman"/>
                <w:bCs/>
              </w:rPr>
              <w:t>GB/T18920-2002</w:t>
            </w:r>
            <w:r w:rsidR="004B6A81">
              <w:rPr>
                <w:rFonts w:cs="Times New Roman"/>
                <w:bCs/>
              </w:rPr>
              <w:t>）标准，</w:t>
            </w:r>
            <w:r w:rsidRPr="00C926EE">
              <w:rPr>
                <w:rFonts w:cs="Times New Roman" w:hint="eastAsia"/>
                <w:bCs/>
              </w:rPr>
              <w:t>轮台县拉依苏化工区污水处理厂</w:t>
            </w:r>
            <w:r w:rsidR="004B6A81">
              <w:rPr>
                <w:rFonts w:cs="Times New Roman"/>
                <w:bCs/>
              </w:rPr>
              <w:t>设计近期处理规模为</w:t>
            </w:r>
            <w:r w:rsidR="004B6A81">
              <w:rPr>
                <w:rFonts w:cs="Times New Roman"/>
                <w:bCs/>
              </w:rPr>
              <w:t>2.5</w:t>
            </w:r>
            <w:r w:rsidR="004B6A81">
              <w:rPr>
                <w:rFonts w:cs="Times New Roman"/>
                <w:bCs/>
              </w:rPr>
              <w:t>万</w:t>
            </w:r>
            <w:r w:rsidR="004B6A81">
              <w:rPr>
                <w:rFonts w:cs="Times New Roman"/>
                <w:bCs/>
              </w:rPr>
              <w:t>m</w:t>
            </w:r>
            <w:r w:rsidR="004B6A81">
              <w:rPr>
                <w:rFonts w:cs="Times New Roman"/>
                <w:bCs/>
                <w:vertAlign w:val="superscript"/>
              </w:rPr>
              <w:t>3</w:t>
            </w:r>
            <w:r w:rsidR="004B6A81">
              <w:rPr>
                <w:rFonts w:cs="Times New Roman"/>
                <w:bCs/>
              </w:rPr>
              <w:t>/d</w:t>
            </w:r>
            <w:r w:rsidR="004B6A81">
              <w:rPr>
                <w:rFonts w:cs="Times New Roman"/>
                <w:bCs/>
              </w:rPr>
              <w:t>，实际现状处理规模为</w:t>
            </w:r>
            <w:r w:rsidR="004B6A81">
              <w:rPr>
                <w:rFonts w:cs="Times New Roman"/>
                <w:bCs/>
              </w:rPr>
              <w:t>5500m</w:t>
            </w:r>
            <w:r w:rsidR="004B6A81">
              <w:rPr>
                <w:rFonts w:cs="Times New Roman"/>
                <w:bCs/>
                <w:vertAlign w:val="superscript"/>
              </w:rPr>
              <w:t>3</w:t>
            </w:r>
            <w:r w:rsidR="004B6A81">
              <w:rPr>
                <w:rFonts w:cs="Times New Roman"/>
                <w:bCs/>
              </w:rPr>
              <w:t>/d</w:t>
            </w:r>
            <w:r w:rsidR="004B6A81">
              <w:rPr>
                <w:rFonts w:cs="Times New Roman"/>
                <w:bCs/>
              </w:rPr>
              <w:t>，余量</w:t>
            </w:r>
            <w:r w:rsidR="004B6A81">
              <w:rPr>
                <w:rFonts w:cs="Times New Roman"/>
                <w:bCs/>
              </w:rPr>
              <w:t>1.95</w:t>
            </w:r>
            <w:r w:rsidR="004B6A81">
              <w:rPr>
                <w:rFonts w:cs="Times New Roman"/>
                <w:bCs/>
              </w:rPr>
              <w:t>万</w:t>
            </w:r>
            <w:r w:rsidR="004B6A81">
              <w:rPr>
                <w:rFonts w:cs="Times New Roman"/>
                <w:bCs/>
              </w:rPr>
              <w:t>m</w:t>
            </w:r>
            <w:r w:rsidR="004B6A81">
              <w:rPr>
                <w:rFonts w:cs="Times New Roman"/>
                <w:bCs/>
                <w:vertAlign w:val="superscript"/>
              </w:rPr>
              <w:t>3</w:t>
            </w:r>
            <w:r w:rsidR="004B6A81">
              <w:rPr>
                <w:rFonts w:cs="Times New Roman"/>
                <w:bCs/>
              </w:rPr>
              <w:t>/d</w:t>
            </w:r>
            <w:r w:rsidR="004B6A81">
              <w:rPr>
                <w:rFonts w:cs="Times New Roman"/>
                <w:bCs/>
              </w:rPr>
              <w:t>，可满足本项目处理需求</w:t>
            </w:r>
            <w:r w:rsidR="004B6A81">
              <w:rPr>
                <w:rFonts w:cs="Times New Roman" w:hint="eastAsia"/>
              </w:rPr>
              <w:t>。</w:t>
            </w:r>
          </w:p>
          <w:p w14:paraId="70FCC7A0" w14:textId="77777777" w:rsidR="003C4F46" w:rsidRDefault="004B6A81">
            <w:pPr>
              <w:spacing w:line="440" w:lineRule="exact"/>
              <w:ind w:firstLineChars="0" w:firstLine="0"/>
              <w:jc w:val="left"/>
              <w:rPr>
                <w:color w:val="000000" w:themeColor="text1"/>
                <w:kern w:val="0"/>
              </w:rPr>
            </w:pPr>
            <w:r>
              <w:rPr>
                <w:rFonts w:hint="eastAsia"/>
                <w:b/>
                <w:bCs/>
              </w:rPr>
              <w:t>4</w:t>
            </w:r>
            <w:r>
              <w:rPr>
                <w:b/>
                <w:bCs/>
              </w:rPr>
              <w:t>.2.</w:t>
            </w:r>
            <w:r>
              <w:rPr>
                <w:rFonts w:hint="eastAsia"/>
                <w:b/>
                <w:bCs/>
              </w:rPr>
              <w:t>3</w:t>
            </w:r>
            <w:r>
              <w:rPr>
                <w:rFonts w:hint="eastAsia"/>
                <w:b/>
                <w:bCs/>
              </w:rPr>
              <w:t>噪声环境影响与评价</w:t>
            </w:r>
          </w:p>
          <w:p w14:paraId="2C832F00" w14:textId="77777777" w:rsidR="003C4F46" w:rsidRDefault="004B6A81">
            <w:pPr>
              <w:pStyle w:val="3"/>
              <w:ind w:firstLine="480"/>
              <w:rPr>
                <w:b w:val="0"/>
                <w:bCs w:val="0"/>
                <w:szCs w:val="24"/>
                <w:lang w:bidi="ar"/>
              </w:rPr>
            </w:pPr>
            <w:r>
              <w:rPr>
                <w:b w:val="0"/>
                <w:bCs w:val="0"/>
                <w:szCs w:val="24"/>
                <w:lang w:bidi="ar"/>
              </w:rPr>
              <w:t>（</w:t>
            </w:r>
            <w:r>
              <w:rPr>
                <w:b w:val="0"/>
                <w:bCs w:val="0"/>
                <w:szCs w:val="24"/>
                <w:lang w:bidi="ar"/>
              </w:rPr>
              <w:t>1</w:t>
            </w:r>
            <w:r>
              <w:rPr>
                <w:b w:val="0"/>
                <w:bCs w:val="0"/>
                <w:szCs w:val="24"/>
                <w:lang w:bidi="ar"/>
              </w:rPr>
              <w:t>）噪声污染源</w:t>
            </w:r>
          </w:p>
          <w:p w14:paraId="3FAEDFCD" w14:textId="77777777" w:rsidR="003C4F46" w:rsidRDefault="004B6A81">
            <w:pPr>
              <w:widowControl/>
              <w:ind w:firstLine="480"/>
              <w:textAlignment w:val="auto"/>
              <w:rPr>
                <w:spacing w:val="-2"/>
              </w:rPr>
            </w:pPr>
            <w:r>
              <w:rPr>
                <w:rFonts w:hint="eastAsia"/>
              </w:rPr>
              <w:t>本项目运行期主要噪声源为运输车辆、叉车和废气处理系统风机运行产生的噪声，噪声源强约为</w:t>
            </w:r>
            <w:r>
              <w:rPr>
                <w:rFonts w:hint="eastAsia"/>
              </w:rPr>
              <w:t>70~85</w:t>
            </w:r>
            <w:r>
              <w:rPr>
                <w:rFonts w:hint="eastAsia"/>
              </w:rPr>
              <w:t>之间，采取底座减震、贮存库隔声等措施可以确保厂界噪声达标</w:t>
            </w:r>
            <w:r>
              <w:rPr>
                <w:rFonts w:hint="eastAsia"/>
                <w:spacing w:val="-2"/>
              </w:rPr>
              <w:t>。</w:t>
            </w:r>
          </w:p>
          <w:p w14:paraId="32CC9C48" w14:textId="77777777" w:rsidR="003C4F46" w:rsidRDefault="004B6A81">
            <w:pPr>
              <w:widowControl/>
              <w:adjustRightInd w:val="0"/>
              <w:snapToGrid w:val="0"/>
              <w:spacing w:line="240" w:lineRule="auto"/>
              <w:ind w:firstLineChars="0" w:firstLine="0"/>
              <w:jc w:val="center"/>
              <w:textAlignment w:val="auto"/>
              <w:rPr>
                <w:rFonts w:cs="Times New Roman"/>
                <w:b/>
                <w:snapToGrid w:val="0"/>
                <w:kern w:val="0"/>
                <w:sz w:val="21"/>
                <w:szCs w:val="21"/>
              </w:rPr>
            </w:pPr>
            <w:r>
              <w:rPr>
                <w:rFonts w:cs="Times New Roman" w:hint="eastAsia"/>
                <w:b/>
                <w:snapToGrid w:val="0"/>
                <w:kern w:val="0"/>
                <w:sz w:val="21"/>
                <w:szCs w:val="21"/>
              </w:rPr>
              <w:t>表</w:t>
            </w:r>
            <w:r>
              <w:rPr>
                <w:rFonts w:cs="Times New Roman" w:hint="eastAsia"/>
                <w:b/>
                <w:snapToGrid w:val="0"/>
                <w:kern w:val="0"/>
                <w:sz w:val="21"/>
                <w:szCs w:val="21"/>
              </w:rPr>
              <w:t>4-</w:t>
            </w:r>
            <w:r>
              <w:rPr>
                <w:rFonts w:cs="Times New Roman"/>
                <w:b/>
                <w:snapToGrid w:val="0"/>
                <w:kern w:val="0"/>
                <w:sz w:val="21"/>
                <w:szCs w:val="21"/>
              </w:rPr>
              <w:t>5</w:t>
            </w:r>
            <w:r>
              <w:rPr>
                <w:rFonts w:cs="Times New Roman" w:hint="eastAsia"/>
                <w:b/>
                <w:snapToGrid w:val="0"/>
                <w:kern w:val="0"/>
                <w:sz w:val="21"/>
                <w:szCs w:val="21"/>
              </w:rPr>
              <w:t xml:space="preserve">  </w:t>
            </w:r>
            <w:r>
              <w:rPr>
                <w:rFonts w:cs="Times New Roman" w:hint="eastAsia"/>
                <w:b/>
                <w:snapToGrid w:val="0"/>
                <w:kern w:val="0"/>
                <w:sz w:val="21"/>
                <w:szCs w:val="21"/>
              </w:rPr>
              <w:t>主要设备噪声源强</w:t>
            </w:r>
          </w:p>
          <w:tbl>
            <w:tblPr>
              <w:tblW w:w="499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3"/>
              <w:gridCol w:w="897"/>
              <w:gridCol w:w="1276"/>
              <w:gridCol w:w="1164"/>
              <w:gridCol w:w="1128"/>
              <w:gridCol w:w="1211"/>
              <w:gridCol w:w="1126"/>
              <w:gridCol w:w="1014"/>
            </w:tblGrid>
            <w:tr w:rsidR="003C4F46" w14:paraId="4D36BF1C" w14:textId="77777777">
              <w:trPr>
                <w:trHeight w:val="660"/>
                <w:jc w:val="center"/>
              </w:trPr>
              <w:tc>
                <w:tcPr>
                  <w:tcW w:w="413" w:type="pct"/>
                  <w:tcBorders>
                    <w:tl2br w:val="nil"/>
                    <w:tr2bl w:val="nil"/>
                  </w:tcBorders>
                  <w:vAlign w:val="center"/>
                </w:tcPr>
                <w:p w14:paraId="6E9443B4"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类别</w:t>
                  </w:r>
                </w:p>
              </w:tc>
              <w:tc>
                <w:tcPr>
                  <w:tcW w:w="527" w:type="pct"/>
                  <w:tcBorders>
                    <w:tl2br w:val="nil"/>
                    <w:tr2bl w:val="nil"/>
                  </w:tcBorders>
                  <w:vAlign w:val="center"/>
                </w:tcPr>
                <w:p w14:paraId="48F6508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噪声源</w:t>
                  </w:r>
                </w:p>
              </w:tc>
              <w:tc>
                <w:tcPr>
                  <w:tcW w:w="748" w:type="pct"/>
                  <w:tcBorders>
                    <w:tl2br w:val="nil"/>
                    <w:tr2bl w:val="nil"/>
                  </w:tcBorders>
                  <w:vAlign w:val="center"/>
                </w:tcPr>
                <w:p w14:paraId="2C7BC92C"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噪声源位置</w:t>
                  </w:r>
                </w:p>
              </w:tc>
              <w:tc>
                <w:tcPr>
                  <w:tcW w:w="682" w:type="pct"/>
                  <w:tcBorders>
                    <w:tl2br w:val="nil"/>
                    <w:tr2bl w:val="nil"/>
                  </w:tcBorders>
                  <w:vAlign w:val="center"/>
                </w:tcPr>
                <w:p w14:paraId="23E16212" w14:textId="4BEA7611" w:rsidR="003C4F46" w:rsidRDefault="004B6A81">
                  <w:pPr>
                    <w:spacing w:line="240" w:lineRule="auto"/>
                    <w:ind w:firstLineChars="0" w:firstLine="0"/>
                    <w:jc w:val="center"/>
                    <w:textAlignment w:val="auto"/>
                    <w:rPr>
                      <w:rFonts w:cs="Times New Roman"/>
                      <w:sz w:val="21"/>
                    </w:rPr>
                  </w:pPr>
                  <w:r>
                    <w:rPr>
                      <w:rFonts w:cs="Times New Roman" w:hint="eastAsia"/>
                      <w:sz w:val="21"/>
                    </w:rPr>
                    <w:t>声压级</w:t>
                  </w:r>
                  <w:r>
                    <w:rPr>
                      <w:rFonts w:cs="Times New Roman"/>
                      <w:sz w:val="21"/>
                    </w:rPr>
                    <w:t>dB</w:t>
                  </w:r>
                  <w:r>
                    <w:rPr>
                      <w:rFonts w:cs="Times New Roman"/>
                      <w:sz w:val="21"/>
                    </w:rPr>
                    <w:t>（</w:t>
                  </w:r>
                  <w:r>
                    <w:rPr>
                      <w:rFonts w:cs="Times New Roman"/>
                      <w:sz w:val="21"/>
                    </w:rPr>
                    <w:t>A</w:t>
                  </w:r>
                  <w:r>
                    <w:rPr>
                      <w:rFonts w:cs="Times New Roman"/>
                      <w:sz w:val="21"/>
                    </w:rPr>
                    <w:t>）</w:t>
                  </w:r>
                </w:p>
              </w:tc>
              <w:tc>
                <w:tcPr>
                  <w:tcW w:w="661" w:type="pct"/>
                  <w:tcBorders>
                    <w:tl2br w:val="nil"/>
                    <w:tr2bl w:val="nil"/>
                  </w:tcBorders>
                  <w:vAlign w:val="center"/>
                </w:tcPr>
                <w:p w14:paraId="187C1226"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声源分类</w:t>
                  </w:r>
                </w:p>
              </w:tc>
              <w:tc>
                <w:tcPr>
                  <w:tcW w:w="710" w:type="pct"/>
                  <w:tcBorders>
                    <w:tl2br w:val="nil"/>
                    <w:tr2bl w:val="nil"/>
                  </w:tcBorders>
                  <w:vAlign w:val="center"/>
                </w:tcPr>
                <w:p w14:paraId="6AD10BD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治理措施</w:t>
                  </w:r>
                </w:p>
              </w:tc>
              <w:tc>
                <w:tcPr>
                  <w:tcW w:w="660" w:type="pct"/>
                  <w:tcBorders>
                    <w:tl2br w:val="nil"/>
                    <w:tr2bl w:val="nil"/>
                  </w:tcBorders>
                  <w:vAlign w:val="center"/>
                </w:tcPr>
                <w:p w14:paraId="70BF9D8D"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排放强度</w:t>
                  </w:r>
                </w:p>
                <w:p w14:paraId="020C2CD4" w14:textId="77265D50" w:rsidR="003C4F46" w:rsidRDefault="004B6A81">
                  <w:pPr>
                    <w:spacing w:line="240" w:lineRule="auto"/>
                    <w:ind w:firstLineChars="0" w:firstLine="0"/>
                    <w:jc w:val="center"/>
                    <w:textAlignment w:val="auto"/>
                    <w:rPr>
                      <w:rFonts w:cs="Times New Roman"/>
                      <w:sz w:val="21"/>
                    </w:rPr>
                  </w:pPr>
                  <w:r>
                    <w:rPr>
                      <w:rFonts w:cs="Times New Roman"/>
                      <w:sz w:val="21"/>
                    </w:rPr>
                    <w:t>dB</w:t>
                  </w:r>
                  <w:r>
                    <w:rPr>
                      <w:rFonts w:cs="Times New Roman"/>
                      <w:sz w:val="21"/>
                    </w:rPr>
                    <w:t>（</w:t>
                  </w:r>
                  <w:r>
                    <w:rPr>
                      <w:rFonts w:cs="Times New Roman"/>
                      <w:sz w:val="21"/>
                    </w:rPr>
                    <w:t>A</w:t>
                  </w:r>
                  <w:r>
                    <w:rPr>
                      <w:rFonts w:cs="Times New Roman"/>
                      <w:sz w:val="21"/>
                    </w:rPr>
                    <w:t>）</w:t>
                  </w:r>
                </w:p>
              </w:tc>
              <w:tc>
                <w:tcPr>
                  <w:tcW w:w="595" w:type="pct"/>
                  <w:tcBorders>
                    <w:tl2br w:val="nil"/>
                    <w:tr2bl w:val="nil"/>
                  </w:tcBorders>
                  <w:vAlign w:val="center"/>
                </w:tcPr>
                <w:p w14:paraId="2820653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排放</w:t>
                  </w:r>
                </w:p>
                <w:p w14:paraId="7DD771D4"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规律</w:t>
                  </w:r>
                </w:p>
              </w:tc>
            </w:tr>
            <w:tr w:rsidR="003C4F46" w14:paraId="4D0B6D21" w14:textId="77777777">
              <w:trPr>
                <w:trHeight w:val="55"/>
                <w:jc w:val="center"/>
              </w:trPr>
              <w:tc>
                <w:tcPr>
                  <w:tcW w:w="413" w:type="pct"/>
                  <w:vMerge w:val="restart"/>
                  <w:tcBorders>
                    <w:tl2br w:val="nil"/>
                    <w:tr2bl w:val="nil"/>
                  </w:tcBorders>
                  <w:vAlign w:val="center"/>
                </w:tcPr>
                <w:p w14:paraId="484E80FE"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设备噪声</w:t>
                  </w:r>
                </w:p>
              </w:tc>
              <w:tc>
                <w:tcPr>
                  <w:tcW w:w="527" w:type="pct"/>
                  <w:tcBorders>
                    <w:tl2br w:val="nil"/>
                    <w:tr2bl w:val="nil"/>
                  </w:tcBorders>
                  <w:vAlign w:val="center"/>
                </w:tcPr>
                <w:p w14:paraId="06B778BA"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运输车辆</w:t>
                  </w:r>
                </w:p>
              </w:tc>
              <w:tc>
                <w:tcPr>
                  <w:tcW w:w="748" w:type="pct"/>
                  <w:tcBorders>
                    <w:tl2br w:val="nil"/>
                    <w:tr2bl w:val="nil"/>
                  </w:tcBorders>
                  <w:vAlign w:val="center"/>
                </w:tcPr>
                <w:p w14:paraId="479F32FD"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运输过程</w:t>
                  </w:r>
                </w:p>
              </w:tc>
              <w:tc>
                <w:tcPr>
                  <w:tcW w:w="682" w:type="pct"/>
                  <w:tcBorders>
                    <w:tl2br w:val="nil"/>
                    <w:tr2bl w:val="nil"/>
                  </w:tcBorders>
                  <w:vAlign w:val="center"/>
                </w:tcPr>
                <w:p w14:paraId="4173EF5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85</w:t>
                  </w:r>
                </w:p>
              </w:tc>
              <w:tc>
                <w:tcPr>
                  <w:tcW w:w="661" w:type="pct"/>
                  <w:tcBorders>
                    <w:tl2br w:val="nil"/>
                    <w:tr2bl w:val="nil"/>
                  </w:tcBorders>
                  <w:vAlign w:val="center"/>
                </w:tcPr>
                <w:p w14:paraId="17B10DB5" w14:textId="77777777" w:rsidR="003C4F46" w:rsidRDefault="004B6A81">
                  <w:pPr>
                    <w:spacing w:line="240" w:lineRule="auto"/>
                    <w:ind w:firstLineChars="0" w:firstLine="0"/>
                    <w:jc w:val="center"/>
                    <w:textAlignment w:val="auto"/>
                    <w:rPr>
                      <w:rFonts w:cs="Times New Roman"/>
                      <w:sz w:val="21"/>
                    </w:rPr>
                  </w:pPr>
                  <w:r>
                    <w:rPr>
                      <w:rFonts w:cs="Times New Roman"/>
                      <w:sz w:val="21"/>
                    </w:rPr>
                    <w:t>机械</w:t>
                  </w:r>
                </w:p>
              </w:tc>
              <w:tc>
                <w:tcPr>
                  <w:tcW w:w="710" w:type="pct"/>
                  <w:vMerge w:val="restart"/>
                  <w:tcBorders>
                    <w:tl2br w:val="nil"/>
                    <w:tr2bl w:val="nil"/>
                  </w:tcBorders>
                  <w:vAlign w:val="center"/>
                </w:tcPr>
                <w:p w14:paraId="7E67A85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控制车速、定期保养、基础减振、</w:t>
                  </w:r>
                </w:p>
                <w:p w14:paraId="69B1749B"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贮存库隔声</w:t>
                  </w:r>
                </w:p>
              </w:tc>
              <w:tc>
                <w:tcPr>
                  <w:tcW w:w="660" w:type="pct"/>
                  <w:tcBorders>
                    <w:tl2br w:val="nil"/>
                    <w:tr2bl w:val="nil"/>
                  </w:tcBorders>
                  <w:vAlign w:val="center"/>
                </w:tcPr>
                <w:p w14:paraId="57D3534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65</w:t>
                  </w:r>
                </w:p>
              </w:tc>
              <w:tc>
                <w:tcPr>
                  <w:tcW w:w="595" w:type="pct"/>
                  <w:tcBorders>
                    <w:tl2br w:val="nil"/>
                    <w:tr2bl w:val="nil"/>
                  </w:tcBorders>
                  <w:vAlign w:val="center"/>
                </w:tcPr>
                <w:p w14:paraId="612E6CA9"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间歇</w:t>
                  </w:r>
                </w:p>
              </w:tc>
            </w:tr>
            <w:tr w:rsidR="003C4F46" w14:paraId="310996EF" w14:textId="77777777">
              <w:trPr>
                <w:trHeight w:val="90"/>
                <w:jc w:val="center"/>
              </w:trPr>
              <w:tc>
                <w:tcPr>
                  <w:tcW w:w="413" w:type="pct"/>
                  <w:vMerge/>
                  <w:tcBorders>
                    <w:tl2br w:val="nil"/>
                    <w:tr2bl w:val="nil"/>
                  </w:tcBorders>
                  <w:vAlign w:val="center"/>
                </w:tcPr>
                <w:p w14:paraId="4A666DBE" w14:textId="77777777" w:rsidR="003C4F46" w:rsidRDefault="003C4F46">
                  <w:pPr>
                    <w:spacing w:line="240" w:lineRule="auto"/>
                    <w:ind w:firstLineChars="0" w:firstLine="0"/>
                    <w:jc w:val="center"/>
                    <w:textAlignment w:val="auto"/>
                    <w:rPr>
                      <w:rFonts w:cs="Times New Roman"/>
                      <w:sz w:val="21"/>
                    </w:rPr>
                  </w:pPr>
                </w:p>
              </w:tc>
              <w:tc>
                <w:tcPr>
                  <w:tcW w:w="527" w:type="pct"/>
                  <w:tcBorders>
                    <w:tl2br w:val="nil"/>
                    <w:tr2bl w:val="nil"/>
                  </w:tcBorders>
                  <w:vAlign w:val="center"/>
                </w:tcPr>
                <w:p w14:paraId="568CFB4C"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叉车</w:t>
                  </w:r>
                </w:p>
              </w:tc>
              <w:tc>
                <w:tcPr>
                  <w:tcW w:w="748" w:type="pct"/>
                  <w:vMerge w:val="restart"/>
                  <w:tcBorders>
                    <w:tl2br w:val="nil"/>
                    <w:tr2bl w:val="nil"/>
                  </w:tcBorders>
                  <w:vAlign w:val="center"/>
                </w:tcPr>
                <w:p w14:paraId="79917450"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危险废物贮存库内</w:t>
                  </w:r>
                </w:p>
              </w:tc>
              <w:tc>
                <w:tcPr>
                  <w:tcW w:w="682" w:type="pct"/>
                  <w:tcBorders>
                    <w:tl2br w:val="nil"/>
                    <w:tr2bl w:val="nil"/>
                  </w:tcBorders>
                  <w:vAlign w:val="center"/>
                </w:tcPr>
                <w:p w14:paraId="5C281BDE"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75</w:t>
                  </w:r>
                </w:p>
              </w:tc>
              <w:tc>
                <w:tcPr>
                  <w:tcW w:w="661" w:type="pct"/>
                  <w:tcBorders>
                    <w:tl2br w:val="nil"/>
                    <w:tr2bl w:val="nil"/>
                  </w:tcBorders>
                  <w:vAlign w:val="center"/>
                </w:tcPr>
                <w:p w14:paraId="09C208C4" w14:textId="77777777" w:rsidR="003C4F46" w:rsidRDefault="004B6A81">
                  <w:pPr>
                    <w:spacing w:line="240" w:lineRule="auto"/>
                    <w:ind w:firstLineChars="0" w:firstLine="0"/>
                    <w:jc w:val="center"/>
                    <w:textAlignment w:val="auto"/>
                    <w:rPr>
                      <w:rFonts w:cs="Times New Roman"/>
                      <w:sz w:val="21"/>
                    </w:rPr>
                  </w:pPr>
                  <w:r>
                    <w:rPr>
                      <w:rFonts w:cs="Times New Roman"/>
                      <w:sz w:val="21"/>
                    </w:rPr>
                    <w:t>机械</w:t>
                  </w:r>
                </w:p>
              </w:tc>
              <w:tc>
                <w:tcPr>
                  <w:tcW w:w="710" w:type="pct"/>
                  <w:vMerge/>
                  <w:tcBorders>
                    <w:tl2br w:val="nil"/>
                    <w:tr2bl w:val="nil"/>
                  </w:tcBorders>
                  <w:vAlign w:val="center"/>
                </w:tcPr>
                <w:p w14:paraId="73D6F701" w14:textId="77777777" w:rsidR="003C4F46" w:rsidRDefault="003C4F46">
                  <w:pPr>
                    <w:spacing w:line="240" w:lineRule="auto"/>
                    <w:ind w:firstLineChars="0" w:firstLine="0"/>
                    <w:jc w:val="center"/>
                    <w:textAlignment w:val="auto"/>
                    <w:rPr>
                      <w:rFonts w:cs="Times New Roman"/>
                      <w:sz w:val="21"/>
                    </w:rPr>
                  </w:pPr>
                </w:p>
              </w:tc>
              <w:tc>
                <w:tcPr>
                  <w:tcW w:w="660" w:type="pct"/>
                  <w:tcBorders>
                    <w:tl2br w:val="nil"/>
                    <w:tr2bl w:val="nil"/>
                  </w:tcBorders>
                  <w:vAlign w:val="center"/>
                </w:tcPr>
                <w:p w14:paraId="18CEDD39"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35.6</w:t>
                  </w:r>
                </w:p>
              </w:tc>
              <w:tc>
                <w:tcPr>
                  <w:tcW w:w="595" w:type="pct"/>
                  <w:tcBorders>
                    <w:tl2br w:val="nil"/>
                    <w:tr2bl w:val="nil"/>
                  </w:tcBorders>
                  <w:vAlign w:val="center"/>
                </w:tcPr>
                <w:p w14:paraId="530990EC"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间歇</w:t>
                  </w:r>
                </w:p>
              </w:tc>
            </w:tr>
            <w:tr w:rsidR="003C4F46" w14:paraId="3BD88CEA" w14:textId="77777777">
              <w:trPr>
                <w:trHeight w:val="90"/>
                <w:jc w:val="center"/>
              </w:trPr>
              <w:tc>
                <w:tcPr>
                  <w:tcW w:w="413" w:type="pct"/>
                  <w:vMerge/>
                  <w:tcBorders>
                    <w:tl2br w:val="nil"/>
                    <w:tr2bl w:val="nil"/>
                  </w:tcBorders>
                  <w:vAlign w:val="center"/>
                </w:tcPr>
                <w:p w14:paraId="57F02990" w14:textId="77777777" w:rsidR="003C4F46" w:rsidRDefault="003C4F46">
                  <w:pPr>
                    <w:spacing w:line="240" w:lineRule="auto"/>
                    <w:ind w:firstLineChars="0" w:firstLine="0"/>
                    <w:jc w:val="center"/>
                    <w:textAlignment w:val="auto"/>
                    <w:rPr>
                      <w:rFonts w:cs="Times New Roman"/>
                      <w:sz w:val="21"/>
                    </w:rPr>
                  </w:pPr>
                </w:p>
              </w:tc>
              <w:tc>
                <w:tcPr>
                  <w:tcW w:w="527" w:type="pct"/>
                  <w:tcBorders>
                    <w:tl2br w:val="nil"/>
                    <w:tr2bl w:val="nil"/>
                  </w:tcBorders>
                  <w:vAlign w:val="center"/>
                </w:tcPr>
                <w:p w14:paraId="337751E1"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风机</w:t>
                  </w:r>
                </w:p>
              </w:tc>
              <w:tc>
                <w:tcPr>
                  <w:tcW w:w="748" w:type="pct"/>
                  <w:vMerge/>
                  <w:tcBorders>
                    <w:tl2br w:val="nil"/>
                    <w:tr2bl w:val="nil"/>
                  </w:tcBorders>
                  <w:vAlign w:val="center"/>
                </w:tcPr>
                <w:p w14:paraId="038CF30B" w14:textId="77777777" w:rsidR="003C4F46" w:rsidRDefault="003C4F46">
                  <w:pPr>
                    <w:spacing w:line="240" w:lineRule="auto"/>
                    <w:ind w:firstLineChars="0" w:firstLine="0"/>
                    <w:jc w:val="center"/>
                    <w:textAlignment w:val="auto"/>
                    <w:rPr>
                      <w:rFonts w:cs="Times New Roman"/>
                      <w:sz w:val="21"/>
                    </w:rPr>
                  </w:pPr>
                </w:p>
              </w:tc>
              <w:tc>
                <w:tcPr>
                  <w:tcW w:w="682" w:type="pct"/>
                  <w:tcBorders>
                    <w:tl2br w:val="nil"/>
                    <w:tr2bl w:val="nil"/>
                  </w:tcBorders>
                  <w:vAlign w:val="center"/>
                </w:tcPr>
                <w:p w14:paraId="5154995A"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85</w:t>
                  </w:r>
                </w:p>
              </w:tc>
              <w:tc>
                <w:tcPr>
                  <w:tcW w:w="661" w:type="pct"/>
                  <w:tcBorders>
                    <w:tl2br w:val="nil"/>
                    <w:tr2bl w:val="nil"/>
                  </w:tcBorders>
                  <w:vAlign w:val="center"/>
                </w:tcPr>
                <w:p w14:paraId="358BFFEA" w14:textId="77777777" w:rsidR="003C4F46" w:rsidRDefault="004B6A81">
                  <w:pPr>
                    <w:spacing w:line="240" w:lineRule="auto"/>
                    <w:ind w:firstLineChars="0" w:firstLine="0"/>
                    <w:jc w:val="center"/>
                    <w:textAlignment w:val="auto"/>
                    <w:rPr>
                      <w:rFonts w:cs="Times New Roman"/>
                      <w:sz w:val="21"/>
                    </w:rPr>
                  </w:pPr>
                  <w:r>
                    <w:rPr>
                      <w:rFonts w:cs="Times New Roman"/>
                      <w:sz w:val="21"/>
                    </w:rPr>
                    <w:t>机械</w:t>
                  </w:r>
                </w:p>
              </w:tc>
              <w:tc>
                <w:tcPr>
                  <w:tcW w:w="710" w:type="pct"/>
                  <w:vMerge/>
                  <w:tcBorders>
                    <w:tl2br w:val="nil"/>
                    <w:tr2bl w:val="nil"/>
                  </w:tcBorders>
                  <w:vAlign w:val="center"/>
                </w:tcPr>
                <w:p w14:paraId="56E59543" w14:textId="77777777" w:rsidR="003C4F46" w:rsidRDefault="003C4F46">
                  <w:pPr>
                    <w:spacing w:line="240" w:lineRule="auto"/>
                    <w:ind w:firstLineChars="0" w:firstLine="0"/>
                    <w:jc w:val="center"/>
                    <w:textAlignment w:val="auto"/>
                    <w:rPr>
                      <w:rFonts w:cs="Times New Roman"/>
                      <w:sz w:val="21"/>
                    </w:rPr>
                  </w:pPr>
                </w:p>
              </w:tc>
              <w:tc>
                <w:tcPr>
                  <w:tcW w:w="660" w:type="pct"/>
                  <w:tcBorders>
                    <w:tl2br w:val="nil"/>
                    <w:tr2bl w:val="nil"/>
                  </w:tcBorders>
                  <w:vAlign w:val="center"/>
                </w:tcPr>
                <w:p w14:paraId="409C22B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45.6</w:t>
                  </w:r>
                </w:p>
              </w:tc>
              <w:tc>
                <w:tcPr>
                  <w:tcW w:w="595" w:type="pct"/>
                  <w:tcBorders>
                    <w:tl2br w:val="nil"/>
                    <w:tr2bl w:val="nil"/>
                  </w:tcBorders>
                  <w:vAlign w:val="center"/>
                </w:tcPr>
                <w:p w14:paraId="40EC146E" w14:textId="77777777" w:rsidR="003C4F46" w:rsidRDefault="004B6A81">
                  <w:pPr>
                    <w:spacing w:line="240" w:lineRule="auto"/>
                    <w:ind w:firstLineChars="0" w:firstLine="0"/>
                    <w:jc w:val="center"/>
                    <w:textAlignment w:val="auto"/>
                    <w:rPr>
                      <w:rFonts w:cs="Times New Roman"/>
                      <w:sz w:val="21"/>
                    </w:rPr>
                  </w:pPr>
                  <w:r>
                    <w:rPr>
                      <w:rFonts w:cs="Times New Roman"/>
                      <w:sz w:val="21"/>
                    </w:rPr>
                    <w:t>连续</w:t>
                  </w:r>
                </w:p>
              </w:tc>
            </w:tr>
          </w:tbl>
          <w:p w14:paraId="7DA2B563" w14:textId="77777777" w:rsidR="003C4F46" w:rsidRDefault="004B6A81">
            <w:pPr>
              <w:spacing w:line="240" w:lineRule="auto"/>
              <w:ind w:firstLine="422"/>
              <w:jc w:val="center"/>
              <w:rPr>
                <w:rFonts w:cs="Times New Roman"/>
                <w:b/>
                <w:bCs/>
                <w:sz w:val="21"/>
                <w:szCs w:val="21"/>
              </w:rPr>
            </w:pPr>
            <w:r>
              <w:rPr>
                <w:rFonts w:cs="Times New Roman"/>
                <w:b/>
                <w:bCs/>
                <w:sz w:val="21"/>
                <w:szCs w:val="21"/>
              </w:rPr>
              <w:t>表</w:t>
            </w:r>
            <w:r>
              <w:rPr>
                <w:rFonts w:cs="Times New Roman"/>
                <w:b/>
                <w:bCs/>
                <w:sz w:val="21"/>
                <w:szCs w:val="21"/>
              </w:rPr>
              <w:t xml:space="preserve">4-6  </w:t>
            </w:r>
            <w:r>
              <w:rPr>
                <w:rFonts w:cs="Times New Roman"/>
                <w:b/>
                <w:bCs/>
                <w:sz w:val="21"/>
                <w:szCs w:val="21"/>
              </w:rPr>
              <w:t>工业企业噪声源强调查清单（室内声源）</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07"/>
              <w:gridCol w:w="407"/>
              <w:gridCol w:w="569"/>
              <w:gridCol w:w="363"/>
              <w:gridCol w:w="343"/>
              <w:gridCol w:w="248"/>
              <w:gridCol w:w="363"/>
              <w:gridCol w:w="343"/>
              <w:gridCol w:w="343"/>
              <w:gridCol w:w="343"/>
              <w:gridCol w:w="363"/>
              <w:gridCol w:w="343"/>
              <w:gridCol w:w="343"/>
              <w:gridCol w:w="343"/>
              <w:gridCol w:w="406"/>
              <w:gridCol w:w="363"/>
              <w:gridCol w:w="343"/>
              <w:gridCol w:w="343"/>
              <w:gridCol w:w="343"/>
              <w:gridCol w:w="363"/>
              <w:gridCol w:w="343"/>
              <w:gridCol w:w="343"/>
              <w:gridCol w:w="343"/>
              <w:gridCol w:w="210"/>
            </w:tblGrid>
            <w:tr w:rsidR="003C4F46" w14:paraId="019FB836" w14:textId="77777777">
              <w:trPr>
                <w:trHeight w:hRule="exact" w:val="1286"/>
              </w:trPr>
              <w:tc>
                <w:tcPr>
                  <w:tcW w:w="238" w:type="pct"/>
                  <w:vMerge w:val="restart"/>
                  <w:vAlign w:val="center"/>
                </w:tcPr>
                <w:p w14:paraId="661582A3" w14:textId="77777777" w:rsidR="003C4F46" w:rsidRDefault="004B6A81">
                  <w:pPr>
                    <w:spacing w:line="240" w:lineRule="auto"/>
                    <w:ind w:firstLineChars="0" w:firstLine="0"/>
                    <w:jc w:val="center"/>
                    <w:textAlignment w:val="auto"/>
                    <w:rPr>
                      <w:rFonts w:cs="Times New Roman"/>
                      <w:sz w:val="21"/>
                    </w:rPr>
                  </w:pPr>
                  <w:bookmarkStart w:id="23" w:name="PT_6"/>
                  <w:r>
                    <w:rPr>
                      <w:rFonts w:cs="Times New Roman" w:hint="eastAsia"/>
                      <w:sz w:val="21"/>
                    </w:rPr>
                    <w:t>序号</w:t>
                  </w:r>
                </w:p>
              </w:tc>
              <w:tc>
                <w:tcPr>
                  <w:tcW w:w="238" w:type="pct"/>
                  <w:vMerge w:val="restart"/>
                  <w:vAlign w:val="center"/>
                </w:tcPr>
                <w:p w14:paraId="624181CD"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声源名称</w:t>
                  </w:r>
                </w:p>
              </w:tc>
              <w:tc>
                <w:tcPr>
                  <w:tcW w:w="334" w:type="pct"/>
                  <w:vAlign w:val="center"/>
                </w:tcPr>
                <w:p w14:paraId="061D8678"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声源源强</w:t>
                  </w:r>
                </w:p>
              </w:tc>
              <w:tc>
                <w:tcPr>
                  <w:tcW w:w="560" w:type="pct"/>
                  <w:gridSpan w:val="3"/>
                  <w:vAlign w:val="center"/>
                </w:tcPr>
                <w:p w14:paraId="35BC59C6"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空间相对位置</w:t>
                  </w:r>
                  <w:r>
                    <w:rPr>
                      <w:rFonts w:cs="Times New Roman"/>
                      <w:sz w:val="21"/>
                    </w:rPr>
                    <w:t>/m</w:t>
                  </w:r>
                </w:p>
              </w:tc>
              <w:tc>
                <w:tcPr>
                  <w:tcW w:w="819" w:type="pct"/>
                  <w:gridSpan w:val="4"/>
                  <w:vAlign w:val="center"/>
                </w:tcPr>
                <w:p w14:paraId="15CCD2E7"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距室内边界距离</w:t>
                  </w:r>
                  <w:r>
                    <w:rPr>
                      <w:rFonts w:cs="Times New Roman"/>
                      <w:sz w:val="21"/>
                    </w:rPr>
                    <w:t>/m</w:t>
                  </w:r>
                </w:p>
              </w:tc>
              <w:tc>
                <w:tcPr>
                  <w:tcW w:w="819" w:type="pct"/>
                  <w:gridSpan w:val="4"/>
                  <w:vAlign w:val="center"/>
                </w:tcPr>
                <w:p w14:paraId="6DC3B6D1"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室内边界声级</w:t>
                  </w:r>
                  <w:r>
                    <w:rPr>
                      <w:rFonts w:cs="Times New Roman"/>
                      <w:sz w:val="21"/>
                    </w:rPr>
                    <w:t>/dB(A)</w:t>
                  </w:r>
                </w:p>
              </w:tc>
              <w:tc>
                <w:tcPr>
                  <w:tcW w:w="238" w:type="pct"/>
                  <w:vMerge w:val="restart"/>
                  <w:vAlign w:val="center"/>
                </w:tcPr>
                <w:p w14:paraId="08495409"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运行时段</w:t>
                  </w:r>
                </w:p>
              </w:tc>
              <w:tc>
                <w:tcPr>
                  <w:tcW w:w="819" w:type="pct"/>
                  <w:gridSpan w:val="4"/>
                  <w:vAlign w:val="center"/>
                </w:tcPr>
                <w:p w14:paraId="00298429"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建筑物插入损失</w:t>
                  </w:r>
                  <w:r>
                    <w:rPr>
                      <w:rFonts w:cs="Times New Roman"/>
                      <w:sz w:val="21"/>
                    </w:rPr>
                    <w:t>/dB(A)</w:t>
                  </w:r>
                  <w:bookmarkStart w:id="24" w:name="PT_10"/>
                  <w:bookmarkEnd w:id="24"/>
                </w:p>
              </w:tc>
              <w:tc>
                <w:tcPr>
                  <w:tcW w:w="936" w:type="pct"/>
                  <w:gridSpan w:val="5"/>
                  <w:vAlign w:val="center"/>
                </w:tcPr>
                <w:p w14:paraId="53BFD6C9"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建筑物外噪声声压级</w:t>
                  </w:r>
                  <w:r>
                    <w:rPr>
                      <w:rFonts w:cs="Times New Roman"/>
                      <w:sz w:val="21"/>
                    </w:rPr>
                    <w:t>/dB(A)</w:t>
                  </w:r>
                </w:p>
              </w:tc>
            </w:tr>
            <w:tr w:rsidR="003C4F46" w14:paraId="00F2EFA7" w14:textId="77777777">
              <w:tc>
                <w:tcPr>
                  <w:tcW w:w="238" w:type="pct"/>
                  <w:vMerge/>
                  <w:vAlign w:val="center"/>
                </w:tcPr>
                <w:p w14:paraId="676AB3A6" w14:textId="77777777" w:rsidR="003C4F46" w:rsidRDefault="003C4F46">
                  <w:pPr>
                    <w:spacing w:line="240" w:lineRule="auto"/>
                    <w:ind w:firstLineChars="0" w:firstLine="0"/>
                    <w:jc w:val="center"/>
                    <w:textAlignment w:val="auto"/>
                    <w:rPr>
                      <w:rFonts w:cs="Times New Roman"/>
                      <w:sz w:val="21"/>
                    </w:rPr>
                  </w:pPr>
                </w:p>
              </w:tc>
              <w:tc>
                <w:tcPr>
                  <w:tcW w:w="238" w:type="pct"/>
                  <w:vMerge/>
                  <w:vAlign w:val="center"/>
                </w:tcPr>
                <w:p w14:paraId="037AE4D1" w14:textId="77777777" w:rsidR="003C4F46" w:rsidRDefault="003C4F46">
                  <w:pPr>
                    <w:spacing w:line="240" w:lineRule="auto"/>
                    <w:ind w:firstLineChars="0" w:firstLine="0"/>
                    <w:jc w:val="center"/>
                    <w:textAlignment w:val="auto"/>
                    <w:rPr>
                      <w:rFonts w:cs="Times New Roman"/>
                      <w:sz w:val="21"/>
                    </w:rPr>
                  </w:pPr>
                </w:p>
              </w:tc>
              <w:tc>
                <w:tcPr>
                  <w:tcW w:w="334" w:type="pct"/>
                  <w:shd w:val="clear" w:color="auto" w:fill="FFFFFF"/>
                  <w:tcMar>
                    <w:top w:w="0" w:type="dxa"/>
                    <w:left w:w="0" w:type="dxa"/>
                    <w:bottom w:w="0" w:type="dxa"/>
                    <w:right w:w="0" w:type="dxa"/>
                  </w:tcMar>
                  <w:vAlign w:val="center"/>
                </w:tcPr>
                <w:p w14:paraId="1CA8C80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声功率级</w:t>
                  </w:r>
                  <w:r>
                    <w:rPr>
                      <w:rFonts w:cs="Times New Roman"/>
                      <w:sz w:val="21"/>
                    </w:rPr>
                    <w:t>/dB(A)</w:t>
                  </w:r>
                </w:p>
              </w:tc>
              <w:tc>
                <w:tcPr>
                  <w:tcW w:w="213" w:type="pct"/>
                  <w:shd w:val="clear" w:color="auto" w:fill="FFFFFF"/>
                  <w:tcMar>
                    <w:top w:w="0" w:type="dxa"/>
                    <w:left w:w="0" w:type="dxa"/>
                    <w:bottom w:w="0" w:type="dxa"/>
                    <w:right w:w="0" w:type="dxa"/>
                  </w:tcMar>
                  <w:vAlign w:val="center"/>
                </w:tcPr>
                <w:p w14:paraId="120E3419" w14:textId="77777777" w:rsidR="003C4F46" w:rsidRDefault="004B6A81">
                  <w:pPr>
                    <w:spacing w:line="240" w:lineRule="auto"/>
                    <w:ind w:firstLineChars="0" w:firstLine="0"/>
                    <w:jc w:val="center"/>
                    <w:textAlignment w:val="auto"/>
                    <w:rPr>
                      <w:rFonts w:cs="Times New Roman"/>
                      <w:sz w:val="21"/>
                    </w:rPr>
                  </w:pPr>
                  <w:r>
                    <w:rPr>
                      <w:rFonts w:cs="Times New Roman"/>
                      <w:sz w:val="21"/>
                    </w:rPr>
                    <w:t>X</w:t>
                  </w:r>
                </w:p>
              </w:tc>
              <w:tc>
                <w:tcPr>
                  <w:tcW w:w="202" w:type="pct"/>
                  <w:shd w:val="clear" w:color="auto" w:fill="FFFFFF"/>
                  <w:tcMar>
                    <w:top w:w="0" w:type="dxa"/>
                    <w:left w:w="0" w:type="dxa"/>
                    <w:bottom w:w="0" w:type="dxa"/>
                    <w:right w:w="0" w:type="dxa"/>
                  </w:tcMar>
                  <w:vAlign w:val="center"/>
                </w:tcPr>
                <w:p w14:paraId="45F1531C" w14:textId="77777777" w:rsidR="003C4F46" w:rsidRDefault="004B6A81">
                  <w:pPr>
                    <w:spacing w:line="240" w:lineRule="auto"/>
                    <w:ind w:firstLineChars="0" w:firstLine="0"/>
                    <w:jc w:val="center"/>
                    <w:textAlignment w:val="auto"/>
                    <w:rPr>
                      <w:rFonts w:cs="Times New Roman"/>
                      <w:sz w:val="21"/>
                    </w:rPr>
                  </w:pPr>
                  <w:r>
                    <w:rPr>
                      <w:rFonts w:cs="Times New Roman"/>
                      <w:sz w:val="21"/>
                    </w:rPr>
                    <w:t>Y</w:t>
                  </w:r>
                </w:p>
              </w:tc>
              <w:tc>
                <w:tcPr>
                  <w:tcW w:w="146" w:type="pct"/>
                  <w:shd w:val="clear" w:color="auto" w:fill="FFFFFF"/>
                  <w:tcMar>
                    <w:top w:w="0" w:type="dxa"/>
                    <w:left w:w="0" w:type="dxa"/>
                    <w:bottom w:w="0" w:type="dxa"/>
                    <w:right w:w="0" w:type="dxa"/>
                  </w:tcMar>
                  <w:vAlign w:val="center"/>
                </w:tcPr>
                <w:p w14:paraId="560E4392" w14:textId="77777777" w:rsidR="003C4F46" w:rsidRDefault="004B6A81">
                  <w:pPr>
                    <w:spacing w:line="240" w:lineRule="auto"/>
                    <w:ind w:firstLineChars="0" w:firstLine="0"/>
                    <w:jc w:val="center"/>
                    <w:textAlignment w:val="auto"/>
                    <w:rPr>
                      <w:rFonts w:cs="Times New Roman"/>
                      <w:sz w:val="21"/>
                    </w:rPr>
                  </w:pPr>
                  <w:r>
                    <w:rPr>
                      <w:rFonts w:cs="Times New Roman"/>
                      <w:sz w:val="21"/>
                    </w:rPr>
                    <w:t>Z</w:t>
                  </w:r>
                </w:p>
              </w:tc>
              <w:tc>
                <w:tcPr>
                  <w:tcW w:w="213" w:type="pct"/>
                  <w:shd w:val="clear" w:color="auto" w:fill="FFFFFF"/>
                  <w:tcMar>
                    <w:top w:w="0" w:type="dxa"/>
                    <w:left w:w="0" w:type="dxa"/>
                    <w:bottom w:w="0" w:type="dxa"/>
                    <w:right w:w="0" w:type="dxa"/>
                  </w:tcMar>
                  <w:vAlign w:val="center"/>
                </w:tcPr>
                <w:p w14:paraId="7C430F2D"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东</w:t>
                  </w:r>
                </w:p>
              </w:tc>
              <w:tc>
                <w:tcPr>
                  <w:tcW w:w="202" w:type="pct"/>
                  <w:shd w:val="clear" w:color="auto" w:fill="FFFFFF"/>
                  <w:tcMar>
                    <w:top w:w="0" w:type="dxa"/>
                    <w:left w:w="0" w:type="dxa"/>
                    <w:bottom w:w="0" w:type="dxa"/>
                    <w:right w:w="0" w:type="dxa"/>
                  </w:tcMar>
                  <w:vAlign w:val="center"/>
                </w:tcPr>
                <w:p w14:paraId="33AA3B11"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南</w:t>
                  </w:r>
                </w:p>
              </w:tc>
              <w:tc>
                <w:tcPr>
                  <w:tcW w:w="202" w:type="pct"/>
                  <w:shd w:val="clear" w:color="auto" w:fill="FFFFFF"/>
                  <w:tcMar>
                    <w:top w:w="0" w:type="dxa"/>
                    <w:left w:w="0" w:type="dxa"/>
                    <w:bottom w:w="0" w:type="dxa"/>
                    <w:right w:w="0" w:type="dxa"/>
                  </w:tcMar>
                  <w:vAlign w:val="center"/>
                </w:tcPr>
                <w:p w14:paraId="24A8CF9F"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西</w:t>
                  </w:r>
                </w:p>
              </w:tc>
              <w:tc>
                <w:tcPr>
                  <w:tcW w:w="202" w:type="pct"/>
                  <w:shd w:val="clear" w:color="auto" w:fill="FFFFFF"/>
                  <w:tcMar>
                    <w:top w:w="0" w:type="dxa"/>
                    <w:left w:w="0" w:type="dxa"/>
                    <w:bottom w:w="0" w:type="dxa"/>
                    <w:right w:w="0" w:type="dxa"/>
                  </w:tcMar>
                  <w:vAlign w:val="center"/>
                </w:tcPr>
                <w:p w14:paraId="7B31D56F"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北</w:t>
                  </w:r>
                </w:p>
              </w:tc>
              <w:tc>
                <w:tcPr>
                  <w:tcW w:w="213" w:type="pct"/>
                  <w:shd w:val="clear" w:color="auto" w:fill="FFFFFF"/>
                  <w:tcMar>
                    <w:top w:w="0" w:type="dxa"/>
                    <w:left w:w="0" w:type="dxa"/>
                    <w:bottom w:w="0" w:type="dxa"/>
                    <w:right w:w="0" w:type="dxa"/>
                  </w:tcMar>
                  <w:vAlign w:val="center"/>
                </w:tcPr>
                <w:p w14:paraId="41D5F8E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东</w:t>
                  </w:r>
                </w:p>
              </w:tc>
              <w:tc>
                <w:tcPr>
                  <w:tcW w:w="202" w:type="pct"/>
                  <w:shd w:val="clear" w:color="auto" w:fill="FFFFFF"/>
                  <w:tcMar>
                    <w:top w:w="0" w:type="dxa"/>
                    <w:left w:w="0" w:type="dxa"/>
                    <w:bottom w:w="0" w:type="dxa"/>
                    <w:right w:w="0" w:type="dxa"/>
                  </w:tcMar>
                  <w:vAlign w:val="center"/>
                </w:tcPr>
                <w:p w14:paraId="48B9F627"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南</w:t>
                  </w:r>
                </w:p>
              </w:tc>
              <w:tc>
                <w:tcPr>
                  <w:tcW w:w="202" w:type="pct"/>
                  <w:shd w:val="clear" w:color="auto" w:fill="FFFFFF"/>
                  <w:tcMar>
                    <w:top w:w="0" w:type="dxa"/>
                    <w:left w:w="0" w:type="dxa"/>
                    <w:bottom w:w="0" w:type="dxa"/>
                    <w:right w:w="0" w:type="dxa"/>
                  </w:tcMar>
                  <w:vAlign w:val="center"/>
                </w:tcPr>
                <w:p w14:paraId="2125204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西</w:t>
                  </w:r>
                </w:p>
              </w:tc>
              <w:tc>
                <w:tcPr>
                  <w:tcW w:w="202" w:type="pct"/>
                  <w:shd w:val="clear" w:color="auto" w:fill="FFFFFF"/>
                  <w:tcMar>
                    <w:top w:w="0" w:type="dxa"/>
                    <w:left w:w="0" w:type="dxa"/>
                    <w:bottom w:w="0" w:type="dxa"/>
                    <w:right w:w="0" w:type="dxa"/>
                  </w:tcMar>
                  <w:vAlign w:val="center"/>
                </w:tcPr>
                <w:p w14:paraId="2853B256"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北</w:t>
                  </w:r>
                </w:p>
              </w:tc>
              <w:tc>
                <w:tcPr>
                  <w:tcW w:w="238" w:type="pct"/>
                  <w:vMerge/>
                  <w:vAlign w:val="center"/>
                </w:tcPr>
                <w:p w14:paraId="2DED5AB8" w14:textId="77777777" w:rsidR="003C4F46" w:rsidRDefault="003C4F46">
                  <w:pPr>
                    <w:spacing w:line="240" w:lineRule="auto"/>
                    <w:ind w:firstLineChars="0" w:firstLine="0"/>
                    <w:jc w:val="center"/>
                    <w:textAlignment w:val="auto"/>
                    <w:rPr>
                      <w:rFonts w:cs="Times New Roman"/>
                      <w:sz w:val="21"/>
                    </w:rPr>
                  </w:pPr>
                </w:p>
              </w:tc>
              <w:tc>
                <w:tcPr>
                  <w:tcW w:w="213" w:type="pct"/>
                  <w:shd w:val="clear" w:color="auto" w:fill="FFFFFF"/>
                  <w:tcMar>
                    <w:top w:w="0" w:type="dxa"/>
                    <w:left w:w="0" w:type="dxa"/>
                    <w:bottom w:w="0" w:type="dxa"/>
                    <w:right w:w="0" w:type="dxa"/>
                  </w:tcMar>
                  <w:vAlign w:val="center"/>
                </w:tcPr>
                <w:p w14:paraId="05BE17A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东</w:t>
                  </w:r>
                </w:p>
              </w:tc>
              <w:tc>
                <w:tcPr>
                  <w:tcW w:w="202" w:type="pct"/>
                  <w:shd w:val="clear" w:color="auto" w:fill="FFFFFF"/>
                  <w:tcMar>
                    <w:top w:w="0" w:type="dxa"/>
                    <w:left w:w="0" w:type="dxa"/>
                    <w:bottom w:w="0" w:type="dxa"/>
                    <w:right w:w="0" w:type="dxa"/>
                  </w:tcMar>
                  <w:vAlign w:val="center"/>
                </w:tcPr>
                <w:p w14:paraId="689DBD67"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南</w:t>
                  </w:r>
                </w:p>
              </w:tc>
              <w:tc>
                <w:tcPr>
                  <w:tcW w:w="202" w:type="pct"/>
                  <w:shd w:val="clear" w:color="auto" w:fill="FFFFFF"/>
                  <w:tcMar>
                    <w:top w:w="0" w:type="dxa"/>
                    <w:left w:w="0" w:type="dxa"/>
                    <w:bottom w:w="0" w:type="dxa"/>
                    <w:right w:w="0" w:type="dxa"/>
                  </w:tcMar>
                  <w:vAlign w:val="center"/>
                </w:tcPr>
                <w:p w14:paraId="0677F58F"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西</w:t>
                  </w:r>
                </w:p>
              </w:tc>
              <w:tc>
                <w:tcPr>
                  <w:tcW w:w="202" w:type="pct"/>
                  <w:shd w:val="clear" w:color="auto" w:fill="FFFFFF"/>
                  <w:tcMar>
                    <w:top w:w="0" w:type="dxa"/>
                    <w:left w:w="0" w:type="dxa"/>
                    <w:bottom w:w="0" w:type="dxa"/>
                    <w:right w:w="0" w:type="dxa"/>
                  </w:tcMar>
                  <w:vAlign w:val="center"/>
                </w:tcPr>
                <w:p w14:paraId="431419F5"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北</w:t>
                  </w:r>
                </w:p>
              </w:tc>
              <w:tc>
                <w:tcPr>
                  <w:tcW w:w="213" w:type="pct"/>
                  <w:shd w:val="clear" w:color="auto" w:fill="FFFFFF"/>
                  <w:tcMar>
                    <w:top w:w="0" w:type="dxa"/>
                    <w:left w:w="0" w:type="dxa"/>
                    <w:bottom w:w="0" w:type="dxa"/>
                    <w:right w:w="0" w:type="dxa"/>
                  </w:tcMar>
                  <w:vAlign w:val="center"/>
                </w:tcPr>
                <w:p w14:paraId="7534AFE1"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东</w:t>
                  </w:r>
                </w:p>
              </w:tc>
              <w:tc>
                <w:tcPr>
                  <w:tcW w:w="202" w:type="pct"/>
                  <w:shd w:val="clear" w:color="auto" w:fill="FFFFFF"/>
                  <w:tcMar>
                    <w:top w:w="0" w:type="dxa"/>
                    <w:left w:w="0" w:type="dxa"/>
                    <w:bottom w:w="0" w:type="dxa"/>
                    <w:right w:w="0" w:type="dxa"/>
                  </w:tcMar>
                  <w:vAlign w:val="center"/>
                </w:tcPr>
                <w:p w14:paraId="014C4FD1"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南</w:t>
                  </w:r>
                </w:p>
              </w:tc>
              <w:tc>
                <w:tcPr>
                  <w:tcW w:w="202" w:type="pct"/>
                  <w:shd w:val="clear" w:color="auto" w:fill="FFFFFF"/>
                  <w:tcMar>
                    <w:top w:w="0" w:type="dxa"/>
                    <w:left w:w="0" w:type="dxa"/>
                    <w:bottom w:w="0" w:type="dxa"/>
                    <w:right w:w="0" w:type="dxa"/>
                  </w:tcMar>
                  <w:vAlign w:val="center"/>
                </w:tcPr>
                <w:p w14:paraId="679EA8D0"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西</w:t>
                  </w:r>
                </w:p>
              </w:tc>
              <w:tc>
                <w:tcPr>
                  <w:tcW w:w="202" w:type="pct"/>
                  <w:shd w:val="clear" w:color="auto" w:fill="FFFFFF"/>
                  <w:tcMar>
                    <w:top w:w="0" w:type="dxa"/>
                    <w:left w:w="0" w:type="dxa"/>
                    <w:bottom w:w="0" w:type="dxa"/>
                    <w:right w:w="0" w:type="dxa"/>
                  </w:tcMar>
                  <w:vAlign w:val="center"/>
                </w:tcPr>
                <w:p w14:paraId="4CBF33FE"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北</w:t>
                  </w:r>
                </w:p>
              </w:tc>
              <w:tc>
                <w:tcPr>
                  <w:tcW w:w="118" w:type="pct"/>
                  <w:shd w:val="clear" w:color="auto" w:fill="FFFFFF"/>
                  <w:tcMar>
                    <w:top w:w="0" w:type="dxa"/>
                    <w:left w:w="0" w:type="dxa"/>
                    <w:bottom w:w="0" w:type="dxa"/>
                    <w:right w:w="0" w:type="dxa"/>
                  </w:tcMar>
                  <w:vAlign w:val="center"/>
                </w:tcPr>
                <w:p w14:paraId="5E3A62F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建筑物外距离</w:t>
                  </w:r>
                </w:p>
              </w:tc>
            </w:tr>
            <w:tr w:rsidR="003C4F46" w14:paraId="41B4DA31" w14:textId="77777777">
              <w:tc>
                <w:tcPr>
                  <w:tcW w:w="238" w:type="pct"/>
                  <w:shd w:val="clear" w:color="auto" w:fill="FFFFFF"/>
                  <w:tcMar>
                    <w:top w:w="0" w:type="dxa"/>
                    <w:left w:w="0" w:type="dxa"/>
                    <w:bottom w:w="0" w:type="dxa"/>
                    <w:right w:w="0" w:type="dxa"/>
                  </w:tcMar>
                  <w:vAlign w:val="center"/>
                </w:tcPr>
                <w:p w14:paraId="02E09850" w14:textId="77777777" w:rsidR="003C4F46" w:rsidRDefault="004B6A81">
                  <w:pPr>
                    <w:spacing w:line="240" w:lineRule="auto"/>
                    <w:ind w:firstLineChars="0" w:firstLine="0"/>
                    <w:jc w:val="center"/>
                    <w:textAlignment w:val="auto"/>
                    <w:rPr>
                      <w:rFonts w:cs="Times New Roman"/>
                      <w:sz w:val="21"/>
                    </w:rPr>
                  </w:pPr>
                  <w:r>
                    <w:rPr>
                      <w:rFonts w:cs="Times New Roman"/>
                      <w:sz w:val="21"/>
                    </w:rPr>
                    <w:t>1</w:t>
                  </w:r>
                </w:p>
              </w:tc>
              <w:tc>
                <w:tcPr>
                  <w:tcW w:w="238" w:type="pct"/>
                  <w:shd w:val="clear" w:color="auto" w:fill="FFFFFF"/>
                  <w:tcMar>
                    <w:top w:w="0" w:type="dxa"/>
                    <w:left w:w="0" w:type="dxa"/>
                    <w:bottom w:w="0" w:type="dxa"/>
                    <w:right w:w="0" w:type="dxa"/>
                  </w:tcMar>
                  <w:vAlign w:val="center"/>
                </w:tcPr>
                <w:p w14:paraId="7D3FE2D7"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风机</w:t>
                  </w:r>
                </w:p>
              </w:tc>
              <w:tc>
                <w:tcPr>
                  <w:tcW w:w="334" w:type="pct"/>
                  <w:shd w:val="clear" w:color="auto" w:fill="FFFFFF"/>
                  <w:tcMar>
                    <w:top w:w="0" w:type="dxa"/>
                    <w:left w:w="0" w:type="dxa"/>
                    <w:bottom w:w="0" w:type="dxa"/>
                    <w:right w:w="0" w:type="dxa"/>
                  </w:tcMar>
                  <w:vAlign w:val="center"/>
                </w:tcPr>
                <w:p w14:paraId="16EE5D23" w14:textId="77777777" w:rsidR="003C4F46" w:rsidRDefault="004B6A81">
                  <w:pPr>
                    <w:spacing w:line="240" w:lineRule="auto"/>
                    <w:ind w:firstLineChars="0" w:firstLine="0"/>
                    <w:jc w:val="center"/>
                    <w:textAlignment w:val="auto"/>
                    <w:rPr>
                      <w:rFonts w:cs="Times New Roman"/>
                      <w:sz w:val="21"/>
                    </w:rPr>
                  </w:pPr>
                  <w:r>
                    <w:rPr>
                      <w:rFonts w:cs="Times New Roman"/>
                      <w:sz w:val="21"/>
                    </w:rPr>
                    <w:t>85</w:t>
                  </w:r>
                </w:p>
              </w:tc>
              <w:tc>
                <w:tcPr>
                  <w:tcW w:w="213" w:type="pct"/>
                  <w:shd w:val="clear" w:color="auto" w:fill="FFFFFF"/>
                  <w:tcMar>
                    <w:top w:w="0" w:type="dxa"/>
                    <w:left w:w="0" w:type="dxa"/>
                    <w:bottom w:w="0" w:type="dxa"/>
                    <w:right w:w="0" w:type="dxa"/>
                  </w:tcMar>
                  <w:vAlign w:val="center"/>
                </w:tcPr>
                <w:p w14:paraId="5177B8CB" w14:textId="77777777" w:rsidR="003C4F46" w:rsidRDefault="004B6A81">
                  <w:pPr>
                    <w:spacing w:line="240" w:lineRule="auto"/>
                    <w:ind w:firstLineChars="0" w:firstLine="0"/>
                    <w:jc w:val="center"/>
                    <w:textAlignment w:val="auto"/>
                    <w:rPr>
                      <w:rFonts w:cs="Times New Roman"/>
                      <w:sz w:val="21"/>
                    </w:rPr>
                  </w:pPr>
                  <w:r>
                    <w:rPr>
                      <w:rFonts w:cs="Times New Roman"/>
                      <w:sz w:val="21"/>
                    </w:rPr>
                    <w:t>-44.2</w:t>
                  </w:r>
                </w:p>
              </w:tc>
              <w:tc>
                <w:tcPr>
                  <w:tcW w:w="202" w:type="pct"/>
                  <w:shd w:val="clear" w:color="auto" w:fill="FFFFFF"/>
                  <w:tcMar>
                    <w:top w:w="0" w:type="dxa"/>
                    <w:left w:w="0" w:type="dxa"/>
                    <w:bottom w:w="0" w:type="dxa"/>
                    <w:right w:w="0" w:type="dxa"/>
                  </w:tcMar>
                  <w:vAlign w:val="center"/>
                </w:tcPr>
                <w:p w14:paraId="78F91C9C" w14:textId="77777777" w:rsidR="003C4F46" w:rsidRDefault="004B6A81">
                  <w:pPr>
                    <w:spacing w:line="240" w:lineRule="auto"/>
                    <w:ind w:firstLineChars="0" w:firstLine="0"/>
                    <w:jc w:val="center"/>
                    <w:textAlignment w:val="auto"/>
                    <w:rPr>
                      <w:rFonts w:cs="Times New Roman"/>
                      <w:sz w:val="21"/>
                    </w:rPr>
                  </w:pPr>
                  <w:r>
                    <w:rPr>
                      <w:rFonts w:cs="Times New Roman"/>
                      <w:sz w:val="21"/>
                    </w:rPr>
                    <w:t>-23.7</w:t>
                  </w:r>
                </w:p>
              </w:tc>
              <w:tc>
                <w:tcPr>
                  <w:tcW w:w="146" w:type="pct"/>
                  <w:shd w:val="clear" w:color="auto" w:fill="FFFFFF"/>
                  <w:tcMar>
                    <w:top w:w="0" w:type="dxa"/>
                    <w:left w:w="0" w:type="dxa"/>
                    <w:bottom w:w="0" w:type="dxa"/>
                    <w:right w:w="0" w:type="dxa"/>
                  </w:tcMar>
                  <w:vAlign w:val="center"/>
                </w:tcPr>
                <w:p w14:paraId="07CB76D9" w14:textId="77777777" w:rsidR="003C4F46" w:rsidRDefault="004B6A81">
                  <w:pPr>
                    <w:spacing w:line="240" w:lineRule="auto"/>
                    <w:ind w:firstLineChars="0" w:firstLine="0"/>
                    <w:jc w:val="center"/>
                    <w:textAlignment w:val="auto"/>
                    <w:rPr>
                      <w:rFonts w:cs="Times New Roman"/>
                      <w:sz w:val="21"/>
                    </w:rPr>
                  </w:pPr>
                  <w:r>
                    <w:rPr>
                      <w:rFonts w:cs="Times New Roman"/>
                      <w:sz w:val="21"/>
                    </w:rPr>
                    <w:t>1.2</w:t>
                  </w:r>
                </w:p>
              </w:tc>
              <w:tc>
                <w:tcPr>
                  <w:tcW w:w="213" w:type="pct"/>
                  <w:shd w:val="clear" w:color="auto" w:fill="FFFFFF"/>
                  <w:tcMar>
                    <w:top w:w="0" w:type="dxa"/>
                    <w:left w:w="0" w:type="dxa"/>
                    <w:bottom w:w="0" w:type="dxa"/>
                    <w:right w:w="0" w:type="dxa"/>
                  </w:tcMar>
                  <w:vAlign w:val="center"/>
                </w:tcPr>
                <w:p w14:paraId="239B2525" w14:textId="77777777" w:rsidR="003C4F46" w:rsidRDefault="004B6A81">
                  <w:pPr>
                    <w:spacing w:line="240" w:lineRule="auto"/>
                    <w:ind w:firstLineChars="0" w:firstLine="0"/>
                    <w:jc w:val="center"/>
                    <w:textAlignment w:val="auto"/>
                    <w:rPr>
                      <w:rFonts w:cs="Times New Roman"/>
                      <w:sz w:val="21"/>
                    </w:rPr>
                  </w:pPr>
                  <w:r>
                    <w:rPr>
                      <w:rFonts w:cs="Times New Roman"/>
                      <w:sz w:val="21"/>
                    </w:rPr>
                    <w:t>34.5</w:t>
                  </w:r>
                </w:p>
              </w:tc>
              <w:tc>
                <w:tcPr>
                  <w:tcW w:w="202" w:type="pct"/>
                  <w:shd w:val="clear" w:color="auto" w:fill="FFFFFF"/>
                  <w:tcMar>
                    <w:top w:w="0" w:type="dxa"/>
                    <w:left w:w="0" w:type="dxa"/>
                    <w:bottom w:w="0" w:type="dxa"/>
                    <w:right w:w="0" w:type="dxa"/>
                  </w:tcMar>
                  <w:vAlign w:val="center"/>
                </w:tcPr>
                <w:p w14:paraId="11ECCCC5" w14:textId="77777777" w:rsidR="003C4F46" w:rsidRDefault="004B6A81">
                  <w:pPr>
                    <w:spacing w:line="240" w:lineRule="auto"/>
                    <w:ind w:firstLineChars="0" w:firstLine="0"/>
                    <w:jc w:val="center"/>
                    <w:textAlignment w:val="auto"/>
                    <w:rPr>
                      <w:rFonts w:cs="Times New Roman"/>
                      <w:sz w:val="21"/>
                    </w:rPr>
                  </w:pPr>
                  <w:r>
                    <w:rPr>
                      <w:rFonts w:cs="Times New Roman"/>
                      <w:sz w:val="21"/>
                    </w:rPr>
                    <w:t>21.6</w:t>
                  </w:r>
                </w:p>
              </w:tc>
              <w:tc>
                <w:tcPr>
                  <w:tcW w:w="202" w:type="pct"/>
                  <w:shd w:val="clear" w:color="auto" w:fill="FFFFFF"/>
                  <w:tcMar>
                    <w:top w:w="0" w:type="dxa"/>
                    <w:left w:w="0" w:type="dxa"/>
                    <w:bottom w:w="0" w:type="dxa"/>
                    <w:right w:w="0" w:type="dxa"/>
                  </w:tcMar>
                  <w:vAlign w:val="center"/>
                </w:tcPr>
                <w:p w14:paraId="44784A41" w14:textId="77777777" w:rsidR="003C4F46" w:rsidRDefault="004B6A81">
                  <w:pPr>
                    <w:spacing w:line="240" w:lineRule="auto"/>
                    <w:ind w:firstLineChars="0" w:firstLine="0"/>
                    <w:jc w:val="center"/>
                    <w:textAlignment w:val="auto"/>
                    <w:rPr>
                      <w:rFonts w:cs="Times New Roman"/>
                      <w:sz w:val="21"/>
                    </w:rPr>
                  </w:pPr>
                  <w:r>
                    <w:rPr>
                      <w:rFonts w:cs="Times New Roman"/>
                      <w:sz w:val="21"/>
                    </w:rPr>
                    <w:t>4.5</w:t>
                  </w:r>
                </w:p>
              </w:tc>
              <w:tc>
                <w:tcPr>
                  <w:tcW w:w="202" w:type="pct"/>
                  <w:shd w:val="clear" w:color="auto" w:fill="FFFFFF"/>
                  <w:tcMar>
                    <w:top w:w="0" w:type="dxa"/>
                    <w:left w:w="0" w:type="dxa"/>
                    <w:bottom w:w="0" w:type="dxa"/>
                    <w:right w:w="0" w:type="dxa"/>
                  </w:tcMar>
                  <w:vAlign w:val="center"/>
                </w:tcPr>
                <w:p w14:paraId="55C56B4A" w14:textId="77777777" w:rsidR="003C4F46" w:rsidRDefault="004B6A81">
                  <w:pPr>
                    <w:spacing w:line="240" w:lineRule="auto"/>
                    <w:ind w:firstLineChars="0" w:firstLine="0"/>
                    <w:jc w:val="center"/>
                    <w:textAlignment w:val="auto"/>
                    <w:rPr>
                      <w:rFonts w:cs="Times New Roman"/>
                      <w:sz w:val="21"/>
                    </w:rPr>
                  </w:pPr>
                  <w:r>
                    <w:rPr>
                      <w:rFonts w:cs="Times New Roman"/>
                      <w:sz w:val="21"/>
                    </w:rPr>
                    <w:t>11.1</w:t>
                  </w:r>
                </w:p>
              </w:tc>
              <w:tc>
                <w:tcPr>
                  <w:tcW w:w="213" w:type="pct"/>
                  <w:shd w:val="clear" w:color="auto" w:fill="FFFFFF"/>
                  <w:tcMar>
                    <w:top w:w="0" w:type="dxa"/>
                    <w:left w:w="0" w:type="dxa"/>
                    <w:bottom w:w="0" w:type="dxa"/>
                    <w:right w:w="0" w:type="dxa"/>
                  </w:tcMar>
                  <w:vAlign w:val="center"/>
                </w:tcPr>
                <w:p w14:paraId="11B1E142" w14:textId="77777777" w:rsidR="003C4F46" w:rsidRDefault="004B6A81">
                  <w:pPr>
                    <w:spacing w:line="240" w:lineRule="auto"/>
                    <w:ind w:firstLineChars="0" w:firstLine="0"/>
                    <w:jc w:val="center"/>
                    <w:textAlignment w:val="auto"/>
                    <w:rPr>
                      <w:rFonts w:cs="Times New Roman"/>
                      <w:sz w:val="21"/>
                    </w:rPr>
                  </w:pPr>
                  <w:r>
                    <w:rPr>
                      <w:rFonts w:cs="Times New Roman"/>
                      <w:sz w:val="21"/>
                    </w:rPr>
                    <w:t>70.6</w:t>
                  </w:r>
                </w:p>
              </w:tc>
              <w:tc>
                <w:tcPr>
                  <w:tcW w:w="202" w:type="pct"/>
                  <w:shd w:val="clear" w:color="auto" w:fill="FFFFFF"/>
                  <w:tcMar>
                    <w:top w:w="0" w:type="dxa"/>
                    <w:left w:w="0" w:type="dxa"/>
                    <w:bottom w:w="0" w:type="dxa"/>
                    <w:right w:w="0" w:type="dxa"/>
                  </w:tcMar>
                  <w:vAlign w:val="center"/>
                </w:tcPr>
                <w:p w14:paraId="701B5F9D" w14:textId="77777777" w:rsidR="003C4F46" w:rsidRDefault="004B6A81">
                  <w:pPr>
                    <w:spacing w:line="240" w:lineRule="auto"/>
                    <w:ind w:firstLineChars="0" w:firstLine="0"/>
                    <w:jc w:val="center"/>
                    <w:textAlignment w:val="auto"/>
                    <w:rPr>
                      <w:rFonts w:cs="Times New Roman"/>
                      <w:sz w:val="21"/>
                    </w:rPr>
                  </w:pPr>
                  <w:r>
                    <w:rPr>
                      <w:rFonts w:cs="Times New Roman"/>
                      <w:sz w:val="21"/>
                    </w:rPr>
                    <w:t>70.6</w:t>
                  </w:r>
                </w:p>
              </w:tc>
              <w:tc>
                <w:tcPr>
                  <w:tcW w:w="202" w:type="pct"/>
                  <w:shd w:val="clear" w:color="auto" w:fill="FFFFFF"/>
                  <w:tcMar>
                    <w:top w:w="0" w:type="dxa"/>
                    <w:left w:w="0" w:type="dxa"/>
                    <w:bottom w:w="0" w:type="dxa"/>
                    <w:right w:w="0" w:type="dxa"/>
                  </w:tcMar>
                  <w:vAlign w:val="center"/>
                </w:tcPr>
                <w:p w14:paraId="6530048A" w14:textId="77777777" w:rsidR="003C4F46" w:rsidRDefault="004B6A81">
                  <w:pPr>
                    <w:spacing w:line="240" w:lineRule="auto"/>
                    <w:ind w:firstLineChars="0" w:firstLine="0"/>
                    <w:jc w:val="center"/>
                    <w:textAlignment w:val="auto"/>
                    <w:rPr>
                      <w:rFonts w:cs="Times New Roman"/>
                      <w:sz w:val="21"/>
                    </w:rPr>
                  </w:pPr>
                  <w:r>
                    <w:rPr>
                      <w:rFonts w:cs="Times New Roman"/>
                      <w:sz w:val="21"/>
                    </w:rPr>
                    <w:t>71.0</w:t>
                  </w:r>
                </w:p>
              </w:tc>
              <w:tc>
                <w:tcPr>
                  <w:tcW w:w="202" w:type="pct"/>
                  <w:shd w:val="clear" w:color="auto" w:fill="FFFFFF"/>
                  <w:tcMar>
                    <w:top w:w="0" w:type="dxa"/>
                    <w:left w:w="0" w:type="dxa"/>
                    <w:bottom w:w="0" w:type="dxa"/>
                    <w:right w:w="0" w:type="dxa"/>
                  </w:tcMar>
                  <w:vAlign w:val="center"/>
                </w:tcPr>
                <w:p w14:paraId="7E2B21BB" w14:textId="77777777" w:rsidR="003C4F46" w:rsidRDefault="004B6A81">
                  <w:pPr>
                    <w:spacing w:line="240" w:lineRule="auto"/>
                    <w:ind w:firstLineChars="0" w:firstLine="0"/>
                    <w:jc w:val="center"/>
                    <w:textAlignment w:val="auto"/>
                    <w:rPr>
                      <w:rFonts w:cs="Times New Roman"/>
                      <w:sz w:val="21"/>
                    </w:rPr>
                  </w:pPr>
                  <w:r>
                    <w:rPr>
                      <w:rFonts w:cs="Times New Roman"/>
                      <w:sz w:val="21"/>
                    </w:rPr>
                    <w:t>70.7</w:t>
                  </w:r>
                </w:p>
              </w:tc>
              <w:tc>
                <w:tcPr>
                  <w:tcW w:w="238" w:type="pct"/>
                  <w:shd w:val="clear" w:color="auto" w:fill="FFFFFF"/>
                  <w:tcMar>
                    <w:top w:w="0" w:type="dxa"/>
                    <w:left w:w="0" w:type="dxa"/>
                    <w:bottom w:w="0" w:type="dxa"/>
                    <w:right w:w="0" w:type="dxa"/>
                  </w:tcMar>
                  <w:vAlign w:val="center"/>
                </w:tcPr>
                <w:p w14:paraId="57BA0FF3" w14:textId="77777777" w:rsidR="003C4F46" w:rsidRDefault="004B6A81">
                  <w:pPr>
                    <w:spacing w:line="240" w:lineRule="auto"/>
                    <w:ind w:firstLineChars="0" w:firstLine="0"/>
                    <w:jc w:val="center"/>
                    <w:textAlignment w:val="auto"/>
                    <w:rPr>
                      <w:rFonts w:cs="Times New Roman"/>
                      <w:sz w:val="21"/>
                    </w:rPr>
                  </w:pPr>
                  <w:r>
                    <w:rPr>
                      <w:rFonts w:cs="Times New Roman"/>
                      <w:sz w:val="21"/>
                    </w:rPr>
                    <w:t>24.0</w:t>
                  </w:r>
                </w:p>
              </w:tc>
              <w:tc>
                <w:tcPr>
                  <w:tcW w:w="213" w:type="pct"/>
                  <w:shd w:val="clear" w:color="auto" w:fill="FFFFFF"/>
                  <w:tcMar>
                    <w:top w:w="0" w:type="dxa"/>
                    <w:left w:w="0" w:type="dxa"/>
                    <w:bottom w:w="0" w:type="dxa"/>
                    <w:right w:w="0" w:type="dxa"/>
                  </w:tcMar>
                  <w:vAlign w:val="center"/>
                </w:tcPr>
                <w:p w14:paraId="1802B16D"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02" w:type="pct"/>
                  <w:shd w:val="clear" w:color="auto" w:fill="FFFFFF"/>
                  <w:tcMar>
                    <w:top w:w="0" w:type="dxa"/>
                    <w:left w:w="0" w:type="dxa"/>
                    <w:bottom w:w="0" w:type="dxa"/>
                    <w:right w:w="0" w:type="dxa"/>
                  </w:tcMar>
                  <w:vAlign w:val="center"/>
                </w:tcPr>
                <w:p w14:paraId="3A5D5566"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02" w:type="pct"/>
                  <w:shd w:val="clear" w:color="auto" w:fill="FFFFFF"/>
                  <w:tcMar>
                    <w:top w:w="0" w:type="dxa"/>
                    <w:left w:w="0" w:type="dxa"/>
                    <w:bottom w:w="0" w:type="dxa"/>
                    <w:right w:w="0" w:type="dxa"/>
                  </w:tcMar>
                  <w:vAlign w:val="center"/>
                </w:tcPr>
                <w:p w14:paraId="29A209BD"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02" w:type="pct"/>
                  <w:shd w:val="clear" w:color="auto" w:fill="FFFFFF"/>
                  <w:tcMar>
                    <w:top w:w="0" w:type="dxa"/>
                    <w:left w:w="0" w:type="dxa"/>
                    <w:bottom w:w="0" w:type="dxa"/>
                    <w:right w:w="0" w:type="dxa"/>
                  </w:tcMar>
                  <w:vAlign w:val="center"/>
                </w:tcPr>
                <w:p w14:paraId="485C6FC7"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13" w:type="pct"/>
                  <w:shd w:val="clear" w:color="auto" w:fill="FFFFFF"/>
                  <w:tcMar>
                    <w:top w:w="0" w:type="dxa"/>
                    <w:left w:w="0" w:type="dxa"/>
                    <w:bottom w:w="0" w:type="dxa"/>
                    <w:right w:w="0" w:type="dxa"/>
                  </w:tcMar>
                  <w:vAlign w:val="center"/>
                </w:tcPr>
                <w:p w14:paraId="1D38F026" w14:textId="77777777" w:rsidR="003C4F46" w:rsidRDefault="004B6A81">
                  <w:pPr>
                    <w:spacing w:line="240" w:lineRule="auto"/>
                    <w:ind w:firstLineChars="0" w:firstLine="0"/>
                    <w:jc w:val="center"/>
                    <w:textAlignment w:val="auto"/>
                    <w:rPr>
                      <w:rFonts w:cs="Times New Roman"/>
                      <w:sz w:val="21"/>
                    </w:rPr>
                  </w:pPr>
                  <w:r>
                    <w:rPr>
                      <w:rFonts w:cs="Times New Roman"/>
                      <w:sz w:val="21"/>
                    </w:rPr>
                    <w:t>44.6</w:t>
                  </w:r>
                </w:p>
              </w:tc>
              <w:tc>
                <w:tcPr>
                  <w:tcW w:w="202" w:type="pct"/>
                  <w:shd w:val="clear" w:color="auto" w:fill="FFFFFF"/>
                  <w:tcMar>
                    <w:top w:w="0" w:type="dxa"/>
                    <w:left w:w="0" w:type="dxa"/>
                    <w:bottom w:w="0" w:type="dxa"/>
                    <w:right w:w="0" w:type="dxa"/>
                  </w:tcMar>
                  <w:vAlign w:val="center"/>
                </w:tcPr>
                <w:p w14:paraId="2C61A6E4" w14:textId="77777777" w:rsidR="003C4F46" w:rsidRDefault="004B6A81">
                  <w:pPr>
                    <w:spacing w:line="240" w:lineRule="auto"/>
                    <w:ind w:firstLineChars="0" w:firstLine="0"/>
                    <w:jc w:val="center"/>
                    <w:textAlignment w:val="auto"/>
                    <w:rPr>
                      <w:rFonts w:cs="Times New Roman"/>
                      <w:sz w:val="21"/>
                    </w:rPr>
                  </w:pPr>
                  <w:r>
                    <w:rPr>
                      <w:rFonts w:cs="Times New Roman"/>
                      <w:sz w:val="21"/>
                    </w:rPr>
                    <w:t>44.6</w:t>
                  </w:r>
                </w:p>
              </w:tc>
              <w:tc>
                <w:tcPr>
                  <w:tcW w:w="202" w:type="pct"/>
                  <w:shd w:val="clear" w:color="auto" w:fill="FFFFFF"/>
                  <w:tcMar>
                    <w:top w:w="0" w:type="dxa"/>
                    <w:left w:w="0" w:type="dxa"/>
                    <w:bottom w:w="0" w:type="dxa"/>
                    <w:right w:w="0" w:type="dxa"/>
                  </w:tcMar>
                  <w:vAlign w:val="center"/>
                </w:tcPr>
                <w:p w14:paraId="394C3E70" w14:textId="77777777" w:rsidR="003C4F46" w:rsidRDefault="004B6A81">
                  <w:pPr>
                    <w:spacing w:line="240" w:lineRule="auto"/>
                    <w:ind w:firstLineChars="0" w:firstLine="0"/>
                    <w:jc w:val="center"/>
                    <w:textAlignment w:val="auto"/>
                    <w:rPr>
                      <w:rFonts w:cs="Times New Roman"/>
                      <w:sz w:val="21"/>
                    </w:rPr>
                  </w:pPr>
                  <w:r>
                    <w:rPr>
                      <w:rFonts w:cs="Times New Roman"/>
                      <w:sz w:val="21"/>
                    </w:rPr>
                    <w:t>45.0</w:t>
                  </w:r>
                </w:p>
              </w:tc>
              <w:tc>
                <w:tcPr>
                  <w:tcW w:w="202" w:type="pct"/>
                  <w:shd w:val="clear" w:color="auto" w:fill="FFFFFF"/>
                  <w:tcMar>
                    <w:top w:w="0" w:type="dxa"/>
                    <w:left w:w="0" w:type="dxa"/>
                    <w:bottom w:w="0" w:type="dxa"/>
                    <w:right w:w="0" w:type="dxa"/>
                  </w:tcMar>
                  <w:vAlign w:val="center"/>
                </w:tcPr>
                <w:p w14:paraId="3D041EB6" w14:textId="77777777" w:rsidR="003C4F46" w:rsidRDefault="004B6A81">
                  <w:pPr>
                    <w:spacing w:line="240" w:lineRule="auto"/>
                    <w:ind w:firstLineChars="0" w:firstLine="0"/>
                    <w:jc w:val="center"/>
                    <w:textAlignment w:val="auto"/>
                    <w:rPr>
                      <w:rFonts w:cs="Times New Roman"/>
                      <w:sz w:val="21"/>
                    </w:rPr>
                  </w:pPr>
                  <w:r>
                    <w:rPr>
                      <w:rFonts w:cs="Times New Roman"/>
                      <w:sz w:val="21"/>
                    </w:rPr>
                    <w:t>44.7</w:t>
                  </w:r>
                </w:p>
              </w:tc>
              <w:tc>
                <w:tcPr>
                  <w:tcW w:w="118" w:type="pct"/>
                  <w:shd w:val="clear" w:color="auto" w:fill="FFFFFF"/>
                  <w:tcMar>
                    <w:top w:w="0" w:type="dxa"/>
                    <w:left w:w="0" w:type="dxa"/>
                    <w:bottom w:w="0" w:type="dxa"/>
                    <w:right w:w="0" w:type="dxa"/>
                  </w:tcMar>
                  <w:vAlign w:val="center"/>
                </w:tcPr>
                <w:p w14:paraId="621B05A8" w14:textId="77777777" w:rsidR="003C4F46" w:rsidRDefault="004B6A81">
                  <w:pPr>
                    <w:spacing w:line="240" w:lineRule="auto"/>
                    <w:ind w:firstLineChars="0" w:firstLine="0"/>
                    <w:jc w:val="center"/>
                    <w:textAlignment w:val="auto"/>
                    <w:rPr>
                      <w:rFonts w:cs="Times New Roman"/>
                      <w:sz w:val="21"/>
                    </w:rPr>
                  </w:pPr>
                  <w:r>
                    <w:rPr>
                      <w:rFonts w:cs="Times New Roman"/>
                      <w:sz w:val="21"/>
                    </w:rPr>
                    <w:t>1</w:t>
                  </w:r>
                </w:p>
              </w:tc>
            </w:tr>
            <w:tr w:rsidR="003C4F46" w14:paraId="09F9C6E0" w14:textId="77777777">
              <w:tc>
                <w:tcPr>
                  <w:tcW w:w="238" w:type="pct"/>
                  <w:shd w:val="clear" w:color="auto" w:fill="FFFFFF"/>
                  <w:tcMar>
                    <w:top w:w="0" w:type="dxa"/>
                    <w:left w:w="0" w:type="dxa"/>
                    <w:bottom w:w="0" w:type="dxa"/>
                    <w:right w:w="0" w:type="dxa"/>
                  </w:tcMar>
                  <w:vAlign w:val="center"/>
                </w:tcPr>
                <w:p w14:paraId="522373AC" w14:textId="77777777" w:rsidR="003C4F46" w:rsidRDefault="004B6A81">
                  <w:pPr>
                    <w:spacing w:line="240" w:lineRule="auto"/>
                    <w:ind w:firstLineChars="0" w:firstLine="0"/>
                    <w:jc w:val="center"/>
                    <w:textAlignment w:val="auto"/>
                    <w:rPr>
                      <w:rFonts w:cs="Times New Roman"/>
                      <w:sz w:val="21"/>
                    </w:rPr>
                  </w:pPr>
                  <w:r>
                    <w:rPr>
                      <w:rFonts w:cs="Times New Roman"/>
                      <w:sz w:val="21"/>
                    </w:rPr>
                    <w:t>2</w:t>
                  </w:r>
                </w:p>
              </w:tc>
              <w:tc>
                <w:tcPr>
                  <w:tcW w:w="238" w:type="pct"/>
                  <w:shd w:val="clear" w:color="auto" w:fill="FFFFFF"/>
                  <w:tcMar>
                    <w:top w:w="0" w:type="dxa"/>
                    <w:left w:w="0" w:type="dxa"/>
                    <w:bottom w:w="0" w:type="dxa"/>
                    <w:right w:w="0" w:type="dxa"/>
                  </w:tcMar>
                  <w:vAlign w:val="center"/>
                </w:tcPr>
                <w:p w14:paraId="3519809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叉车</w:t>
                  </w:r>
                </w:p>
              </w:tc>
              <w:tc>
                <w:tcPr>
                  <w:tcW w:w="334" w:type="pct"/>
                  <w:shd w:val="clear" w:color="auto" w:fill="FFFFFF"/>
                  <w:tcMar>
                    <w:top w:w="0" w:type="dxa"/>
                    <w:left w:w="0" w:type="dxa"/>
                    <w:bottom w:w="0" w:type="dxa"/>
                    <w:right w:w="0" w:type="dxa"/>
                  </w:tcMar>
                  <w:vAlign w:val="center"/>
                </w:tcPr>
                <w:p w14:paraId="2E66613E" w14:textId="77777777" w:rsidR="003C4F46" w:rsidRDefault="004B6A81">
                  <w:pPr>
                    <w:spacing w:line="240" w:lineRule="auto"/>
                    <w:ind w:firstLineChars="0" w:firstLine="0"/>
                    <w:jc w:val="center"/>
                    <w:textAlignment w:val="auto"/>
                    <w:rPr>
                      <w:rFonts w:cs="Times New Roman"/>
                      <w:sz w:val="21"/>
                    </w:rPr>
                  </w:pPr>
                  <w:r>
                    <w:rPr>
                      <w:rFonts w:cs="Times New Roman"/>
                      <w:sz w:val="21"/>
                    </w:rPr>
                    <w:t>75</w:t>
                  </w:r>
                </w:p>
              </w:tc>
              <w:tc>
                <w:tcPr>
                  <w:tcW w:w="213" w:type="pct"/>
                  <w:shd w:val="clear" w:color="auto" w:fill="FFFFFF"/>
                  <w:tcMar>
                    <w:top w:w="0" w:type="dxa"/>
                    <w:left w:w="0" w:type="dxa"/>
                    <w:bottom w:w="0" w:type="dxa"/>
                    <w:right w:w="0" w:type="dxa"/>
                  </w:tcMar>
                  <w:vAlign w:val="center"/>
                </w:tcPr>
                <w:p w14:paraId="28AD5932" w14:textId="77777777" w:rsidR="003C4F46" w:rsidRDefault="004B6A81">
                  <w:pPr>
                    <w:spacing w:line="240" w:lineRule="auto"/>
                    <w:ind w:firstLineChars="0" w:firstLine="0"/>
                    <w:jc w:val="center"/>
                    <w:textAlignment w:val="auto"/>
                    <w:rPr>
                      <w:rFonts w:cs="Times New Roman"/>
                      <w:sz w:val="21"/>
                    </w:rPr>
                  </w:pPr>
                  <w:r>
                    <w:rPr>
                      <w:rFonts w:cs="Times New Roman"/>
                      <w:sz w:val="21"/>
                    </w:rPr>
                    <w:t>-28.6</w:t>
                  </w:r>
                </w:p>
              </w:tc>
              <w:tc>
                <w:tcPr>
                  <w:tcW w:w="202" w:type="pct"/>
                  <w:shd w:val="clear" w:color="auto" w:fill="FFFFFF"/>
                  <w:tcMar>
                    <w:top w:w="0" w:type="dxa"/>
                    <w:left w:w="0" w:type="dxa"/>
                    <w:bottom w:w="0" w:type="dxa"/>
                    <w:right w:w="0" w:type="dxa"/>
                  </w:tcMar>
                  <w:vAlign w:val="center"/>
                </w:tcPr>
                <w:p w14:paraId="1D43AC8E" w14:textId="77777777" w:rsidR="003C4F46" w:rsidRDefault="004B6A81">
                  <w:pPr>
                    <w:spacing w:line="240" w:lineRule="auto"/>
                    <w:ind w:firstLineChars="0" w:firstLine="0"/>
                    <w:jc w:val="center"/>
                    <w:textAlignment w:val="auto"/>
                    <w:rPr>
                      <w:rFonts w:cs="Times New Roman"/>
                      <w:sz w:val="21"/>
                    </w:rPr>
                  </w:pPr>
                  <w:r>
                    <w:rPr>
                      <w:rFonts w:cs="Times New Roman"/>
                      <w:sz w:val="21"/>
                    </w:rPr>
                    <w:t>-24.6</w:t>
                  </w:r>
                </w:p>
              </w:tc>
              <w:tc>
                <w:tcPr>
                  <w:tcW w:w="146" w:type="pct"/>
                  <w:shd w:val="clear" w:color="auto" w:fill="FFFFFF"/>
                  <w:tcMar>
                    <w:top w:w="0" w:type="dxa"/>
                    <w:left w:w="0" w:type="dxa"/>
                    <w:bottom w:w="0" w:type="dxa"/>
                    <w:right w:w="0" w:type="dxa"/>
                  </w:tcMar>
                  <w:vAlign w:val="center"/>
                </w:tcPr>
                <w:p w14:paraId="483F91D0" w14:textId="77777777" w:rsidR="003C4F46" w:rsidRDefault="004B6A81">
                  <w:pPr>
                    <w:spacing w:line="240" w:lineRule="auto"/>
                    <w:ind w:firstLineChars="0" w:firstLine="0"/>
                    <w:jc w:val="center"/>
                    <w:textAlignment w:val="auto"/>
                    <w:rPr>
                      <w:rFonts w:cs="Times New Roman"/>
                      <w:sz w:val="21"/>
                    </w:rPr>
                  </w:pPr>
                  <w:r>
                    <w:rPr>
                      <w:rFonts w:cs="Times New Roman"/>
                      <w:sz w:val="21"/>
                    </w:rPr>
                    <w:t>1.2</w:t>
                  </w:r>
                </w:p>
              </w:tc>
              <w:tc>
                <w:tcPr>
                  <w:tcW w:w="213" w:type="pct"/>
                  <w:shd w:val="clear" w:color="auto" w:fill="FFFFFF"/>
                  <w:tcMar>
                    <w:top w:w="0" w:type="dxa"/>
                    <w:left w:w="0" w:type="dxa"/>
                    <w:bottom w:w="0" w:type="dxa"/>
                    <w:right w:w="0" w:type="dxa"/>
                  </w:tcMar>
                  <w:vAlign w:val="center"/>
                </w:tcPr>
                <w:p w14:paraId="49C9A451" w14:textId="77777777" w:rsidR="003C4F46" w:rsidRDefault="004B6A81">
                  <w:pPr>
                    <w:spacing w:line="240" w:lineRule="auto"/>
                    <w:ind w:firstLineChars="0" w:firstLine="0"/>
                    <w:jc w:val="center"/>
                    <w:textAlignment w:val="auto"/>
                    <w:rPr>
                      <w:rFonts w:cs="Times New Roman"/>
                      <w:sz w:val="21"/>
                    </w:rPr>
                  </w:pPr>
                  <w:r>
                    <w:rPr>
                      <w:rFonts w:cs="Times New Roman"/>
                      <w:sz w:val="21"/>
                    </w:rPr>
                    <w:t>19.4</w:t>
                  </w:r>
                </w:p>
              </w:tc>
              <w:tc>
                <w:tcPr>
                  <w:tcW w:w="202" w:type="pct"/>
                  <w:shd w:val="clear" w:color="auto" w:fill="FFFFFF"/>
                  <w:tcMar>
                    <w:top w:w="0" w:type="dxa"/>
                    <w:left w:w="0" w:type="dxa"/>
                    <w:bottom w:w="0" w:type="dxa"/>
                    <w:right w:w="0" w:type="dxa"/>
                  </w:tcMar>
                  <w:vAlign w:val="center"/>
                </w:tcPr>
                <w:p w14:paraId="57B18367" w14:textId="77777777" w:rsidR="003C4F46" w:rsidRDefault="004B6A81">
                  <w:pPr>
                    <w:spacing w:line="240" w:lineRule="auto"/>
                    <w:ind w:firstLineChars="0" w:firstLine="0"/>
                    <w:jc w:val="center"/>
                    <w:textAlignment w:val="auto"/>
                    <w:rPr>
                      <w:rFonts w:cs="Times New Roman"/>
                      <w:sz w:val="21"/>
                    </w:rPr>
                  </w:pPr>
                  <w:r>
                    <w:rPr>
                      <w:rFonts w:cs="Times New Roman"/>
                      <w:sz w:val="21"/>
                    </w:rPr>
                    <w:t>18.5</w:t>
                  </w:r>
                </w:p>
              </w:tc>
              <w:tc>
                <w:tcPr>
                  <w:tcW w:w="202" w:type="pct"/>
                  <w:shd w:val="clear" w:color="auto" w:fill="FFFFFF"/>
                  <w:tcMar>
                    <w:top w:w="0" w:type="dxa"/>
                    <w:left w:w="0" w:type="dxa"/>
                    <w:bottom w:w="0" w:type="dxa"/>
                    <w:right w:w="0" w:type="dxa"/>
                  </w:tcMar>
                  <w:vAlign w:val="center"/>
                </w:tcPr>
                <w:p w14:paraId="500AE74D" w14:textId="77777777" w:rsidR="003C4F46" w:rsidRDefault="004B6A81">
                  <w:pPr>
                    <w:spacing w:line="240" w:lineRule="auto"/>
                    <w:ind w:firstLineChars="0" w:firstLine="0"/>
                    <w:jc w:val="center"/>
                    <w:textAlignment w:val="auto"/>
                    <w:rPr>
                      <w:rFonts w:cs="Times New Roman"/>
                      <w:sz w:val="21"/>
                    </w:rPr>
                  </w:pPr>
                  <w:r>
                    <w:rPr>
                      <w:rFonts w:cs="Times New Roman"/>
                      <w:sz w:val="21"/>
                    </w:rPr>
                    <w:t>19.5</w:t>
                  </w:r>
                </w:p>
              </w:tc>
              <w:tc>
                <w:tcPr>
                  <w:tcW w:w="202" w:type="pct"/>
                  <w:shd w:val="clear" w:color="auto" w:fill="FFFFFF"/>
                  <w:tcMar>
                    <w:top w:w="0" w:type="dxa"/>
                    <w:left w:w="0" w:type="dxa"/>
                    <w:bottom w:w="0" w:type="dxa"/>
                    <w:right w:w="0" w:type="dxa"/>
                  </w:tcMar>
                  <w:vAlign w:val="center"/>
                </w:tcPr>
                <w:p w14:paraId="4D58497E" w14:textId="77777777" w:rsidR="003C4F46" w:rsidRDefault="004B6A81">
                  <w:pPr>
                    <w:spacing w:line="240" w:lineRule="auto"/>
                    <w:ind w:firstLineChars="0" w:firstLine="0"/>
                    <w:jc w:val="center"/>
                    <w:textAlignment w:val="auto"/>
                    <w:rPr>
                      <w:rFonts w:cs="Times New Roman"/>
                      <w:sz w:val="21"/>
                    </w:rPr>
                  </w:pPr>
                  <w:r>
                    <w:rPr>
                      <w:rFonts w:cs="Times New Roman"/>
                      <w:sz w:val="21"/>
                    </w:rPr>
                    <w:t>14.5</w:t>
                  </w:r>
                </w:p>
              </w:tc>
              <w:tc>
                <w:tcPr>
                  <w:tcW w:w="213" w:type="pct"/>
                  <w:shd w:val="clear" w:color="auto" w:fill="FFFFFF"/>
                  <w:tcMar>
                    <w:top w:w="0" w:type="dxa"/>
                    <w:left w:w="0" w:type="dxa"/>
                    <w:bottom w:w="0" w:type="dxa"/>
                    <w:right w:w="0" w:type="dxa"/>
                  </w:tcMar>
                  <w:vAlign w:val="center"/>
                </w:tcPr>
                <w:p w14:paraId="4F083C6A" w14:textId="77777777" w:rsidR="003C4F46" w:rsidRDefault="004B6A81">
                  <w:pPr>
                    <w:spacing w:line="240" w:lineRule="auto"/>
                    <w:ind w:firstLineChars="0" w:firstLine="0"/>
                    <w:jc w:val="center"/>
                    <w:textAlignment w:val="auto"/>
                    <w:rPr>
                      <w:rFonts w:cs="Times New Roman"/>
                      <w:sz w:val="21"/>
                    </w:rPr>
                  </w:pPr>
                  <w:r>
                    <w:rPr>
                      <w:rFonts w:cs="Times New Roman"/>
                      <w:sz w:val="21"/>
                    </w:rPr>
                    <w:t>60.6</w:t>
                  </w:r>
                </w:p>
              </w:tc>
              <w:tc>
                <w:tcPr>
                  <w:tcW w:w="202" w:type="pct"/>
                  <w:shd w:val="clear" w:color="auto" w:fill="FFFFFF"/>
                  <w:tcMar>
                    <w:top w:w="0" w:type="dxa"/>
                    <w:left w:w="0" w:type="dxa"/>
                    <w:bottom w:w="0" w:type="dxa"/>
                    <w:right w:w="0" w:type="dxa"/>
                  </w:tcMar>
                  <w:vAlign w:val="center"/>
                </w:tcPr>
                <w:p w14:paraId="0A029FF4" w14:textId="77777777" w:rsidR="003C4F46" w:rsidRDefault="004B6A81">
                  <w:pPr>
                    <w:spacing w:line="240" w:lineRule="auto"/>
                    <w:ind w:firstLineChars="0" w:firstLine="0"/>
                    <w:jc w:val="center"/>
                    <w:textAlignment w:val="auto"/>
                    <w:rPr>
                      <w:rFonts w:cs="Times New Roman"/>
                      <w:sz w:val="21"/>
                    </w:rPr>
                  </w:pPr>
                  <w:r>
                    <w:rPr>
                      <w:rFonts w:cs="Times New Roman"/>
                      <w:sz w:val="21"/>
                    </w:rPr>
                    <w:t>60.6</w:t>
                  </w:r>
                </w:p>
              </w:tc>
              <w:tc>
                <w:tcPr>
                  <w:tcW w:w="202" w:type="pct"/>
                  <w:shd w:val="clear" w:color="auto" w:fill="FFFFFF"/>
                  <w:tcMar>
                    <w:top w:w="0" w:type="dxa"/>
                    <w:left w:w="0" w:type="dxa"/>
                    <w:bottom w:w="0" w:type="dxa"/>
                    <w:right w:w="0" w:type="dxa"/>
                  </w:tcMar>
                  <w:vAlign w:val="center"/>
                </w:tcPr>
                <w:p w14:paraId="21BF0745" w14:textId="77777777" w:rsidR="003C4F46" w:rsidRDefault="004B6A81">
                  <w:pPr>
                    <w:spacing w:line="240" w:lineRule="auto"/>
                    <w:ind w:firstLineChars="0" w:firstLine="0"/>
                    <w:jc w:val="center"/>
                    <w:textAlignment w:val="auto"/>
                    <w:rPr>
                      <w:rFonts w:cs="Times New Roman"/>
                      <w:sz w:val="21"/>
                    </w:rPr>
                  </w:pPr>
                  <w:r>
                    <w:rPr>
                      <w:rFonts w:cs="Times New Roman"/>
                      <w:sz w:val="21"/>
                    </w:rPr>
                    <w:t>60.6</w:t>
                  </w:r>
                </w:p>
              </w:tc>
              <w:tc>
                <w:tcPr>
                  <w:tcW w:w="202" w:type="pct"/>
                  <w:shd w:val="clear" w:color="auto" w:fill="FFFFFF"/>
                  <w:tcMar>
                    <w:top w:w="0" w:type="dxa"/>
                    <w:left w:w="0" w:type="dxa"/>
                    <w:bottom w:w="0" w:type="dxa"/>
                    <w:right w:w="0" w:type="dxa"/>
                  </w:tcMar>
                  <w:vAlign w:val="center"/>
                </w:tcPr>
                <w:p w14:paraId="38869B50" w14:textId="77777777" w:rsidR="003C4F46" w:rsidRDefault="004B6A81">
                  <w:pPr>
                    <w:spacing w:line="240" w:lineRule="auto"/>
                    <w:ind w:firstLineChars="0" w:firstLine="0"/>
                    <w:jc w:val="center"/>
                    <w:textAlignment w:val="auto"/>
                    <w:rPr>
                      <w:rFonts w:cs="Times New Roman"/>
                      <w:sz w:val="21"/>
                    </w:rPr>
                  </w:pPr>
                  <w:r>
                    <w:rPr>
                      <w:rFonts w:cs="Times New Roman"/>
                      <w:sz w:val="21"/>
                    </w:rPr>
                    <w:t>60.6</w:t>
                  </w:r>
                </w:p>
              </w:tc>
              <w:tc>
                <w:tcPr>
                  <w:tcW w:w="238" w:type="pct"/>
                  <w:shd w:val="clear" w:color="auto" w:fill="FFFFFF"/>
                  <w:tcMar>
                    <w:top w:w="0" w:type="dxa"/>
                    <w:left w:w="0" w:type="dxa"/>
                    <w:bottom w:w="0" w:type="dxa"/>
                    <w:right w:w="0" w:type="dxa"/>
                  </w:tcMar>
                  <w:vAlign w:val="center"/>
                </w:tcPr>
                <w:p w14:paraId="1F011D36"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间歇</w:t>
                  </w:r>
                </w:p>
              </w:tc>
              <w:tc>
                <w:tcPr>
                  <w:tcW w:w="213" w:type="pct"/>
                  <w:shd w:val="clear" w:color="auto" w:fill="FFFFFF"/>
                  <w:tcMar>
                    <w:top w:w="0" w:type="dxa"/>
                    <w:left w:w="0" w:type="dxa"/>
                    <w:bottom w:w="0" w:type="dxa"/>
                    <w:right w:w="0" w:type="dxa"/>
                  </w:tcMar>
                  <w:vAlign w:val="center"/>
                </w:tcPr>
                <w:p w14:paraId="08CA6F98"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02" w:type="pct"/>
                  <w:shd w:val="clear" w:color="auto" w:fill="FFFFFF"/>
                  <w:tcMar>
                    <w:top w:w="0" w:type="dxa"/>
                    <w:left w:w="0" w:type="dxa"/>
                    <w:bottom w:w="0" w:type="dxa"/>
                    <w:right w:w="0" w:type="dxa"/>
                  </w:tcMar>
                  <w:vAlign w:val="center"/>
                </w:tcPr>
                <w:p w14:paraId="5927DEED"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02" w:type="pct"/>
                  <w:shd w:val="clear" w:color="auto" w:fill="FFFFFF"/>
                  <w:tcMar>
                    <w:top w:w="0" w:type="dxa"/>
                    <w:left w:w="0" w:type="dxa"/>
                    <w:bottom w:w="0" w:type="dxa"/>
                    <w:right w:w="0" w:type="dxa"/>
                  </w:tcMar>
                  <w:vAlign w:val="center"/>
                </w:tcPr>
                <w:p w14:paraId="69A01997"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02" w:type="pct"/>
                  <w:shd w:val="clear" w:color="auto" w:fill="FFFFFF"/>
                  <w:tcMar>
                    <w:top w:w="0" w:type="dxa"/>
                    <w:left w:w="0" w:type="dxa"/>
                    <w:bottom w:w="0" w:type="dxa"/>
                    <w:right w:w="0" w:type="dxa"/>
                  </w:tcMar>
                  <w:vAlign w:val="center"/>
                </w:tcPr>
                <w:p w14:paraId="3E029A7C" w14:textId="77777777" w:rsidR="003C4F46" w:rsidRDefault="004B6A81">
                  <w:pPr>
                    <w:spacing w:line="240" w:lineRule="auto"/>
                    <w:ind w:firstLineChars="0" w:firstLine="0"/>
                    <w:jc w:val="center"/>
                    <w:textAlignment w:val="auto"/>
                    <w:rPr>
                      <w:rFonts w:cs="Times New Roman"/>
                      <w:sz w:val="21"/>
                    </w:rPr>
                  </w:pPr>
                  <w:r>
                    <w:rPr>
                      <w:rFonts w:cs="Times New Roman"/>
                      <w:sz w:val="21"/>
                    </w:rPr>
                    <w:t>26.0</w:t>
                  </w:r>
                </w:p>
              </w:tc>
              <w:tc>
                <w:tcPr>
                  <w:tcW w:w="213" w:type="pct"/>
                  <w:shd w:val="clear" w:color="auto" w:fill="FFFFFF"/>
                  <w:tcMar>
                    <w:top w:w="0" w:type="dxa"/>
                    <w:left w:w="0" w:type="dxa"/>
                    <w:bottom w:w="0" w:type="dxa"/>
                    <w:right w:w="0" w:type="dxa"/>
                  </w:tcMar>
                  <w:vAlign w:val="center"/>
                </w:tcPr>
                <w:p w14:paraId="04ED5EB8" w14:textId="77777777" w:rsidR="003C4F46" w:rsidRDefault="004B6A81">
                  <w:pPr>
                    <w:spacing w:line="240" w:lineRule="auto"/>
                    <w:ind w:firstLineChars="0" w:firstLine="0"/>
                    <w:jc w:val="center"/>
                    <w:textAlignment w:val="auto"/>
                    <w:rPr>
                      <w:rFonts w:cs="Times New Roman"/>
                      <w:sz w:val="21"/>
                    </w:rPr>
                  </w:pPr>
                  <w:r>
                    <w:rPr>
                      <w:rFonts w:cs="Times New Roman"/>
                      <w:sz w:val="21"/>
                    </w:rPr>
                    <w:t>34.6</w:t>
                  </w:r>
                </w:p>
              </w:tc>
              <w:tc>
                <w:tcPr>
                  <w:tcW w:w="202" w:type="pct"/>
                  <w:shd w:val="clear" w:color="auto" w:fill="FFFFFF"/>
                  <w:tcMar>
                    <w:top w:w="0" w:type="dxa"/>
                    <w:left w:w="0" w:type="dxa"/>
                    <w:bottom w:w="0" w:type="dxa"/>
                    <w:right w:w="0" w:type="dxa"/>
                  </w:tcMar>
                  <w:vAlign w:val="center"/>
                </w:tcPr>
                <w:p w14:paraId="215759E4" w14:textId="77777777" w:rsidR="003C4F46" w:rsidRDefault="004B6A81">
                  <w:pPr>
                    <w:spacing w:line="240" w:lineRule="auto"/>
                    <w:ind w:firstLineChars="0" w:firstLine="0"/>
                    <w:jc w:val="center"/>
                    <w:textAlignment w:val="auto"/>
                    <w:rPr>
                      <w:rFonts w:cs="Times New Roman"/>
                      <w:sz w:val="21"/>
                    </w:rPr>
                  </w:pPr>
                  <w:r>
                    <w:rPr>
                      <w:rFonts w:cs="Times New Roman"/>
                      <w:sz w:val="21"/>
                    </w:rPr>
                    <w:t>34.6</w:t>
                  </w:r>
                </w:p>
              </w:tc>
              <w:tc>
                <w:tcPr>
                  <w:tcW w:w="202" w:type="pct"/>
                  <w:shd w:val="clear" w:color="auto" w:fill="FFFFFF"/>
                  <w:tcMar>
                    <w:top w:w="0" w:type="dxa"/>
                    <w:left w:w="0" w:type="dxa"/>
                    <w:bottom w:w="0" w:type="dxa"/>
                    <w:right w:w="0" w:type="dxa"/>
                  </w:tcMar>
                  <w:vAlign w:val="center"/>
                </w:tcPr>
                <w:p w14:paraId="2F203747" w14:textId="77777777" w:rsidR="003C4F46" w:rsidRDefault="004B6A81">
                  <w:pPr>
                    <w:spacing w:line="240" w:lineRule="auto"/>
                    <w:ind w:firstLineChars="0" w:firstLine="0"/>
                    <w:jc w:val="center"/>
                    <w:textAlignment w:val="auto"/>
                    <w:rPr>
                      <w:rFonts w:cs="Times New Roman"/>
                      <w:sz w:val="21"/>
                    </w:rPr>
                  </w:pPr>
                  <w:r>
                    <w:rPr>
                      <w:rFonts w:cs="Times New Roman"/>
                      <w:sz w:val="21"/>
                    </w:rPr>
                    <w:t>34.6</w:t>
                  </w:r>
                </w:p>
              </w:tc>
              <w:tc>
                <w:tcPr>
                  <w:tcW w:w="202" w:type="pct"/>
                  <w:shd w:val="clear" w:color="auto" w:fill="FFFFFF"/>
                  <w:tcMar>
                    <w:top w:w="0" w:type="dxa"/>
                    <w:left w:w="0" w:type="dxa"/>
                    <w:bottom w:w="0" w:type="dxa"/>
                    <w:right w:w="0" w:type="dxa"/>
                  </w:tcMar>
                  <w:vAlign w:val="center"/>
                </w:tcPr>
                <w:p w14:paraId="01F56228" w14:textId="77777777" w:rsidR="003C4F46" w:rsidRDefault="004B6A81">
                  <w:pPr>
                    <w:spacing w:line="240" w:lineRule="auto"/>
                    <w:ind w:firstLineChars="0" w:firstLine="0"/>
                    <w:jc w:val="center"/>
                    <w:textAlignment w:val="auto"/>
                    <w:rPr>
                      <w:rFonts w:cs="Times New Roman"/>
                      <w:sz w:val="21"/>
                    </w:rPr>
                  </w:pPr>
                  <w:r>
                    <w:rPr>
                      <w:rFonts w:cs="Times New Roman"/>
                      <w:sz w:val="21"/>
                    </w:rPr>
                    <w:t>34.6</w:t>
                  </w:r>
                </w:p>
              </w:tc>
              <w:tc>
                <w:tcPr>
                  <w:tcW w:w="118" w:type="pct"/>
                  <w:shd w:val="clear" w:color="auto" w:fill="FFFFFF"/>
                  <w:tcMar>
                    <w:top w:w="0" w:type="dxa"/>
                    <w:left w:w="0" w:type="dxa"/>
                    <w:bottom w:w="0" w:type="dxa"/>
                    <w:right w:w="0" w:type="dxa"/>
                  </w:tcMar>
                  <w:vAlign w:val="center"/>
                </w:tcPr>
                <w:p w14:paraId="3DC35752" w14:textId="77777777" w:rsidR="003C4F46" w:rsidRDefault="004B6A81">
                  <w:pPr>
                    <w:spacing w:line="240" w:lineRule="auto"/>
                    <w:ind w:firstLineChars="0" w:firstLine="0"/>
                    <w:jc w:val="center"/>
                    <w:textAlignment w:val="auto"/>
                    <w:rPr>
                      <w:rFonts w:cs="Times New Roman"/>
                      <w:sz w:val="21"/>
                    </w:rPr>
                  </w:pPr>
                  <w:r>
                    <w:rPr>
                      <w:rFonts w:cs="Times New Roman"/>
                      <w:sz w:val="21"/>
                    </w:rPr>
                    <w:t>1</w:t>
                  </w:r>
                </w:p>
              </w:tc>
              <w:bookmarkEnd w:id="23"/>
            </w:tr>
          </w:tbl>
          <w:p w14:paraId="4E4F40F0" w14:textId="77777777" w:rsidR="003C4F46" w:rsidRDefault="004B6A81">
            <w:pPr>
              <w:spacing w:line="240" w:lineRule="auto"/>
              <w:ind w:firstLine="422"/>
              <w:jc w:val="center"/>
              <w:rPr>
                <w:rFonts w:cs="Times New Roman"/>
                <w:b/>
                <w:bCs/>
                <w:sz w:val="21"/>
                <w:szCs w:val="21"/>
              </w:rPr>
            </w:pPr>
            <w:r>
              <w:rPr>
                <w:rFonts w:cs="Times New Roman" w:hint="eastAsia"/>
                <w:b/>
                <w:bCs/>
                <w:sz w:val="21"/>
                <w:szCs w:val="21"/>
              </w:rPr>
              <w:t>表</w:t>
            </w:r>
            <w:r>
              <w:rPr>
                <w:rFonts w:cs="Times New Roman"/>
                <w:b/>
                <w:bCs/>
                <w:sz w:val="21"/>
                <w:szCs w:val="21"/>
              </w:rPr>
              <w:t xml:space="preserve">4-7  </w:t>
            </w:r>
            <w:r>
              <w:rPr>
                <w:rFonts w:cs="Times New Roman" w:hint="eastAsia"/>
                <w:b/>
                <w:bCs/>
                <w:sz w:val="21"/>
                <w:szCs w:val="21"/>
              </w:rPr>
              <w:t>工业企业噪声源强调查清单（室外声源）</w:t>
            </w:r>
            <w:bookmarkStart w:id="25" w:name="PT_5"/>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15"/>
              <w:gridCol w:w="744"/>
              <w:gridCol w:w="584"/>
              <w:gridCol w:w="580"/>
              <w:gridCol w:w="582"/>
              <w:gridCol w:w="3265"/>
              <w:gridCol w:w="1055"/>
              <w:gridCol w:w="1196"/>
            </w:tblGrid>
            <w:tr w:rsidR="003C4F46" w14:paraId="2DA3B3D6" w14:textId="77777777">
              <w:trPr>
                <w:trHeight w:val="20"/>
              </w:trPr>
              <w:tc>
                <w:tcPr>
                  <w:tcW w:w="310" w:type="pct"/>
                  <w:vMerge w:val="restart"/>
                  <w:vAlign w:val="center"/>
                </w:tcPr>
                <w:bookmarkEnd w:id="25"/>
                <w:p w14:paraId="517B0E8E"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序号</w:t>
                  </w:r>
                </w:p>
              </w:tc>
              <w:tc>
                <w:tcPr>
                  <w:tcW w:w="444" w:type="pct"/>
                  <w:vMerge w:val="restart"/>
                  <w:vAlign w:val="center"/>
                </w:tcPr>
                <w:p w14:paraId="78EA2F7B"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声源名称</w:t>
                  </w:r>
                </w:p>
              </w:tc>
              <w:tc>
                <w:tcPr>
                  <w:tcW w:w="988" w:type="pct"/>
                  <w:gridSpan w:val="3"/>
                  <w:vAlign w:val="center"/>
                </w:tcPr>
                <w:p w14:paraId="4B2C6FFA"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空间相对位置</w:t>
                  </w:r>
                  <w:r>
                    <w:rPr>
                      <w:rFonts w:cs="Times New Roman"/>
                      <w:sz w:val="21"/>
                    </w:rPr>
                    <w:t>/m</w:t>
                  </w:r>
                </w:p>
              </w:tc>
              <w:tc>
                <w:tcPr>
                  <w:tcW w:w="1923" w:type="pct"/>
                  <w:vAlign w:val="center"/>
                </w:tcPr>
                <w:p w14:paraId="02D0B20D"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声源源强</w:t>
                  </w:r>
                </w:p>
              </w:tc>
              <w:tc>
                <w:tcPr>
                  <w:tcW w:w="626" w:type="pct"/>
                  <w:vMerge w:val="restart"/>
                  <w:vAlign w:val="center"/>
                </w:tcPr>
                <w:p w14:paraId="1B4B433D"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声源控制措施</w:t>
                  </w:r>
                </w:p>
              </w:tc>
              <w:tc>
                <w:tcPr>
                  <w:tcW w:w="709" w:type="pct"/>
                  <w:vMerge w:val="restart"/>
                  <w:vAlign w:val="center"/>
                </w:tcPr>
                <w:p w14:paraId="315F3C93"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运行时段</w:t>
                  </w:r>
                </w:p>
              </w:tc>
            </w:tr>
            <w:tr w:rsidR="003C4F46" w14:paraId="22B3C5F1" w14:textId="77777777">
              <w:trPr>
                <w:trHeight w:val="20"/>
              </w:trPr>
              <w:tc>
                <w:tcPr>
                  <w:tcW w:w="310" w:type="pct"/>
                  <w:vMerge/>
                  <w:vAlign w:val="center"/>
                </w:tcPr>
                <w:p w14:paraId="7C36E9D0" w14:textId="77777777" w:rsidR="003C4F46" w:rsidRDefault="003C4F46">
                  <w:pPr>
                    <w:spacing w:line="240" w:lineRule="auto"/>
                    <w:ind w:firstLineChars="0" w:firstLine="0"/>
                    <w:jc w:val="center"/>
                    <w:textAlignment w:val="auto"/>
                    <w:rPr>
                      <w:rFonts w:cs="Times New Roman"/>
                      <w:sz w:val="21"/>
                    </w:rPr>
                  </w:pPr>
                </w:p>
              </w:tc>
              <w:tc>
                <w:tcPr>
                  <w:tcW w:w="444" w:type="pct"/>
                  <w:vMerge/>
                  <w:vAlign w:val="center"/>
                </w:tcPr>
                <w:p w14:paraId="61B4BEEE" w14:textId="77777777" w:rsidR="003C4F46" w:rsidRDefault="003C4F46">
                  <w:pPr>
                    <w:spacing w:line="240" w:lineRule="auto"/>
                    <w:ind w:firstLineChars="0" w:firstLine="0"/>
                    <w:jc w:val="center"/>
                    <w:textAlignment w:val="auto"/>
                    <w:rPr>
                      <w:rFonts w:cs="Times New Roman"/>
                      <w:sz w:val="21"/>
                    </w:rPr>
                  </w:pPr>
                </w:p>
              </w:tc>
              <w:tc>
                <w:tcPr>
                  <w:tcW w:w="291" w:type="pct"/>
                  <w:shd w:val="clear" w:color="auto" w:fill="FFFFFF"/>
                  <w:vAlign w:val="center"/>
                </w:tcPr>
                <w:p w14:paraId="6E0D9FBA" w14:textId="77777777" w:rsidR="003C4F46" w:rsidRDefault="004B6A81">
                  <w:pPr>
                    <w:spacing w:line="240" w:lineRule="auto"/>
                    <w:ind w:firstLineChars="0" w:firstLine="0"/>
                    <w:jc w:val="center"/>
                    <w:textAlignment w:val="auto"/>
                    <w:rPr>
                      <w:rFonts w:cs="Times New Roman"/>
                      <w:sz w:val="21"/>
                    </w:rPr>
                  </w:pPr>
                  <w:r>
                    <w:rPr>
                      <w:rFonts w:cs="Times New Roman"/>
                      <w:sz w:val="21"/>
                    </w:rPr>
                    <w:t>X</w:t>
                  </w:r>
                </w:p>
              </w:tc>
              <w:tc>
                <w:tcPr>
                  <w:tcW w:w="348" w:type="pct"/>
                  <w:shd w:val="clear" w:color="auto" w:fill="FFFFFF"/>
                  <w:vAlign w:val="center"/>
                </w:tcPr>
                <w:p w14:paraId="1BB598A9" w14:textId="77777777" w:rsidR="003C4F46" w:rsidRDefault="004B6A81">
                  <w:pPr>
                    <w:spacing w:line="240" w:lineRule="auto"/>
                    <w:ind w:firstLineChars="0" w:firstLine="0"/>
                    <w:jc w:val="center"/>
                    <w:textAlignment w:val="auto"/>
                    <w:rPr>
                      <w:rFonts w:cs="Times New Roman"/>
                      <w:sz w:val="21"/>
                    </w:rPr>
                  </w:pPr>
                  <w:r>
                    <w:rPr>
                      <w:rFonts w:cs="Times New Roman"/>
                      <w:sz w:val="21"/>
                    </w:rPr>
                    <w:t>Y</w:t>
                  </w:r>
                </w:p>
              </w:tc>
              <w:tc>
                <w:tcPr>
                  <w:tcW w:w="349" w:type="pct"/>
                  <w:shd w:val="clear" w:color="auto" w:fill="FFFFFF"/>
                  <w:vAlign w:val="center"/>
                </w:tcPr>
                <w:p w14:paraId="20AE4910" w14:textId="77777777" w:rsidR="003C4F46" w:rsidRDefault="004B6A81">
                  <w:pPr>
                    <w:spacing w:line="240" w:lineRule="auto"/>
                    <w:ind w:firstLineChars="0" w:firstLine="0"/>
                    <w:jc w:val="center"/>
                    <w:textAlignment w:val="auto"/>
                    <w:rPr>
                      <w:rFonts w:cs="Times New Roman"/>
                      <w:sz w:val="21"/>
                    </w:rPr>
                  </w:pPr>
                  <w:r>
                    <w:rPr>
                      <w:rFonts w:cs="Times New Roman"/>
                      <w:sz w:val="21"/>
                    </w:rPr>
                    <w:t>Z</w:t>
                  </w:r>
                </w:p>
              </w:tc>
              <w:tc>
                <w:tcPr>
                  <w:tcW w:w="1923" w:type="pct"/>
                  <w:shd w:val="clear" w:color="auto" w:fill="FFFFFF"/>
                  <w:vAlign w:val="center"/>
                </w:tcPr>
                <w:p w14:paraId="5935B118"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声功率级</w:t>
                  </w:r>
                  <w:r>
                    <w:rPr>
                      <w:rFonts w:cs="Times New Roman"/>
                      <w:sz w:val="21"/>
                    </w:rPr>
                    <w:t>/dB(A)</w:t>
                  </w:r>
                </w:p>
              </w:tc>
              <w:tc>
                <w:tcPr>
                  <w:tcW w:w="626" w:type="pct"/>
                  <w:vMerge/>
                  <w:vAlign w:val="center"/>
                </w:tcPr>
                <w:p w14:paraId="7BD7CE17" w14:textId="77777777" w:rsidR="003C4F46" w:rsidRDefault="003C4F46">
                  <w:pPr>
                    <w:spacing w:line="240" w:lineRule="auto"/>
                    <w:ind w:firstLineChars="0" w:firstLine="0"/>
                    <w:jc w:val="center"/>
                    <w:textAlignment w:val="auto"/>
                    <w:rPr>
                      <w:rFonts w:cs="Times New Roman"/>
                      <w:sz w:val="21"/>
                    </w:rPr>
                  </w:pPr>
                </w:p>
              </w:tc>
              <w:tc>
                <w:tcPr>
                  <w:tcW w:w="709" w:type="pct"/>
                  <w:vMerge/>
                  <w:vAlign w:val="center"/>
                </w:tcPr>
                <w:p w14:paraId="210A4989" w14:textId="77777777" w:rsidR="003C4F46" w:rsidRDefault="003C4F46">
                  <w:pPr>
                    <w:spacing w:line="240" w:lineRule="auto"/>
                    <w:ind w:firstLineChars="0" w:firstLine="0"/>
                    <w:jc w:val="center"/>
                    <w:textAlignment w:val="auto"/>
                    <w:rPr>
                      <w:rFonts w:cs="Times New Roman"/>
                      <w:sz w:val="21"/>
                    </w:rPr>
                  </w:pPr>
                </w:p>
              </w:tc>
            </w:tr>
            <w:tr w:rsidR="003C4F46" w14:paraId="783E4F91" w14:textId="77777777">
              <w:trPr>
                <w:trHeight w:val="652"/>
              </w:trPr>
              <w:tc>
                <w:tcPr>
                  <w:tcW w:w="310" w:type="pct"/>
                  <w:shd w:val="clear" w:color="auto" w:fill="FFFFFF"/>
                  <w:vAlign w:val="center"/>
                </w:tcPr>
                <w:p w14:paraId="65BD78BA" w14:textId="77777777" w:rsidR="003C4F46" w:rsidRDefault="004B6A81">
                  <w:pPr>
                    <w:spacing w:line="240" w:lineRule="auto"/>
                    <w:ind w:firstLineChars="0" w:firstLine="0"/>
                    <w:jc w:val="center"/>
                    <w:textAlignment w:val="auto"/>
                    <w:rPr>
                      <w:rFonts w:cs="Times New Roman"/>
                      <w:sz w:val="21"/>
                    </w:rPr>
                  </w:pPr>
                  <w:r>
                    <w:rPr>
                      <w:rFonts w:cs="Times New Roman"/>
                      <w:sz w:val="21"/>
                    </w:rPr>
                    <w:lastRenderedPageBreak/>
                    <w:t>1</w:t>
                  </w:r>
                </w:p>
              </w:tc>
              <w:tc>
                <w:tcPr>
                  <w:tcW w:w="444" w:type="pct"/>
                  <w:shd w:val="clear" w:color="auto" w:fill="FFFFFF"/>
                  <w:vAlign w:val="center"/>
                </w:tcPr>
                <w:p w14:paraId="30CD7108"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运输车辆</w:t>
                  </w:r>
                </w:p>
              </w:tc>
              <w:tc>
                <w:tcPr>
                  <w:tcW w:w="291" w:type="pct"/>
                  <w:shd w:val="clear" w:color="auto" w:fill="FFFFFF"/>
                  <w:vAlign w:val="center"/>
                </w:tcPr>
                <w:p w14:paraId="5476043D" w14:textId="77777777" w:rsidR="003C4F46" w:rsidRDefault="004B6A81">
                  <w:pPr>
                    <w:spacing w:line="240" w:lineRule="auto"/>
                    <w:ind w:firstLineChars="0" w:firstLine="0"/>
                    <w:jc w:val="center"/>
                    <w:textAlignment w:val="auto"/>
                    <w:rPr>
                      <w:rFonts w:cs="Times New Roman"/>
                      <w:sz w:val="21"/>
                    </w:rPr>
                  </w:pPr>
                  <w:r>
                    <w:rPr>
                      <w:rFonts w:cs="Times New Roman"/>
                      <w:sz w:val="21"/>
                    </w:rPr>
                    <w:t>-25.5</w:t>
                  </w:r>
                </w:p>
              </w:tc>
              <w:tc>
                <w:tcPr>
                  <w:tcW w:w="348" w:type="pct"/>
                  <w:shd w:val="clear" w:color="auto" w:fill="FFFFFF"/>
                  <w:vAlign w:val="center"/>
                </w:tcPr>
                <w:p w14:paraId="4E8D8B2D" w14:textId="77777777" w:rsidR="003C4F46" w:rsidRDefault="004B6A81">
                  <w:pPr>
                    <w:spacing w:line="240" w:lineRule="auto"/>
                    <w:ind w:firstLineChars="0" w:firstLine="0"/>
                    <w:jc w:val="center"/>
                    <w:textAlignment w:val="auto"/>
                    <w:rPr>
                      <w:rFonts w:cs="Times New Roman"/>
                      <w:sz w:val="21"/>
                    </w:rPr>
                  </w:pPr>
                  <w:r>
                    <w:rPr>
                      <w:rFonts w:cs="Times New Roman"/>
                      <w:sz w:val="21"/>
                    </w:rPr>
                    <w:t>-3.7</w:t>
                  </w:r>
                </w:p>
              </w:tc>
              <w:tc>
                <w:tcPr>
                  <w:tcW w:w="349" w:type="pct"/>
                  <w:shd w:val="clear" w:color="auto" w:fill="FFFFFF"/>
                  <w:vAlign w:val="center"/>
                </w:tcPr>
                <w:p w14:paraId="27211038" w14:textId="77777777" w:rsidR="003C4F46" w:rsidRDefault="004B6A81">
                  <w:pPr>
                    <w:spacing w:line="240" w:lineRule="auto"/>
                    <w:ind w:firstLineChars="0" w:firstLine="0"/>
                    <w:jc w:val="center"/>
                    <w:textAlignment w:val="auto"/>
                    <w:rPr>
                      <w:rFonts w:cs="Times New Roman"/>
                      <w:sz w:val="21"/>
                    </w:rPr>
                  </w:pPr>
                  <w:r>
                    <w:rPr>
                      <w:rFonts w:cs="Times New Roman"/>
                      <w:sz w:val="21"/>
                    </w:rPr>
                    <w:t>1.2</w:t>
                  </w:r>
                </w:p>
              </w:tc>
              <w:tc>
                <w:tcPr>
                  <w:tcW w:w="1923" w:type="pct"/>
                  <w:shd w:val="clear" w:color="auto" w:fill="FFFFFF"/>
                  <w:vAlign w:val="center"/>
                </w:tcPr>
                <w:p w14:paraId="3A780A23" w14:textId="77777777" w:rsidR="003C4F46" w:rsidRDefault="004B6A81">
                  <w:pPr>
                    <w:spacing w:line="240" w:lineRule="auto"/>
                    <w:ind w:firstLineChars="0" w:firstLine="0"/>
                    <w:jc w:val="center"/>
                    <w:textAlignment w:val="auto"/>
                    <w:rPr>
                      <w:rFonts w:cs="Times New Roman"/>
                      <w:sz w:val="21"/>
                    </w:rPr>
                  </w:pPr>
                  <w:r>
                    <w:rPr>
                      <w:rFonts w:cs="Times New Roman"/>
                      <w:sz w:val="21"/>
                    </w:rPr>
                    <w:t>85</w:t>
                  </w:r>
                </w:p>
              </w:tc>
              <w:tc>
                <w:tcPr>
                  <w:tcW w:w="626" w:type="pct"/>
                  <w:shd w:val="clear" w:color="auto" w:fill="FFFFFF"/>
                  <w:vAlign w:val="center"/>
                </w:tcPr>
                <w:p w14:paraId="2A29B9BB"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控制车速、定期保养</w:t>
                  </w:r>
                </w:p>
              </w:tc>
              <w:tc>
                <w:tcPr>
                  <w:tcW w:w="709" w:type="pct"/>
                  <w:shd w:val="clear" w:color="auto" w:fill="FFFFFF"/>
                  <w:vAlign w:val="center"/>
                </w:tcPr>
                <w:p w14:paraId="1DC70CAF" w14:textId="77777777" w:rsidR="003C4F46" w:rsidRDefault="004B6A81">
                  <w:pPr>
                    <w:spacing w:line="240" w:lineRule="auto"/>
                    <w:ind w:firstLineChars="0" w:firstLine="0"/>
                    <w:jc w:val="center"/>
                    <w:textAlignment w:val="auto"/>
                    <w:rPr>
                      <w:rFonts w:cs="Times New Roman"/>
                      <w:sz w:val="21"/>
                    </w:rPr>
                  </w:pPr>
                  <w:r>
                    <w:rPr>
                      <w:rFonts w:cs="Times New Roman" w:hint="eastAsia"/>
                      <w:sz w:val="21"/>
                    </w:rPr>
                    <w:t>间歇</w:t>
                  </w:r>
                </w:p>
              </w:tc>
            </w:tr>
          </w:tbl>
          <w:p w14:paraId="097F5E26" w14:textId="77777777" w:rsidR="003C4F46" w:rsidRDefault="004B6A81">
            <w:pPr>
              <w:pStyle w:val="af"/>
              <w:numPr>
                <w:ilvl w:val="0"/>
                <w:numId w:val="5"/>
              </w:numPr>
              <w:spacing w:line="360" w:lineRule="auto"/>
              <w:ind w:firstLine="480"/>
              <w:jc w:val="both"/>
              <w:rPr>
                <w:sz w:val="24"/>
                <w:szCs w:val="24"/>
                <w:lang w:bidi="ar"/>
              </w:rPr>
            </w:pPr>
            <w:r>
              <w:rPr>
                <w:sz w:val="24"/>
                <w:szCs w:val="24"/>
                <w:lang w:bidi="ar"/>
              </w:rPr>
              <w:t>预测模式</w:t>
            </w:r>
          </w:p>
          <w:p w14:paraId="448E9AFA" w14:textId="77777777" w:rsidR="000228A3" w:rsidRPr="000228A3" w:rsidRDefault="004B6A81" w:rsidP="000228A3">
            <w:pPr>
              <w:widowControl/>
              <w:ind w:firstLine="480"/>
              <w:jc w:val="left"/>
              <w:rPr>
                <w:rFonts w:cs="Times New Roman"/>
                <w:bCs/>
              </w:rPr>
            </w:pPr>
            <w:r>
              <w:rPr>
                <w:rFonts w:hint="eastAsia"/>
              </w:rPr>
              <w:t>为判定营运期厂界噪声达标情况，根据项目建设内容及《环境影响评价技术导则—声环境》（</w:t>
            </w:r>
            <w:r>
              <w:rPr>
                <w:rFonts w:hint="eastAsia"/>
              </w:rPr>
              <w:t>HJ2.4-2021</w:t>
            </w:r>
            <w:r>
              <w:rPr>
                <w:rFonts w:hint="eastAsia"/>
              </w:rPr>
              <w:t>）的要求，项目环评采用的模型为《环境影响评价技术导则</w:t>
            </w:r>
            <w:r>
              <w:rPr>
                <w:rFonts w:hint="eastAsia"/>
              </w:rPr>
              <w:t xml:space="preserve"> </w:t>
            </w:r>
            <w:r>
              <w:rPr>
                <w:rFonts w:hint="eastAsia"/>
              </w:rPr>
              <w:t>声环境》（</w:t>
            </w:r>
            <w:r>
              <w:rPr>
                <w:rFonts w:hint="eastAsia"/>
              </w:rPr>
              <w:t>HJ2.4.2021</w:t>
            </w:r>
            <w:r>
              <w:rPr>
                <w:rFonts w:hint="eastAsia"/>
              </w:rPr>
              <w:t>）附录</w:t>
            </w:r>
            <w:r>
              <w:rPr>
                <w:rFonts w:hint="eastAsia"/>
              </w:rPr>
              <w:t>A</w:t>
            </w:r>
            <w:r>
              <w:rPr>
                <w:rFonts w:hint="eastAsia"/>
              </w:rPr>
              <w:t>（规范性附录）户外声传播的衰减和附录</w:t>
            </w:r>
            <w:r>
              <w:rPr>
                <w:rFonts w:hint="eastAsia"/>
              </w:rPr>
              <w:t>B</w:t>
            </w:r>
            <w:r>
              <w:rPr>
                <w:rFonts w:hint="eastAsia"/>
              </w:rPr>
              <w:t>（规范性附录）中“</w:t>
            </w:r>
            <w:r>
              <w:rPr>
                <w:rFonts w:hint="eastAsia"/>
              </w:rPr>
              <w:t>B.1</w:t>
            </w:r>
            <w:r>
              <w:rPr>
                <w:rFonts w:hint="eastAsia"/>
              </w:rPr>
              <w:t>工业噪声预测计算模</w:t>
            </w:r>
            <w:r w:rsidRPr="000228A3">
              <w:rPr>
                <w:rFonts w:cs="Times New Roman" w:hint="eastAsia"/>
                <w:bCs/>
              </w:rPr>
              <w:t>型”</w:t>
            </w:r>
          </w:p>
          <w:p w14:paraId="491FF25D" w14:textId="55AC0D7F" w:rsidR="003C4F46" w:rsidRPr="000228A3" w:rsidRDefault="004B6A81" w:rsidP="000228A3">
            <w:pPr>
              <w:widowControl/>
              <w:ind w:firstLine="480"/>
              <w:jc w:val="left"/>
              <w:rPr>
                <w:rFonts w:cs="Times New Roman"/>
                <w:bCs/>
              </w:rPr>
            </w:pPr>
            <w:r w:rsidRPr="000228A3">
              <w:rPr>
                <w:rFonts w:cs="Times New Roman" w:hint="eastAsia"/>
                <w:bCs/>
              </w:rPr>
              <w:t>对室外噪声源主要考虑噪声的几何发散衰减及</w:t>
            </w:r>
            <w:bookmarkStart w:id="26" w:name="OLE_LINK4"/>
            <w:r w:rsidRPr="000228A3">
              <w:rPr>
                <w:rFonts w:cs="Times New Roman" w:hint="eastAsia"/>
                <w:bCs/>
              </w:rPr>
              <w:t>环境因</w:t>
            </w:r>
            <w:bookmarkEnd w:id="26"/>
            <w:r w:rsidRPr="000228A3">
              <w:rPr>
                <w:rFonts w:cs="Times New Roman" w:hint="eastAsia"/>
                <w:bCs/>
              </w:rPr>
              <w:t>素衰减：</w:t>
            </w:r>
          </w:p>
          <w:p w14:paraId="69A1C84D" w14:textId="77777777" w:rsidR="003C4F46" w:rsidRDefault="004B6A81">
            <w:pPr>
              <w:widowControl/>
              <w:ind w:firstLineChars="207" w:firstLine="497"/>
              <w:jc w:val="center"/>
            </w:pPr>
            <w:r>
              <w:rPr>
                <w:rFonts w:hint="eastAsia"/>
              </w:rPr>
              <w:t>LA</w:t>
            </w:r>
            <w:r>
              <w:rPr>
                <w:rFonts w:hint="eastAsia"/>
              </w:rPr>
              <w:t>（</w:t>
            </w:r>
            <w:r>
              <w:rPr>
                <w:rFonts w:hint="eastAsia"/>
              </w:rPr>
              <w:t>r</w:t>
            </w:r>
            <w:r>
              <w:rPr>
                <w:rFonts w:hint="eastAsia"/>
              </w:rPr>
              <w:t>）</w:t>
            </w:r>
            <w:r>
              <w:rPr>
                <w:rFonts w:hint="eastAsia"/>
              </w:rPr>
              <w:t>=LA</w:t>
            </w:r>
            <w:r>
              <w:rPr>
                <w:rFonts w:hint="eastAsia"/>
              </w:rPr>
              <w:t>（</w:t>
            </w:r>
            <w:r>
              <w:rPr>
                <w:rFonts w:hint="eastAsia"/>
              </w:rPr>
              <w:t>r0</w:t>
            </w:r>
            <w:r>
              <w:rPr>
                <w:rFonts w:hint="eastAsia"/>
              </w:rPr>
              <w:t>）</w:t>
            </w:r>
            <w:r>
              <w:rPr>
                <w:rFonts w:hint="eastAsia"/>
              </w:rPr>
              <w:t>-20lg</w:t>
            </w:r>
            <w:r>
              <w:rPr>
                <w:rFonts w:hint="eastAsia"/>
              </w:rPr>
              <w:t>（</w:t>
            </w:r>
            <w:r>
              <w:rPr>
                <w:rFonts w:hint="eastAsia"/>
              </w:rPr>
              <w:t>r/r0</w:t>
            </w:r>
            <w:r>
              <w:rPr>
                <w:rFonts w:hint="eastAsia"/>
              </w:rPr>
              <w:t>）</w:t>
            </w:r>
          </w:p>
          <w:p w14:paraId="7E8E2F19" w14:textId="77777777" w:rsidR="003C4F46" w:rsidRDefault="004B6A81">
            <w:pPr>
              <w:widowControl/>
              <w:ind w:firstLineChars="207" w:firstLine="497"/>
            </w:pPr>
            <w:r>
              <w:rPr>
                <w:rFonts w:hint="eastAsia"/>
              </w:rPr>
              <w:t>式中：</w:t>
            </w:r>
            <w:r>
              <w:rPr>
                <w:rFonts w:hint="eastAsia"/>
              </w:rPr>
              <w:t>r</w:t>
            </w:r>
            <w:r>
              <w:rPr>
                <w:rFonts w:hint="eastAsia"/>
              </w:rPr>
              <w:t>，</w:t>
            </w:r>
            <w:r>
              <w:rPr>
                <w:rFonts w:hint="eastAsia"/>
              </w:rPr>
              <w:t>r0</w:t>
            </w:r>
            <w:r>
              <w:rPr>
                <w:rFonts w:hint="eastAsia"/>
              </w:rPr>
              <w:t>——</w:t>
            </w:r>
            <w:bookmarkStart w:id="27" w:name="OLE_LINK5"/>
            <w:r>
              <w:rPr>
                <w:rFonts w:hint="eastAsia"/>
              </w:rPr>
              <w:t>分别为距声源的距离</w:t>
            </w:r>
            <w:bookmarkEnd w:id="27"/>
            <w:r>
              <w:rPr>
                <w:rFonts w:hint="eastAsia"/>
              </w:rPr>
              <w:t>，</w:t>
            </w:r>
            <w:r>
              <w:rPr>
                <w:rFonts w:hint="eastAsia"/>
              </w:rPr>
              <w:t>m</w:t>
            </w:r>
            <w:r>
              <w:rPr>
                <w:rFonts w:hint="eastAsia"/>
              </w:rPr>
              <w:t>；</w:t>
            </w:r>
          </w:p>
          <w:p w14:paraId="2FB1DF53" w14:textId="77777777" w:rsidR="003C4F46" w:rsidRDefault="004B6A81">
            <w:pPr>
              <w:widowControl/>
              <w:ind w:firstLineChars="507" w:firstLine="1217"/>
            </w:pPr>
            <w:r>
              <w:rPr>
                <w:rFonts w:hint="eastAsia"/>
              </w:rPr>
              <w:t>L</w:t>
            </w:r>
            <w:r>
              <w:rPr>
                <w:rFonts w:hint="eastAsia"/>
              </w:rPr>
              <w:t>（</w:t>
            </w:r>
            <w:r>
              <w:rPr>
                <w:rFonts w:hint="eastAsia"/>
              </w:rPr>
              <w:t>r</w:t>
            </w:r>
            <w:r>
              <w:rPr>
                <w:rFonts w:hint="eastAsia"/>
              </w:rPr>
              <w:t>），</w:t>
            </w:r>
            <w:r>
              <w:rPr>
                <w:rFonts w:hint="eastAsia"/>
              </w:rPr>
              <w:t>LA</w:t>
            </w:r>
            <w:r>
              <w:rPr>
                <w:rFonts w:hint="eastAsia"/>
              </w:rPr>
              <w:t>（</w:t>
            </w:r>
            <w:r>
              <w:rPr>
                <w:rFonts w:hint="eastAsia"/>
              </w:rPr>
              <w:t>r0</w:t>
            </w:r>
            <w:r>
              <w:rPr>
                <w:rFonts w:hint="eastAsia"/>
              </w:rPr>
              <w:t>）——分别为</w:t>
            </w:r>
            <w:r>
              <w:rPr>
                <w:rFonts w:hint="eastAsia"/>
              </w:rPr>
              <w:t>r</w:t>
            </w:r>
            <w:r>
              <w:rPr>
                <w:rFonts w:hint="eastAsia"/>
              </w:rPr>
              <w:t>与</w:t>
            </w:r>
            <w:r>
              <w:rPr>
                <w:rFonts w:hint="eastAsia"/>
              </w:rPr>
              <w:t>r0</w:t>
            </w:r>
            <w:r>
              <w:rPr>
                <w:rFonts w:hint="eastAsia"/>
              </w:rPr>
              <w:t>处的等效声级，</w:t>
            </w:r>
            <w:r>
              <w:rPr>
                <w:rFonts w:hint="eastAsia"/>
              </w:rPr>
              <w:t>dB</w:t>
            </w:r>
            <w:r>
              <w:rPr>
                <w:rFonts w:hint="eastAsia"/>
              </w:rPr>
              <w:t>（</w:t>
            </w:r>
            <w:r>
              <w:rPr>
                <w:rFonts w:hint="eastAsia"/>
              </w:rPr>
              <w:t>A</w:t>
            </w:r>
            <w:r>
              <w:rPr>
                <w:rFonts w:hint="eastAsia"/>
              </w:rPr>
              <w:t>）。</w:t>
            </w:r>
          </w:p>
          <w:p w14:paraId="55D135C3" w14:textId="77777777" w:rsidR="003C4F46" w:rsidRDefault="004B6A81">
            <w:pPr>
              <w:pStyle w:val="af"/>
              <w:spacing w:line="360" w:lineRule="auto"/>
              <w:ind w:firstLine="480"/>
              <w:jc w:val="both"/>
              <w:rPr>
                <w:snapToGrid w:val="0"/>
                <w:kern w:val="0"/>
                <w:sz w:val="24"/>
                <w:szCs w:val="22"/>
              </w:rPr>
            </w:pPr>
            <w:r>
              <w:rPr>
                <w:snapToGrid w:val="0"/>
                <w:kern w:val="0"/>
                <w:sz w:val="24"/>
                <w:szCs w:val="22"/>
              </w:rPr>
              <w:t>对室内噪声源采用室内声源噪声模式并换算成等效的室外声源：</w:t>
            </w:r>
          </w:p>
          <w:p w14:paraId="56086609" w14:textId="77777777" w:rsidR="003C4F46" w:rsidRDefault="004B6A81">
            <w:pPr>
              <w:widowControl/>
              <w:ind w:left="420" w:firstLine="480"/>
              <w:rPr>
                <w:rFonts w:cs="Times New Roman"/>
                <w:bCs/>
                <w:szCs w:val="21"/>
              </w:rPr>
            </w:pPr>
            <w:r>
              <w:rPr>
                <w:rFonts w:cs="Times New Roman" w:hint="eastAsia"/>
                <w:szCs w:val="21"/>
              </w:rPr>
              <w:t xml:space="preserve">                 </w:t>
            </w:r>
            <w:r>
              <w:rPr>
                <w:rFonts w:cs="Times New Roman"/>
                <w:noProof/>
                <w:szCs w:val="21"/>
              </w:rPr>
              <w:drawing>
                <wp:inline distT="0" distB="0" distL="0" distR="0" wp14:anchorId="253FC8BE" wp14:editId="1B04E67C">
                  <wp:extent cx="1590675" cy="390525"/>
                  <wp:effectExtent l="0" t="0" r="952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590675" cy="390525"/>
                          </a:xfrm>
                          <a:prstGeom prst="rect">
                            <a:avLst/>
                          </a:prstGeom>
                          <a:noFill/>
                          <a:ln>
                            <a:noFill/>
                          </a:ln>
                        </pic:spPr>
                      </pic:pic>
                    </a:graphicData>
                  </a:graphic>
                </wp:inline>
              </w:drawing>
            </w:r>
          </w:p>
          <w:p w14:paraId="1B3F4C33" w14:textId="77777777" w:rsidR="003C4F46" w:rsidRDefault="004B6A81">
            <w:pPr>
              <w:widowControl/>
              <w:ind w:firstLineChars="100" w:firstLine="240"/>
              <w:jc w:val="center"/>
              <w:rPr>
                <w:rFonts w:cs="Times New Roman"/>
                <w:bCs/>
                <w:szCs w:val="21"/>
              </w:rPr>
            </w:pPr>
            <w:r>
              <w:rPr>
                <w:rFonts w:cs="Times New Roman"/>
                <w:noProof/>
                <w:szCs w:val="21"/>
              </w:rPr>
              <w:drawing>
                <wp:inline distT="0" distB="0" distL="0" distR="0" wp14:anchorId="260AE523" wp14:editId="0B052B23">
                  <wp:extent cx="1638300" cy="22860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638300" cy="228600"/>
                          </a:xfrm>
                          <a:prstGeom prst="rect">
                            <a:avLst/>
                          </a:prstGeom>
                          <a:noFill/>
                          <a:ln>
                            <a:noFill/>
                          </a:ln>
                        </pic:spPr>
                      </pic:pic>
                    </a:graphicData>
                  </a:graphic>
                </wp:inline>
              </w:drawing>
            </w:r>
          </w:p>
          <w:p w14:paraId="665B0DB4" w14:textId="77777777" w:rsidR="003C4F46" w:rsidRDefault="004B6A81">
            <w:pPr>
              <w:widowControl/>
              <w:ind w:firstLine="480"/>
              <w:jc w:val="left"/>
              <w:rPr>
                <w:rFonts w:cs="Times New Roman"/>
                <w:bCs/>
              </w:rPr>
            </w:pPr>
            <w:r>
              <w:rPr>
                <w:rFonts w:cs="Times New Roman"/>
                <w:bCs/>
              </w:rPr>
              <w:t>式中：</w:t>
            </w:r>
            <w:r>
              <w:rPr>
                <w:rFonts w:cs="Times New Roman"/>
                <w:bCs/>
              </w:rPr>
              <w:t>Ln——</w:t>
            </w:r>
            <w:r>
              <w:rPr>
                <w:rFonts w:cs="Times New Roman"/>
                <w:bCs/>
              </w:rPr>
              <w:t>室内靠近围护结构处产生的声压级，</w:t>
            </w:r>
            <w:r>
              <w:rPr>
                <w:rFonts w:cs="Times New Roman"/>
                <w:bCs/>
              </w:rPr>
              <w:t>dB</w:t>
            </w:r>
            <w:r>
              <w:rPr>
                <w:rFonts w:cs="Times New Roman"/>
                <w:bCs/>
              </w:rPr>
              <w:t>；</w:t>
            </w:r>
          </w:p>
          <w:p w14:paraId="4E298FAD" w14:textId="77777777" w:rsidR="003C4F46" w:rsidRDefault="004B6A81">
            <w:pPr>
              <w:widowControl/>
              <w:ind w:firstLineChars="500" w:firstLine="1200"/>
              <w:jc w:val="left"/>
              <w:rPr>
                <w:rFonts w:cs="Times New Roman"/>
                <w:bCs/>
              </w:rPr>
            </w:pPr>
            <w:r>
              <w:rPr>
                <w:rFonts w:cs="Times New Roman"/>
                <w:bCs/>
              </w:rPr>
              <w:t>L</w:t>
            </w:r>
            <w:r>
              <w:rPr>
                <w:rFonts w:cs="Times New Roman"/>
                <w:bCs/>
                <w:vertAlign w:val="subscript"/>
              </w:rPr>
              <w:t>W</w:t>
            </w:r>
            <w:r>
              <w:rPr>
                <w:rFonts w:cs="Times New Roman"/>
                <w:bCs/>
              </w:rPr>
              <w:t>——</w:t>
            </w:r>
            <w:r>
              <w:rPr>
                <w:rFonts w:cs="Times New Roman"/>
                <w:bCs/>
              </w:rPr>
              <w:t>室外靠近围护结构处产生的声压级，</w:t>
            </w:r>
            <w:r>
              <w:rPr>
                <w:rFonts w:cs="Times New Roman"/>
                <w:bCs/>
              </w:rPr>
              <w:t>dB</w:t>
            </w:r>
            <w:r>
              <w:rPr>
                <w:rFonts w:cs="Times New Roman"/>
                <w:bCs/>
              </w:rPr>
              <w:t>；</w:t>
            </w:r>
          </w:p>
          <w:p w14:paraId="2B79BF28" w14:textId="77777777" w:rsidR="003C4F46" w:rsidRDefault="004B6A81">
            <w:pPr>
              <w:widowControl/>
              <w:ind w:firstLineChars="500" w:firstLine="1200"/>
              <w:jc w:val="left"/>
              <w:rPr>
                <w:rFonts w:cs="Times New Roman"/>
                <w:bCs/>
              </w:rPr>
            </w:pPr>
            <w:r>
              <w:rPr>
                <w:rFonts w:cs="Times New Roman"/>
                <w:bCs/>
              </w:rPr>
              <w:t>Le——</w:t>
            </w:r>
            <w:r>
              <w:rPr>
                <w:rFonts w:cs="Times New Roman"/>
                <w:bCs/>
              </w:rPr>
              <w:t>声源的声压级，</w:t>
            </w:r>
            <w:r>
              <w:rPr>
                <w:rFonts w:cs="Times New Roman"/>
                <w:bCs/>
              </w:rPr>
              <w:t>dB</w:t>
            </w:r>
          </w:p>
          <w:p w14:paraId="78A73D2A" w14:textId="77777777" w:rsidR="003C4F46" w:rsidRDefault="004B6A81">
            <w:pPr>
              <w:widowControl/>
              <w:ind w:firstLineChars="500" w:firstLine="1200"/>
              <w:jc w:val="left"/>
              <w:rPr>
                <w:rFonts w:cs="Times New Roman"/>
                <w:bCs/>
              </w:rPr>
            </w:pPr>
            <w:r>
              <w:rPr>
                <w:rFonts w:cs="Times New Roman"/>
                <w:bCs/>
              </w:rPr>
              <w:t>r——</w:t>
            </w:r>
            <w:r>
              <w:rPr>
                <w:rFonts w:cs="Times New Roman"/>
                <w:bCs/>
              </w:rPr>
              <w:t>声源与室内靠近围护结构处的距离，</w:t>
            </w:r>
            <w:r>
              <w:rPr>
                <w:rFonts w:cs="Times New Roman"/>
                <w:bCs/>
              </w:rPr>
              <w:t>m</w:t>
            </w:r>
            <w:r>
              <w:rPr>
                <w:rFonts w:cs="Times New Roman"/>
                <w:bCs/>
              </w:rPr>
              <w:t>；</w:t>
            </w:r>
          </w:p>
          <w:p w14:paraId="42E27A14" w14:textId="77777777" w:rsidR="003C4F46" w:rsidRDefault="004B6A81">
            <w:pPr>
              <w:widowControl/>
              <w:ind w:firstLineChars="500" w:firstLine="1200"/>
              <w:jc w:val="left"/>
              <w:rPr>
                <w:rFonts w:cs="Times New Roman"/>
                <w:bCs/>
              </w:rPr>
            </w:pPr>
            <w:r>
              <w:rPr>
                <w:rFonts w:cs="Times New Roman"/>
                <w:bCs/>
              </w:rPr>
              <w:t>R——</w:t>
            </w:r>
            <w:r>
              <w:rPr>
                <w:rFonts w:cs="Times New Roman"/>
                <w:bCs/>
              </w:rPr>
              <w:t>房间常数，</w:t>
            </w:r>
            <w:r>
              <w:rPr>
                <w:rFonts w:cs="Times New Roman"/>
                <w:bCs/>
              </w:rPr>
              <w:t>m</w:t>
            </w:r>
            <w:r>
              <w:rPr>
                <w:rFonts w:cs="Times New Roman"/>
                <w:bCs/>
                <w:vertAlign w:val="superscript"/>
              </w:rPr>
              <w:t>2</w:t>
            </w:r>
            <w:r>
              <w:rPr>
                <w:rFonts w:cs="Times New Roman"/>
                <w:bCs/>
              </w:rPr>
              <w:t>；</w:t>
            </w:r>
          </w:p>
          <w:p w14:paraId="05723AFE" w14:textId="77777777" w:rsidR="003C4F46" w:rsidRDefault="004B6A81">
            <w:pPr>
              <w:widowControl/>
              <w:ind w:firstLineChars="500" w:firstLine="1200"/>
              <w:jc w:val="left"/>
              <w:rPr>
                <w:rFonts w:cs="Times New Roman"/>
                <w:bCs/>
              </w:rPr>
            </w:pPr>
            <w:r>
              <w:rPr>
                <w:rFonts w:cs="Times New Roman"/>
                <w:bCs/>
              </w:rPr>
              <w:t>Q——</w:t>
            </w:r>
            <w:r>
              <w:rPr>
                <w:rFonts w:cs="Times New Roman"/>
                <w:bCs/>
              </w:rPr>
              <w:t>方向性因子；</w:t>
            </w:r>
          </w:p>
          <w:p w14:paraId="0A4DE111" w14:textId="77777777" w:rsidR="003C4F46" w:rsidRDefault="004B6A81">
            <w:pPr>
              <w:widowControl/>
              <w:ind w:firstLineChars="500" w:firstLine="1200"/>
              <w:jc w:val="left"/>
              <w:rPr>
                <w:rFonts w:cs="Times New Roman"/>
                <w:bCs/>
              </w:rPr>
            </w:pPr>
            <w:r>
              <w:rPr>
                <w:rFonts w:cs="Times New Roman"/>
                <w:bCs/>
              </w:rPr>
              <w:t>TL——</w:t>
            </w:r>
            <w:r>
              <w:rPr>
                <w:rFonts w:cs="Times New Roman"/>
                <w:bCs/>
              </w:rPr>
              <w:t>围护结构的传输损失，</w:t>
            </w:r>
            <w:r>
              <w:rPr>
                <w:rFonts w:cs="Times New Roman"/>
                <w:bCs/>
              </w:rPr>
              <w:t>dB</w:t>
            </w:r>
            <w:r>
              <w:rPr>
                <w:rFonts w:cs="Times New Roman"/>
                <w:bCs/>
              </w:rPr>
              <w:t>；</w:t>
            </w:r>
          </w:p>
          <w:p w14:paraId="68C004E4" w14:textId="77777777" w:rsidR="003C4F46" w:rsidRDefault="004B6A81">
            <w:pPr>
              <w:widowControl/>
              <w:ind w:firstLineChars="500" w:firstLine="1200"/>
              <w:jc w:val="left"/>
              <w:rPr>
                <w:rFonts w:cs="Times New Roman"/>
                <w:snapToGrid w:val="0"/>
                <w:kern w:val="0"/>
              </w:rPr>
            </w:pPr>
            <w:r>
              <w:rPr>
                <w:rFonts w:cs="Times New Roman"/>
                <w:bCs/>
              </w:rPr>
              <w:t>S—</w:t>
            </w:r>
            <w:r>
              <w:rPr>
                <w:rFonts w:cs="Times New Roman"/>
                <w:snapToGrid w:val="0"/>
                <w:kern w:val="0"/>
              </w:rPr>
              <w:t>—</w:t>
            </w:r>
            <w:r>
              <w:rPr>
                <w:rFonts w:cs="Times New Roman"/>
                <w:snapToGrid w:val="0"/>
                <w:kern w:val="0"/>
              </w:rPr>
              <w:t>透声面积，</w:t>
            </w:r>
            <w:r>
              <w:rPr>
                <w:rFonts w:cs="Times New Roman"/>
                <w:snapToGrid w:val="0"/>
                <w:kern w:val="0"/>
              </w:rPr>
              <w:t>m</w:t>
            </w:r>
            <w:r>
              <w:rPr>
                <w:rFonts w:cs="Times New Roman"/>
                <w:snapToGrid w:val="0"/>
                <w:kern w:val="0"/>
                <w:vertAlign w:val="superscript"/>
              </w:rPr>
              <w:t>2</w:t>
            </w:r>
          </w:p>
          <w:p w14:paraId="2988961E" w14:textId="77777777" w:rsidR="003C4F46" w:rsidRDefault="004B6A81">
            <w:pPr>
              <w:ind w:firstLine="480"/>
              <w:rPr>
                <w:rFonts w:cs="Times New Roman"/>
                <w:snapToGrid w:val="0"/>
                <w:kern w:val="0"/>
              </w:rPr>
            </w:pPr>
            <w:r>
              <w:rPr>
                <w:rFonts w:cs="Times New Roman"/>
                <w:snapToGrid w:val="0"/>
                <w:kern w:val="0"/>
              </w:rPr>
              <w:t>对两个以上多个声源同时存在时，其预测点总声压级采用下面公式：</w:t>
            </w:r>
          </w:p>
          <w:p w14:paraId="77F3B6F7" w14:textId="77777777" w:rsidR="003C4F46" w:rsidRDefault="004B6A81">
            <w:pPr>
              <w:ind w:firstLine="480"/>
              <w:jc w:val="center"/>
              <w:rPr>
                <w:rFonts w:cs="Times New Roman"/>
                <w:snapToGrid w:val="0"/>
                <w:kern w:val="0"/>
              </w:rPr>
            </w:pPr>
            <w:proofErr w:type="spellStart"/>
            <w:r>
              <w:rPr>
                <w:rFonts w:cs="Times New Roman"/>
                <w:snapToGrid w:val="0"/>
                <w:kern w:val="0"/>
              </w:rPr>
              <w:t>L</w:t>
            </w:r>
            <w:r>
              <w:rPr>
                <w:rFonts w:cs="Times New Roman"/>
                <w:snapToGrid w:val="0"/>
                <w:kern w:val="0"/>
                <w:vertAlign w:val="subscript"/>
              </w:rPr>
              <w:t>eq</w:t>
            </w:r>
            <w:proofErr w:type="spellEnd"/>
            <w:r>
              <w:rPr>
                <w:rFonts w:cs="Times New Roman"/>
                <w:snapToGrid w:val="0"/>
                <w:kern w:val="0"/>
              </w:rPr>
              <w:t>=10lg</w:t>
            </w:r>
            <w:r>
              <w:rPr>
                <w:rFonts w:cs="Times New Roman" w:hint="eastAsia"/>
                <w:snapToGrid w:val="0"/>
                <w:kern w:val="0"/>
              </w:rPr>
              <w:t>（</w:t>
            </w:r>
            <w:r>
              <w:rPr>
                <w:rFonts w:cs="Times New Roman"/>
                <w:snapToGrid w:val="0"/>
                <w:kern w:val="0"/>
              </w:rPr>
              <w:t>100.1Li</w:t>
            </w:r>
            <w:r>
              <w:rPr>
                <w:rFonts w:cs="Times New Roman" w:hint="eastAsia"/>
                <w:snapToGrid w:val="0"/>
                <w:kern w:val="0"/>
              </w:rPr>
              <w:t>）</w:t>
            </w:r>
          </w:p>
          <w:p w14:paraId="5BBF192A" w14:textId="77777777" w:rsidR="003C4F46" w:rsidRDefault="004B6A81">
            <w:pPr>
              <w:ind w:firstLine="480"/>
              <w:rPr>
                <w:rFonts w:cs="Times New Roman"/>
                <w:snapToGrid w:val="0"/>
                <w:kern w:val="0"/>
              </w:rPr>
            </w:pPr>
            <w:r>
              <w:rPr>
                <w:rFonts w:cs="Times New Roman"/>
                <w:snapToGrid w:val="0"/>
                <w:kern w:val="0"/>
              </w:rPr>
              <w:t>式中：</w:t>
            </w:r>
            <w:proofErr w:type="spellStart"/>
            <w:r>
              <w:rPr>
                <w:rFonts w:cs="Times New Roman"/>
                <w:snapToGrid w:val="0"/>
                <w:kern w:val="0"/>
              </w:rPr>
              <w:t>L</w:t>
            </w:r>
            <w:r>
              <w:rPr>
                <w:rFonts w:cs="Times New Roman"/>
                <w:snapToGrid w:val="0"/>
                <w:kern w:val="0"/>
                <w:vertAlign w:val="subscript"/>
              </w:rPr>
              <w:t>eq</w:t>
            </w:r>
            <w:proofErr w:type="spellEnd"/>
            <w:r>
              <w:rPr>
                <w:rFonts w:cs="Times New Roman"/>
                <w:snapToGrid w:val="0"/>
                <w:kern w:val="0"/>
              </w:rPr>
              <w:t>-----</w:t>
            </w:r>
            <w:r>
              <w:rPr>
                <w:rFonts w:cs="Times New Roman"/>
                <w:snapToGrid w:val="0"/>
                <w:kern w:val="0"/>
              </w:rPr>
              <w:t>预测点的总等效声级，</w:t>
            </w:r>
            <w:r>
              <w:rPr>
                <w:rFonts w:cs="Times New Roman"/>
                <w:snapToGrid w:val="0"/>
                <w:kern w:val="0"/>
              </w:rPr>
              <w:t>dB</w:t>
            </w:r>
            <w:r>
              <w:rPr>
                <w:rFonts w:cs="Times New Roman" w:hint="eastAsia"/>
                <w:snapToGrid w:val="0"/>
                <w:kern w:val="0"/>
              </w:rPr>
              <w:t>（</w:t>
            </w:r>
            <w:r>
              <w:rPr>
                <w:rFonts w:cs="Times New Roman"/>
                <w:snapToGrid w:val="0"/>
                <w:kern w:val="0"/>
              </w:rPr>
              <w:t>A</w:t>
            </w:r>
            <w:r>
              <w:rPr>
                <w:rFonts w:cs="Times New Roman" w:hint="eastAsia"/>
                <w:snapToGrid w:val="0"/>
                <w:kern w:val="0"/>
              </w:rPr>
              <w:t>）</w:t>
            </w:r>
            <w:r>
              <w:rPr>
                <w:rFonts w:cs="Times New Roman"/>
                <w:snapToGrid w:val="0"/>
                <w:kern w:val="0"/>
              </w:rPr>
              <w:t>；</w:t>
            </w:r>
          </w:p>
          <w:p w14:paraId="4D354EC7" w14:textId="77777777" w:rsidR="003C4F46" w:rsidRDefault="004B6A81">
            <w:pPr>
              <w:ind w:firstLineChars="500" w:firstLine="1200"/>
              <w:rPr>
                <w:rFonts w:cs="Times New Roman"/>
                <w:snapToGrid w:val="0"/>
                <w:kern w:val="0"/>
              </w:rPr>
            </w:pPr>
            <w:r>
              <w:rPr>
                <w:rFonts w:cs="Times New Roman"/>
                <w:snapToGrid w:val="0"/>
                <w:kern w:val="0"/>
              </w:rPr>
              <w:t>Li-----</w:t>
            </w:r>
            <w:r>
              <w:rPr>
                <w:rFonts w:cs="Times New Roman"/>
                <w:snapToGrid w:val="0"/>
                <w:kern w:val="0"/>
              </w:rPr>
              <w:t>第</w:t>
            </w:r>
            <w:proofErr w:type="spellStart"/>
            <w:r>
              <w:rPr>
                <w:rFonts w:cs="Times New Roman"/>
                <w:snapToGrid w:val="0"/>
                <w:kern w:val="0"/>
              </w:rPr>
              <w:t>i</w:t>
            </w:r>
            <w:proofErr w:type="spellEnd"/>
            <w:r>
              <w:rPr>
                <w:rFonts w:cs="Times New Roman"/>
                <w:snapToGrid w:val="0"/>
                <w:kern w:val="0"/>
              </w:rPr>
              <w:t>个声源对预测点的声级影响，</w:t>
            </w:r>
            <w:r>
              <w:rPr>
                <w:rFonts w:cs="Times New Roman"/>
                <w:snapToGrid w:val="0"/>
                <w:kern w:val="0"/>
              </w:rPr>
              <w:t>dB</w:t>
            </w:r>
            <w:r>
              <w:rPr>
                <w:rFonts w:cs="Times New Roman" w:hint="eastAsia"/>
                <w:snapToGrid w:val="0"/>
                <w:kern w:val="0"/>
              </w:rPr>
              <w:t>（</w:t>
            </w:r>
            <w:r>
              <w:rPr>
                <w:rFonts w:cs="Times New Roman"/>
                <w:snapToGrid w:val="0"/>
                <w:kern w:val="0"/>
              </w:rPr>
              <w:t>A</w:t>
            </w:r>
            <w:r>
              <w:rPr>
                <w:rFonts w:cs="Times New Roman" w:hint="eastAsia"/>
                <w:snapToGrid w:val="0"/>
                <w:kern w:val="0"/>
              </w:rPr>
              <w:t>）</w:t>
            </w:r>
            <w:r>
              <w:rPr>
                <w:rFonts w:cs="Times New Roman"/>
                <w:snapToGrid w:val="0"/>
                <w:kern w:val="0"/>
              </w:rPr>
              <w:t>。</w:t>
            </w:r>
          </w:p>
          <w:p w14:paraId="111BFF10" w14:textId="77777777" w:rsidR="003C4F46" w:rsidRDefault="004B6A81">
            <w:pPr>
              <w:pStyle w:val="af7"/>
              <w:widowControl w:val="0"/>
              <w:spacing w:before="0" w:beforeAutospacing="0" w:after="0" w:afterAutospacing="0" w:line="360" w:lineRule="auto"/>
              <w:ind w:firstLineChars="200" w:firstLine="480"/>
              <w:jc w:val="both"/>
              <w:rPr>
                <w:rFonts w:ascii="Times New Roman" w:hAnsi="Times New Roman"/>
                <w:kern w:val="2"/>
                <w:lang w:bidi="ar"/>
              </w:rPr>
            </w:pPr>
            <w:r>
              <w:rPr>
                <w:rFonts w:ascii="Times New Roman" w:hAnsi="Times New Roman"/>
                <w:kern w:val="2"/>
                <w:lang w:bidi="ar"/>
              </w:rPr>
              <w:t>（</w:t>
            </w:r>
            <w:r>
              <w:rPr>
                <w:rFonts w:ascii="Times New Roman" w:hAnsi="Times New Roman"/>
                <w:kern w:val="2"/>
                <w:lang w:bidi="ar"/>
              </w:rPr>
              <w:t>3</w:t>
            </w:r>
            <w:r>
              <w:rPr>
                <w:rFonts w:ascii="Times New Roman" w:hAnsi="Times New Roman"/>
                <w:kern w:val="2"/>
                <w:lang w:bidi="ar"/>
              </w:rPr>
              <w:t>）执行标准</w:t>
            </w:r>
          </w:p>
          <w:p w14:paraId="7A14C953" w14:textId="77777777" w:rsidR="003C4F46" w:rsidRDefault="004B6A81">
            <w:pPr>
              <w:pStyle w:val="af7"/>
              <w:widowControl w:val="0"/>
              <w:spacing w:before="0" w:beforeAutospacing="0" w:after="0" w:afterAutospacing="0" w:line="360" w:lineRule="auto"/>
              <w:ind w:firstLineChars="200" w:firstLine="480"/>
              <w:jc w:val="both"/>
              <w:rPr>
                <w:rFonts w:ascii="Times New Roman" w:hAnsi="Times New Roman"/>
                <w:kern w:val="2"/>
                <w:lang w:bidi="ar"/>
              </w:rPr>
            </w:pPr>
            <w:r>
              <w:rPr>
                <w:rFonts w:ascii="Times New Roman" w:hAnsi="Times New Roman"/>
                <w:kern w:val="2"/>
                <w:lang w:bidi="ar"/>
              </w:rPr>
              <w:lastRenderedPageBreak/>
              <w:t>厂界处噪声执行《工业企业厂界环境噪声排放标准》</w:t>
            </w:r>
            <w:r>
              <w:rPr>
                <w:rFonts w:ascii="Times New Roman" w:hAnsi="Times New Roman" w:hint="eastAsia"/>
                <w:kern w:val="2"/>
                <w:lang w:bidi="ar"/>
              </w:rPr>
              <w:t>（</w:t>
            </w:r>
            <w:r>
              <w:rPr>
                <w:rFonts w:ascii="Times New Roman" w:hAnsi="Times New Roman"/>
                <w:kern w:val="2"/>
                <w:lang w:bidi="ar"/>
              </w:rPr>
              <w:t>GB12348-2008</w:t>
            </w:r>
            <w:r>
              <w:rPr>
                <w:rFonts w:ascii="Times New Roman" w:hAnsi="Times New Roman" w:hint="eastAsia"/>
                <w:kern w:val="2"/>
                <w:lang w:bidi="ar"/>
              </w:rPr>
              <w:t>）</w:t>
            </w:r>
            <w:r>
              <w:rPr>
                <w:rFonts w:ascii="Times New Roman" w:hAnsi="Times New Roman"/>
                <w:kern w:val="2"/>
                <w:lang w:bidi="ar"/>
              </w:rPr>
              <w:t>中</w:t>
            </w:r>
            <w:r>
              <w:rPr>
                <w:rFonts w:ascii="Times New Roman" w:hAnsi="Times New Roman"/>
                <w:kern w:val="2"/>
                <w:lang w:bidi="ar"/>
              </w:rPr>
              <w:t>3</w:t>
            </w:r>
            <w:r>
              <w:rPr>
                <w:rFonts w:ascii="Times New Roman" w:hAnsi="Times New Roman"/>
                <w:kern w:val="2"/>
                <w:lang w:bidi="ar"/>
              </w:rPr>
              <w:t>类标准。</w:t>
            </w:r>
          </w:p>
          <w:p w14:paraId="0A7C5E0E" w14:textId="77777777" w:rsidR="003C4F46" w:rsidRDefault="004B6A81">
            <w:pPr>
              <w:pStyle w:val="af7"/>
              <w:widowControl w:val="0"/>
              <w:spacing w:before="0" w:beforeAutospacing="0" w:after="0" w:afterAutospacing="0" w:line="360" w:lineRule="auto"/>
              <w:ind w:firstLineChars="200" w:firstLine="480"/>
              <w:jc w:val="both"/>
              <w:rPr>
                <w:rFonts w:ascii="Times New Roman" w:hAnsi="Times New Roman"/>
                <w:kern w:val="2"/>
                <w:lang w:bidi="ar"/>
              </w:rPr>
            </w:pPr>
            <w:r>
              <w:rPr>
                <w:rFonts w:ascii="Times New Roman" w:hAnsi="Times New Roman" w:hint="eastAsia"/>
                <w:kern w:val="2"/>
                <w:lang w:bidi="ar"/>
              </w:rPr>
              <w:t>（</w:t>
            </w:r>
            <w:r>
              <w:rPr>
                <w:rFonts w:ascii="Times New Roman" w:hAnsi="Times New Roman" w:hint="eastAsia"/>
                <w:kern w:val="2"/>
                <w:lang w:bidi="ar"/>
              </w:rPr>
              <w:t>4</w:t>
            </w:r>
            <w:r>
              <w:rPr>
                <w:rFonts w:ascii="Times New Roman" w:hAnsi="Times New Roman" w:hint="eastAsia"/>
                <w:kern w:val="2"/>
                <w:lang w:bidi="ar"/>
              </w:rPr>
              <w:t>）</w:t>
            </w:r>
            <w:r>
              <w:rPr>
                <w:rFonts w:ascii="Times New Roman" w:hAnsi="Times New Roman"/>
                <w:kern w:val="2"/>
                <w:lang w:bidi="ar"/>
              </w:rPr>
              <w:t>预测结果</w:t>
            </w:r>
          </w:p>
          <w:p w14:paraId="6030FDF3" w14:textId="77777777" w:rsidR="003C4F46" w:rsidRDefault="004B6A81">
            <w:pPr>
              <w:ind w:firstLine="480"/>
              <w:rPr>
                <w:color w:val="000000" w:themeColor="text1"/>
              </w:rPr>
            </w:pPr>
            <w:r>
              <w:rPr>
                <w:rFonts w:hint="eastAsia"/>
                <w:lang w:bidi="ar"/>
              </w:rPr>
              <w:t>根据《环境影响评价技术导则</w:t>
            </w:r>
            <w:r>
              <w:rPr>
                <w:rFonts w:hint="eastAsia"/>
                <w:lang w:bidi="ar"/>
              </w:rPr>
              <w:t xml:space="preserve"> </w:t>
            </w:r>
            <w:r>
              <w:rPr>
                <w:rFonts w:hint="eastAsia"/>
                <w:lang w:bidi="ar"/>
              </w:rPr>
              <w:t>声环境》（</w:t>
            </w:r>
            <w:r>
              <w:rPr>
                <w:rFonts w:hint="eastAsia"/>
                <w:lang w:bidi="ar"/>
              </w:rPr>
              <w:t>HJ2.4-2021</w:t>
            </w:r>
            <w:r>
              <w:rPr>
                <w:rFonts w:hint="eastAsia"/>
                <w:lang w:bidi="ar"/>
              </w:rPr>
              <w:t>）要求，采用本项目噪声贡献值与现有的厂界监测值叠加后的预测值作为评价量，进行厂界噪声达标分析</w:t>
            </w:r>
            <w:r>
              <w:rPr>
                <w:lang w:bidi="ar"/>
              </w:rPr>
              <w:t>，项目噪声预测结果见表</w:t>
            </w:r>
            <w:r>
              <w:rPr>
                <w:lang w:bidi="ar"/>
              </w:rPr>
              <w:t>4-8</w:t>
            </w:r>
            <w:r>
              <w:rPr>
                <w:rFonts w:hint="eastAsia"/>
                <w:lang w:bidi="ar"/>
              </w:rPr>
              <w:t>。</w:t>
            </w:r>
          </w:p>
          <w:p w14:paraId="528B3C53" w14:textId="77777777" w:rsidR="003C4F46" w:rsidRDefault="004B6A81">
            <w:pPr>
              <w:spacing w:line="240" w:lineRule="auto"/>
              <w:ind w:firstLineChars="0" w:firstLine="0"/>
              <w:jc w:val="center"/>
              <w:rPr>
                <w:rFonts w:cs="Times New Roman"/>
                <w:b/>
                <w:bCs/>
                <w:sz w:val="21"/>
                <w:szCs w:val="21"/>
              </w:rPr>
            </w:pPr>
            <w:r>
              <w:rPr>
                <w:rFonts w:cs="Times New Roman" w:hint="eastAsia"/>
                <w:b/>
                <w:bCs/>
                <w:sz w:val="21"/>
                <w:szCs w:val="21"/>
              </w:rPr>
              <w:t>表</w:t>
            </w:r>
            <w:r>
              <w:rPr>
                <w:rFonts w:cs="Times New Roman"/>
                <w:b/>
                <w:bCs/>
                <w:sz w:val="21"/>
                <w:szCs w:val="21"/>
              </w:rPr>
              <w:t xml:space="preserve">4-8 </w:t>
            </w:r>
            <w:r>
              <w:rPr>
                <w:rFonts w:cs="Times New Roman" w:hint="eastAsia"/>
                <w:b/>
                <w:bCs/>
                <w:sz w:val="21"/>
                <w:szCs w:val="21"/>
              </w:rPr>
              <w:t xml:space="preserve"> </w:t>
            </w:r>
            <w:r>
              <w:rPr>
                <w:rFonts w:cs="Times New Roman" w:hint="eastAsia"/>
                <w:b/>
                <w:bCs/>
                <w:sz w:val="21"/>
                <w:szCs w:val="21"/>
              </w:rPr>
              <w:t>厂界噪声预测结果与达标分析表</w:t>
            </w:r>
            <w:bookmarkStart w:id="28" w:name="PT_7"/>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81"/>
              <w:gridCol w:w="802"/>
              <w:gridCol w:w="789"/>
              <w:gridCol w:w="641"/>
              <w:gridCol w:w="642"/>
              <w:gridCol w:w="1174"/>
              <w:gridCol w:w="932"/>
              <w:gridCol w:w="973"/>
              <w:gridCol w:w="1174"/>
              <w:gridCol w:w="710"/>
            </w:tblGrid>
            <w:tr w:rsidR="003C4F46" w14:paraId="25199A22" w14:textId="77777777">
              <w:trPr>
                <w:trHeight w:hRule="exact" w:val="726"/>
                <w:jc w:val="center"/>
              </w:trPr>
              <w:tc>
                <w:tcPr>
                  <w:tcW w:w="400" w:type="pct"/>
                  <w:vMerge w:val="restart"/>
                  <w:vAlign w:val="center"/>
                </w:tcPr>
                <w:p w14:paraId="42962F51" w14:textId="77777777" w:rsidR="003C4F46" w:rsidRDefault="004B6A81">
                  <w:pPr>
                    <w:autoSpaceDE w:val="0"/>
                    <w:autoSpaceDN w:val="0"/>
                    <w:spacing w:line="240" w:lineRule="auto"/>
                    <w:ind w:firstLineChars="0" w:firstLine="0"/>
                    <w:jc w:val="center"/>
                    <w:textAlignment w:val="auto"/>
                    <w:rPr>
                      <w:rFonts w:cs="Times New Roman"/>
                      <w:kern w:val="0"/>
                      <w:sz w:val="21"/>
                      <w:szCs w:val="21"/>
                      <w:lang w:eastAsia="en-US"/>
                    </w:rPr>
                  </w:pPr>
                  <w:proofErr w:type="spellStart"/>
                  <w:r>
                    <w:rPr>
                      <w:rFonts w:cs="Times New Roman"/>
                      <w:kern w:val="0"/>
                      <w:sz w:val="21"/>
                      <w:szCs w:val="21"/>
                      <w:lang w:eastAsia="en-US"/>
                    </w:rPr>
                    <w:t>预测方位</w:t>
                  </w:r>
                  <w:proofErr w:type="spellEnd"/>
                </w:p>
              </w:tc>
              <w:tc>
                <w:tcPr>
                  <w:tcW w:w="1310" w:type="pct"/>
                  <w:gridSpan w:val="3"/>
                  <w:vAlign w:val="center"/>
                </w:tcPr>
                <w:p w14:paraId="16A2173C"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最大值点空间相对位置</w:t>
                  </w:r>
                  <w:r>
                    <w:rPr>
                      <w:rFonts w:cs="Times New Roman"/>
                      <w:kern w:val="0"/>
                      <w:sz w:val="21"/>
                      <w:szCs w:val="21"/>
                    </w:rPr>
                    <w:t>/m</w:t>
                  </w:r>
                </w:p>
              </w:tc>
              <w:tc>
                <w:tcPr>
                  <w:tcW w:w="377" w:type="pct"/>
                  <w:vMerge w:val="restart"/>
                  <w:vAlign w:val="center"/>
                </w:tcPr>
                <w:p w14:paraId="6362265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时段</w:t>
                  </w:r>
                </w:p>
              </w:tc>
              <w:tc>
                <w:tcPr>
                  <w:tcW w:w="689" w:type="pct"/>
                  <w:vMerge w:val="restart"/>
                  <w:vAlign w:val="center"/>
                </w:tcPr>
                <w:p w14:paraId="4765FE1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本项目贡献值</w:t>
                  </w:r>
                </w:p>
                <w:p w14:paraId="2ED1CFC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dB</w:t>
                  </w:r>
                  <w:r>
                    <w:rPr>
                      <w:rFonts w:cs="Times New Roman" w:hint="eastAsia"/>
                      <w:kern w:val="0"/>
                      <w:sz w:val="21"/>
                      <w:szCs w:val="21"/>
                    </w:rPr>
                    <w:t>（</w:t>
                  </w:r>
                  <w:r>
                    <w:rPr>
                      <w:rFonts w:cs="Times New Roman" w:hint="eastAsia"/>
                      <w:kern w:val="0"/>
                      <w:sz w:val="21"/>
                      <w:szCs w:val="21"/>
                    </w:rPr>
                    <w:t>A</w:t>
                  </w:r>
                  <w:r>
                    <w:rPr>
                      <w:rFonts w:cs="Times New Roman" w:hint="eastAsia"/>
                      <w:kern w:val="0"/>
                      <w:sz w:val="21"/>
                      <w:szCs w:val="21"/>
                    </w:rPr>
                    <w:t>）</w:t>
                  </w:r>
                </w:p>
              </w:tc>
              <w:tc>
                <w:tcPr>
                  <w:tcW w:w="547" w:type="pct"/>
                  <w:vMerge w:val="restart"/>
                  <w:vAlign w:val="center"/>
                </w:tcPr>
                <w:p w14:paraId="421D2F88"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现有的厂界监测值</w:t>
                  </w:r>
                </w:p>
              </w:tc>
              <w:tc>
                <w:tcPr>
                  <w:tcW w:w="571" w:type="pct"/>
                  <w:vMerge w:val="restart"/>
                  <w:vAlign w:val="center"/>
                </w:tcPr>
                <w:p w14:paraId="74B5424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叠加后预测值</w:t>
                  </w:r>
                </w:p>
              </w:tc>
              <w:tc>
                <w:tcPr>
                  <w:tcW w:w="689" w:type="pct"/>
                  <w:vMerge w:val="restart"/>
                  <w:vAlign w:val="center"/>
                </w:tcPr>
                <w:p w14:paraId="68BBAD40"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标准限值</w:t>
                  </w:r>
                  <w:r>
                    <w:rPr>
                      <w:rFonts w:cs="Times New Roman"/>
                      <w:kern w:val="0"/>
                      <w:sz w:val="21"/>
                      <w:szCs w:val="21"/>
                    </w:rPr>
                    <w:t>dB</w:t>
                  </w:r>
                  <w:r>
                    <w:rPr>
                      <w:rFonts w:cs="Times New Roman" w:hint="eastAsia"/>
                      <w:kern w:val="0"/>
                      <w:sz w:val="21"/>
                      <w:szCs w:val="21"/>
                    </w:rPr>
                    <w:t>（</w:t>
                  </w:r>
                  <w:r>
                    <w:rPr>
                      <w:rFonts w:cs="Times New Roman" w:hint="eastAsia"/>
                      <w:kern w:val="0"/>
                      <w:sz w:val="21"/>
                      <w:szCs w:val="21"/>
                    </w:rPr>
                    <w:t>A</w:t>
                  </w:r>
                  <w:r>
                    <w:rPr>
                      <w:rFonts w:cs="Times New Roman" w:hint="eastAsia"/>
                      <w:kern w:val="0"/>
                      <w:sz w:val="21"/>
                      <w:szCs w:val="21"/>
                    </w:rPr>
                    <w:t>）</w:t>
                  </w:r>
                </w:p>
              </w:tc>
              <w:tc>
                <w:tcPr>
                  <w:tcW w:w="417" w:type="pct"/>
                  <w:vMerge w:val="restart"/>
                  <w:vAlign w:val="center"/>
                </w:tcPr>
                <w:p w14:paraId="02F250FD"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达标情况</w:t>
                  </w:r>
                </w:p>
              </w:tc>
            </w:tr>
            <w:tr w:rsidR="003C4F46" w14:paraId="527F1165" w14:textId="77777777">
              <w:trPr>
                <w:trHeight w:val="408"/>
                <w:jc w:val="center"/>
              </w:trPr>
              <w:tc>
                <w:tcPr>
                  <w:tcW w:w="400" w:type="pct"/>
                  <w:vMerge/>
                  <w:shd w:val="clear" w:color="auto" w:fill="FFFFFF"/>
                  <w:vAlign w:val="center"/>
                </w:tcPr>
                <w:p w14:paraId="623AC1E0"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471" w:type="pct"/>
                  <w:shd w:val="clear" w:color="auto" w:fill="FFFFFF"/>
                  <w:vAlign w:val="center"/>
                </w:tcPr>
                <w:p w14:paraId="032C8FB6"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X</w:t>
                  </w:r>
                </w:p>
              </w:tc>
              <w:tc>
                <w:tcPr>
                  <w:tcW w:w="463" w:type="pct"/>
                  <w:shd w:val="clear" w:color="auto" w:fill="FFFFFF"/>
                  <w:vAlign w:val="center"/>
                </w:tcPr>
                <w:p w14:paraId="5F91EAB8"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Y</w:t>
                  </w:r>
                </w:p>
              </w:tc>
              <w:tc>
                <w:tcPr>
                  <w:tcW w:w="376" w:type="pct"/>
                  <w:shd w:val="clear" w:color="auto" w:fill="FFFFFF"/>
                  <w:vAlign w:val="center"/>
                </w:tcPr>
                <w:p w14:paraId="7BE6781F"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Z</w:t>
                  </w:r>
                </w:p>
              </w:tc>
              <w:tc>
                <w:tcPr>
                  <w:tcW w:w="377" w:type="pct"/>
                  <w:vMerge/>
                  <w:shd w:val="clear" w:color="auto" w:fill="FFFFFF"/>
                  <w:vAlign w:val="center"/>
                </w:tcPr>
                <w:p w14:paraId="539B47F4"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689" w:type="pct"/>
                  <w:vMerge/>
                  <w:shd w:val="clear" w:color="auto" w:fill="FFFFFF"/>
                  <w:vAlign w:val="center"/>
                </w:tcPr>
                <w:p w14:paraId="07243DE0"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547" w:type="pct"/>
                  <w:vMerge/>
                  <w:shd w:val="clear" w:color="auto" w:fill="FFFFFF"/>
                  <w:vAlign w:val="center"/>
                </w:tcPr>
                <w:p w14:paraId="146672E0"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571" w:type="pct"/>
                  <w:vMerge/>
                  <w:shd w:val="clear" w:color="auto" w:fill="FFFFFF"/>
                  <w:vAlign w:val="center"/>
                </w:tcPr>
                <w:p w14:paraId="3951AD34"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689" w:type="pct"/>
                  <w:vMerge/>
                  <w:shd w:val="clear" w:color="auto" w:fill="FFFFFF"/>
                  <w:vAlign w:val="center"/>
                </w:tcPr>
                <w:p w14:paraId="0D6E75B7"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417" w:type="pct"/>
                  <w:vMerge/>
                  <w:shd w:val="clear" w:color="auto" w:fill="FFFFFF"/>
                  <w:vAlign w:val="center"/>
                </w:tcPr>
                <w:p w14:paraId="61A6AE71"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r>
            <w:tr w:rsidR="003C4F46" w14:paraId="15218BAC" w14:textId="77777777">
              <w:tblPrEx>
                <w:shd w:val="clear" w:color="auto" w:fill="FFFFFF"/>
              </w:tblPrEx>
              <w:trPr>
                <w:trHeight w:hRule="exact" w:val="408"/>
                <w:jc w:val="center"/>
              </w:trPr>
              <w:tc>
                <w:tcPr>
                  <w:tcW w:w="400" w:type="pct"/>
                  <w:vMerge w:val="restart"/>
                  <w:shd w:val="clear" w:color="auto" w:fill="FFFFFF"/>
                  <w:vAlign w:val="center"/>
                </w:tcPr>
                <w:p w14:paraId="6FCB428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东侧</w:t>
                  </w:r>
                </w:p>
              </w:tc>
              <w:tc>
                <w:tcPr>
                  <w:tcW w:w="471" w:type="pct"/>
                  <w:shd w:val="clear" w:color="auto" w:fill="FFFFFF"/>
                  <w:vAlign w:val="center"/>
                </w:tcPr>
                <w:p w14:paraId="63C52CE2"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66.4</w:t>
                  </w:r>
                </w:p>
              </w:tc>
              <w:tc>
                <w:tcPr>
                  <w:tcW w:w="463" w:type="pct"/>
                  <w:shd w:val="clear" w:color="auto" w:fill="FFFFFF"/>
                  <w:vAlign w:val="center"/>
                </w:tcPr>
                <w:p w14:paraId="1E57B824"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6" w:type="pct"/>
                  <w:shd w:val="clear" w:color="auto" w:fill="FFFFFF"/>
                  <w:vAlign w:val="center"/>
                </w:tcPr>
                <w:p w14:paraId="263FEEFB"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7DBFEBF8"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昼间</w:t>
                  </w:r>
                </w:p>
              </w:tc>
              <w:tc>
                <w:tcPr>
                  <w:tcW w:w="689" w:type="pct"/>
                  <w:shd w:val="clear" w:color="auto" w:fill="FFFFFF"/>
                  <w:vAlign w:val="center"/>
                </w:tcPr>
                <w:p w14:paraId="46CC92A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32.3</w:t>
                  </w:r>
                </w:p>
              </w:tc>
              <w:tc>
                <w:tcPr>
                  <w:tcW w:w="547" w:type="pct"/>
                  <w:shd w:val="clear" w:color="auto" w:fill="FFFFFF"/>
                  <w:vAlign w:val="center"/>
                </w:tcPr>
                <w:p w14:paraId="31234A1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51</w:t>
                  </w:r>
                </w:p>
              </w:tc>
              <w:tc>
                <w:tcPr>
                  <w:tcW w:w="571" w:type="pct"/>
                  <w:shd w:val="clear" w:color="auto" w:fill="FFFFFF"/>
                  <w:vAlign w:val="center"/>
                </w:tcPr>
                <w:p w14:paraId="31DF29E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r>
                    <w:rPr>
                      <w:rFonts w:cs="Times New Roman"/>
                      <w:kern w:val="0"/>
                      <w:sz w:val="21"/>
                      <w:szCs w:val="21"/>
                    </w:rPr>
                    <w:t>1.1</w:t>
                  </w:r>
                </w:p>
              </w:tc>
              <w:tc>
                <w:tcPr>
                  <w:tcW w:w="689" w:type="pct"/>
                  <w:shd w:val="clear" w:color="auto" w:fill="FFFFFF"/>
                  <w:vAlign w:val="center"/>
                </w:tcPr>
                <w:p w14:paraId="5956736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65</w:t>
                  </w:r>
                </w:p>
              </w:tc>
              <w:tc>
                <w:tcPr>
                  <w:tcW w:w="417" w:type="pct"/>
                  <w:shd w:val="clear" w:color="auto" w:fill="FFFFFF"/>
                  <w:vAlign w:val="center"/>
                </w:tcPr>
                <w:p w14:paraId="649722D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7DACA300" w14:textId="77777777">
              <w:tblPrEx>
                <w:shd w:val="clear" w:color="auto" w:fill="FFFFFF"/>
              </w:tblPrEx>
              <w:trPr>
                <w:trHeight w:hRule="exact" w:val="408"/>
                <w:jc w:val="center"/>
              </w:trPr>
              <w:tc>
                <w:tcPr>
                  <w:tcW w:w="400" w:type="pct"/>
                  <w:vMerge/>
                  <w:shd w:val="clear" w:color="auto" w:fill="FFFFFF"/>
                  <w:vAlign w:val="center"/>
                </w:tcPr>
                <w:p w14:paraId="42F803FA"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471" w:type="pct"/>
                  <w:shd w:val="clear" w:color="auto" w:fill="FFFFFF"/>
                  <w:vAlign w:val="center"/>
                </w:tcPr>
                <w:p w14:paraId="3FBD5407"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66.4</w:t>
                  </w:r>
                </w:p>
              </w:tc>
              <w:tc>
                <w:tcPr>
                  <w:tcW w:w="463" w:type="pct"/>
                  <w:shd w:val="clear" w:color="auto" w:fill="FFFFFF"/>
                  <w:vAlign w:val="center"/>
                </w:tcPr>
                <w:p w14:paraId="5D4D71F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6" w:type="pct"/>
                  <w:shd w:val="clear" w:color="auto" w:fill="FFFFFF"/>
                  <w:vAlign w:val="center"/>
                </w:tcPr>
                <w:p w14:paraId="7F195635"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0A0D34C8"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夜间</w:t>
                  </w:r>
                </w:p>
              </w:tc>
              <w:tc>
                <w:tcPr>
                  <w:tcW w:w="689" w:type="pct"/>
                  <w:shd w:val="clear" w:color="auto" w:fill="FFFFFF"/>
                  <w:vAlign w:val="center"/>
                </w:tcPr>
                <w:p w14:paraId="37AE8425"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32.3</w:t>
                  </w:r>
                </w:p>
              </w:tc>
              <w:tc>
                <w:tcPr>
                  <w:tcW w:w="547" w:type="pct"/>
                  <w:shd w:val="clear" w:color="auto" w:fill="FFFFFF"/>
                  <w:vAlign w:val="center"/>
                </w:tcPr>
                <w:p w14:paraId="3D104EB7"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42</w:t>
                  </w:r>
                </w:p>
                <w:p w14:paraId="35A8A310" w14:textId="77777777" w:rsidR="003C4F46" w:rsidRDefault="003C4F46">
                  <w:pPr>
                    <w:pStyle w:val="23"/>
                  </w:pPr>
                </w:p>
              </w:tc>
              <w:tc>
                <w:tcPr>
                  <w:tcW w:w="571" w:type="pct"/>
                  <w:shd w:val="clear" w:color="auto" w:fill="FFFFFF"/>
                  <w:vAlign w:val="center"/>
                </w:tcPr>
                <w:p w14:paraId="21847BD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4</w:t>
                  </w:r>
                  <w:r>
                    <w:rPr>
                      <w:rFonts w:cs="Times New Roman"/>
                      <w:kern w:val="0"/>
                      <w:sz w:val="21"/>
                      <w:szCs w:val="21"/>
                    </w:rPr>
                    <w:t>2.4</w:t>
                  </w:r>
                </w:p>
              </w:tc>
              <w:tc>
                <w:tcPr>
                  <w:tcW w:w="689" w:type="pct"/>
                  <w:shd w:val="clear" w:color="auto" w:fill="FFFFFF"/>
                  <w:vAlign w:val="center"/>
                </w:tcPr>
                <w:p w14:paraId="728F0D6A"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55</w:t>
                  </w:r>
                </w:p>
              </w:tc>
              <w:tc>
                <w:tcPr>
                  <w:tcW w:w="417" w:type="pct"/>
                  <w:shd w:val="clear" w:color="auto" w:fill="FFFFFF"/>
                  <w:vAlign w:val="center"/>
                </w:tcPr>
                <w:p w14:paraId="75028B7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6559EA9B" w14:textId="77777777">
              <w:tblPrEx>
                <w:shd w:val="clear" w:color="auto" w:fill="FFFFFF"/>
              </w:tblPrEx>
              <w:trPr>
                <w:trHeight w:hRule="exact" w:val="408"/>
                <w:jc w:val="center"/>
              </w:trPr>
              <w:tc>
                <w:tcPr>
                  <w:tcW w:w="400" w:type="pct"/>
                  <w:vMerge w:val="restart"/>
                  <w:shd w:val="clear" w:color="auto" w:fill="FFFFFF"/>
                  <w:vAlign w:val="center"/>
                </w:tcPr>
                <w:p w14:paraId="62F62A50"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南侧</w:t>
                  </w:r>
                </w:p>
              </w:tc>
              <w:tc>
                <w:tcPr>
                  <w:tcW w:w="471" w:type="pct"/>
                  <w:shd w:val="clear" w:color="auto" w:fill="FFFFFF"/>
                  <w:vAlign w:val="center"/>
                </w:tcPr>
                <w:p w14:paraId="18C22DE2"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0</w:t>
                  </w:r>
                </w:p>
              </w:tc>
              <w:tc>
                <w:tcPr>
                  <w:tcW w:w="463" w:type="pct"/>
                  <w:shd w:val="clear" w:color="auto" w:fill="FFFFFF"/>
                  <w:vAlign w:val="center"/>
                </w:tcPr>
                <w:p w14:paraId="6C670360"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0</w:t>
                  </w:r>
                </w:p>
              </w:tc>
              <w:tc>
                <w:tcPr>
                  <w:tcW w:w="376" w:type="pct"/>
                  <w:shd w:val="clear" w:color="auto" w:fill="FFFFFF"/>
                  <w:vAlign w:val="center"/>
                </w:tcPr>
                <w:p w14:paraId="46F976A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6B48E8F6"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昼间</w:t>
                  </w:r>
                </w:p>
              </w:tc>
              <w:tc>
                <w:tcPr>
                  <w:tcW w:w="689" w:type="pct"/>
                  <w:shd w:val="clear" w:color="auto" w:fill="FFFFFF"/>
                  <w:vAlign w:val="center"/>
                </w:tcPr>
                <w:p w14:paraId="671E037A"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52.1</w:t>
                  </w:r>
                </w:p>
              </w:tc>
              <w:tc>
                <w:tcPr>
                  <w:tcW w:w="547" w:type="pct"/>
                  <w:shd w:val="clear" w:color="auto" w:fill="FFFFFF"/>
                  <w:vAlign w:val="center"/>
                </w:tcPr>
                <w:p w14:paraId="05783E8F"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54</w:t>
                  </w:r>
                </w:p>
              </w:tc>
              <w:tc>
                <w:tcPr>
                  <w:tcW w:w="571" w:type="pct"/>
                  <w:shd w:val="clear" w:color="auto" w:fill="FFFFFF"/>
                  <w:vAlign w:val="center"/>
                </w:tcPr>
                <w:p w14:paraId="7104A24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r>
                    <w:rPr>
                      <w:rFonts w:cs="Times New Roman"/>
                      <w:kern w:val="0"/>
                      <w:sz w:val="21"/>
                      <w:szCs w:val="21"/>
                    </w:rPr>
                    <w:t>6.1</w:t>
                  </w:r>
                </w:p>
              </w:tc>
              <w:tc>
                <w:tcPr>
                  <w:tcW w:w="689" w:type="pct"/>
                  <w:shd w:val="clear" w:color="auto" w:fill="FFFFFF"/>
                  <w:vAlign w:val="center"/>
                </w:tcPr>
                <w:p w14:paraId="59D17B3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65</w:t>
                  </w:r>
                </w:p>
              </w:tc>
              <w:tc>
                <w:tcPr>
                  <w:tcW w:w="417" w:type="pct"/>
                  <w:shd w:val="clear" w:color="auto" w:fill="FFFFFF"/>
                  <w:vAlign w:val="center"/>
                </w:tcPr>
                <w:p w14:paraId="546FF01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261D6D20" w14:textId="77777777">
              <w:tblPrEx>
                <w:shd w:val="clear" w:color="auto" w:fill="FFFFFF"/>
              </w:tblPrEx>
              <w:trPr>
                <w:trHeight w:hRule="exact" w:val="408"/>
                <w:jc w:val="center"/>
              </w:trPr>
              <w:tc>
                <w:tcPr>
                  <w:tcW w:w="400" w:type="pct"/>
                  <w:vMerge/>
                  <w:shd w:val="clear" w:color="auto" w:fill="FFFFFF"/>
                  <w:vAlign w:val="center"/>
                </w:tcPr>
                <w:p w14:paraId="458A371E"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471" w:type="pct"/>
                  <w:shd w:val="clear" w:color="auto" w:fill="FFFFFF"/>
                  <w:vAlign w:val="center"/>
                </w:tcPr>
                <w:p w14:paraId="62714892"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0</w:t>
                  </w:r>
                </w:p>
              </w:tc>
              <w:tc>
                <w:tcPr>
                  <w:tcW w:w="463" w:type="pct"/>
                  <w:shd w:val="clear" w:color="auto" w:fill="FFFFFF"/>
                  <w:vAlign w:val="center"/>
                </w:tcPr>
                <w:p w14:paraId="2EF9FE9A"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0</w:t>
                  </w:r>
                </w:p>
              </w:tc>
              <w:tc>
                <w:tcPr>
                  <w:tcW w:w="376" w:type="pct"/>
                  <w:shd w:val="clear" w:color="auto" w:fill="FFFFFF"/>
                  <w:vAlign w:val="center"/>
                </w:tcPr>
                <w:p w14:paraId="47A9338F"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412BD814"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夜间</w:t>
                  </w:r>
                </w:p>
              </w:tc>
              <w:tc>
                <w:tcPr>
                  <w:tcW w:w="689" w:type="pct"/>
                  <w:shd w:val="clear" w:color="auto" w:fill="FFFFFF"/>
                  <w:vAlign w:val="center"/>
                </w:tcPr>
                <w:p w14:paraId="4A0D5D05"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52.1</w:t>
                  </w:r>
                </w:p>
              </w:tc>
              <w:tc>
                <w:tcPr>
                  <w:tcW w:w="547" w:type="pct"/>
                  <w:shd w:val="clear" w:color="auto" w:fill="FFFFFF"/>
                  <w:vAlign w:val="center"/>
                </w:tcPr>
                <w:p w14:paraId="7DB655EA"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41</w:t>
                  </w:r>
                </w:p>
              </w:tc>
              <w:tc>
                <w:tcPr>
                  <w:tcW w:w="571" w:type="pct"/>
                  <w:shd w:val="clear" w:color="auto" w:fill="FFFFFF"/>
                  <w:vAlign w:val="center"/>
                </w:tcPr>
                <w:p w14:paraId="570AEEB0"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r>
                    <w:rPr>
                      <w:rFonts w:cs="Times New Roman"/>
                      <w:kern w:val="0"/>
                      <w:sz w:val="21"/>
                      <w:szCs w:val="21"/>
                    </w:rPr>
                    <w:t>2.4</w:t>
                  </w:r>
                </w:p>
              </w:tc>
              <w:tc>
                <w:tcPr>
                  <w:tcW w:w="689" w:type="pct"/>
                  <w:shd w:val="clear" w:color="auto" w:fill="FFFFFF"/>
                  <w:vAlign w:val="center"/>
                </w:tcPr>
                <w:p w14:paraId="5973B95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55</w:t>
                  </w:r>
                </w:p>
              </w:tc>
              <w:tc>
                <w:tcPr>
                  <w:tcW w:w="417" w:type="pct"/>
                  <w:shd w:val="clear" w:color="auto" w:fill="FFFFFF"/>
                  <w:vAlign w:val="center"/>
                </w:tcPr>
                <w:p w14:paraId="479B266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08B57B7C" w14:textId="77777777">
              <w:tblPrEx>
                <w:shd w:val="clear" w:color="auto" w:fill="FFFFFF"/>
              </w:tblPrEx>
              <w:trPr>
                <w:trHeight w:hRule="exact" w:val="408"/>
                <w:jc w:val="center"/>
              </w:trPr>
              <w:tc>
                <w:tcPr>
                  <w:tcW w:w="400" w:type="pct"/>
                  <w:vMerge w:val="restart"/>
                  <w:shd w:val="clear" w:color="auto" w:fill="FFFFFF"/>
                  <w:vAlign w:val="center"/>
                </w:tcPr>
                <w:p w14:paraId="51F03C7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西侧</w:t>
                  </w:r>
                </w:p>
              </w:tc>
              <w:tc>
                <w:tcPr>
                  <w:tcW w:w="471" w:type="pct"/>
                  <w:shd w:val="clear" w:color="auto" w:fill="FFFFFF"/>
                  <w:vAlign w:val="center"/>
                </w:tcPr>
                <w:p w14:paraId="084B9066"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-5.8</w:t>
                  </w:r>
                </w:p>
              </w:tc>
              <w:tc>
                <w:tcPr>
                  <w:tcW w:w="463" w:type="pct"/>
                  <w:shd w:val="clear" w:color="auto" w:fill="FFFFFF"/>
                  <w:vAlign w:val="center"/>
                </w:tcPr>
                <w:p w14:paraId="55EF4842"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8.4</w:t>
                  </w:r>
                </w:p>
              </w:tc>
              <w:tc>
                <w:tcPr>
                  <w:tcW w:w="376" w:type="pct"/>
                  <w:shd w:val="clear" w:color="auto" w:fill="FFFFFF"/>
                  <w:vAlign w:val="center"/>
                </w:tcPr>
                <w:p w14:paraId="57B3F67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2E0277E4"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昼间</w:t>
                  </w:r>
                </w:p>
              </w:tc>
              <w:tc>
                <w:tcPr>
                  <w:tcW w:w="689" w:type="pct"/>
                  <w:shd w:val="clear" w:color="auto" w:fill="FFFFFF"/>
                  <w:vAlign w:val="center"/>
                </w:tcPr>
                <w:p w14:paraId="2FBE1EB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53.8</w:t>
                  </w:r>
                </w:p>
              </w:tc>
              <w:tc>
                <w:tcPr>
                  <w:tcW w:w="547" w:type="pct"/>
                  <w:shd w:val="clear" w:color="auto" w:fill="FFFFFF"/>
                  <w:vAlign w:val="center"/>
                </w:tcPr>
                <w:p w14:paraId="2BAC8DB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54</w:t>
                  </w:r>
                </w:p>
              </w:tc>
              <w:tc>
                <w:tcPr>
                  <w:tcW w:w="571" w:type="pct"/>
                  <w:shd w:val="clear" w:color="auto" w:fill="FFFFFF"/>
                  <w:vAlign w:val="center"/>
                </w:tcPr>
                <w:p w14:paraId="15C4C93F"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r>
                    <w:rPr>
                      <w:rFonts w:cs="Times New Roman"/>
                      <w:kern w:val="0"/>
                      <w:sz w:val="21"/>
                      <w:szCs w:val="21"/>
                    </w:rPr>
                    <w:t>6.9</w:t>
                  </w:r>
                </w:p>
              </w:tc>
              <w:tc>
                <w:tcPr>
                  <w:tcW w:w="689" w:type="pct"/>
                  <w:shd w:val="clear" w:color="auto" w:fill="FFFFFF"/>
                  <w:vAlign w:val="center"/>
                </w:tcPr>
                <w:p w14:paraId="396938B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65</w:t>
                  </w:r>
                </w:p>
              </w:tc>
              <w:tc>
                <w:tcPr>
                  <w:tcW w:w="417" w:type="pct"/>
                  <w:shd w:val="clear" w:color="auto" w:fill="FFFFFF"/>
                  <w:vAlign w:val="center"/>
                </w:tcPr>
                <w:p w14:paraId="14B1EBF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551D485D" w14:textId="77777777">
              <w:tblPrEx>
                <w:shd w:val="clear" w:color="auto" w:fill="FFFFFF"/>
              </w:tblPrEx>
              <w:trPr>
                <w:trHeight w:hRule="exact" w:val="408"/>
                <w:jc w:val="center"/>
              </w:trPr>
              <w:tc>
                <w:tcPr>
                  <w:tcW w:w="400" w:type="pct"/>
                  <w:vMerge/>
                  <w:shd w:val="clear" w:color="auto" w:fill="FFFFFF"/>
                  <w:vAlign w:val="center"/>
                </w:tcPr>
                <w:p w14:paraId="354EEBFC"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471" w:type="pct"/>
                  <w:shd w:val="clear" w:color="auto" w:fill="FFFFFF"/>
                  <w:vAlign w:val="center"/>
                </w:tcPr>
                <w:p w14:paraId="2FBFF545"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-5.8</w:t>
                  </w:r>
                </w:p>
              </w:tc>
              <w:tc>
                <w:tcPr>
                  <w:tcW w:w="463" w:type="pct"/>
                  <w:shd w:val="clear" w:color="auto" w:fill="FFFFFF"/>
                  <w:vAlign w:val="center"/>
                </w:tcPr>
                <w:p w14:paraId="72311FEB"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8.4</w:t>
                  </w:r>
                </w:p>
              </w:tc>
              <w:tc>
                <w:tcPr>
                  <w:tcW w:w="376" w:type="pct"/>
                  <w:shd w:val="clear" w:color="auto" w:fill="FFFFFF"/>
                  <w:vAlign w:val="center"/>
                </w:tcPr>
                <w:p w14:paraId="61A281FD"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3261BE6C"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夜间</w:t>
                  </w:r>
                </w:p>
              </w:tc>
              <w:tc>
                <w:tcPr>
                  <w:tcW w:w="689" w:type="pct"/>
                  <w:shd w:val="clear" w:color="auto" w:fill="FFFFFF"/>
                  <w:vAlign w:val="center"/>
                </w:tcPr>
                <w:p w14:paraId="6AD30435"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53.8</w:t>
                  </w:r>
                </w:p>
              </w:tc>
              <w:tc>
                <w:tcPr>
                  <w:tcW w:w="547" w:type="pct"/>
                  <w:shd w:val="clear" w:color="auto" w:fill="FFFFFF"/>
                  <w:vAlign w:val="center"/>
                </w:tcPr>
                <w:p w14:paraId="3C555054"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41</w:t>
                  </w:r>
                </w:p>
              </w:tc>
              <w:tc>
                <w:tcPr>
                  <w:tcW w:w="571" w:type="pct"/>
                  <w:shd w:val="clear" w:color="auto" w:fill="FFFFFF"/>
                  <w:vAlign w:val="center"/>
                </w:tcPr>
                <w:p w14:paraId="2FF76FB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r>
                    <w:rPr>
                      <w:rFonts w:cs="Times New Roman"/>
                      <w:kern w:val="0"/>
                      <w:sz w:val="21"/>
                      <w:szCs w:val="21"/>
                    </w:rPr>
                    <w:t>4.0</w:t>
                  </w:r>
                </w:p>
              </w:tc>
              <w:tc>
                <w:tcPr>
                  <w:tcW w:w="689" w:type="pct"/>
                  <w:shd w:val="clear" w:color="auto" w:fill="FFFFFF"/>
                  <w:vAlign w:val="center"/>
                </w:tcPr>
                <w:p w14:paraId="4285D17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55</w:t>
                  </w:r>
                </w:p>
              </w:tc>
              <w:tc>
                <w:tcPr>
                  <w:tcW w:w="417" w:type="pct"/>
                  <w:shd w:val="clear" w:color="auto" w:fill="FFFFFF"/>
                  <w:vAlign w:val="center"/>
                </w:tcPr>
                <w:p w14:paraId="22C0AF9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075FA4C6" w14:textId="77777777">
              <w:tblPrEx>
                <w:shd w:val="clear" w:color="auto" w:fill="FFFFFF"/>
              </w:tblPrEx>
              <w:trPr>
                <w:trHeight w:hRule="exact" w:val="408"/>
                <w:jc w:val="center"/>
              </w:trPr>
              <w:tc>
                <w:tcPr>
                  <w:tcW w:w="400" w:type="pct"/>
                  <w:vMerge w:val="restart"/>
                  <w:shd w:val="clear" w:color="auto" w:fill="FFFFFF"/>
                  <w:vAlign w:val="center"/>
                </w:tcPr>
                <w:p w14:paraId="5F6DF212"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北侧</w:t>
                  </w:r>
                </w:p>
              </w:tc>
              <w:tc>
                <w:tcPr>
                  <w:tcW w:w="471" w:type="pct"/>
                  <w:shd w:val="clear" w:color="auto" w:fill="FFFFFF"/>
                  <w:vAlign w:val="center"/>
                </w:tcPr>
                <w:p w14:paraId="17EC9806"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-47.9</w:t>
                  </w:r>
                </w:p>
              </w:tc>
              <w:tc>
                <w:tcPr>
                  <w:tcW w:w="463" w:type="pct"/>
                  <w:shd w:val="clear" w:color="auto" w:fill="FFFFFF"/>
                  <w:vAlign w:val="center"/>
                </w:tcPr>
                <w:p w14:paraId="6A90DED7"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126.6</w:t>
                  </w:r>
                </w:p>
              </w:tc>
              <w:tc>
                <w:tcPr>
                  <w:tcW w:w="376" w:type="pct"/>
                  <w:shd w:val="clear" w:color="auto" w:fill="FFFFFF"/>
                  <w:vAlign w:val="center"/>
                </w:tcPr>
                <w:p w14:paraId="52C1D4F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7112FE8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昼间</w:t>
                  </w:r>
                </w:p>
              </w:tc>
              <w:tc>
                <w:tcPr>
                  <w:tcW w:w="689" w:type="pct"/>
                  <w:shd w:val="clear" w:color="auto" w:fill="FFFFFF"/>
                  <w:vAlign w:val="center"/>
                </w:tcPr>
                <w:p w14:paraId="00BBB793"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25</w:t>
                  </w:r>
                </w:p>
              </w:tc>
              <w:tc>
                <w:tcPr>
                  <w:tcW w:w="547" w:type="pct"/>
                  <w:shd w:val="clear" w:color="auto" w:fill="FFFFFF"/>
                  <w:vAlign w:val="center"/>
                </w:tcPr>
                <w:p w14:paraId="3C7E21CC"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51</w:t>
                  </w:r>
                </w:p>
              </w:tc>
              <w:tc>
                <w:tcPr>
                  <w:tcW w:w="571" w:type="pct"/>
                  <w:shd w:val="clear" w:color="auto" w:fill="FFFFFF"/>
                  <w:vAlign w:val="center"/>
                </w:tcPr>
                <w:p w14:paraId="4DE36D12"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5</w:t>
                  </w:r>
                  <w:r>
                    <w:rPr>
                      <w:rFonts w:cs="Times New Roman"/>
                      <w:kern w:val="0"/>
                      <w:sz w:val="21"/>
                      <w:szCs w:val="21"/>
                    </w:rPr>
                    <w:t>1.0</w:t>
                  </w:r>
                </w:p>
              </w:tc>
              <w:tc>
                <w:tcPr>
                  <w:tcW w:w="689" w:type="pct"/>
                  <w:shd w:val="clear" w:color="auto" w:fill="FFFFFF"/>
                  <w:vAlign w:val="center"/>
                </w:tcPr>
                <w:p w14:paraId="28DC284D"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65</w:t>
                  </w:r>
                </w:p>
              </w:tc>
              <w:tc>
                <w:tcPr>
                  <w:tcW w:w="417" w:type="pct"/>
                  <w:shd w:val="clear" w:color="auto" w:fill="FFFFFF"/>
                  <w:vAlign w:val="center"/>
                </w:tcPr>
                <w:p w14:paraId="2102E6D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r w:rsidR="003C4F46" w14:paraId="6CA8B970" w14:textId="77777777">
              <w:tblPrEx>
                <w:shd w:val="clear" w:color="auto" w:fill="FFFFFF"/>
              </w:tblPrEx>
              <w:trPr>
                <w:trHeight w:hRule="exact" w:val="408"/>
                <w:jc w:val="center"/>
              </w:trPr>
              <w:tc>
                <w:tcPr>
                  <w:tcW w:w="400" w:type="pct"/>
                  <w:vMerge/>
                  <w:shd w:val="clear" w:color="auto" w:fill="FFFFFF"/>
                  <w:vAlign w:val="center"/>
                </w:tcPr>
                <w:p w14:paraId="7B40F666" w14:textId="77777777" w:rsidR="003C4F46" w:rsidRDefault="003C4F46">
                  <w:pPr>
                    <w:autoSpaceDE w:val="0"/>
                    <w:autoSpaceDN w:val="0"/>
                    <w:spacing w:line="240" w:lineRule="auto"/>
                    <w:ind w:firstLineChars="0" w:firstLine="0"/>
                    <w:jc w:val="center"/>
                    <w:textAlignment w:val="auto"/>
                    <w:rPr>
                      <w:rFonts w:cs="Times New Roman"/>
                      <w:kern w:val="0"/>
                      <w:sz w:val="21"/>
                      <w:szCs w:val="21"/>
                    </w:rPr>
                  </w:pPr>
                </w:p>
              </w:tc>
              <w:tc>
                <w:tcPr>
                  <w:tcW w:w="471" w:type="pct"/>
                  <w:shd w:val="clear" w:color="auto" w:fill="FFFFFF"/>
                  <w:vAlign w:val="center"/>
                </w:tcPr>
                <w:p w14:paraId="0639A94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-47.9</w:t>
                  </w:r>
                </w:p>
              </w:tc>
              <w:tc>
                <w:tcPr>
                  <w:tcW w:w="463" w:type="pct"/>
                  <w:shd w:val="clear" w:color="auto" w:fill="FFFFFF"/>
                  <w:vAlign w:val="center"/>
                </w:tcPr>
                <w:p w14:paraId="6D1FFD4E"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126.6</w:t>
                  </w:r>
                </w:p>
              </w:tc>
              <w:tc>
                <w:tcPr>
                  <w:tcW w:w="376" w:type="pct"/>
                  <w:shd w:val="clear" w:color="auto" w:fill="FFFFFF"/>
                  <w:vAlign w:val="center"/>
                </w:tcPr>
                <w:p w14:paraId="7F45847B"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1.2</w:t>
                  </w:r>
                </w:p>
              </w:tc>
              <w:tc>
                <w:tcPr>
                  <w:tcW w:w="377" w:type="pct"/>
                  <w:shd w:val="clear" w:color="auto" w:fill="FFFFFF"/>
                  <w:vAlign w:val="center"/>
                </w:tcPr>
                <w:p w14:paraId="28F8594C"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夜间</w:t>
                  </w:r>
                </w:p>
              </w:tc>
              <w:tc>
                <w:tcPr>
                  <w:tcW w:w="689" w:type="pct"/>
                  <w:shd w:val="clear" w:color="auto" w:fill="FFFFFF"/>
                  <w:vAlign w:val="center"/>
                </w:tcPr>
                <w:p w14:paraId="5A8680C4"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25</w:t>
                  </w:r>
                </w:p>
              </w:tc>
              <w:tc>
                <w:tcPr>
                  <w:tcW w:w="547" w:type="pct"/>
                  <w:shd w:val="clear" w:color="auto" w:fill="FFFFFF"/>
                  <w:vAlign w:val="center"/>
                </w:tcPr>
                <w:p w14:paraId="7506B5F8"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43</w:t>
                  </w:r>
                </w:p>
              </w:tc>
              <w:tc>
                <w:tcPr>
                  <w:tcW w:w="571" w:type="pct"/>
                  <w:shd w:val="clear" w:color="auto" w:fill="FFFFFF"/>
                  <w:vAlign w:val="center"/>
                </w:tcPr>
                <w:p w14:paraId="1D7FD1F9"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hint="eastAsia"/>
                      <w:kern w:val="0"/>
                      <w:sz w:val="21"/>
                      <w:szCs w:val="21"/>
                    </w:rPr>
                    <w:t>4</w:t>
                  </w:r>
                  <w:r>
                    <w:rPr>
                      <w:rFonts w:cs="Times New Roman"/>
                      <w:kern w:val="0"/>
                      <w:sz w:val="21"/>
                      <w:szCs w:val="21"/>
                    </w:rPr>
                    <w:t>3.1</w:t>
                  </w:r>
                </w:p>
              </w:tc>
              <w:tc>
                <w:tcPr>
                  <w:tcW w:w="689" w:type="pct"/>
                  <w:shd w:val="clear" w:color="auto" w:fill="FFFFFF"/>
                  <w:vAlign w:val="center"/>
                </w:tcPr>
                <w:p w14:paraId="4BA70011"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55</w:t>
                  </w:r>
                </w:p>
              </w:tc>
              <w:tc>
                <w:tcPr>
                  <w:tcW w:w="417" w:type="pct"/>
                  <w:shd w:val="clear" w:color="auto" w:fill="FFFFFF"/>
                  <w:vAlign w:val="center"/>
                </w:tcPr>
                <w:p w14:paraId="60BA785F" w14:textId="77777777" w:rsidR="003C4F46" w:rsidRDefault="004B6A81">
                  <w:pPr>
                    <w:autoSpaceDE w:val="0"/>
                    <w:autoSpaceDN w:val="0"/>
                    <w:spacing w:line="240" w:lineRule="auto"/>
                    <w:ind w:firstLineChars="0" w:firstLine="0"/>
                    <w:jc w:val="center"/>
                    <w:textAlignment w:val="auto"/>
                    <w:rPr>
                      <w:rFonts w:cs="Times New Roman"/>
                      <w:kern w:val="0"/>
                      <w:sz w:val="21"/>
                      <w:szCs w:val="21"/>
                    </w:rPr>
                  </w:pPr>
                  <w:r>
                    <w:rPr>
                      <w:rFonts w:cs="Times New Roman"/>
                      <w:kern w:val="0"/>
                      <w:sz w:val="21"/>
                      <w:szCs w:val="21"/>
                    </w:rPr>
                    <w:t>达标</w:t>
                  </w:r>
                </w:p>
              </w:tc>
            </w:tr>
          </w:tbl>
          <w:bookmarkEnd w:id="28"/>
          <w:p w14:paraId="1FDEF13B" w14:textId="77777777" w:rsidR="003C4F46" w:rsidRDefault="004B6A81">
            <w:pPr>
              <w:ind w:firstLine="480"/>
              <w:rPr>
                <w:color w:val="000000" w:themeColor="text1"/>
              </w:rPr>
            </w:pPr>
            <w:r>
              <w:rPr>
                <w:rFonts w:hint="eastAsia"/>
                <w:color w:val="000000" w:themeColor="text1"/>
              </w:rPr>
              <w:t>根据上表可知，本项目设备噪声在距离衰减情况下，四周厂界可满足《工业企业厂界环境噪声排放标准》（</w:t>
            </w:r>
            <w:r>
              <w:rPr>
                <w:color w:val="000000" w:themeColor="text1"/>
              </w:rPr>
              <w:t>GB12348-2008</w:t>
            </w:r>
            <w:r>
              <w:rPr>
                <w:rFonts w:hint="eastAsia"/>
                <w:color w:val="000000" w:themeColor="text1"/>
              </w:rPr>
              <w:t>）</w:t>
            </w:r>
            <w:r>
              <w:rPr>
                <w:color w:val="000000" w:themeColor="text1"/>
              </w:rPr>
              <w:t>3</w:t>
            </w:r>
            <w:r>
              <w:rPr>
                <w:rFonts w:hint="eastAsia"/>
                <w:color w:val="000000" w:themeColor="text1"/>
              </w:rPr>
              <w:t>类标准。</w:t>
            </w:r>
          </w:p>
          <w:p w14:paraId="46D91B81" w14:textId="77777777" w:rsidR="003C4F46" w:rsidRDefault="004B6A81">
            <w:pPr>
              <w:ind w:firstLine="480"/>
              <w:rPr>
                <w:color w:val="000000" w:themeColor="text1"/>
              </w:rPr>
            </w:pPr>
            <w:r>
              <w:rPr>
                <w:rFonts w:hint="eastAsia"/>
                <w:color w:val="000000" w:themeColor="text1"/>
              </w:rPr>
              <w:t>为了进一步减少本项目噪声对周围声环境的影响，本项目拟采取下述噪声防治措施：</w:t>
            </w:r>
          </w:p>
          <w:p w14:paraId="1201111D" w14:textId="77777777" w:rsidR="003C4F46" w:rsidRDefault="004B6A81">
            <w:pPr>
              <w:ind w:firstLine="480"/>
              <w:rPr>
                <w:color w:val="000000" w:themeColor="text1"/>
              </w:rPr>
            </w:pPr>
            <w:r>
              <w:rPr>
                <w:rFonts w:hint="eastAsia"/>
                <w:color w:val="000000" w:themeColor="text1"/>
              </w:rPr>
              <w:t>①选用低噪声机械设备，车辆在进出项目区时低速、禁鸣。</w:t>
            </w:r>
          </w:p>
          <w:p w14:paraId="4DFA3291" w14:textId="77777777" w:rsidR="003C4F46" w:rsidRDefault="004B6A81">
            <w:pPr>
              <w:ind w:firstLine="480"/>
              <w:rPr>
                <w:color w:val="000000" w:themeColor="text1"/>
              </w:rPr>
            </w:pPr>
            <w:r>
              <w:rPr>
                <w:rFonts w:hint="eastAsia"/>
                <w:color w:val="000000" w:themeColor="text1"/>
              </w:rPr>
              <w:t>②定期修检、维护运输车、叉车，使之正常运转。</w:t>
            </w:r>
          </w:p>
          <w:p w14:paraId="1272C4E3" w14:textId="77777777" w:rsidR="003C4F46" w:rsidRDefault="004B6A81">
            <w:pPr>
              <w:spacing w:line="440" w:lineRule="exact"/>
              <w:ind w:firstLineChars="0" w:firstLine="0"/>
              <w:jc w:val="left"/>
              <w:rPr>
                <w:b/>
                <w:bCs/>
              </w:rPr>
            </w:pPr>
            <w:r>
              <w:rPr>
                <w:rFonts w:hint="eastAsia"/>
                <w:b/>
                <w:bCs/>
              </w:rPr>
              <w:t>4</w:t>
            </w:r>
            <w:r>
              <w:rPr>
                <w:b/>
                <w:bCs/>
              </w:rPr>
              <w:t>.2.</w:t>
            </w:r>
            <w:r>
              <w:rPr>
                <w:rFonts w:hint="eastAsia"/>
                <w:b/>
                <w:bCs/>
              </w:rPr>
              <w:t>4</w:t>
            </w:r>
            <w:r>
              <w:rPr>
                <w:rFonts w:hint="eastAsia"/>
                <w:b/>
                <w:bCs/>
              </w:rPr>
              <w:t>固体废物影响与评价</w:t>
            </w:r>
          </w:p>
          <w:p w14:paraId="57F7F4A2" w14:textId="77777777" w:rsidR="003C4F46" w:rsidRDefault="004B6A81">
            <w:pPr>
              <w:ind w:firstLine="480"/>
              <w:rPr>
                <w:color w:val="000000"/>
              </w:rPr>
            </w:pPr>
            <w:r>
              <w:rPr>
                <w:rFonts w:hint="eastAsia"/>
                <w:color w:val="000000"/>
              </w:rPr>
              <w:t>本项目固体废物主要是危险废物泄漏事故时产生的</w:t>
            </w:r>
            <w:r>
              <w:rPr>
                <w:rFonts w:cs="Times New Roman"/>
              </w:rPr>
              <w:t>废含油抹布</w:t>
            </w:r>
            <w:r>
              <w:rPr>
                <w:rFonts w:cs="Times New Roman" w:hint="eastAsia"/>
              </w:rPr>
              <w:t>、废劳保用品</w:t>
            </w:r>
            <w:r>
              <w:rPr>
                <w:rFonts w:hint="eastAsia"/>
                <w:color w:val="000000"/>
              </w:rPr>
              <w:t>、废活性炭以及生活垃圾。</w:t>
            </w:r>
          </w:p>
          <w:p w14:paraId="5E70BF38" w14:textId="77777777" w:rsidR="003C4F46" w:rsidRDefault="004B6A81">
            <w:pPr>
              <w:ind w:firstLine="480"/>
              <w:rPr>
                <w:color w:val="000000" w:themeColor="text1"/>
              </w:rPr>
            </w:pPr>
            <w:bookmarkStart w:id="29" w:name="_Hlk156401327"/>
            <w:r>
              <w:rPr>
                <w:color w:val="000000" w:themeColor="text1"/>
              </w:rPr>
              <w:t>（</w:t>
            </w:r>
            <w:r>
              <w:rPr>
                <w:color w:val="000000" w:themeColor="text1"/>
              </w:rPr>
              <w:t>1</w:t>
            </w:r>
            <w:r>
              <w:rPr>
                <w:color w:val="000000" w:themeColor="text1"/>
              </w:rPr>
              <w:t>）生活</w:t>
            </w:r>
            <w:r>
              <w:rPr>
                <w:rFonts w:hint="eastAsia"/>
                <w:color w:val="000000" w:themeColor="text1"/>
              </w:rPr>
              <w:t>垃圾</w:t>
            </w:r>
          </w:p>
          <w:p w14:paraId="2664B56A" w14:textId="77777777" w:rsidR="003C4F46" w:rsidRDefault="004B6A81">
            <w:pPr>
              <w:ind w:firstLine="480"/>
              <w:rPr>
                <w:rFonts w:cs="Times New Roman"/>
                <w:color w:val="000000" w:themeColor="text1"/>
              </w:rPr>
            </w:pPr>
            <w:r>
              <w:rPr>
                <w:rFonts w:cs="Times New Roman" w:hint="eastAsia"/>
              </w:rPr>
              <w:t>本项目新增劳动定员</w:t>
            </w:r>
            <w:r>
              <w:rPr>
                <w:rFonts w:cs="Times New Roman" w:hint="eastAsia"/>
              </w:rPr>
              <w:t>6</w:t>
            </w:r>
            <w:r>
              <w:rPr>
                <w:rFonts w:cs="Times New Roman" w:hint="eastAsia"/>
              </w:rPr>
              <w:t>人，生活垃圾产生量按每人</w:t>
            </w:r>
            <w:r>
              <w:rPr>
                <w:rFonts w:cs="Times New Roman" w:hint="eastAsia"/>
              </w:rPr>
              <w:t>0.5kg/d</w:t>
            </w:r>
            <w:r>
              <w:rPr>
                <w:rFonts w:cs="Times New Roman" w:hint="eastAsia"/>
              </w:rPr>
              <w:t>，则共约</w:t>
            </w:r>
            <w:r>
              <w:rPr>
                <w:rFonts w:cs="Times New Roman" w:hint="eastAsia"/>
              </w:rPr>
              <w:t>0.99t/a</w:t>
            </w:r>
            <w:r>
              <w:rPr>
                <w:rFonts w:cs="Times New Roman" w:hint="eastAsia"/>
              </w:rPr>
              <w:t>，生活垃圾收集后由环卫部门统一清运和处理</w:t>
            </w:r>
            <w:r>
              <w:rPr>
                <w:rFonts w:cs="Times New Roman" w:hint="eastAsia"/>
                <w:color w:val="000000" w:themeColor="text1"/>
              </w:rPr>
              <w:t>。</w:t>
            </w:r>
          </w:p>
          <w:p w14:paraId="009076D5" w14:textId="77777777" w:rsidR="003C4F46" w:rsidRDefault="004B6A81">
            <w:pPr>
              <w:ind w:firstLine="480"/>
              <w:rPr>
                <w:rFonts w:cs="Times New Roman"/>
                <w:color w:val="000000" w:themeColor="text1"/>
              </w:rPr>
            </w:pPr>
            <w:r>
              <w:rPr>
                <w:rFonts w:cs="Times New Roman" w:hint="eastAsia"/>
                <w:color w:val="000000" w:themeColor="text1"/>
              </w:rPr>
              <w:lastRenderedPageBreak/>
              <w:t>（</w:t>
            </w:r>
            <w:r>
              <w:rPr>
                <w:rFonts w:cs="Times New Roman"/>
                <w:color w:val="000000" w:themeColor="text1"/>
              </w:rPr>
              <w:t>2</w:t>
            </w:r>
            <w:r>
              <w:rPr>
                <w:rFonts w:cs="Times New Roman" w:hint="eastAsia"/>
                <w:color w:val="000000" w:themeColor="text1"/>
              </w:rPr>
              <w:t>）</w:t>
            </w:r>
            <w:r>
              <w:rPr>
                <w:rFonts w:cs="Times New Roman"/>
              </w:rPr>
              <w:t>废含油抹布</w:t>
            </w:r>
            <w:r>
              <w:rPr>
                <w:rFonts w:cs="Times New Roman" w:hint="eastAsia"/>
              </w:rPr>
              <w:t>、废劳保用品</w:t>
            </w:r>
          </w:p>
          <w:p w14:paraId="412B7C41" w14:textId="79B1EE40" w:rsidR="003C4F46" w:rsidRDefault="004B6A81">
            <w:pPr>
              <w:ind w:firstLine="480"/>
              <w:rPr>
                <w:rFonts w:cs="Times New Roman"/>
                <w:color w:val="000000" w:themeColor="text1"/>
              </w:rPr>
            </w:pPr>
            <w:r>
              <w:rPr>
                <w:rFonts w:cs="Times New Roman" w:hint="eastAsia"/>
                <w:color w:val="000000" w:themeColor="text1"/>
              </w:rPr>
              <w:t>本项目</w:t>
            </w:r>
            <w:r w:rsidR="002F2799">
              <w:rPr>
                <w:rFonts w:cs="Times New Roman" w:hint="eastAsia"/>
                <w:color w:val="000000" w:themeColor="text1"/>
              </w:rPr>
              <w:t>搬运过程</w:t>
            </w:r>
            <w:r>
              <w:rPr>
                <w:rFonts w:cs="Times New Roman" w:hint="eastAsia"/>
                <w:color w:val="000000" w:themeColor="text1"/>
              </w:rPr>
              <w:t>中会产生沾染废机油的废抹布及废手套，产生量约为</w:t>
            </w:r>
            <w:r>
              <w:rPr>
                <w:rFonts w:cs="Times New Roman" w:hint="eastAsia"/>
                <w:color w:val="000000" w:themeColor="text1"/>
              </w:rPr>
              <w:t>0.5t/a</w:t>
            </w:r>
            <w:r>
              <w:rPr>
                <w:rFonts w:cs="Times New Roman" w:hint="eastAsia"/>
                <w:color w:val="000000" w:themeColor="text1"/>
              </w:rPr>
              <w:t>。对照《国家危险废物名录》（</w:t>
            </w:r>
            <w:r>
              <w:rPr>
                <w:rFonts w:cs="Times New Roman" w:hint="eastAsia"/>
                <w:color w:val="000000" w:themeColor="text1"/>
              </w:rPr>
              <w:t>2025</w:t>
            </w:r>
            <w:r>
              <w:rPr>
                <w:rFonts w:cs="Times New Roman" w:hint="eastAsia"/>
                <w:color w:val="000000" w:themeColor="text1"/>
              </w:rPr>
              <w:t>年版），该类废物属于</w:t>
            </w:r>
            <w:r>
              <w:rPr>
                <w:rFonts w:cs="Times New Roman" w:hint="eastAsia"/>
                <w:color w:val="000000" w:themeColor="text1"/>
              </w:rPr>
              <w:t>HW49</w:t>
            </w:r>
            <w:r>
              <w:rPr>
                <w:rFonts w:cs="Times New Roman" w:hint="eastAsia"/>
                <w:color w:val="000000" w:themeColor="text1"/>
              </w:rPr>
              <w:t>其他废物，废物代码为</w:t>
            </w:r>
            <w:r>
              <w:rPr>
                <w:rFonts w:cs="Times New Roman" w:hint="eastAsia"/>
                <w:color w:val="000000" w:themeColor="text1"/>
              </w:rPr>
              <w:t>900-041-49</w:t>
            </w:r>
            <w:r>
              <w:rPr>
                <w:rFonts w:cs="Times New Roman" w:hint="eastAsia"/>
                <w:color w:val="000000" w:themeColor="text1"/>
              </w:rPr>
              <w:t>（含有或沾染毒性、感染性危险废物的废弃包装物、容器、过滤吸附介质）。</w:t>
            </w:r>
          </w:p>
          <w:p w14:paraId="3C4AB044" w14:textId="77777777" w:rsidR="003C4F46" w:rsidRDefault="004B6A81">
            <w:pPr>
              <w:ind w:firstLine="480"/>
              <w:rPr>
                <w:rFonts w:cs="Times New Roman"/>
                <w:color w:val="000000" w:themeColor="text1"/>
              </w:rPr>
            </w:pPr>
            <w:r>
              <w:rPr>
                <w:rFonts w:cs="Times New Roman" w:hint="eastAsia"/>
                <w:color w:val="000000" w:themeColor="text1"/>
              </w:rPr>
              <w:t>根据《国家危险废物名录》中《危险废物豁免管理清单》的规定，废弃的含油抹布、劳保用品在“未分类收集”的条件下，其全过程可不按危险废物管理。但本项目作为专业危险废物贮存库，须依法对各类危险废物实行严格的分类收集、分区贮存和规范化管理，不具备上述豁免条件。因此，本项目产生的废含油抹布及废劳保用品不适用豁免管理，应严格按照危险废物进行管理，集中收集后存放于危险废物贮存库，定期委托有处理资质单位进行清运及处置。</w:t>
            </w:r>
          </w:p>
          <w:p w14:paraId="1859002A" w14:textId="77777777" w:rsidR="003C4F46" w:rsidRDefault="004B6A81">
            <w:pPr>
              <w:ind w:left="480" w:firstLineChars="0" w:firstLine="0"/>
              <w:rPr>
                <w:kern w:val="0"/>
              </w:rPr>
            </w:pPr>
            <w:r>
              <w:rPr>
                <w:rFonts w:hint="eastAsia"/>
                <w:color w:val="000000"/>
              </w:rPr>
              <w:t>（</w:t>
            </w:r>
            <w:r>
              <w:rPr>
                <w:rFonts w:hint="eastAsia"/>
                <w:color w:val="000000"/>
              </w:rPr>
              <w:t>3</w:t>
            </w:r>
            <w:r>
              <w:rPr>
                <w:rFonts w:hint="eastAsia"/>
                <w:color w:val="000000"/>
              </w:rPr>
              <w:t>）废活性炭</w:t>
            </w:r>
          </w:p>
          <w:p w14:paraId="29680E78" w14:textId="5B3E81F3" w:rsidR="003C4F46" w:rsidRDefault="004B6A81">
            <w:pPr>
              <w:ind w:firstLine="480"/>
              <w:rPr>
                <w:kern w:val="0"/>
              </w:rPr>
            </w:pPr>
            <w:r>
              <w:rPr>
                <w:rFonts w:hint="eastAsia"/>
                <w:snapToGrid w:val="0"/>
                <w:kern w:val="0"/>
              </w:rPr>
              <w:t>根据废气章节核算，本项目进入二级活性炭吸附装置的</w:t>
            </w:r>
            <w:r>
              <w:rPr>
                <w:rFonts w:hint="eastAsia"/>
                <w:snapToGrid w:val="0"/>
                <w:kern w:val="0"/>
              </w:rPr>
              <w:t>VOCs</w:t>
            </w:r>
            <w:r>
              <w:rPr>
                <w:rFonts w:hint="eastAsia"/>
                <w:snapToGrid w:val="0"/>
                <w:kern w:val="0"/>
              </w:rPr>
              <w:t>量为</w:t>
            </w:r>
            <w:r>
              <w:rPr>
                <w:rFonts w:hint="eastAsia"/>
                <w:snapToGrid w:val="0"/>
                <w:kern w:val="0"/>
              </w:rPr>
              <w:t>1.34t/a</w:t>
            </w:r>
            <w:r>
              <w:rPr>
                <w:rFonts w:hint="eastAsia"/>
                <w:snapToGrid w:val="0"/>
                <w:kern w:val="0"/>
              </w:rPr>
              <w:t>，按设计吸附效率</w:t>
            </w:r>
            <w:r>
              <w:rPr>
                <w:rFonts w:hint="eastAsia"/>
                <w:snapToGrid w:val="0"/>
                <w:kern w:val="0"/>
              </w:rPr>
              <w:t>32.76%</w:t>
            </w:r>
            <w:r>
              <w:rPr>
                <w:rFonts w:hint="eastAsia"/>
                <w:snapToGrid w:val="0"/>
                <w:kern w:val="0"/>
              </w:rPr>
              <w:t>计，实际被活性炭吸附的有机废气量为</w:t>
            </w:r>
            <w:r>
              <w:rPr>
                <w:rFonts w:hint="eastAsia"/>
                <w:snapToGrid w:val="0"/>
                <w:kern w:val="0"/>
              </w:rPr>
              <w:t>0.44t/a</w:t>
            </w:r>
            <w:r>
              <w:rPr>
                <w:rFonts w:hint="eastAsia"/>
                <w:snapToGrid w:val="0"/>
                <w:kern w:val="0"/>
              </w:rPr>
              <w:t>。根据《吸附法工业有机废气治理工程技术规范》（</w:t>
            </w:r>
            <w:r>
              <w:rPr>
                <w:rFonts w:hint="eastAsia"/>
                <w:snapToGrid w:val="0"/>
                <w:kern w:val="0"/>
              </w:rPr>
              <w:t>HJ2026-2013</w:t>
            </w:r>
            <w:r>
              <w:rPr>
                <w:rFonts w:hint="eastAsia"/>
                <w:snapToGrid w:val="0"/>
                <w:kern w:val="0"/>
              </w:rPr>
              <w:t>）并结合活性炭吸附容量（参考《简明通风设计手册》，</w:t>
            </w:r>
            <w:r>
              <w:rPr>
                <w:rFonts w:hint="eastAsia"/>
                <w:snapToGrid w:val="0"/>
                <w:kern w:val="0"/>
              </w:rPr>
              <w:t>0.25t</w:t>
            </w:r>
            <w:r>
              <w:rPr>
                <w:rFonts w:hint="eastAsia"/>
                <w:snapToGrid w:val="0"/>
                <w:kern w:val="0"/>
              </w:rPr>
              <w:t>有机废气</w:t>
            </w:r>
            <w:r>
              <w:rPr>
                <w:rFonts w:hint="eastAsia"/>
                <w:snapToGrid w:val="0"/>
                <w:kern w:val="0"/>
              </w:rPr>
              <w:t>/t</w:t>
            </w:r>
            <w:r>
              <w:rPr>
                <w:rFonts w:hint="eastAsia"/>
                <w:snapToGrid w:val="0"/>
                <w:kern w:val="0"/>
              </w:rPr>
              <w:t>活性炭），理论上需消耗活性炭</w:t>
            </w:r>
            <w:r>
              <w:rPr>
                <w:rFonts w:hint="eastAsia"/>
                <w:snapToGrid w:val="0"/>
                <w:kern w:val="0"/>
              </w:rPr>
              <w:t>1.76t/a</w:t>
            </w:r>
            <w:r>
              <w:rPr>
                <w:rFonts w:hint="eastAsia"/>
                <w:snapToGrid w:val="0"/>
                <w:kern w:val="0"/>
              </w:rPr>
              <w:t>。为确保吸附效率并留有足够余量，本项目设计活性炭单次装填量约为</w:t>
            </w:r>
            <w:r>
              <w:rPr>
                <w:rFonts w:hint="eastAsia"/>
                <w:snapToGrid w:val="0"/>
                <w:kern w:val="0"/>
              </w:rPr>
              <w:t>1.0t</w:t>
            </w:r>
            <w:r>
              <w:rPr>
                <w:rFonts w:hint="eastAsia"/>
                <w:snapToGrid w:val="0"/>
                <w:kern w:val="0"/>
              </w:rPr>
              <w:t>，</w:t>
            </w:r>
            <w:r w:rsidR="00403FE2" w:rsidRPr="00403FE2">
              <w:rPr>
                <w:rFonts w:hint="eastAsia"/>
                <w:snapToGrid w:val="0"/>
                <w:kern w:val="0"/>
              </w:rPr>
              <w:t>更换周期</w:t>
            </w:r>
            <w:r w:rsidR="00403FE2" w:rsidRPr="00403FE2">
              <w:rPr>
                <w:rFonts w:hint="eastAsia"/>
                <w:snapToGrid w:val="0"/>
                <w:kern w:val="0"/>
              </w:rPr>
              <w:t>3</w:t>
            </w:r>
            <w:r w:rsidR="00403FE2" w:rsidRPr="00403FE2">
              <w:rPr>
                <w:rFonts w:hint="eastAsia"/>
                <w:snapToGrid w:val="0"/>
                <w:kern w:val="0"/>
              </w:rPr>
              <w:t>个月</w:t>
            </w:r>
            <w:r w:rsidR="00403FE2" w:rsidRPr="00403FE2">
              <w:rPr>
                <w:rFonts w:hint="eastAsia"/>
                <w:snapToGrid w:val="0"/>
                <w:kern w:val="0"/>
              </w:rPr>
              <w:t>/</w:t>
            </w:r>
            <w:r w:rsidR="00403FE2" w:rsidRPr="00403FE2">
              <w:rPr>
                <w:rFonts w:hint="eastAsia"/>
                <w:snapToGrid w:val="0"/>
                <w:kern w:val="0"/>
              </w:rPr>
              <w:t>次</w:t>
            </w:r>
            <w:r>
              <w:rPr>
                <w:rFonts w:hint="eastAsia"/>
                <w:snapToGrid w:val="0"/>
                <w:kern w:val="0"/>
              </w:rPr>
              <w:t>，则年消耗活性炭</w:t>
            </w:r>
            <w:r w:rsidR="00403FE2">
              <w:rPr>
                <w:snapToGrid w:val="0"/>
                <w:kern w:val="0"/>
              </w:rPr>
              <w:t>4</w:t>
            </w:r>
            <w:r>
              <w:rPr>
                <w:rFonts w:hint="eastAsia"/>
                <w:snapToGrid w:val="0"/>
                <w:kern w:val="0"/>
              </w:rPr>
              <w:t>.0t/a</w:t>
            </w:r>
            <w:r>
              <w:rPr>
                <w:rFonts w:hint="eastAsia"/>
                <w:snapToGrid w:val="0"/>
                <w:kern w:val="0"/>
              </w:rPr>
              <w:t>（</w:t>
            </w:r>
            <w:r>
              <w:rPr>
                <w:rFonts w:hint="eastAsia"/>
                <w:snapToGrid w:val="0"/>
                <w:kern w:val="0"/>
              </w:rPr>
              <w:t>1.0t/</w:t>
            </w:r>
            <w:r>
              <w:rPr>
                <w:rFonts w:hint="eastAsia"/>
                <w:snapToGrid w:val="0"/>
                <w:kern w:val="0"/>
              </w:rPr>
              <w:t>次×</w:t>
            </w:r>
            <w:r w:rsidR="00403FE2">
              <w:rPr>
                <w:snapToGrid w:val="0"/>
                <w:kern w:val="0"/>
              </w:rPr>
              <w:t>4</w:t>
            </w:r>
            <w:r>
              <w:rPr>
                <w:rFonts w:hint="eastAsia"/>
                <w:snapToGrid w:val="0"/>
                <w:kern w:val="0"/>
              </w:rPr>
              <w:t>次），可满足理论吸附需求。综合以上核算，废活性炭产生量</w:t>
            </w:r>
            <w:r>
              <w:rPr>
                <w:rFonts w:hint="eastAsia"/>
                <w:snapToGrid w:val="0"/>
                <w:kern w:val="0"/>
              </w:rPr>
              <w:t>=</w:t>
            </w:r>
            <w:r>
              <w:rPr>
                <w:rFonts w:hint="eastAsia"/>
                <w:snapToGrid w:val="0"/>
                <w:kern w:val="0"/>
              </w:rPr>
              <w:t>活性炭年消耗量</w:t>
            </w:r>
            <w:r>
              <w:rPr>
                <w:rFonts w:hint="eastAsia"/>
                <w:snapToGrid w:val="0"/>
                <w:kern w:val="0"/>
              </w:rPr>
              <w:t>+</w:t>
            </w:r>
            <w:r>
              <w:rPr>
                <w:rFonts w:hint="eastAsia"/>
                <w:snapToGrid w:val="0"/>
                <w:kern w:val="0"/>
              </w:rPr>
              <w:t>被吸附有机废气量</w:t>
            </w:r>
            <w:r>
              <w:rPr>
                <w:rFonts w:hint="eastAsia"/>
                <w:snapToGrid w:val="0"/>
                <w:kern w:val="0"/>
              </w:rPr>
              <w:t>=</w:t>
            </w:r>
            <w:r w:rsidR="00403FE2">
              <w:rPr>
                <w:snapToGrid w:val="0"/>
                <w:kern w:val="0"/>
              </w:rPr>
              <w:t>4</w:t>
            </w:r>
            <w:r>
              <w:rPr>
                <w:rFonts w:hint="eastAsia"/>
                <w:snapToGrid w:val="0"/>
                <w:kern w:val="0"/>
              </w:rPr>
              <w:t>.0t/a+0.44t/a=</w:t>
            </w:r>
            <w:r w:rsidR="00403FE2">
              <w:rPr>
                <w:snapToGrid w:val="0"/>
                <w:kern w:val="0"/>
              </w:rPr>
              <w:t>4.44</w:t>
            </w:r>
            <w:r>
              <w:rPr>
                <w:rFonts w:hint="eastAsia"/>
                <w:snapToGrid w:val="0"/>
                <w:kern w:val="0"/>
              </w:rPr>
              <w:t>t/a</w:t>
            </w:r>
            <w:r>
              <w:rPr>
                <w:rFonts w:hint="eastAsia"/>
                <w:snapToGrid w:val="0"/>
                <w:kern w:val="0"/>
              </w:rPr>
              <w:t>。根据《国家危险废物名录》（</w:t>
            </w:r>
            <w:r>
              <w:rPr>
                <w:rFonts w:hint="eastAsia"/>
                <w:snapToGrid w:val="0"/>
                <w:kern w:val="0"/>
              </w:rPr>
              <w:t>2025</w:t>
            </w:r>
            <w:r>
              <w:rPr>
                <w:rFonts w:hint="eastAsia"/>
                <w:snapToGrid w:val="0"/>
                <w:kern w:val="0"/>
              </w:rPr>
              <w:t>年版），饱和活性炭属于危险废物（</w:t>
            </w:r>
            <w:r>
              <w:rPr>
                <w:rFonts w:hint="eastAsia"/>
                <w:snapToGrid w:val="0"/>
                <w:kern w:val="0"/>
              </w:rPr>
              <w:t>HW49</w:t>
            </w:r>
            <w:r>
              <w:rPr>
                <w:rFonts w:hint="eastAsia"/>
                <w:snapToGrid w:val="0"/>
                <w:kern w:val="0"/>
              </w:rPr>
              <w:t>，废物代码</w:t>
            </w:r>
            <w:r>
              <w:rPr>
                <w:rFonts w:hint="eastAsia"/>
                <w:snapToGrid w:val="0"/>
                <w:kern w:val="0"/>
              </w:rPr>
              <w:t>900-039-49</w:t>
            </w:r>
            <w:r>
              <w:rPr>
                <w:rFonts w:hint="eastAsia"/>
                <w:snapToGrid w:val="0"/>
                <w:kern w:val="0"/>
              </w:rPr>
              <w:t>），集中收集后存放于危险废物贮存</w:t>
            </w:r>
            <w:r w:rsidR="00FB3999">
              <w:rPr>
                <w:rFonts w:hint="eastAsia"/>
                <w:snapToGrid w:val="0"/>
                <w:kern w:val="0"/>
              </w:rPr>
              <w:t>库</w:t>
            </w:r>
            <w:r>
              <w:rPr>
                <w:rFonts w:hint="eastAsia"/>
                <w:snapToGrid w:val="0"/>
                <w:kern w:val="0"/>
              </w:rPr>
              <w:t>，委托有危险废物处理资质的单位处置</w:t>
            </w:r>
            <w:r>
              <w:rPr>
                <w:snapToGrid w:val="0"/>
                <w:kern w:val="0"/>
              </w:rPr>
              <w:t>。</w:t>
            </w:r>
          </w:p>
          <w:bookmarkEnd w:id="29"/>
          <w:p w14:paraId="17FFE8D0" w14:textId="77777777" w:rsidR="003C4F46" w:rsidRDefault="004B6A81">
            <w:pPr>
              <w:spacing w:beforeLines="50" w:before="163" w:line="240" w:lineRule="auto"/>
              <w:ind w:firstLineChars="0" w:firstLine="0"/>
              <w:jc w:val="center"/>
              <w:rPr>
                <w:rFonts w:cs="Times New Roman"/>
                <w:b/>
                <w:color w:val="000000"/>
                <w:sz w:val="21"/>
              </w:rPr>
            </w:pPr>
            <w:r>
              <w:rPr>
                <w:rFonts w:cs="Times New Roman" w:hint="eastAsia"/>
                <w:b/>
                <w:color w:val="000000"/>
                <w:sz w:val="21"/>
              </w:rPr>
              <w:t>表</w:t>
            </w:r>
            <w:r>
              <w:rPr>
                <w:rFonts w:cs="Times New Roman" w:hint="eastAsia"/>
                <w:b/>
                <w:color w:val="000000"/>
                <w:sz w:val="21"/>
              </w:rPr>
              <w:t>4</w:t>
            </w:r>
            <w:r>
              <w:rPr>
                <w:rFonts w:cs="Times New Roman"/>
                <w:b/>
                <w:color w:val="000000"/>
                <w:sz w:val="21"/>
              </w:rPr>
              <w:t xml:space="preserve">-9  </w:t>
            </w:r>
            <w:r>
              <w:rPr>
                <w:rFonts w:cs="Times New Roman" w:hint="eastAsia"/>
                <w:b/>
                <w:color w:val="000000"/>
                <w:sz w:val="21"/>
              </w:rPr>
              <w:t>固体废物产生情况一览表</w:t>
            </w:r>
          </w:p>
          <w:tbl>
            <w:tblPr>
              <w:tblW w:w="85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55"/>
              <w:gridCol w:w="998"/>
              <w:gridCol w:w="780"/>
              <w:gridCol w:w="978"/>
              <w:gridCol w:w="695"/>
              <w:gridCol w:w="919"/>
              <w:gridCol w:w="1313"/>
              <w:gridCol w:w="754"/>
              <w:gridCol w:w="1508"/>
            </w:tblGrid>
            <w:tr w:rsidR="003C4F46" w14:paraId="67F80D26" w14:textId="77777777">
              <w:tc>
                <w:tcPr>
                  <w:tcW w:w="555" w:type="dxa"/>
                  <w:vAlign w:val="center"/>
                </w:tcPr>
                <w:p w14:paraId="4F933786"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序号</w:t>
                  </w:r>
                </w:p>
              </w:tc>
              <w:tc>
                <w:tcPr>
                  <w:tcW w:w="998" w:type="dxa"/>
                  <w:vAlign w:val="center"/>
                </w:tcPr>
                <w:p w14:paraId="5DC5DFDA"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固体废物名称</w:t>
                  </w:r>
                </w:p>
              </w:tc>
              <w:tc>
                <w:tcPr>
                  <w:tcW w:w="780" w:type="dxa"/>
                  <w:vAlign w:val="center"/>
                </w:tcPr>
                <w:p w14:paraId="0B2995AD"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产污环节</w:t>
                  </w:r>
                </w:p>
              </w:tc>
              <w:tc>
                <w:tcPr>
                  <w:tcW w:w="978" w:type="dxa"/>
                  <w:vAlign w:val="center"/>
                </w:tcPr>
                <w:p w14:paraId="555FBB67"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属性</w:t>
                  </w:r>
                </w:p>
              </w:tc>
              <w:tc>
                <w:tcPr>
                  <w:tcW w:w="695" w:type="dxa"/>
                  <w:vAlign w:val="center"/>
                </w:tcPr>
                <w:p w14:paraId="54A5490A"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物理性状</w:t>
                  </w:r>
                </w:p>
              </w:tc>
              <w:tc>
                <w:tcPr>
                  <w:tcW w:w="919" w:type="dxa"/>
                  <w:vAlign w:val="center"/>
                </w:tcPr>
                <w:p w14:paraId="63EFF0AD"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固体废物</w:t>
                  </w:r>
                  <w:r>
                    <w:rPr>
                      <w:rFonts w:cs="Times New Roman" w:hint="eastAsia"/>
                      <w:color w:val="000000"/>
                      <w:sz w:val="21"/>
                      <w:szCs w:val="21"/>
                    </w:rPr>
                    <w:t>类别</w:t>
                  </w:r>
                </w:p>
              </w:tc>
              <w:tc>
                <w:tcPr>
                  <w:tcW w:w="1313" w:type="dxa"/>
                  <w:vAlign w:val="center"/>
                </w:tcPr>
                <w:p w14:paraId="06F11A35"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固体废物编码</w:t>
                  </w:r>
                </w:p>
              </w:tc>
              <w:tc>
                <w:tcPr>
                  <w:tcW w:w="754" w:type="dxa"/>
                  <w:vAlign w:val="center"/>
                </w:tcPr>
                <w:p w14:paraId="6A87124E"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环境危险特性</w:t>
                  </w:r>
                </w:p>
              </w:tc>
              <w:tc>
                <w:tcPr>
                  <w:tcW w:w="1508" w:type="dxa"/>
                  <w:vAlign w:val="center"/>
                </w:tcPr>
                <w:p w14:paraId="5AD63D3C"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产生量</w:t>
                  </w:r>
                </w:p>
              </w:tc>
            </w:tr>
            <w:tr w:rsidR="003C4F46" w14:paraId="55769894" w14:textId="77777777">
              <w:tc>
                <w:tcPr>
                  <w:tcW w:w="555" w:type="dxa"/>
                  <w:vAlign w:val="center"/>
                </w:tcPr>
                <w:p w14:paraId="321D494A"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sz w:val="21"/>
                      <w:szCs w:val="21"/>
                    </w:rPr>
                    <w:t>1</w:t>
                  </w:r>
                </w:p>
              </w:tc>
              <w:tc>
                <w:tcPr>
                  <w:tcW w:w="998" w:type="dxa"/>
                  <w:vAlign w:val="center"/>
                </w:tcPr>
                <w:p w14:paraId="28917799"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生活</w:t>
                  </w:r>
                </w:p>
                <w:p w14:paraId="6FA5E8A5"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垃圾</w:t>
                  </w:r>
                </w:p>
              </w:tc>
              <w:tc>
                <w:tcPr>
                  <w:tcW w:w="780" w:type="dxa"/>
                  <w:vAlign w:val="center"/>
                </w:tcPr>
                <w:p w14:paraId="4ADAE765"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员工</w:t>
                  </w:r>
                </w:p>
                <w:p w14:paraId="4AEBE56F"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生活</w:t>
                  </w:r>
                </w:p>
              </w:tc>
              <w:tc>
                <w:tcPr>
                  <w:tcW w:w="978" w:type="dxa"/>
                  <w:vAlign w:val="center"/>
                </w:tcPr>
                <w:p w14:paraId="56CDA1B3" w14:textId="77777777" w:rsidR="003C4F46" w:rsidRDefault="004B6A81">
                  <w:pPr>
                    <w:spacing w:line="240" w:lineRule="auto"/>
                    <w:ind w:firstLineChars="0" w:firstLine="0"/>
                    <w:contextualSpacing/>
                    <w:jc w:val="center"/>
                    <w:rPr>
                      <w:rFonts w:cs="Times New Roman"/>
                      <w:color w:val="000000"/>
                      <w:sz w:val="21"/>
                      <w:szCs w:val="21"/>
                    </w:rPr>
                  </w:pPr>
                  <w:r>
                    <w:rPr>
                      <w:rFonts w:cs="Times New Roman"/>
                      <w:color w:val="000000"/>
                      <w:sz w:val="21"/>
                      <w:szCs w:val="21"/>
                    </w:rPr>
                    <w:t>生活</w:t>
                  </w:r>
                </w:p>
                <w:p w14:paraId="29C129B8"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垃圾</w:t>
                  </w:r>
                </w:p>
              </w:tc>
              <w:tc>
                <w:tcPr>
                  <w:tcW w:w="695" w:type="dxa"/>
                  <w:vAlign w:val="center"/>
                </w:tcPr>
                <w:p w14:paraId="726A3B94"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固态</w:t>
                  </w:r>
                </w:p>
              </w:tc>
              <w:tc>
                <w:tcPr>
                  <w:tcW w:w="919" w:type="dxa"/>
                  <w:vAlign w:val="center"/>
                </w:tcPr>
                <w:p w14:paraId="707C7E65" w14:textId="77777777" w:rsidR="003C4F46" w:rsidRDefault="004B6A81">
                  <w:pPr>
                    <w:spacing w:line="240" w:lineRule="auto"/>
                    <w:ind w:firstLineChars="0" w:firstLine="0"/>
                    <w:contextualSpacing/>
                    <w:jc w:val="center"/>
                    <w:rPr>
                      <w:rFonts w:cs="Times New Roman"/>
                      <w:color w:val="000000" w:themeColor="text1"/>
                      <w:sz w:val="21"/>
                      <w:szCs w:val="21"/>
                    </w:rPr>
                  </w:pPr>
                  <w:r>
                    <w:rPr>
                      <w:rFonts w:hint="eastAsia"/>
                      <w:color w:val="000000"/>
                      <w:sz w:val="21"/>
                      <w:szCs w:val="21"/>
                    </w:rPr>
                    <w:t>SW64</w:t>
                  </w:r>
                </w:p>
              </w:tc>
              <w:tc>
                <w:tcPr>
                  <w:tcW w:w="1313" w:type="dxa"/>
                  <w:vAlign w:val="center"/>
                </w:tcPr>
                <w:p w14:paraId="7309DC9A"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900-099-S64</w:t>
                  </w:r>
                </w:p>
              </w:tc>
              <w:tc>
                <w:tcPr>
                  <w:tcW w:w="754" w:type="dxa"/>
                  <w:vAlign w:val="center"/>
                </w:tcPr>
                <w:p w14:paraId="5C610025"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w:t>
                  </w:r>
                </w:p>
              </w:tc>
              <w:tc>
                <w:tcPr>
                  <w:tcW w:w="1508" w:type="dxa"/>
                  <w:vAlign w:val="center"/>
                </w:tcPr>
                <w:p w14:paraId="104F838E"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0.99t/a</w:t>
                  </w:r>
                </w:p>
              </w:tc>
            </w:tr>
            <w:tr w:rsidR="003C4F46" w14:paraId="5AF2EC34" w14:textId="77777777">
              <w:trPr>
                <w:trHeight w:val="431"/>
              </w:trPr>
              <w:tc>
                <w:tcPr>
                  <w:tcW w:w="555" w:type="dxa"/>
                  <w:vAlign w:val="center"/>
                </w:tcPr>
                <w:p w14:paraId="41C8563C"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2</w:t>
                  </w:r>
                </w:p>
              </w:tc>
              <w:tc>
                <w:tcPr>
                  <w:tcW w:w="998" w:type="dxa"/>
                  <w:vAlign w:val="center"/>
                </w:tcPr>
                <w:p w14:paraId="3DA107ED"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sz w:val="21"/>
                      <w:szCs w:val="21"/>
                    </w:rPr>
                    <w:t>废活性炭</w:t>
                  </w:r>
                </w:p>
              </w:tc>
              <w:tc>
                <w:tcPr>
                  <w:tcW w:w="780" w:type="dxa"/>
                  <w:vAlign w:val="center"/>
                </w:tcPr>
                <w:p w14:paraId="65B9D78D"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sz w:val="21"/>
                      <w:szCs w:val="21"/>
                    </w:rPr>
                    <w:t>活性炭吸</w:t>
                  </w:r>
                  <w:r>
                    <w:rPr>
                      <w:rFonts w:cs="Times New Roman" w:hint="eastAsia"/>
                      <w:color w:val="000000"/>
                      <w:sz w:val="21"/>
                      <w:szCs w:val="21"/>
                    </w:rPr>
                    <w:lastRenderedPageBreak/>
                    <w:t>附装置</w:t>
                  </w:r>
                </w:p>
              </w:tc>
              <w:tc>
                <w:tcPr>
                  <w:tcW w:w="978" w:type="dxa"/>
                  <w:vAlign w:val="center"/>
                </w:tcPr>
                <w:p w14:paraId="258F2EDD"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lastRenderedPageBreak/>
                    <w:t>危险废物</w:t>
                  </w:r>
                </w:p>
              </w:tc>
              <w:tc>
                <w:tcPr>
                  <w:tcW w:w="695" w:type="dxa"/>
                  <w:vAlign w:val="center"/>
                </w:tcPr>
                <w:p w14:paraId="0105AAAF"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固态</w:t>
                  </w:r>
                </w:p>
              </w:tc>
              <w:tc>
                <w:tcPr>
                  <w:tcW w:w="919" w:type="dxa"/>
                  <w:vAlign w:val="center"/>
                </w:tcPr>
                <w:p w14:paraId="5171993F"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HW49</w:t>
                  </w:r>
                </w:p>
              </w:tc>
              <w:tc>
                <w:tcPr>
                  <w:tcW w:w="1313" w:type="dxa"/>
                  <w:vAlign w:val="center"/>
                </w:tcPr>
                <w:p w14:paraId="0E10DD08"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snapToGrid w:val="0"/>
                      <w:kern w:val="0"/>
                      <w:sz w:val="21"/>
                      <w:szCs w:val="21"/>
                    </w:rPr>
                    <w:t>900-039-49</w:t>
                  </w:r>
                </w:p>
              </w:tc>
              <w:tc>
                <w:tcPr>
                  <w:tcW w:w="754" w:type="dxa"/>
                  <w:vAlign w:val="center"/>
                </w:tcPr>
                <w:p w14:paraId="37FC445D"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themeColor="text1"/>
                      <w:sz w:val="21"/>
                      <w:szCs w:val="21"/>
                    </w:rPr>
                    <w:t>T</w:t>
                  </w:r>
                </w:p>
              </w:tc>
              <w:tc>
                <w:tcPr>
                  <w:tcW w:w="1508" w:type="dxa"/>
                  <w:vAlign w:val="center"/>
                </w:tcPr>
                <w:p w14:paraId="63D7700F" w14:textId="7E4166C1" w:rsidR="003C4F46" w:rsidRDefault="00403FE2">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4.44</w:t>
                  </w:r>
                  <w:r w:rsidR="004B6A81">
                    <w:rPr>
                      <w:rFonts w:cs="Times New Roman"/>
                      <w:color w:val="000000"/>
                      <w:sz w:val="21"/>
                      <w:szCs w:val="21"/>
                    </w:rPr>
                    <w:t>t/a</w:t>
                  </w:r>
                </w:p>
              </w:tc>
            </w:tr>
            <w:tr w:rsidR="003C4F46" w14:paraId="64B11D0C" w14:textId="77777777">
              <w:trPr>
                <w:trHeight w:val="431"/>
              </w:trPr>
              <w:tc>
                <w:tcPr>
                  <w:tcW w:w="555" w:type="dxa"/>
                  <w:vAlign w:val="center"/>
                </w:tcPr>
                <w:p w14:paraId="345C714A"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themeColor="text1"/>
                      <w:sz w:val="21"/>
                      <w:szCs w:val="21"/>
                    </w:rPr>
                    <w:t>3</w:t>
                  </w:r>
                </w:p>
              </w:tc>
              <w:tc>
                <w:tcPr>
                  <w:tcW w:w="998" w:type="dxa"/>
                  <w:vAlign w:val="center"/>
                </w:tcPr>
                <w:p w14:paraId="5972FB06" w14:textId="77777777" w:rsidR="003C4F46" w:rsidRDefault="004B6A81">
                  <w:pPr>
                    <w:spacing w:line="240" w:lineRule="auto"/>
                    <w:ind w:firstLineChars="0" w:firstLine="0"/>
                    <w:contextualSpacing/>
                    <w:rPr>
                      <w:rFonts w:cs="Times New Roman"/>
                      <w:color w:val="000000" w:themeColor="text1"/>
                      <w:sz w:val="21"/>
                      <w:szCs w:val="21"/>
                    </w:rPr>
                  </w:pPr>
                  <w:r>
                    <w:rPr>
                      <w:rFonts w:cs="Times New Roman" w:hint="eastAsia"/>
                      <w:color w:val="000000"/>
                      <w:sz w:val="21"/>
                      <w:szCs w:val="21"/>
                    </w:rPr>
                    <w:t>废含油抹布、废劳保用品</w:t>
                  </w:r>
                </w:p>
              </w:tc>
              <w:tc>
                <w:tcPr>
                  <w:tcW w:w="780" w:type="dxa"/>
                  <w:vAlign w:val="center"/>
                </w:tcPr>
                <w:p w14:paraId="2B14F889"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themeColor="text1"/>
                      <w:sz w:val="21"/>
                      <w:szCs w:val="21"/>
                    </w:rPr>
                    <w:t>搬运过程</w:t>
                  </w:r>
                </w:p>
              </w:tc>
              <w:tc>
                <w:tcPr>
                  <w:tcW w:w="978" w:type="dxa"/>
                  <w:vAlign w:val="center"/>
                </w:tcPr>
                <w:p w14:paraId="5E8F7410"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themeColor="text1"/>
                      <w:sz w:val="21"/>
                      <w:szCs w:val="21"/>
                    </w:rPr>
                    <w:t>危险废物</w:t>
                  </w:r>
                </w:p>
              </w:tc>
              <w:tc>
                <w:tcPr>
                  <w:tcW w:w="695" w:type="dxa"/>
                  <w:vAlign w:val="center"/>
                </w:tcPr>
                <w:p w14:paraId="406470EA"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themeColor="text1"/>
                      <w:sz w:val="21"/>
                      <w:szCs w:val="21"/>
                    </w:rPr>
                    <w:t>固态</w:t>
                  </w:r>
                </w:p>
              </w:tc>
              <w:tc>
                <w:tcPr>
                  <w:tcW w:w="919" w:type="dxa"/>
                  <w:vAlign w:val="center"/>
                </w:tcPr>
                <w:p w14:paraId="684C9872"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HW49</w:t>
                  </w:r>
                </w:p>
              </w:tc>
              <w:tc>
                <w:tcPr>
                  <w:tcW w:w="1313" w:type="dxa"/>
                  <w:vAlign w:val="center"/>
                </w:tcPr>
                <w:p w14:paraId="5D814CA4"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sz w:val="21"/>
                      <w:szCs w:val="21"/>
                    </w:rPr>
                    <w:t>900-041-49</w:t>
                  </w:r>
                </w:p>
              </w:tc>
              <w:tc>
                <w:tcPr>
                  <w:tcW w:w="754" w:type="dxa"/>
                  <w:vAlign w:val="center"/>
                </w:tcPr>
                <w:p w14:paraId="446619C0"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color w:val="000000"/>
                      <w:sz w:val="21"/>
                      <w:szCs w:val="21"/>
                    </w:rPr>
                    <w:t>T/In</w:t>
                  </w:r>
                </w:p>
              </w:tc>
              <w:tc>
                <w:tcPr>
                  <w:tcW w:w="1508" w:type="dxa"/>
                  <w:vAlign w:val="center"/>
                </w:tcPr>
                <w:p w14:paraId="1BF6C35A" w14:textId="77777777" w:rsidR="003C4F46" w:rsidRDefault="004B6A81">
                  <w:pPr>
                    <w:spacing w:line="240" w:lineRule="auto"/>
                    <w:ind w:firstLineChars="0" w:firstLine="0"/>
                    <w:contextualSpacing/>
                    <w:jc w:val="center"/>
                    <w:rPr>
                      <w:rFonts w:cs="Times New Roman"/>
                      <w:color w:val="000000" w:themeColor="text1"/>
                      <w:sz w:val="21"/>
                      <w:szCs w:val="21"/>
                    </w:rPr>
                  </w:pPr>
                  <w:r>
                    <w:rPr>
                      <w:rFonts w:cs="Times New Roman" w:hint="eastAsia"/>
                      <w:color w:val="000000" w:themeColor="text1"/>
                      <w:sz w:val="21"/>
                      <w:szCs w:val="21"/>
                    </w:rPr>
                    <w:t>0.</w:t>
                  </w:r>
                  <w:r>
                    <w:rPr>
                      <w:rFonts w:cs="Times New Roman"/>
                      <w:color w:val="000000" w:themeColor="text1"/>
                      <w:sz w:val="21"/>
                      <w:szCs w:val="21"/>
                    </w:rPr>
                    <w:t>5</w:t>
                  </w:r>
                  <w:r>
                    <w:rPr>
                      <w:rFonts w:cs="Times New Roman" w:hint="eastAsia"/>
                      <w:color w:val="000000" w:themeColor="text1"/>
                      <w:sz w:val="21"/>
                      <w:szCs w:val="21"/>
                    </w:rPr>
                    <w:t>t/a</w:t>
                  </w:r>
                </w:p>
              </w:tc>
            </w:tr>
          </w:tbl>
          <w:p w14:paraId="79B44EE4" w14:textId="77777777" w:rsidR="003C4F46" w:rsidRDefault="004B6A81">
            <w:pPr>
              <w:ind w:firstLineChars="0" w:firstLine="0"/>
              <w:jc w:val="left"/>
              <w:textAlignment w:val="auto"/>
              <w:rPr>
                <w:b/>
                <w:bCs/>
              </w:rPr>
            </w:pPr>
            <w:r>
              <w:rPr>
                <w:rFonts w:cs="Times New Roman" w:hint="eastAsia"/>
                <w:b/>
                <w:bCs/>
                <w:snapToGrid w:val="0"/>
                <w:color w:val="000000"/>
                <w:kern w:val="0"/>
                <w:szCs w:val="24"/>
              </w:rPr>
              <w:t>4.2.4.</w:t>
            </w:r>
            <w:r>
              <w:rPr>
                <w:rFonts w:cs="Times New Roman"/>
                <w:b/>
                <w:bCs/>
                <w:snapToGrid w:val="0"/>
                <w:color w:val="000000"/>
                <w:kern w:val="0"/>
                <w:szCs w:val="24"/>
              </w:rPr>
              <w:t>2</w:t>
            </w:r>
            <w:r>
              <w:rPr>
                <w:rFonts w:cs="Times New Roman" w:hint="eastAsia"/>
                <w:b/>
                <w:bCs/>
                <w:snapToGrid w:val="0"/>
                <w:color w:val="000000"/>
                <w:kern w:val="0"/>
                <w:szCs w:val="24"/>
              </w:rPr>
              <w:t>危险废物贮存库</w:t>
            </w:r>
            <w:r>
              <w:rPr>
                <w:rFonts w:hint="eastAsia"/>
                <w:b/>
                <w:bCs/>
              </w:rPr>
              <w:t>环境管理要求</w:t>
            </w:r>
          </w:p>
          <w:p w14:paraId="1543727F" w14:textId="5CE468B7" w:rsidR="003C4F46" w:rsidRDefault="004B6A81">
            <w:pPr>
              <w:ind w:firstLine="480"/>
              <w:textAlignment w:val="auto"/>
              <w:rPr>
                <w:rFonts w:cs="Times New Roman"/>
                <w:color w:val="000000"/>
                <w:szCs w:val="32"/>
              </w:rPr>
            </w:pPr>
            <w:r>
              <w:rPr>
                <w:rFonts w:cs="Times New Roman" w:hint="eastAsia"/>
                <w:color w:val="000000"/>
                <w:szCs w:val="32"/>
              </w:rPr>
              <w:t>企业须严格按照《危险废物贮存污染控制标准》（</w:t>
            </w:r>
            <w:r>
              <w:rPr>
                <w:rFonts w:cs="Times New Roman" w:hint="eastAsia"/>
                <w:color w:val="000000"/>
                <w:szCs w:val="32"/>
              </w:rPr>
              <w:t>GB18597-2023</w:t>
            </w:r>
            <w:r>
              <w:rPr>
                <w:rFonts w:cs="Times New Roman" w:hint="eastAsia"/>
                <w:color w:val="000000"/>
                <w:szCs w:val="32"/>
              </w:rPr>
              <w:t>）及《</w:t>
            </w:r>
            <w:r w:rsidR="00691223" w:rsidRPr="00691223">
              <w:rPr>
                <w:rFonts w:cs="Times New Roman" w:hint="eastAsia"/>
                <w:color w:val="000000"/>
                <w:szCs w:val="32"/>
              </w:rPr>
              <w:t>新疆维吾尔自治区废铅蓄电池收集贮存和转移管理规范</w:t>
            </w:r>
            <w:r>
              <w:rPr>
                <w:rFonts w:cs="Times New Roman" w:hint="eastAsia"/>
                <w:color w:val="000000"/>
                <w:szCs w:val="32"/>
              </w:rPr>
              <w:t>（试行）》的有关要求，做好危险废物贮存工作。贮存设施地面与裙脚应采取坚固、防渗的材料建造，地面应硬化、耐腐蚀且表面无裂缝；贮存设施周围应设置围墙或其他防护栅栏，并做到防风、防雨、防晒、防漏。同时，应做好危险废物的入库、存放、出库记录，不得随意堆置</w:t>
            </w:r>
            <w:r>
              <w:rPr>
                <w:rFonts w:cs="Times New Roman"/>
                <w:color w:val="000000"/>
                <w:szCs w:val="32"/>
              </w:rPr>
              <w:t>。</w:t>
            </w:r>
          </w:p>
          <w:p w14:paraId="578C3ABE" w14:textId="77777777" w:rsidR="003C4F46" w:rsidRDefault="004B6A81">
            <w:pPr>
              <w:ind w:firstLine="480"/>
              <w:textAlignment w:val="auto"/>
              <w:rPr>
                <w:szCs w:val="24"/>
              </w:rPr>
            </w:pPr>
            <w:r>
              <w:rPr>
                <w:rFonts w:hint="eastAsia"/>
                <w:szCs w:val="24"/>
              </w:rPr>
              <w:t>（</w:t>
            </w:r>
            <w:r>
              <w:rPr>
                <w:rFonts w:hint="eastAsia"/>
                <w:szCs w:val="24"/>
              </w:rPr>
              <w:t>1</w:t>
            </w:r>
            <w:r>
              <w:rPr>
                <w:rFonts w:hint="eastAsia"/>
                <w:szCs w:val="24"/>
              </w:rPr>
              <w:t>）危险废物贮存容器应满足《危险废物贮存污染控制标准》（</w:t>
            </w:r>
            <w:r>
              <w:rPr>
                <w:rFonts w:hint="eastAsia"/>
                <w:szCs w:val="24"/>
              </w:rPr>
              <w:t>GB18597-2023</w:t>
            </w:r>
            <w:r>
              <w:rPr>
                <w:rFonts w:hint="eastAsia"/>
                <w:szCs w:val="24"/>
              </w:rPr>
              <w:t>）中容器和包装物污染控制要求，主要包括：</w:t>
            </w:r>
          </w:p>
          <w:p w14:paraId="39B6653D" w14:textId="77777777" w:rsidR="003C4F46" w:rsidRDefault="004B6A81">
            <w:pPr>
              <w:ind w:firstLine="480"/>
              <w:textAlignment w:val="auto"/>
              <w:rPr>
                <w:szCs w:val="24"/>
              </w:rPr>
            </w:pPr>
            <w:r>
              <w:rPr>
                <w:rFonts w:hint="eastAsia"/>
                <w:szCs w:val="24"/>
              </w:rPr>
              <w:t>①使用符合标准的容器盛装危险废物，应定期对贮存危险废物的包装及设施进行检查，发现破损应及时采取措施清理更换；</w:t>
            </w:r>
          </w:p>
          <w:p w14:paraId="2556A350" w14:textId="77777777" w:rsidR="003C4F46" w:rsidRDefault="004B6A81">
            <w:pPr>
              <w:ind w:firstLine="480"/>
              <w:textAlignment w:val="auto"/>
              <w:rPr>
                <w:szCs w:val="24"/>
              </w:rPr>
            </w:pPr>
            <w:r>
              <w:rPr>
                <w:rFonts w:hint="eastAsia"/>
                <w:szCs w:val="24"/>
              </w:rPr>
              <w:t>②装载危险废物的容器及材质应满足相应的强度要求；</w:t>
            </w:r>
          </w:p>
          <w:p w14:paraId="07C3F8DA" w14:textId="77777777" w:rsidR="003C4F46" w:rsidRDefault="004B6A81">
            <w:pPr>
              <w:ind w:firstLine="480"/>
              <w:textAlignment w:val="auto"/>
              <w:rPr>
                <w:szCs w:val="24"/>
              </w:rPr>
            </w:pPr>
            <w:r>
              <w:rPr>
                <w:rFonts w:hint="eastAsia"/>
                <w:szCs w:val="24"/>
              </w:rPr>
              <w:t>③装载危险废物的容器必须完好无损；</w:t>
            </w:r>
          </w:p>
          <w:p w14:paraId="042E6CEF" w14:textId="77777777" w:rsidR="003C4F46" w:rsidRDefault="004B6A81">
            <w:pPr>
              <w:ind w:firstLine="480"/>
              <w:textAlignment w:val="auto"/>
              <w:rPr>
                <w:szCs w:val="24"/>
              </w:rPr>
            </w:pPr>
            <w:r>
              <w:rPr>
                <w:rFonts w:hint="eastAsia"/>
                <w:szCs w:val="24"/>
              </w:rPr>
              <w:t>④盛装危险废物的容器材质和衬里应与危险废物相容，不相互反应。</w:t>
            </w:r>
          </w:p>
          <w:p w14:paraId="0415C6F9" w14:textId="77777777" w:rsidR="003C4F46" w:rsidRDefault="004B6A81">
            <w:pPr>
              <w:ind w:firstLine="480"/>
              <w:jc w:val="left"/>
              <w:textAlignment w:val="auto"/>
              <w:rPr>
                <w:rFonts w:cs="Times New Roman"/>
                <w:snapToGrid w:val="0"/>
                <w:kern w:val="0"/>
              </w:rPr>
            </w:pPr>
            <w:r>
              <w:rPr>
                <w:rFonts w:cs="Times New Roman" w:hint="eastAsia"/>
                <w:snapToGrid w:val="0"/>
                <w:kern w:val="0"/>
              </w:rPr>
              <w:t>（</w:t>
            </w:r>
            <w:r>
              <w:rPr>
                <w:rFonts w:cs="Times New Roman"/>
                <w:snapToGrid w:val="0"/>
                <w:kern w:val="0"/>
              </w:rPr>
              <w:t>2</w:t>
            </w:r>
            <w:r>
              <w:rPr>
                <w:rFonts w:cs="Times New Roman" w:hint="eastAsia"/>
                <w:snapToGrid w:val="0"/>
                <w:kern w:val="0"/>
              </w:rPr>
              <w:t>）</w:t>
            </w:r>
            <w:r>
              <w:rPr>
                <w:rFonts w:cs="Times New Roman" w:hint="eastAsia"/>
                <w:snapToGrid w:val="0"/>
                <w:color w:val="000000"/>
                <w:kern w:val="0"/>
                <w:szCs w:val="24"/>
              </w:rPr>
              <w:t>建立台账的</w:t>
            </w:r>
            <w:r>
              <w:rPr>
                <w:rFonts w:cs="Times New Roman"/>
                <w:snapToGrid w:val="0"/>
                <w:color w:val="000000"/>
                <w:kern w:val="0"/>
                <w:szCs w:val="24"/>
              </w:rPr>
              <w:t>要求</w:t>
            </w:r>
          </w:p>
          <w:p w14:paraId="527EF022" w14:textId="77777777" w:rsidR="003C4F46" w:rsidRDefault="004B6A81">
            <w:pPr>
              <w:ind w:firstLine="480"/>
              <w:textAlignment w:val="auto"/>
              <w:rPr>
                <w:rFonts w:cs="Times New Roman"/>
                <w:snapToGrid w:val="0"/>
                <w:kern w:val="0"/>
                <w:szCs w:val="24"/>
              </w:rPr>
            </w:pPr>
            <w:r>
              <w:rPr>
                <w:rFonts w:cs="Times New Roman" w:hint="eastAsia"/>
                <w:snapToGrid w:val="0"/>
                <w:kern w:val="0"/>
                <w:szCs w:val="24"/>
              </w:rPr>
              <w:t>企业应结合自身实际情况，与生产记录相衔接，根据《危险废物管理计划和管理台账制定技术导则》（</w:t>
            </w:r>
            <w:r>
              <w:rPr>
                <w:rFonts w:cs="Times New Roman" w:hint="eastAsia"/>
                <w:snapToGrid w:val="0"/>
                <w:kern w:val="0"/>
                <w:szCs w:val="24"/>
              </w:rPr>
              <w:t>HJ1259-2022</w:t>
            </w:r>
            <w:r>
              <w:rPr>
                <w:rFonts w:cs="Times New Roman" w:hint="eastAsia"/>
                <w:snapToGrid w:val="0"/>
                <w:kern w:val="0"/>
                <w:szCs w:val="24"/>
              </w:rPr>
              <w:t>）及《危险废物产生单位管理计划制定指南》的相关要求，建立危险废物管理台账。</w:t>
            </w:r>
          </w:p>
          <w:p w14:paraId="6ACF3299" w14:textId="77777777" w:rsidR="003C4F46" w:rsidRDefault="004B6A81">
            <w:pPr>
              <w:ind w:firstLine="480"/>
              <w:textAlignment w:val="auto"/>
              <w:rPr>
                <w:rFonts w:cs="Times New Roman"/>
                <w:snapToGrid w:val="0"/>
                <w:kern w:val="0"/>
                <w:szCs w:val="24"/>
              </w:rPr>
            </w:pPr>
            <w:r>
              <w:rPr>
                <w:rFonts w:cs="Times New Roman" w:hint="eastAsia"/>
                <w:snapToGrid w:val="0"/>
                <w:kern w:val="0"/>
                <w:szCs w:val="24"/>
              </w:rPr>
              <w:t>同时，按照《固体废物污染防治“十五五”规划》等相关要求，本项目作为危险废物收集贮存单位，参照“五即”管理理念，对收集入库的危险废物实行逐批次称重、赋码，依托全国危险废物全过程环境管理信息系统，实现危险废物从收集、贮存到转移处置的全流程“一码贯通”信息化追溯管理，如实记录危险废物的种类、数量、流向、贮存等信息，确保台账数据与赋码信息一致。</w:t>
            </w:r>
          </w:p>
          <w:p w14:paraId="29D50727" w14:textId="77777777" w:rsidR="003C4F46" w:rsidRDefault="004B6A81">
            <w:pPr>
              <w:keepNext/>
              <w:keepLines/>
              <w:ind w:firstLine="480"/>
              <w:outlineLvl w:val="1"/>
              <w:rPr>
                <w:rFonts w:cs="Times New Roman"/>
                <w:snapToGrid w:val="0"/>
                <w:kern w:val="0"/>
                <w:szCs w:val="24"/>
              </w:rPr>
            </w:pPr>
            <w:r>
              <w:rPr>
                <w:rFonts w:hint="eastAsia"/>
                <w:szCs w:val="24"/>
              </w:rPr>
              <w:lastRenderedPageBreak/>
              <w:t>①</w:t>
            </w:r>
            <w:r>
              <w:rPr>
                <w:rFonts w:cs="Times New Roman" w:hint="eastAsia"/>
                <w:snapToGrid w:val="0"/>
                <w:kern w:val="0"/>
                <w:szCs w:val="24"/>
              </w:rPr>
              <w:t>根据危险废物的产生工序、危险废物特性和产生情况，如实填写</w:t>
            </w:r>
            <w:r>
              <w:rPr>
                <w:rFonts w:cs="Times New Roman" w:hint="eastAsia"/>
                <w:snapToGrid w:val="0"/>
                <w:kern w:val="0"/>
                <w:szCs w:val="24"/>
              </w:rPr>
              <w:t>HJ1259-2022</w:t>
            </w:r>
            <w:r>
              <w:rPr>
                <w:rFonts w:cs="Times New Roman" w:hint="eastAsia"/>
                <w:snapToGrid w:val="0"/>
                <w:kern w:val="0"/>
                <w:szCs w:val="24"/>
              </w:rPr>
              <w:t>附录</w:t>
            </w:r>
            <w:r>
              <w:rPr>
                <w:rFonts w:cs="Times New Roman" w:hint="eastAsia"/>
                <w:snapToGrid w:val="0"/>
                <w:kern w:val="0"/>
                <w:szCs w:val="24"/>
              </w:rPr>
              <w:t>B</w:t>
            </w:r>
            <w:r>
              <w:rPr>
                <w:rFonts w:cs="Times New Roman" w:hint="eastAsia"/>
                <w:snapToGrid w:val="0"/>
                <w:kern w:val="0"/>
                <w:szCs w:val="24"/>
              </w:rPr>
              <w:t>中表</w:t>
            </w:r>
            <w:r>
              <w:rPr>
                <w:rFonts w:cs="Times New Roman" w:hint="eastAsia"/>
                <w:snapToGrid w:val="0"/>
                <w:kern w:val="0"/>
                <w:szCs w:val="24"/>
              </w:rPr>
              <w:t>B.1</w:t>
            </w:r>
            <w:r>
              <w:rPr>
                <w:rFonts w:cs="Times New Roman" w:hint="eastAsia"/>
                <w:snapToGrid w:val="0"/>
                <w:kern w:val="0"/>
                <w:szCs w:val="24"/>
              </w:rPr>
              <w:t>《危险废物产生环节记录表》、表</w:t>
            </w:r>
            <w:r>
              <w:rPr>
                <w:rFonts w:cs="Times New Roman" w:hint="eastAsia"/>
                <w:snapToGrid w:val="0"/>
                <w:kern w:val="0"/>
                <w:szCs w:val="24"/>
              </w:rPr>
              <w:t>B.2</w:t>
            </w:r>
            <w:r>
              <w:rPr>
                <w:rFonts w:cs="Times New Roman" w:hint="eastAsia"/>
                <w:snapToGrid w:val="0"/>
                <w:kern w:val="0"/>
                <w:szCs w:val="24"/>
              </w:rPr>
              <w:t>《危险废物入库环节记录表》和表</w:t>
            </w:r>
            <w:r>
              <w:rPr>
                <w:rFonts w:cs="Times New Roman" w:hint="eastAsia"/>
                <w:snapToGrid w:val="0"/>
                <w:kern w:val="0"/>
                <w:szCs w:val="24"/>
              </w:rPr>
              <w:t>B.3</w:t>
            </w:r>
            <w:r>
              <w:rPr>
                <w:rFonts w:cs="Times New Roman" w:hint="eastAsia"/>
                <w:snapToGrid w:val="0"/>
                <w:kern w:val="0"/>
                <w:szCs w:val="24"/>
              </w:rPr>
              <w:t>《危险废物出库环节记录表》。对需要重点监管的危险废物（如剧毒危险废物），可建立内部转移联单制度，进行全过程追踪管理。</w:t>
            </w:r>
          </w:p>
          <w:p w14:paraId="6C802879" w14:textId="77777777" w:rsidR="003C4F46" w:rsidRDefault="004B6A81">
            <w:pPr>
              <w:keepNext/>
              <w:keepLines/>
              <w:ind w:firstLine="480"/>
              <w:outlineLvl w:val="1"/>
              <w:rPr>
                <w:rFonts w:cs="Times New Roman"/>
                <w:snapToGrid w:val="0"/>
                <w:kern w:val="0"/>
                <w:szCs w:val="24"/>
              </w:rPr>
            </w:pPr>
            <w:r>
              <w:rPr>
                <w:rFonts w:hint="eastAsia"/>
                <w:szCs w:val="24"/>
              </w:rPr>
              <w:t>②</w:t>
            </w:r>
            <w:r>
              <w:rPr>
                <w:rFonts w:cs="Times New Roman" w:hint="eastAsia"/>
                <w:snapToGrid w:val="0"/>
                <w:kern w:val="0"/>
                <w:szCs w:val="24"/>
              </w:rPr>
              <w:t>按照</w:t>
            </w:r>
            <w:r>
              <w:rPr>
                <w:rFonts w:cs="Times New Roman" w:hint="eastAsia"/>
                <w:snapToGrid w:val="0"/>
                <w:kern w:val="0"/>
                <w:szCs w:val="24"/>
              </w:rPr>
              <w:t>HJ1259-2022</w:t>
            </w:r>
            <w:r>
              <w:rPr>
                <w:rFonts w:cs="Times New Roman" w:hint="eastAsia"/>
                <w:snapToGrid w:val="0"/>
                <w:kern w:val="0"/>
                <w:szCs w:val="24"/>
              </w:rPr>
              <w:t>附录</w:t>
            </w:r>
            <w:r>
              <w:rPr>
                <w:rFonts w:cs="Times New Roman" w:hint="eastAsia"/>
                <w:snapToGrid w:val="0"/>
                <w:kern w:val="0"/>
                <w:szCs w:val="24"/>
              </w:rPr>
              <w:t>A</w:t>
            </w:r>
            <w:r>
              <w:rPr>
                <w:rFonts w:cs="Times New Roman" w:hint="eastAsia"/>
                <w:snapToGrid w:val="0"/>
                <w:kern w:val="0"/>
                <w:szCs w:val="24"/>
              </w:rPr>
              <w:t>中表</w:t>
            </w:r>
            <w:r>
              <w:rPr>
                <w:rFonts w:cs="Times New Roman" w:hint="eastAsia"/>
                <w:snapToGrid w:val="0"/>
                <w:kern w:val="0"/>
                <w:szCs w:val="24"/>
              </w:rPr>
              <w:t>A.3</w:t>
            </w:r>
            <w:r>
              <w:rPr>
                <w:rFonts w:cs="Times New Roman" w:hint="eastAsia"/>
                <w:snapToGrid w:val="0"/>
                <w:kern w:val="0"/>
                <w:szCs w:val="24"/>
              </w:rPr>
              <w:t>《危险废物产生情况信息表》和表</w:t>
            </w:r>
            <w:r>
              <w:rPr>
                <w:rFonts w:cs="Times New Roman" w:hint="eastAsia"/>
                <w:snapToGrid w:val="0"/>
                <w:kern w:val="0"/>
                <w:szCs w:val="24"/>
              </w:rPr>
              <w:t>A.4</w:t>
            </w:r>
            <w:r>
              <w:rPr>
                <w:rFonts w:cs="Times New Roman" w:hint="eastAsia"/>
                <w:snapToGrid w:val="0"/>
                <w:kern w:val="0"/>
                <w:szCs w:val="24"/>
              </w:rPr>
              <w:t>《危险废物贮存情况信息表》制定管理计划，并定期（如按月、季或年）汇总危险废物台账记录表和转移联单，总结危险废物产生量、委托外单位利用处置情况、临时贮存量等内容，形成内部报表。</w:t>
            </w:r>
          </w:p>
          <w:p w14:paraId="0B9DAAD6" w14:textId="57F0AA44" w:rsidR="003C4F46" w:rsidRDefault="004B6A81">
            <w:pPr>
              <w:keepNext/>
              <w:keepLines/>
              <w:ind w:firstLine="480"/>
              <w:outlineLvl w:val="1"/>
              <w:rPr>
                <w:rFonts w:cs="Times New Roman"/>
                <w:snapToGrid w:val="0"/>
                <w:kern w:val="0"/>
                <w:szCs w:val="24"/>
              </w:rPr>
            </w:pPr>
            <w:r>
              <w:rPr>
                <w:rFonts w:cs="Times New Roman" w:hint="eastAsia"/>
                <w:snapToGrid w:val="0"/>
                <w:kern w:val="0"/>
                <w:szCs w:val="24"/>
              </w:rPr>
              <w:t>③危险废物出库前，应按照《中华人民共和国生态环境法典》第五百三十六条、《危险废物转移管理办法》（</w:t>
            </w:r>
            <w:r w:rsidR="00EB5E31">
              <w:rPr>
                <w:rFonts w:ascii="Helvetica" w:hAnsi="Helvetica"/>
                <w:color w:val="111111"/>
                <w:shd w:val="clear" w:color="auto" w:fill="FFFFFF"/>
              </w:rPr>
              <w:t>生态环境部、公安部、交通运输</w:t>
            </w:r>
            <w:r>
              <w:rPr>
                <w:rFonts w:cs="Times New Roman" w:hint="eastAsia"/>
                <w:snapToGrid w:val="0"/>
                <w:kern w:val="0"/>
                <w:szCs w:val="24"/>
              </w:rPr>
              <w:t>部令</w:t>
            </w:r>
            <w:r w:rsidR="00EB5E31">
              <w:rPr>
                <w:rFonts w:cs="Times New Roman" w:hint="eastAsia"/>
                <w:snapToGrid w:val="0"/>
                <w:kern w:val="0"/>
                <w:szCs w:val="24"/>
              </w:rPr>
              <w:t xml:space="preserve"> </w:t>
            </w:r>
            <w:r>
              <w:rPr>
                <w:rFonts w:cs="Times New Roman" w:hint="eastAsia"/>
                <w:snapToGrid w:val="0"/>
                <w:kern w:val="0"/>
                <w:szCs w:val="24"/>
              </w:rPr>
              <w:t>第</w:t>
            </w:r>
            <w:r>
              <w:rPr>
                <w:rFonts w:cs="Times New Roman" w:hint="eastAsia"/>
                <w:snapToGrid w:val="0"/>
                <w:kern w:val="0"/>
                <w:szCs w:val="24"/>
              </w:rPr>
              <w:t>23</w:t>
            </w:r>
            <w:r>
              <w:rPr>
                <w:rFonts w:cs="Times New Roman" w:hint="eastAsia"/>
                <w:snapToGrid w:val="0"/>
                <w:kern w:val="0"/>
                <w:szCs w:val="24"/>
              </w:rPr>
              <w:t>号）及《关于进一步加强危险废物规范化环境管理有关工作的通知》等有关规定，依法通过国家固体废物管理信息系统运行危险废物电子转移联单。</w:t>
            </w:r>
          </w:p>
          <w:p w14:paraId="3AAF9767" w14:textId="77777777" w:rsidR="003C4F46" w:rsidRDefault="004B6A81">
            <w:pPr>
              <w:keepNext/>
              <w:keepLines/>
              <w:ind w:firstLine="480"/>
              <w:outlineLvl w:val="1"/>
              <w:rPr>
                <w:rFonts w:cs="Times New Roman"/>
                <w:b/>
                <w:bCs/>
                <w:snapToGrid w:val="0"/>
                <w:color w:val="000000"/>
                <w:kern w:val="0"/>
                <w:szCs w:val="24"/>
              </w:rPr>
            </w:pPr>
            <w:r>
              <w:rPr>
                <w:rFonts w:hint="eastAsia"/>
                <w:szCs w:val="24"/>
              </w:rPr>
              <w:t>④</w:t>
            </w:r>
            <w:r>
              <w:rPr>
                <w:rFonts w:cs="Times New Roman" w:hint="eastAsia"/>
                <w:snapToGrid w:val="0"/>
                <w:kern w:val="0"/>
                <w:szCs w:val="24"/>
              </w:rPr>
              <w:t>危险废物台账应分类装订成册，由专人管理，防止遗失。有条件的单位应采用信息软件辅助记录和管理危险废物台账。危险废物台账保存期限至少为</w:t>
            </w:r>
            <w:r>
              <w:rPr>
                <w:rFonts w:cs="Times New Roman" w:hint="eastAsia"/>
                <w:snapToGrid w:val="0"/>
                <w:kern w:val="0"/>
                <w:szCs w:val="24"/>
              </w:rPr>
              <w:t>10</w:t>
            </w:r>
            <w:r>
              <w:rPr>
                <w:rFonts w:cs="Times New Roman" w:hint="eastAsia"/>
                <w:snapToGrid w:val="0"/>
                <w:kern w:val="0"/>
                <w:szCs w:val="24"/>
              </w:rPr>
              <w:t>年（依据《危险废物管理计划和管理台账制定技术导则》（</w:t>
            </w:r>
            <w:r>
              <w:rPr>
                <w:rFonts w:cs="Times New Roman" w:hint="eastAsia"/>
                <w:snapToGrid w:val="0"/>
                <w:kern w:val="0"/>
                <w:szCs w:val="24"/>
              </w:rPr>
              <w:t>HJ1259-2022</w:t>
            </w:r>
            <w:r>
              <w:rPr>
                <w:rFonts w:cs="Times New Roman" w:hint="eastAsia"/>
                <w:snapToGrid w:val="0"/>
                <w:kern w:val="0"/>
                <w:szCs w:val="24"/>
              </w:rPr>
              <w:t>）要求）</w:t>
            </w:r>
            <w:r>
              <w:rPr>
                <w:rFonts w:cs="Times New Roman"/>
                <w:snapToGrid w:val="0"/>
                <w:kern w:val="0"/>
                <w:szCs w:val="24"/>
              </w:rPr>
              <w:t>。</w:t>
            </w:r>
          </w:p>
          <w:p w14:paraId="7D502514" w14:textId="77777777" w:rsidR="003C4F46" w:rsidRDefault="004B6A81">
            <w:pPr>
              <w:keepNext/>
              <w:keepLines/>
              <w:ind w:firstLine="480"/>
              <w:jc w:val="left"/>
              <w:outlineLvl w:val="1"/>
              <w:rPr>
                <w:rFonts w:cs="Times New Roman"/>
                <w:snapToGrid w:val="0"/>
                <w:color w:val="000000"/>
                <w:kern w:val="0"/>
                <w:szCs w:val="24"/>
              </w:rPr>
            </w:pPr>
            <w:r>
              <w:rPr>
                <w:rFonts w:cs="Times New Roman" w:hint="eastAsia"/>
                <w:snapToGrid w:val="0"/>
                <w:color w:val="000000"/>
                <w:kern w:val="0"/>
                <w:szCs w:val="24"/>
              </w:rPr>
              <w:t>（</w:t>
            </w:r>
            <w:r>
              <w:rPr>
                <w:rFonts w:cs="Times New Roman"/>
                <w:snapToGrid w:val="0"/>
                <w:color w:val="000000"/>
                <w:kern w:val="0"/>
                <w:szCs w:val="24"/>
              </w:rPr>
              <w:t>2</w:t>
            </w:r>
            <w:r>
              <w:rPr>
                <w:rFonts w:cs="Times New Roman" w:hint="eastAsia"/>
                <w:snapToGrid w:val="0"/>
                <w:color w:val="000000"/>
                <w:kern w:val="0"/>
                <w:szCs w:val="24"/>
              </w:rPr>
              <w:t>）</w:t>
            </w:r>
            <w:r>
              <w:rPr>
                <w:rFonts w:hint="eastAsia"/>
                <w:color w:val="000000"/>
              </w:rPr>
              <w:t>危险废物转移联单的运行和管理</w:t>
            </w:r>
          </w:p>
          <w:p w14:paraId="06AB683B" w14:textId="62DB261B" w:rsidR="003C4F46" w:rsidRDefault="004B6A81">
            <w:pPr>
              <w:keepNext/>
              <w:keepLines/>
              <w:ind w:firstLine="480"/>
              <w:outlineLvl w:val="1"/>
              <w:rPr>
                <w:rFonts w:cs="Times New Roman"/>
                <w:snapToGrid w:val="0"/>
                <w:color w:val="000000"/>
                <w:kern w:val="0"/>
                <w:szCs w:val="24"/>
              </w:rPr>
            </w:pPr>
            <w:r>
              <w:rPr>
                <w:rFonts w:hint="eastAsia"/>
                <w:color w:val="000000"/>
              </w:rPr>
              <w:t>危险废物转移联单的运行和管理必须按照《危险废物转移管理办法》（生态环境部</w:t>
            </w:r>
            <w:r>
              <w:rPr>
                <w:rFonts w:hint="eastAsia"/>
                <w:color w:val="000000"/>
              </w:rPr>
              <w:t xml:space="preserve"> </w:t>
            </w:r>
            <w:r>
              <w:rPr>
                <w:rFonts w:hint="eastAsia"/>
                <w:color w:val="000000"/>
              </w:rPr>
              <w:t>公安部</w:t>
            </w:r>
            <w:r>
              <w:rPr>
                <w:rFonts w:hint="eastAsia"/>
                <w:color w:val="000000"/>
              </w:rPr>
              <w:t xml:space="preserve"> </w:t>
            </w:r>
            <w:r>
              <w:rPr>
                <w:rFonts w:hint="eastAsia"/>
                <w:color w:val="000000"/>
              </w:rPr>
              <w:t>交通运输部令</w:t>
            </w:r>
            <w:r w:rsidR="00EB5E31">
              <w:rPr>
                <w:rFonts w:hint="eastAsia"/>
                <w:color w:val="000000"/>
              </w:rPr>
              <w:t xml:space="preserve"> </w:t>
            </w:r>
            <w:r>
              <w:rPr>
                <w:rFonts w:hint="eastAsia"/>
                <w:color w:val="000000"/>
              </w:rPr>
              <w:t>第</w:t>
            </w:r>
            <w:r>
              <w:rPr>
                <w:rFonts w:hint="eastAsia"/>
                <w:color w:val="000000"/>
              </w:rPr>
              <w:t>23</w:t>
            </w:r>
            <w:r>
              <w:rPr>
                <w:rFonts w:hint="eastAsia"/>
                <w:color w:val="000000"/>
              </w:rPr>
              <w:t>号）执行</w:t>
            </w:r>
            <w:r>
              <w:rPr>
                <w:rFonts w:cs="Times New Roman"/>
                <w:snapToGrid w:val="0"/>
                <w:color w:val="000000"/>
                <w:kern w:val="0"/>
                <w:szCs w:val="24"/>
              </w:rPr>
              <w:t>。</w:t>
            </w:r>
          </w:p>
          <w:p w14:paraId="78CA4B90" w14:textId="77777777" w:rsidR="003C4F46" w:rsidRDefault="004B6A81">
            <w:pPr>
              <w:ind w:firstLine="480"/>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1 \* GB3 </w:instrText>
            </w:r>
            <w:r>
              <w:rPr>
                <w:rFonts w:cs="Times New Roman"/>
                <w:snapToGrid w:val="0"/>
                <w:kern w:val="0"/>
              </w:rPr>
              <w:fldChar w:fldCharType="separate"/>
            </w:r>
            <w:r>
              <w:rPr>
                <w:rFonts w:cs="Times New Roman" w:hint="eastAsia"/>
                <w:snapToGrid w:val="0"/>
                <w:kern w:val="0"/>
              </w:rPr>
              <w:t>①</w:t>
            </w:r>
            <w:r>
              <w:rPr>
                <w:rFonts w:cs="Times New Roman"/>
                <w:snapToGrid w:val="0"/>
                <w:kern w:val="0"/>
              </w:rPr>
              <w:fldChar w:fldCharType="end"/>
            </w:r>
            <w:r>
              <w:rPr>
                <w:rFonts w:hint="eastAsia"/>
                <w:color w:val="000000"/>
              </w:rPr>
              <w:t>危险废物转移联单应当根据危险废物管理计划中填报的危险废物转移等备案信息填写、运行，并通过国家危险废物信息管理系统运行电子转移联单</w:t>
            </w:r>
            <w:r>
              <w:rPr>
                <w:rFonts w:cs="Times New Roman"/>
                <w:snapToGrid w:val="0"/>
                <w:kern w:val="0"/>
              </w:rPr>
              <w:t>。</w:t>
            </w:r>
          </w:p>
          <w:p w14:paraId="03C1D2FF" w14:textId="77777777" w:rsidR="003C4F46" w:rsidRDefault="004B6A81">
            <w:pPr>
              <w:ind w:firstLine="480"/>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2 \* GB3 </w:instrText>
            </w:r>
            <w:r>
              <w:rPr>
                <w:rFonts w:cs="Times New Roman"/>
                <w:snapToGrid w:val="0"/>
                <w:kern w:val="0"/>
              </w:rPr>
              <w:fldChar w:fldCharType="separate"/>
            </w:r>
            <w:r>
              <w:rPr>
                <w:rFonts w:cs="Times New Roman" w:hint="eastAsia"/>
                <w:snapToGrid w:val="0"/>
                <w:kern w:val="0"/>
              </w:rPr>
              <w:t>②</w:t>
            </w:r>
            <w:r>
              <w:rPr>
                <w:rFonts w:cs="Times New Roman"/>
                <w:snapToGrid w:val="0"/>
                <w:kern w:val="0"/>
              </w:rPr>
              <w:fldChar w:fldCharType="end"/>
            </w:r>
            <w:r>
              <w:rPr>
                <w:rFonts w:hint="eastAsia"/>
                <w:color w:val="000000"/>
              </w:rPr>
              <w:t>危险废物转移联单实行全国统一编号，编号由十四位阿拉伯数字组成。第一至四位数字为年份代码；第五、六位数字为移出地省级行政区划代码；第七、八位数字为移出地设区的市级行政区划代码；其余六位数字以移出地设区的市级行政区域为单位进行流水编号</w:t>
            </w:r>
            <w:r>
              <w:rPr>
                <w:rFonts w:cs="Times New Roman"/>
                <w:snapToGrid w:val="0"/>
                <w:kern w:val="0"/>
              </w:rPr>
              <w:t>。</w:t>
            </w:r>
          </w:p>
          <w:p w14:paraId="3DC82188" w14:textId="77777777" w:rsidR="003C4F46" w:rsidRDefault="004B6A81">
            <w:pPr>
              <w:ind w:firstLine="480"/>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3 \* GB3 </w:instrText>
            </w:r>
            <w:r>
              <w:rPr>
                <w:rFonts w:cs="Times New Roman"/>
                <w:snapToGrid w:val="0"/>
                <w:kern w:val="0"/>
              </w:rPr>
              <w:fldChar w:fldCharType="separate"/>
            </w:r>
            <w:r>
              <w:rPr>
                <w:rFonts w:cs="Times New Roman" w:hint="eastAsia"/>
                <w:snapToGrid w:val="0"/>
                <w:kern w:val="0"/>
              </w:rPr>
              <w:t>③</w:t>
            </w:r>
            <w:r>
              <w:rPr>
                <w:rFonts w:cs="Times New Roman"/>
                <w:snapToGrid w:val="0"/>
                <w:kern w:val="0"/>
              </w:rPr>
              <w:fldChar w:fldCharType="end"/>
            </w:r>
            <w:r>
              <w:rPr>
                <w:rFonts w:hint="eastAsia"/>
                <w:color w:val="000000"/>
              </w:rPr>
              <w:t>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w:t>
            </w:r>
            <w:r>
              <w:rPr>
                <w:rFonts w:cs="Times New Roman"/>
                <w:snapToGrid w:val="0"/>
                <w:kern w:val="0"/>
              </w:rPr>
              <w:t>。</w:t>
            </w:r>
          </w:p>
          <w:p w14:paraId="41BB2E48" w14:textId="77777777" w:rsidR="003C4F46" w:rsidRDefault="004B6A81">
            <w:pPr>
              <w:ind w:firstLine="480"/>
              <w:textAlignment w:val="auto"/>
              <w:rPr>
                <w:rFonts w:cs="Times New Roman"/>
                <w:snapToGrid w:val="0"/>
                <w:kern w:val="0"/>
              </w:rPr>
            </w:pPr>
            <w:r>
              <w:rPr>
                <w:rFonts w:hint="eastAsia"/>
                <w:color w:val="000000"/>
              </w:rPr>
              <w:lastRenderedPageBreak/>
              <w:t>使用同一车（船或者其他运输工具）一次为多个移出人转移危险废物的，每个移出人应当分别填写、运行危险废物转移联单</w:t>
            </w:r>
            <w:r>
              <w:rPr>
                <w:rFonts w:cs="Times New Roman"/>
                <w:snapToGrid w:val="0"/>
                <w:kern w:val="0"/>
              </w:rPr>
              <w:t>。</w:t>
            </w:r>
          </w:p>
          <w:p w14:paraId="44EB4BC2" w14:textId="77777777" w:rsidR="003C4F46" w:rsidRDefault="004B6A81">
            <w:pPr>
              <w:ind w:firstLine="480"/>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4 \* GB3 </w:instrText>
            </w:r>
            <w:r>
              <w:rPr>
                <w:rFonts w:cs="Times New Roman"/>
                <w:snapToGrid w:val="0"/>
                <w:kern w:val="0"/>
              </w:rPr>
              <w:fldChar w:fldCharType="separate"/>
            </w:r>
            <w:r>
              <w:rPr>
                <w:rFonts w:cs="Times New Roman" w:hint="eastAsia"/>
                <w:snapToGrid w:val="0"/>
                <w:kern w:val="0"/>
              </w:rPr>
              <w:t>④</w:t>
            </w:r>
            <w:r>
              <w:rPr>
                <w:rFonts w:cs="Times New Roman"/>
                <w:snapToGrid w:val="0"/>
                <w:kern w:val="0"/>
              </w:rPr>
              <w:fldChar w:fldCharType="end"/>
            </w:r>
            <w:r>
              <w:rPr>
                <w:rFonts w:hint="eastAsia"/>
                <w:color w:val="000000"/>
              </w:rPr>
              <w:t>采用联运方式转移危险废物的，前一承运人和后一承运人应当明确运输交接的时间和地点。后一承运人应当核实危险废物转移联单确定的移出人信息、前一承运人信息及危险废物相关信息</w:t>
            </w:r>
            <w:r>
              <w:rPr>
                <w:rFonts w:cs="Times New Roman"/>
                <w:snapToGrid w:val="0"/>
                <w:kern w:val="0"/>
              </w:rPr>
              <w:t>。</w:t>
            </w:r>
          </w:p>
          <w:p w14:paraId="11C635E2" w14:textId="77777777" w:rsidR="003C4F46" w:rsidRDefault="004B6A81">
            <w:pPr>
              <w:ind w:firstLine="480"/>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5 \* GB3 </w:instrText>
            </w:r>
            <w:r>
              <w:rPr>
                <w:rFonts w:cs="Times New Roman"/>
                <w:snapToGrid w:val="0"/>
                <w:kern w:val="0"/>
              </w:rPr>
              <w:fldChar w:fldCharType="separate"/>
            </w:r>
            <w:r>
              <w:rPr>
                <w:rFonts w:cs="Times New Roman" w:hint="eastAsia"/>
                <w:snapToGrid w:val="0"/>
                <w:kern w:val="0"/>
              </w:rPr>
              <w:t>⑤</w:t>
            </w:r>
            <w:r>
              <w:rPr>
                <w:rFonts w:cs="Times New Roman"/>
                <w:snapToGrid w:val="0"/>
                <w:kern w:val="0"/>
              </w:rPr>
              <w:fldChar w:fldCharType="end"/>
            </w:r>
            <w:r>
              <w:rPr>
                <w:rFonts w:hint="eastAsia"/>
                <w:color w:val="000000"/>
              </w:rPr>
              <w:t>接受人应当对运抵的危险废物进行核实验收，并在接受之日起五个工作日内通过信息系统确认接受</w:t>
            </w:r>
            <w:r>
              <w:rPr>
                <w:rFonts w:cs="Times New Roman"/>
                <w:snapToGrid w:val="0"/>
                <w:kern w:val="0"/>
              </w:rPr>
              <w:t>。</w:t>
            </w:r>
          </w:p>
          <w:p w14:paraId="7C0DE1DC" w14:textId="77777777" w:rsidR="003C4F46" w:rsidRDefault="004B6A81">
            <w:pPr>
              <w:ind w:firstLine="480"/>
              <w:textAlignment w:val="auto"/>
              <w:rPr>
                <w:rFonts w:cs="Times New Roman"/>
                <w:snapToGrid w:val="0"/>
                <w:kern w:val="0"/>
              </w:rPr>
            </w:pPr>
            <w:r>
              <w:rPr>
                <w:rFonts w:hint="eastAsia"/>
                <w:color w:val="000000"/>
              </w:rPr>
              <w:t>运抵的危险废物的名称、数量、特性、形态、包装方式与危险废物转移联单填写内容不符的，接受人应当及时告知移出人，视情况决定是否接受，同时向接受地生态环境主管部门报告</w:t>
            </w:r>
            <w:r>
              <w:rPr>
                <w:rFonts w:cs="Times New Roman"/>
                <w:snapToGrid w:val="0"/>
                <w:kern w:val="0"/>
              </w:rPr>
              <w:t>。</w:t>
            </w:r>
          </w:p>
          <w:p w14:paraId="3B9EAF0E" w14:textId="77777777" w:rsidR="003C4F46" w:rsidRDefault="004B6A81">
            <w:pPr>
              <w:ind w:firstLine="480"/>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6 \* GB3 </w:instrText>
            </w:r>
            <w:r>
              <w:rPr>
                <w:rFonts w:cs="Times New Roman"/>
                <w:snapToGrid w:val="0"/>
                <w:kern w:val="0"/>
              </w:rPr>
              <w:fldChar w:fldCharType="separate"/>
            </w:r>
            <w:r>
              <w:rPr>
                <w:rFonts w:cs="Times New Roman" w:hint="eastAsia"/>
                <w:snapToGrid w:val="0"/>
                <w:kern w:val="0"/>
              </w:rPr>
              <w:t>⑥</w:t>
            </w:r>
            <w:r>
              <w:rPr>
                <w:rFonts w:cs="Times New Roman"/>
                <w:snapToGrid w:val="0"/>
                <w:kern w:val="0"/>
              </w:rPr>
              <w:fldChar w:fldCharType="end"/>
            </w:r>
            <w:r>
              <w:rPr>
                <w:rFonts w:hint="eastAsia"/>
                <w:color w:val="000000"/>
              </w:rPr>
              <w:t>对不通过车（船或者其他运输工具），且无法按次对危险废物计量的其他方式转移危险废物的，移出人和接受人应当分别配备计量记录设备，将每天危险废物转移的种类、重量（数量）、形态和危险特性等信息纳入相关台账记录，并根据所在地设区的市级以上地方生态环境主管部门的要求填写、运行危险废物转移联单</w:t>
            </w:r>
            <w:r>
              <w:rPr>
                <w:rFonts w:cs="Times New Roman"/>
                <w:snapToGrid w:val="0"/>
                <w:kern w:val="0"/>
              </w:rPr>
              <w:t>。</w:t>
            </w:r>
          </w:p>
          <w:p w14:paraId="51AE88EC" w14:textId="77777777" w:rsidR="003C4F46" w:rsidRDefault="004B6A81">
            <w:pPr>
              <w:ind w:firstLine="480"/>
              <w:jc w:val="left"/>
              <w:textAlignment w:val="auto"/>
              <w:rPr>
                <w:rFonts w:cs="Times New Roman"/>
                <w:snapToGrid w:val="0"/>
                <w:kern w:val="0"/>
              </w:rPr>
            </w:pPr>
            <w:r>
              <w:rPr>
                <w:rFonts w:cs="Times New Roman"/>
                <w:snapToGrid w:val="0"/>
                <w:kern w:val="0"/>
              </w:rPr>
              <w:fldChar w:fldCharType="begin"/>
            </w:r>
            <w:r>
              <w:rPr>
                <w:rFonts w:cs="Times New Roman"/>
                <w:snapToGrid w:val="0"/>
                <w:kern w:val="0"/>
              </w:rPr>
              <w:instrText xml:space="preserve"> = 7 \* GB3 </w:instrText>
            </w:r>
            <w:r>
              <w:rPr>
                <w:rFonts w:cs="Times New Roman"/>
                <w:snapToGrid w:val="0"/>
                <w:kern w:val="0"/>
              </w:rPr>
              <w:fldChar w:fldCharType="separate"/>
            </w:r>
            <w:r>
              <w:rPr>
                <w:rFonts w:cs="Times New Roman" w:hint="eastAsia"/>
                <w:snapToGrid w:val="0"/>
                <w:kern w:val="0"/>
              </w:rPr>
              <w:t>⑦</w:t>
            </w:r>
            <w:r>
              <w:rPr>
                <w:rFonts w:cs="Times New Roman"/>
                <w:snapToGrid w:val="0"/>
                <w:kern w:val="0"/>
              </w:rPr>
              <w:fldChar w:fldCharType="end"/>
            </w:r>
            <w:r>
              <w:rPr>
                <w:rFonts w:hint="eastAsia"/>
                <w:color w:val="000000"/>
              </w:rPr>
              <w:t>危险废物电子转移联单数据应当在信息系统中至少保存十年</w:t>
            </w:r>
            <w:r>
              <w:rPr>
                <w:rFonts w:cs="Times New Roman"/>
                <w:snapToGrid w:val="0"/>
                <w:kern w:val="0"/>
              </w:rPr>
              <w:t>。</w:t>
            </w:r>
          </w:p>
          <w:p w14:paraId="2FC7A199" w14:textId="77777777" w:rsidR="003C4F46" w:rsidRDefault="004B6A81">
            <w:pPr>
              <w:ind w:firstLine="480"/>
              <w:textAlignment w:val="auto"/>
              <w:rPr>
                <w:rFonts w:cs="Times New Roman"/>
                <w:snapToGrid w:val="0"/>
                <w:kern w:val="0"/>
              </w:rPr>
            </w:pPr>
            <w:r>
              <w:rPr>
                <w:rFonts w:hint="eastAsia"/>
                <w:color w:val="000000"/>
              </w:rPr>
              <w:t>因特殊原因无法运行危险废物电子转移联单的，可以先使用纸质转移联单，并于转移活动完成后十个工作日内在信息系统中补录电子转移联单</w:t>
            </w:r>
            <w:r>
              <w:rPr>
                <w:rFonts w:cs="Times New Roman"/>
                <w:snapToGrid w:val="0"/>
                <w:kern w:val="0"/>
              </w:rPr>
              <w:t>。</w:t>
            </w:r>
          </w:p>
          <w:p w14:paraId="188F3896" w14:textId="77777777" w:rsidR="003C4F46" w:rsidRDefault="004B6A81">
            <w:pPr>
              <w:ind w:firstLine="480"/>
            </w:pPr>
            <w:r>
              <w:rPr>
                <w:rFonts w:cs="Times New Roman" w:hint="eastAsia"/>
                <w:snapToGrid w:val="0"/>
                <w:color w:val="000000"/>
                <w:kern w:val="0"/>
                <w:szCs w:val="24"/>
              </w:rPr>
              <w:t>（</w:t>
            </w:r>
            <w:r>
              <w:rPr>
                <w:rFonts w:cs="Times New Roman"/>
                <w:snapToGrid w:val="0"/>
                <w:color w:val="000000"/>
                <w:kern w:val="0"/>
                <w:szCs w:val="24"/>
              </w:rPr>
              <w:t>3</w:t>
            </w:r>
            <w:r>
              <w:rPr>
                <w:rFonts w:cs="Times New Roman" w:hint="eastAsia"/>
                <w:snapToGrid w:val="0"/>
                <w:color w:val="000000"/>
                <w:kern w:val="0"/>
                <w:szCs w:val="24"/>
              </w:rPr>
              <w:t>）</w:t>
            </w:r>
            <w:r>
              <w:rPr>
                <w:rFonts w:hint="eastAsia"/>
              </w:rPr>
              <w:t>危险废物收集、贮存、运输的一般要求</w:t>
            </w:r>
          </w:p>
          <w:p w14:paraId="497A8957" w14:textId="77777777" w:rsidR="003C4F46" w:rsidRDefault="004B6A81">
            <w:pPr>
              <w:keepNext/>
              <w:keepLines/>
              <w:ind w:firstLine="480"/>
              <w:outlineLvl w:val="1"/>
            </w:pPr>
            <w:r>
              <w:rPr>
                <w:rFonts w:hint="eastAsia"/>
              </w:rPr>
              <w:t>危险废物的收集、贮存、运输，应根据《危险废物收集</w:t>
            </w:r>
            <w:r>
              <w:rPr>
                <w:rFonts w:hint="eastAsia"/>
              </w:rPr>
              <w:t xml:space="preserve"> </w:t>
            </w:r>
            <w:r>
              <w:rPr>
                <w:rFonts w:hint="eastAsia"/>
              </w:rPr>
              <w:t>贮存</w:t>
            </w:r>
            <w:r>
              <w:rPr>
                <w:rFonts w:hint="eastAsia"/>
              </w:rPr>
              <w:t xml:space="preserve"> </w:t>
            </w:r>
            <w:r>
              <w:rPr>
                <w:rFonts w:hint="eastAsia"/>
              </w:rPr>
              <w:t>运输技术规范》（</w:t>
            </w:r>
            <w:r>
              <w:rPr>
                <w:rFonts w:hint="eastAsia"/>
              </w:rPr>
              <w:t>HJ2025-2012</w:t>
            </w:r>
            <w:r>
              <w:rPr>
                <w:rFonts w:hint="eastAsia"/>
              </w:rPr>
              <w:t>）中相关要求。</w:t>
            </w:r>
          </w:p>
          <w:p w14:paraId="7CF3A6F1" w14:textId="77777777" w:rsidR="003C4F46" w:rsidRDefault="004B6A81">
            <w:pPr>
              <w:ind w:firstLine="480"/>
            </w:pPr>
            <w:r>
              <w:t>1</w:t>
            </w:r>
            <w:r>
              <w:rPr>
                <w:rFonts w:hint="eastAsia"/>
              </w:rPr>
              <w:t>）从事危险废物收集、贮存、运输经营活动的单位应具有危险废物经营许可证。在收集、贮存、运输危险废物时，应根据危险废物收集、贮存、处置经营许可证核发的有关规定建立相应的规章制度和污染防治措施，包括危险废物分析管理制度、安全管理制度、污染防治措施等；危险废物产生单位内部自行从事的危险废物收集、贮存、运输活动应遵照国家相关管理规定，建立健全规章制度及操作流程，确保该过程的安全、可靠。</w:t>
            </w:r>
          </w:p>
          <w:p w14:paraId="2A5871AD" w14:textId="3B47C1B9" w:rsidR="003C4F46" w:rsidRDefault="004B6A81">
            <w:pPr>
              <w:ind w:firstLine="480"/>
            </w:pPr>
            <w:r>
              <w:t>2</w:t>
            </w:r>
            <w:r>
              <w:rPr>
                <w:rFonts w:hint="eastAsia"/>
              </w:rPr>
              <w:t>）危险废物转移过程应按《危险废物转移管理办法》（生态环境部</w:t>
            </w:r>
            <w:r>
              <w:rPr>
                <w:rFonts w:hint="eastAsia"/>
              </w:rPr>
              <w:t xml:space="preserve"> </w:t>
            </w:r>
            <w:r>
              <w:rPr>
                <w:rFonts w:hint="eastAsia"/>
              </w:rPr>
              <w:t>公安部</w:t>
            </w:r>
            <w:r>
              <w:rPr>
                <w:rFonts w:hint="eastAsia"/>
              </w:rPr>
              <w:t xml:space="preserve"> </w:t>
            </w:r>
            <w:r>
              <w:rPr>
                <w:rFonts w:hint="eastAsia"/>
              </w:rPr>
              <w:t>交通运输部令第</w:t>
            </w:r>
            <w:r>
              <w:rPr>
                <w:rFonts w:hint="eastAsia"/>
              </w:rPr>
              <w:t>23</w:t>
            </w:r>
            <w:r>
              <w:rPr>
                <w:rFonts w:hint="eastAsia"/>
              </w:rPr>
              <w:t>号）执行。</w:t>
            </w:r>
          </w:p>
          <w:p w14:paraId="1E0DB2B8" w14:textId="77777777" w:rsidR="003C4F46" w:rsidRDefault="004B6A81">
            <w:pPr>
              <w:ind w:firstLine="480"/>
            </w:pPr>
            <w:r>
              <w:lastRenderedPageBreak/>
              <w:t>3</w:t>
            </w:r>
            <w:r>
              <w:rPr>
                <w:rFonts w:hint="eastAsia"/>
              </w:rPr>
              <w:t>）危险废物收集、贮存、运输单位应建立规范的管理和技术人员培训制度，对管理和技术人员进行培训，并定期开展培训、保存培训记录。培训内容至少应包括危险废物鉴别要求、危险废物经营许可证管理、危险废物转移联单管理、危险废物包装和标识、危险废物运输要求、危险废物事故应急方法等。</w:t>
            </w:r>
          </w:p>
          <w:p w14:paraId="0E8E1184" w14:textId="77777777" w:rsidR="003C4F46" w:rsidRDefault="004B6A81">
            <w:pPr>
              <w:ind w:firstLine="480"/>
            </w:pPr>
            <w:r>
              <w:t>4</w:t>
            </w:r>
            <w:r>
              <w:rPr>
                <w:rFonts w:hint="eastAsia"/>
              </w:rPr>
              <w:t>）危险废物收集、贮存、运输单位应编制应急预案。应急预案编制可参照《危险废物经营单位编制应急预案指南》，涉及运输的相关内容还应符合交通行政主管部门的有关规定。针对危险废物收集、贮存、运输过程中的事故易发环节应组织应急演练。</w:t>
            </w:r>
          </w:p>
          <w:p w14:paraId="7B42B22B" w14:textId="77777777" w:rsidR="003C4F46" w:rsidRDefault="004B6A81">
            <w:pPr>
              <w:ind w:firstLine="480"/>
            </w:pPr>
            <w:r>
              <w:t>5</w:t>
            </w:r>
            <w:r>
              <w:rPr>
                <w:rFonts w:hint="eastAsia"/>
              </w:rPr>
              <w:t>）危险废物收集、贮存、运输过程中一旦发生意外事故，收集、贮存、运输单位及相关部门应根据风险程度采取如下措施：</w:t>
            </w:r>
          </w:p>
          <w:p w14:paraId="48BA04D2" w14:textId="77777777" w:rsidR="003C4F46" w:rsidRDefault="004B6A81">
            <w:pPr>
              <w:ind w:firstLine="480"/>
            </w:pPr>
            <w:r>
              <w:fldChar w:fldCharType="begin"/>
            </w:r>
            <w:r>
              <w:instrText xml:space="preserve"> </w:instrText>
            </w:r>
            <w:r>
              <w:rPr>
                <w:rFonts w:hint="eastAsia"/>
              </w:rPr>
              <w:instrText>= 1 \* GB3</w:instrText>
            </w:r>
            <w:r>
              <w:instrText xml:space="preserve"> </w:instrText>
            </w:r>
            <w:r>
              <w:fldChar w:fldCharType="separate"/>
            </w:r>
            <w:r>
              <w:rPr>
                <w:rFonts w:hint="eastAsia"/>
              </w:rPr>
              <w:t>①</w:t>
            </w:r>
            <w:r>
              <w:fldChar w:fldCharType="end"/>
            </w:r>
            <w:r>
              <w:rPr>
                <w:rFonts w:hint="eastAsia"/>
              </w:rPr>
              <w:t>设立事故警戒线，启动应急预案，并按《突发环境事件信息报告办法》（环境保护部令第</w:t>
            </w:r>
            <w:r>
              <w:rPr>
                <w:rFonts w:hint="eastAsia"/>
              </w:rPr>
              <w:t>17</w:t>
            </w:r>
            <w:r>
              <w:rPr>
                <w:rFonts w:hint="eastAsia"/>
              </w:rPr>
              <w:t>号）要求进行报告。</w:t>
            </w:r>
          </w:p>
          <w:p w14:paraId="2357C708" w14:textId="77777777" w:rsidR="003C4F46" w:rsidRDefault="004B6A81">
            <w:pPr>
              <w:ind w:firstLine="480"/>
            </w:pPr>
            <w:r>
              <w:fldChar w:fldCharType="begin"/>
            </w:r>
            <w:r>
              <w:instrText xml:space="preserve"> </w:instrText>
            </w:r>
            <w:r>
              <w:rPr>
                <w:rFonts w:hint="eastAsia"/>
              </w:rPr>
              <w:instrText>= 2 \* GB3</w:instrText>
            </w:r>
            <w:r>
              <w:instrText xml:space="preserve"> </w:instrText>
            </w:r>
            <w:r>
              <w:fldChar w:fldCharType="separate"/>
            </w:r>
            <w:r>
              <w:rPr>
                <w:rFonts w:hint="eastAsia"/>
              </w:rPr>
              <w:t>②</w:t>
            </w:r>
            <w:r>
              <w:fldChar w:fldCharType="end"/>
            </w:r>
            <w:r>
              <w:rPr>
                <w:rFonts w:hint="eastAsia"/>
              </w:rPr>
              <w:t>若造成事故的危险废物具有剧毒性、易燃性、爆炸性或高传染性，应立即疏散人群，并请求环境保护、消防、医疗、公安等相关部门支援，</w:t>
            </w:r>
          </w:p>
          <w:p w14:paraId="797B301B" w14:textId="77777777" w:rsidR="003C4F46" w:rsidRDefault="004B6A81">
            <w:pPr>
              <w:ind w:firstLine="480"/>
            </w:pPr>
            <w:r>
              <w:fldChar w:fldCharType="begin"/>
            </w:r>
            <w:r>
              <w:instrText xml:space="preserve"> </w:instrText>
            </w:r>
            <w:r>
              <w:rPr>
                <w:rFonts w:hint="eastAsia"/>
              </w:rPr>
              <w:instrText>= 3 \* GB3</w:instrText>
            </w:r>
            <w:r>
              <w:instrText xml:space="preserve"> </w:instrText>
            </w:r>
            <w:r>
              <w:fldChar w:fldCharType="separate"/>
            </w:r>
            <w:r>
              <w:rPr>
                <w:rFonts w:hint="eastAsia"/>
              </w:rPr>
              <w:t>③</w:t>
            </w:r>
            <w:r>
              <w:fldChar w:fldCharType="end"/>
            </w:r>
            <w:r>
              <w:rPr>
                <w:rFonts w:hint="eastAsia"/>
              </w:rPr>
              <w:t>对事故现场受到污染的土壤和水体等环境介质应进行相应的清理和修复。</w:t>
            </w:r>
          </w:p>
          <w:p w14:paraId="05F1707A" w14:textId="77777777" w:rsidR="003C4F46" w:rsidRDefault="004B6A81">
            <w:pPr>
              <w:ind w:firstLine="480"/>
            </w:pPr>
            <w:r>
              <w:fldChar w:fldCharType="begin"/>
            </w:r>
            <w:r>
              <w:instrText xml:space="preserve"> </w:instrText>
            </w:r>
            <w:r>
              <w:rPr>
                <w:rFonts w:hint="eastAsia"/>
              </w:rPr>
              <w:instrText>= 4 \* GB3</w:instrText>
            </w:r>
            <w:r>
              <w:instrText xml:space="preserve"> </w:instrText>
            </w:r>
            <w:r>
              <w:fldChar w:fldCharType="separate"/>
            </w:r>
            <w:r>
              <w:rPr>
                <w:rFonts w:hint="eastAsia"/>
              </w:rPr>
              <w:t>④</w:t>
            </w:r>
            <w:r>
              <w:fldChar w:fldCharType="end"/>
            </w:r>
            <w:r>
              <w:rPr>
                <w:rFonts w:hint="eastAsia"/>
              </w:rPr>
              <w:t>清理过程中产生的所有废物均应按危险废物进行管理和处置。</w:t>
            </w:r>
          </w:p>
          <w:p w14:paraId="1A74A4C1" w14:textId="77777777" w:rsidR="003C4F46" w:rsidRDefault="004B6A81">
            <w:pPr>
              <w:ind w:firstLine="480"/>
            </w:pPr>
            <w:r>
              <w:fldChar w:fldCharType="begin"/>
            </w:r>
            <w:r>
              <w:instrText xml:space="preserve"> </w:instrText>
            </w:r>
            <w:r>
              <w:rPr>
                <w:rFonts w:hint="eastAsia"/>
              </w:rPr>
              <w:instrText>= 5 \* GB3</w:instrText>
            </w:r>
            <w:r>
              <w:instrText xml:space="preserve"> </w:instrText>
            </w:r>
            <w:r>
              <w:fldChar w:fldCharType="separate"/>
            </w:r>
            <w:r>
              <w:rPr>
                <w:rFonts w:hint="eastAsia"/>
              </w:rPr>
              <w:t>⑤</w:t>
            </w:r>
            <w:r>
              <w:fldChar w:fldCharType="end"/>
            </w:r>
            <w:r>
              <w:rPr>
                <w:rFonts w:hint="eastAsia"/>
              </w:rPr>
              <w:t>进入现场清理和包装危险废物的人员应受过专业培训，穿着防护服，并佩戴相应的防护用具。</w:t>
            </w:r>
          </w:p>
          <w:p w14:paraId="07E14EF1" w14:textId="77777777" w:rsidR="003C4F46" w:rsidRDefault="004B6A81">
            <w:pPr>
              <w:ind w:firstLine="480"/>
            </w:pPr>
            <w:r>
              <w:rPr>
                <w:rFonts w:hint="eastAsia"/>
              </w:rPr>
              <w:t>（</w:t>
            </w:r>
            <w:r>
              <w:t>4</w:t>
            </w:r>
            <w:r>
              <w:rPr>
                <w:rFonts w:hint="eastAsia"/>
              </w:rPr>
              <w:t>）危险废物管理台账制定要求</w:t>
            </w:r>
          </w:p>
          <w:p w14:paraId="699E2A52" w14:textId="77777777" w:rsidR="003C4F46" w:rsidRDefault="004B6A81">
            <w:pPr>
              <w:ind w:firstLine="480"/>
            </w:pPr>
            <w:r>
              <w:rPr>
                <w:rFonts w:hint="eastAsia"/>
              </w:rPr>
              <w:t>项目运营期应建立危险废物管理台账，落实危险废物管理台账记录的责任人，明确工作职责，并对危险废物管理台账的真实性、准确性和完整性负法律责任。产生危险废物的单位应根据危险废物产生、贮存、利用、处置等环节的动态流向，如实建立各环节的危险废物管理台账。危险废物管理台账分为电子管理台账和纸质管理台账两种形式。可通过国家危险废物信息管理系统、企业自建信息管理系统或第三方平台等方式记录电子管理台账。</w:t>
            </w:r>
          </w:p>
          <w:p w14:paraId="73CA8386" w14:textId="77777777" w:rsidR="003C4F46" w:rsidRDefault="004B6A81">
            <w:pPr>
              <w:ind w:firstLine="480"/>
            </w:pPr>
            <w:r>
              <w:rPr>
                <w:rFonts w:hint="eastAsia"/>
              </w:rPr>
              <w:t>频次：危险废物产生后盛放至容器和包装物的，应按每个容器和包装物进行记录；产生后采用管道等方式输送至贮存场所的，按日记录；其他特殊情形的，根据危险废物产生规律确定记录频次。</w:t>
            </w:r>
          </w:p>
          <w:p w14:paraId="3B248F8F" w14:textId="77777777" w:rsidR="003C4F46" w:rsidRDefault="004B6A81">
            <w:pPr>
              <w:ind w:firstLine="480"/>
            </w:pPr>
            <w:r>
              <w:rPr>
                <w:rFonts w:hint="eastAsia"/>
              </w:rPr>
              <w:lastRenderedPageBreak/>
              <w:t>记录内容：危险废物产生环节，应记录产生批次编码、产生时间、危险废物名称、危险废物类别、危险废物代码、产生量、计量单位、容器</w:t>
            </w:r>
            <w:r>
              <w:rPr>
                <w:rFonts w:hint="eastAsia"/>
              </w:rPr>
              <w:t>/</w:t>
            </w:r>
            <w:r>
              <w:rPr>
                <w:rFonts w:hint="eastAsia"/>
              </w:rPr>
              <w:t>包装编码、容器</w:t>
            </w:r>
            <w:r>
              <w:rPr>
                <w:rFonts w:hint="eastAsia"/>
              </w:rPr>
              <w:t>/</w:t>
            </w:r>
            <w:r>
              <w:rPr>
                <w:rFonts w:hint="eastAsia"/>
              </w:rPr>
              <w:t>包装类型、容器</w:t>
            </w:r>
            <w:r>
              <w:rPr>
                <w:rFonts w:hint="eastAsia"/>
              </w:rPr>
              <w:t>/</w:t>
            </w:r>
            <w:r>
              <w:rPr>
                <w:rFonts w:hint="eastAsia"/>
              </w:rPr>
              <w:t>包装数量、产生危险废物设施编码、产生部门经办人、去向等。危险废物入库环节，应记录入库批次编码、入库时间、容器</w:t>
            </w:r>
            <w:r>
              <w:rPr>
                <w:rFonts w:hint="eastAsia"/>
              </w:rPr>
              <w:t>/</w:t>
            </w:r>
            <w:r>
              <w:rPr>
                <w:rFonts w:hint="eastAsia"/>
              </w:rPr>
              <w:t>包装编码、容器</w:t>
            </w:r>
            <w:r>
              <w:rPr>
                <w:rFonts w:hint="eastAsia"/>
              </w:rPr>
              <w:t>/</w:t>
            </w:r>
            <w:r>
              <w:rPr>
                <w:rFonts w:hint="eastAsia"/>
              </w:rPr>
              <w:t>包装类型、容器</w:t>
            </w:r>
            <w:r>
              <w:rPr>
                <w:rFonts w:hint="eastAsia"/>
              </w:rPr>
              <w:t>/</w:t>
            </w:r>
            <w:r>
              <w:rPr>
                <w:rFonts w:hint="eastAsia"/>
              </w:rPr>
              <w:t>包装数量、危险废物名称、危险废物类别、危险废物代码、入库量、计量单位、贮存设施编码、贮存设施类型、运送部门经办人、贮存部门经办人、产生批次编码等。</w:t>
            </w:r>
          </w:p>
          <w:p w14:paraId="04A43FBD" w14:textId="77777777" w:rsidR="003C4F46" w:rsidRDefault="004B6A81">
            <w:pPr>
              <w:ind w:firstLine="480"/>
            </w:pPr>
            <w:r>
              <w:rPr>
                <w:rFonts w:hint="eastAsia"/>
              </w:rPr>
              <w:t>危险废物出库环节，应记录出库批次编码、出库时间、容器</w:t>
            </w:r>
            <w:r>
              <w:rPr>
                <w:rFonts w:hint="eastAsia"/>
              </w:rPr>
              <w:t>/</w:t>
            </w:r>
            <w:r>
              <w:rPr>
                <w:rFonts w:hint="eastAsia"/>
              </w:rPr>
              <w:t>包装编码、容器</w:t>
            </w:r>
            <w:r>
              <w:rPr>
                <w:rFonts w:hint="eastAsia"/>
              </w:rPr>
              <w:t>/</w:t>
            </w:r>
            <w:r>
              <w:rPr>
                <w:rFonts w:hint="eastAsia"/>
              </w:rPr>
              <w:t>包装类型、容器</w:t>
            </w:r>
            <w:r>
              <w:rPr>
                <w:rFonts w:hint="eastAsia"/>
              </w:rPr>
              <w:t>/</w:t>
            </w:r>
            <w:r>
              <w:rPr>
                <w:rFonts w:hint="eastAsia"/>
              </w:rPr>
              <w:t>包装数量、危险废物名称、危险废物类别、危险废物代码、出库量、计量单位、贮存设施编码、贮存设施类型、出库部门经办人、运送部门经办人、入库批次编码、去向等。</w:t>
            </w:r>
          </w:p>
          <w:p w14:paraId="2C2DE085" w14:textId="77777777" w:rsidR="003C4F46" w:rsidRDefault="004B6A81">
            <w:pPr>
              <w:ind w:firstLine="480"/>
            </w:pPr>
            <w:r>
              <w:rPr>
                <w:rFonts w:hint="eastAsia"/>
              </w:rPr>
              <w:t>（</w:t>
            </w:r>
            <w:r>
              <w:rPr>
                <w:rFonts w:hint="eastAsia"/>
              </w:rPr>
              <w:t>5</w:t>
            </w:r>
            <w:r>
              <w:rPr>
                <w:rFonts w:hint="eastAsia"/>
              </w:rPr>
              <w:t>）危险废物接收单位职责</w:t>
            </w:r>
          </w:p>
          <w:p w14:paraId="770B2442" w14:textId="77777777" w:rsidR="003C4F46" w:rsidRDefault="004B6A81">
            <w:pPr>
              <w:ind w:firstLine="480"/>
            </w:pPr>
            <w:r>
              <w:fldChar w:fldCharType="begin"/>
            </w:r>
            <w:r>
              <w:instrText xml:space="preserve"> </w:instrText>
            </w:r>
            <w:r>
              <w:rPr>
                <w:rFonts w:hint="eastAsia"/>
              </w:rPr>
              <w:instrText>= 1 \* GB3</w:instrText>
            </w:r>
            <w:r>
              <w:instrText xml:space="preserve"> </w:instrText>
            </w:r>
            <w:r>
              <w:fldChar w:fldCharType="separate"/>
            </w:r>
            <w:r>
              <w:rPr>
                <w:rFonts w:hint="eastAsia"/>
              </w:rPr>
              <w:t>①</w:t>
            </w:r>
            <w:r>
              <w:fldChar w:fldCharType="end"/>
            </w:r>
            <w:r>
              <w:rPr>
                <w:rFonts w:hint="eastAsia"/>
              </w:rPr>
              <w:t>核实拟接受的危险废物的种类、重量（数量）、包装、识别标志等相关信息；</w:t>
            </w:r>
          </w:p>
          <w:p w14:paraId="017ADEEF" w14:textId="77777777" w:rsidR="003C4F46" w:rsidRDefault="004B6A81">
            <w:pPr>
              <w:ind w:firstLine="480"/>
            </w:pPr>
            <w:r>
              <w:fldChar w:fldCharType="begin"/>
            </w:r>
            <w:r>
              <w:instrText xml:space="preserve"> </w:instrText>
            </w:r>
            <w:r>
              <w:rPr>
                <w:rFonts w:hint="eastAsia"/>
              </w:rPr>
              <w:instrText>= 2 \* GB3</w:instrText>
            </w:r>
            <w:r>
              <w:instrText xml:space="preserve"> </w:instrText>
            </w:r>
            <w:r>
              <w:fldChar w:fldCharType="separate"/>
            </w:r>
            <w:r>
              <w:rPr>
                <w:rFonts w:hint="eastAsia"/>
              </w:rPr>
              <w:t>②</w:t>
            </w:r>
            <w:r>
              <w:fldChar w:fldCharType="end"/>
            </w:r>
            <w:r>
              <w:rPr>
                <w:rFonts w:hint="eastAsia"/>
              </w:rPr>
              <w:t>填写、运行危险废物转移联单，在危险废物转移联单中如实填写是否接受的意见，以及利用、处置方式和接受量等信息；</w:t>
            </w:r>
          </w:p>
          <w:p w14:paraId="61C71A1D" w14:textId="77777777" w:rsidR="003C4F46" w:rsidRDefault="004B6A81">
            <w:pPr>
              <w:ind w:firstLine="480"/>
            </w:pPr>
            <w:r>
              <w:fldChar w:fldCharType="begin"/>
            </w:r>
            <w:r>
              <w:instrText xml:space="preserve"> </w:instrText>
            </w:r>
            <w:r>
              <w:rPr>
                <w:rFonts w:hint="eastAsia"/>
              </w:rPr>
              <w:instrText>= 3 \* GB3</w:instrText>
            </w:r>
            <w:r>
              <w:instrText xml:space="preserve"> </w:instrText>
            </w:r>
            <w:r>
              <w:fldChar w:fldCharType="separate"/>
            </w:r>
            <w:r>
              <w:rPr>
                <w:rFonts w:hint="eastAsia"/>
              </w:rPr>
              <w:t>③</w:t>
            </w:r>
            <w:r>
              <w:fldChar w:fldCharType="end"/>
            </w:r>
            <w:r>
              <w:rPr>
                <w:rFonts w:hint="eastAsia"/>
              </w:rPr>
              <w:t>按照国家和地方有关规定和标准，对接受的危险废物进行贮存、利用或者处置；</w:t>
            </w:r>
          </w:p>
          <w:p w14:paraId="2E41B995" w14:textId="77777777" w:rsidR="003C4F46" w:rsidRDefault="004B6A81">
            <w:pPr>
              <w:ind w:firstLine="480"/>
            </w:pPr>
            <w:r>
              <w:fldChar w:fldCharType="begin"/>
            </w:r>
            <w:r>
              <w:instrText xml:space="preserve"> </w:instrText>
            </w:r>
            <w:r>
              <w:rPr>
                <w:rFonts w:hint="eastAsia"/>
              </w:rPr>
              <w:instrText>= 4 \* GB3</w:instrText>
            </w:r>
            <w:r>
              <w:instrText xml:space="preserve"> </w:instrText>
            </w:r>
            <w:r>
              <w:fldChar w:fldCharType="separate"/>
            </w:r>
            <w:r>
              <w:rPr>
                <w:rFonts w:hint="eastAsia"/>
              </w:rPr>
              <w:t>④</w:t>
            </w:r>
            <w:r>
              <w:fldChar w:fldCharType="end"/>
            </w:r>
            <w:r>
              <w:rPr>
                <w:rFonts w:hint="eastAsia"/>
              </w:rPr>
              <w:t>将危险废物接受情况、利用或者处置结果及时告知移出人；</w:t>
            </w:r>
          </w:p>
          <w:p w14:paraId="2A794F6A" w14:textId="77777777" w:rsidR="003C4F46" w:rsidRDefault="004B6A81">
            <w:pPr>
              <w:ind w:firstLine="480"/>
            </w:pPr>
            <w:r>
              <w:fldChar w:fldCharType="begin"/>
            </w:r>
            <w:r>
              <w:instrText xml:space="preserve"> </w:instrText>
            </w:r>
            <w:r>
              <w:rPr>
                <w:rFonts w:hint="eastAsia"/>
              </w:rPr>
              <w:instrText>= 5 \* GB3</w:instrText>
            </w:r>
            <w:r>
              <w:instrText xml:space="preserve"> </w:instrText>
            </w:r>
            <w:r>
              <w:fldChar w:fldCharType="separate"/>
            </w:r>
            <w:r>
              <w:rPr>
                <w:rFonts w:hint="eastAsia"/>
              </w:rPr>
              <w:t>⑤</w:t>
            </w:r>
            <w:r>
              <w:fldChar w:fldCharType="end"/>
            </w:r>
            <w:r>
              <w:rPr>
                <w:rFonts w:hint="eastAsia"/>
              </w:rPr>
              <w:t>法律法规规定的其他义务。本项目建设单位不自行外运、转移，危险废物委托处理后对环境影响不大。</w:t>
            </w:r>
          </w:p>
          <w:p w14:paraId="0AE85786" w14:textId="77777777" w:rsidR="003C4F46" w:rsidRDefault="004B6A81">
            <w:pPr>
              <w:ind w:firstLine="480"/>
            </w:pPr>
            <w:r>
              <w:rPr>
                <w:rFonts w:hint="eastAsia"/>
              </w:rPr>
              <w:t>本项目建设单位不自行外运、转移，危险废物委托有资质单位处置后对环境影响不大。</w:t>
            </w:r>
          </w:p>
          <w:p w14:paraId="0E726422" w14:textId="77777777" w:rsidR="003C4F46" w:rsidRDefault="004B6A81">
            <w:pPr>
              <w:ind w:firstLine="480"/>
            </w:pPr>
            <w:r>
              <w:rPr>
                <w:rFonts w:hint="eastAsia"/>
              </w:rPr>
              <w:t>（</w:t>
            </w:r>
            <w:r>
              <w:rPr>
                <w:rFonts w:hint="eastAsia"/>
              </w:rPr>
              <w:t>6</w:t>
            </w:r>
            <w:r>
              <w:rPr>
                <w:rFonts w:hint="eastAsia"/>
              </w:rPr>
              <w:t>）危险废物贮存库标识要求</w:t>
            </w:r>
          </w:p>
          <w:p w14:paraId="55782585" w14:textId="77777777" w:rsidR="003C4F46" w:rsidRDefault="004B6A81">
            <w:pPr>
              <w:pStyle w:val="1b"/>
              <w:rPr>
                <w:color w:val="auto"/>
              </w:rPr>
            </w:pPr>
            <w:r>
              <w:t>根据《危险废物贮存污染控制标准》</w:t>
            </w:r>
            <w:r>
              <w:t>(GB18597-2023)</w:t>
            </w:r>
            <w:r>
              <w:t>、《危险废物识别标志设置技术规范》</w:t>
            </w:r>
            <w:r>
              <w:t>(HJ1276-2022)</w:t>
            </w:r>
            <w:r>
              <w:t>、《排污单位污染物排放口二维码标识技术规范》（</w:t>
            </w:r>
            <w:r>
              <w:t>HJ1297—2023</w:t>
            </w:r>
            <w:r>
              <w:t>）</w:t>
            </w:r>
            <w:r>
              <w:rPr>
                <w:rFonts w:hint="eastAsia"/>
              </w:rPr>
              <w:t>、《环境保护图形标志—固体废物贮存（处置）场》（</w:t>
            </w:r>
            <w:r>
              <w:rPr>
                <w:rFonts w:hint="eastAsia"/>
              </w:rPr>
              <w:t>GB15562.2-1995</w:t>
            </w:r>
            <w:r>
              <w:rPr>
                <w:rFonts w:hint="eastAsia"/>
              </w:rPr>
              <w:t>）修改单</w:t>
            </w:r>
            <w:r>
              <w:t>等相关规定要求</w:t>
            </w:r>
            <w:r>
              <w:rPr>
                <w:rFonts w:hint="eastAsia"/>
              </w:rPr>
              <w:t>危险废物贮存库</w:t>
            </w:r>
            <w:r>
              <w:t>及危险废物贮存相关标志设置，具体要求如下</w:t>
            </w:r>
            <w:r>
              <w:rPr>
                <w:color w:val="auto"/>
              </w:rPr>
              <w:t>：</w:t>
            </w:r>
          </w:p>
          <w:p w14:paraId="7D444FDB" w14:textId="77777777" w:rsidR="003C4F46" w:rsidRDefault="004B6A81">
            <w:pPr>
              <w:spacing w:beforeLines="50" w:before="163" w:line="240" w:lineRule="auto"/>
              <w:ind w:firstLineChars="0" w:firstLine="0"/>
              <w:jc w:val="center"/>
              <w:rPr>
                <w:rFonts w:cs="Times New Roman"/>
                <w:b/>
                <w:color w:val="000000"/>
                <w:sz w:val="21"/>
              </w:rPr>
            </w:pPr>
            <w:r>
              <w:rPr>
                <w:rFonts w:cs="Times New Roman"/>
                <w:b/>
                <w:color w:val="000000"/>
                <w:sz w:val="21"/>
              </w:rPr>
              <w:lastRenderedPageBreak/>
              <w:t>表</w:t>
            </w:r>
            <w:r>
              <w:rPr>
                <w:rFonts w:cs="Times New Roman" w:hint="eastAsia"/>
                <w:b/>
                <w:color w:val="000000"/>
                <w:sz w:val="21"/>
              </w:rPr>
              <w:t>4-</w:t>
            </w:r>
            <w:r>
              <w:rPr>
                <w:rFonts w:cs="Times New Roman"/>
                <w:b/>
                <w:color w:val="000000"/>
                <w:sz w:val="21"/>
              </w:rPr>
              <w:t xml:space="preserve">10  </w:t>
            </w:r>
            <w:r>
              <w:rPr>
                <w:rFonts w:cs="Times New Roman" w:hint="eastAsia"/>
                <w:b/>
                <w:color w:val="000000"/>
                <w:sz w:val="21"/>
              </w:rPr>
              <w:t>危险废物贮存分区标志</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6"/>
              <w:gridCol w:w="3122"/>
              <w:gridCol w:w="4547"/>
              <w:gridCol w:w="426"/>
            </w:tblGrid>
            <w:tr w:rsidR="003C4F46" w:rsidRPr="000228A3" w14:paraId="2503CB82" w14:textId="77777777" w:rsidTr="000228A3">
              <w:trPr>
                <w:trHeight w:val="1341"/>
                <w:jc w:val="center"/>
              </w:trPr>
              <w:tc>
                <w:tcPr>
                  <w:tcW w:w="250" w:type="pct"/>
                  <w:vMerge w:val="restart"/>
                  <w:vAlign w:val="center"/>
                </w:tcPr>
                <w:p w14:paraId="40B87E05" w14:textId="77777777" w:rsidR="003C4F46" w:rsidRPr="000228A3" w:rsidRDefault="004B6A81">
                  <w:pPr>
                    <w:spacing w:line="140" w:lineRule="atLeast"/>
                    <w:ind w:firstLineChars="0" w:firstLine="0"/>
                    <w:contextualSpacing/>
                    <w:jc w:val="center"/>
                    <w:textAlignment w:val="auto"/>
                    <w:rPr>
                      <w:rFonts w:cs="Times New Roman"/>
                      <w:sz w:val="21"/>
                      <w:szCs w:val="21"/>
                    </w:rPr>
                  </w:pPr>
                  <w:r w:rsidRPr="000228A3">
                    <w:rPr>
                      <w:rFonts w:cs="Times New Roman" w:hint="eastAsia"/>
                      <w:sz w:val="21"/>
                      <w:szCs w:val="21"/>
                    </w:rPr>
                    <w:t>危险废物贮存分区标志的设置要求</w:t>
                  </w:r>
                </w:p>
              </w:tc>
              <w:tc>
                <w:tcPr>
                  <w:tcW w:w="1832" w:type="pct"/>
                  <w:vAlign w:val="center"/>
                </w:tcPr>
                <w:p w14:paraId="00C74A3B" w14:textId="77777777" w:rsidR="003C4F46" w:rsidRPr="000228A3" w:rsidRDefault="004B6A81">
                  <w:pPr>
                    <w:spacing w:line="140" w:lineRule="atLeast"/>
                    <w:ind w:firstLineChars="0" w:firstLine="0"/>
                    <w:contextualSpacing/>
                    <w:textAlignment w:val="auto"/>
                    <w:rPr>
                      <w:rFonts w:cs="Times New Roman"/>
                      <w:sz w:val="21"/>
                      <w:szCs w:val="21"/>
                    </w:rPr>
                  </w:pPr>
                  <w:r w:rsidRPr="000228A3">
                    <w:rPr>
                      <w:rFonts w:cs="Times New Roman"/>
                      <w:sz w:val="21"/>
                      <w:szCs w:val="21"/>
                    </w:rPr>
                    <w:t>危险废物贮存分区的划分应满足</w:t>
                  </w:r>
                  <w:r w:rsidRPr="000228A3">
                    <w:rPr>
                      <w:rFonts w:cs="Times New Roman"/>
                      <w:sz w:val="21"/>
                      <w:szCs w:val="21"/>
                    </w:rPr>
                    <w:t>GB 18597</w:t>
                  </w:r>
                  <w:r w:rsidRPr="000228A3">
                    <w:rPr>
                      <w:rFonts w:cs="Times New Roman"/>
                      <w:sz w:val="21"/>
                      <w:szCs w:val="21"/>
                    </w:rPr>
                    <w:t>中的有关规定。宜在危险废物贮存设施内的每一个贮存分区处设置危险废物贮存分区标志。</w:t>
                  </w:r>
                </w:p>
              </w:tc>
              <w:tc>
                <w:tcPr>
                  <w:tcW w:w="2668" w:type="pct"/>
                  <w:vMerge w:val="restart"/>
                  <w:vAlign w:val="center"/>
                </w:tcPr>
                <w:p w14:paraId="787766B0" w14:textId="77777777" w:rsidR="003C4F46" w:rsidRPr="000228A3" w:rsidRDefault="004B6A81">
                  <w:pPr>
                    <w:widowControl/>
                    <w:ind w:firstLine="420"/>
                    <w:jc w:val="center"/>
                    <w:rPr>
                      <w:rFonts w:cs="Times New Roman"/>
                      <w:sz w:val="21"/>
                      <w:szCs w:val="21"/>
                    </w:rPr>
                  </w:pPr>
                  <w:r w:rsidRPr="000228A3">
                    <w:rPr>
                      <w:noProof/>
                      <w:sz w:val="21"/>
                      <w:szCs w:val="21"/>
                    </w:rPr>
                    <w:drawing>
                      <wp:inline distT="0" distB="0" distL="0" distR="0" wp14:anchorId="605492C3" wp14:editId="278F33C2">
                        <wp:extent cx="2035810" cy="167767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035810" cy="1677670"/>
                                </a:xfrm>
                                <a:prstGeom prst="rect">
                                  <a:avLst/>
                                </a:prstGeom>
                                <a:noFill/>
                                <a:ln>
                                  <a:noFill/>
                                </a:ln>
                                <a:effectLst/>
                              </pic:spPr>
                            </pic:pic>
                          </a:graphicData>
                        </a:graphic>
                      </wp:inline>
                    </w:drawing>
                  </w:r>
                </w:p>
              </w:tc>
              <w:tc>
                <w:tcPr>
                  <w:tcW w:w="250" w:type="pct"/>
                  <w:vMerge w:val="restart"/>
                  <w:vAlign w:val="center"/>
                </w:tcPr>
                <w:p w14:paraId="17AB630E" w14:textId="77777777" w:rsidR="003C4F46" w:rsidRPr="000228A3" w:rsidRDefault="004B6A81">
                  <w:pPr>
                    <w:widowControl/>
                    <w:ind w:firstLineChars="0" w:firstLine="0"/>
                    <w:rPr>
                      <w:rFonts w:cs="Times New Roman"/>
                      <w:sz w:val="21"/>
                      <w:szCs w:val="21"/>
                    </w:rPr>
                  </w:pPr>
                  <w:r w:rsidRPr="000228A3">
                    <w:rPr>
                      <w:rFonts w:cs="Times New Roman" w:hint="eastAsia"/>
                      <w:sz w:val="21"/>
                      <w:szCs w:val="21"/>
                    </w:rPr>
                    <w:t>附着式</w:t>
                  </w:r>
                </w:p>
              </w:tc>
            </w:tr>
            <w:tr w:rsidR="003C4F46" w:rsidRPr="000228A3" w14:paraId="5BAD7566" w14:textId="77777777" w:rsidTr="000228A3">
              <w:trPr>
                <w:trHeight w:val="764"/>
                <w:jc w:val="center"/>
              </w:trPr>
              <w:tc>
                <w:tcPr>
                  <w:tcW w:w="250" w:type="pct"/>
                  <w:vMerge/>
                  <w:vAlign w:val="center"/>
                </w:tcPr>
                <w:p w14:paraId="1DA2EF47" w14:textId="77777777" w:rsidR="003C4F46" w:rsidRPr="000228A3" w:rsidRDefault="003C4F46">
                  <w:pPr>
                    <w:spacing w:line="140" w:lineRule="atLeast"/>
                    <w:ind w:firstLineChars="0" w:firstLine="0"/>
                    <w:contextualSpacing/>
                    <w:jc w:val="center"/>
                    <w:textAlignment w:val="auto"/>
                    <w:rPr>
                      <w:rFonts w:cs="Times New Roman"/>
                      <w:sz w:val="21"/>
                      <w:szCs w:val="21"/>
                    </w:rPr>
                  </w:pPr>
                </w:p>
              </w:tc>
              <w:tc>
                <w:tcPr>
                  <w:tcW w:w="1832" w:type="pct"/>
                  <w:vAlign w:val="center"/>
                </w:tcPr>
                <w:p w14:paraId="0EC2415A" w14:textId="77777777" w:rsidR="003C4F46" w:rsidRPr="000228A3" w:rsidRDefault="004B6A81">
                  <w:pPr>
                    <w:spacing w:line="140" w:lineRule="atLeast"/>
                    <w:ind w:firstLineChars="0" w:firstLine="0"/>
                    <w:contextualSpacing/>
                    <w:textAlignment w:val="auto"/>
                    <w:rPr>
                      <w:rFonts w:cs="Times New Roman"/>
                      <w:sz w:val="21"/>
                      <w:szCs w:val="21"/>
                    </w:rPr>
                  </w:pPr>
                  <w:r w:rsidRPr="000228A3">
                    <w:rPr>
                      <w:rFonts w:cs="Times New Roman"/>
                      <w:sz w:val="21"/>
                      <w:szCs w:val="21"/>
                    </w:rPr>
                    <w:t>危险废物贮存分区标志宜设置在该贮存分区前的通道位置或墙壁、栏杆等易于观察的位置。</w:t>
                  </w:r>
                </w:p>
              </w:tc>
              <w:tc>
                <w:tcPr>
                  <w:tcW w:w="2668" w:type="pct"/>
                  <w:vMerge/>
                  <w:vAlign w:val="center"/>
                </w:tcPr>
                <w:p w14:paraId="4D51C2E8" w14:textId="77777777" w:rsidR="003C4F46" w:rsidRPr="000228A3" w:rsidRDefault="003C4F46">
                  <w:pPr>
                    <w:widowControl/>
                    <w:ind w:firstLine="420"/>
                    <w:jc w:val="center"/>
                    <w:rPr>
                      <w:sz w:val="21"/>
                      <w:szCs w:val="21"/>
                    </w:rPr>
                  </w:pPr>
                </w:p>
              </w:tc>
              <w:tc>
                <w:tcPr>
                  <w:tcW w:w="250" w:type="pct"/>
                  <w:vMerge/>
                  <w:vAlign w:val="center"/>
                </w:tcPr>
                <w:p w14:paraId="54AF145F" w14:textId="77777777" w:rsidR="003C4F46" w:rsidRPr="000228A3" w:rsidRDefault="003C4F46">
                  <w:pPr>
                    <w:widowControl/>
                    <w:ind w:firstLine="420"/>
                    <w:jc w:val="center"/>
                    <w:rPr>
                      <w:rFonts w:cs="Times New Roman"/>
                      <w:sz w:val="21"/>
                      <w:szCs w:val="21"/>
                    </w:rPr>
                  </w:pPr>
                </w:p>
              </w:tc>
            </w:tr>
            <w:tr w:rsidR="003C4F46" w:rsidRPr="000228A3" w14:paraId="6695EB6B" w14:textId="77777777" w:rsidTr="000228A3">
              <w:trPr>
                <w:trHeight w:val="1300"/>
                <w:jc w:val="center"/>
              </w:trPr>
              <w:tc>
                <w:tcPr>
                  <w:tcW w:w="250" w:type="pct"/>
                  <w:vMerge/>
                  <w:vAlign w:val="center"/>
                </w:tcPr>
                <w:p w14:paraId="287DB1AF" w14:textId="77777777" w:rsidR="003C4F46" w:rsidRPr="000228A3" w:rsidRDefault="003C4F46">
                  <w:pPr>
                    <w:spacing w:line="140" w:lineRule="atLeast"/>
                    <w:ind w:firstLineChars="0" w:firstLine="0"/>
                    <w:contextualSpacing/>
                    <w:jc w:val="center"/>
                    <w:textAlignment w:val="auto"/>
                    <w:rPr>
                      <w:rFonts w:cs="Times New Roman"/>
                      <w:sz w:val="21"/>
                      <w:szCs w:val="21"/>
                    </w:rPr>
                  </w:pPr>
                </w:p>
              </w:tc>
              <w:tc>
                <w:tcPr>
                  <w:tcW w:w="1832" w:type="pct"/>
                  <w:vMerge w:val="restart"/>
                  <w:vAlign w:val="center"/>
                </w:tcPr>
                <w:p w14:paraId="79164210" w14:textId="77777777" w:rsidR="003C4F46" w:rsidRPr="000228A3" w:rsidRDefault="004B6A81">
                  <w:pPr>
                    <w:spacing w:line="140" w:lineRule="atLeast"/>
                    <w:ind w:firstLineChars="0" w:firstLine="0"/>
                    <w:contextualSpacing/>
                    <w:textAlignment w:val="auto"/>
                    <w:rPr>
                      <w:rFonts w:cs="Times New Roman"/>
                      <w:sz w:val="21"/>
                      <w:szCs w:val="21"/>
                    </w:rPr>
                  </w:pPr>
                  <w:r w:rsidRPr="000228A3">
                    <w:rPr>
                      <w:rFonts w:cs="Times New Roman"/>
                      <w:sz w:val="21"/>
                      <w:szCs w:val="21"/>
                    </w:rPr>
                    <w:t>宜根据危险废物贮存分区标志的设置位置和观察距离按照本标准第</w:t>
                  </w:r>
                  <w:r w:rsidRPr="000228A3">
                    <w:rPr>
                      <w:rFonts w:cs="Times New Roman"/>
                      <w:sz w:val="21"/>
                      <w:szCs w:val="21"/>
                    </w:rPr>
                    <w:t>9.2</w:t>
                  </w:r>
                  <w:r w:rsidRPr="000228A3">
                    <w:rPr>
                      <w:rFonts w:cs="Times New Roman"/>
                      <w:sz w:val="21"/>
                      <w:szCs w:val="21"/>
                    </w:rPr>
                    <w:t>条中的制作要求设置相应的标志。</w:t>
                  </w:r>
                </w:p>
              </w:tc>
              <w:tc>
                <w:tcPr>
                  <w:tcW w:w="2668" w:type="pct"/>
                  <w:vMerge/>
                  <w:vAlign w:val="center"/>
                </w:tcPr>
                <w:p w14:paraId="65F1688E" w14:textId="77777777" w:rsidR="003C4F46" w:rsidRPr="000228A3" w:rsidRDefault="003C4F46">
                  <w:pPr>
                    <w:widowControl/>
                    <w:ind w:firstLine="420"/>
                    <w:jc w:val="center"/>
                    <w:rPr>
                      <w:sz w:val="21"/>
                      <w:szCs w:val="21"/>
                    </w:rPr>
                  </w:pPr>
                </w:p>
              </w:tc>
              <w:tc>
                <w:tcPr>
                  <w:tcW w:w="250" w:type="pct"/>
                  <w:vMerge/>
                  <w:vAlign w:val="center"/>
                </w:tcPr>
                <w:p w14:paraId="7944FC74" w14:textId="77777777" w:rsidR="003C4F46" w:rsidRPr="000228A3" w:rsidRDefault="003C4F46">
                  <w:pPr>
                    <w:widowControl/>
                    <w:ind w:firstLine="420"/>
                    <w:jc w:val="center"/>
                    <w:rPr>
                      <w:rFonts w:cs="Times New Roman"/>
                      <w:sz w:val="21"/>
                      <w:szCs w:val="21"/>
                    </w:rPr>
                  </w:pPr>
                </w:p>
              </w:tc>
            </w:tr>
            <w:tr w:rsidR="003C4F46" w:rsidRPr="000228A3" w14:paraId="416E0B1F" w14:textId="77777777" w:rsidTr="000228A3">
              <w:trPr>
                <w:trHeight w:val="326"/>
                <w:jc w:val="center"/>
              </w:trPr>
              <w:tc>
                <w:tcPr>
                  <w:tcW w:w="250" w:type="pct"/>
                  <w:vMerge/>
                  <w:vAlign w:val="center"/>
                </w:tcPr>
                <w:p w14:paraId="20755CB0" w14:textId="77777777" w:rsidR="003C4F46" w:rsidRPr="000228A3" w:rsidRDefault="003C4F46">
                  <w:pPr>
                    <w:spacing w:line="140" w:lineRule="atLeast"/>
                    <w:ind w:firstLineChars="0" w:firstLine="0"/>
                    <w:contextualSpacing/>
                    <w:jc w:val="center"/>
                    <w:textAlignment w:val="auto"/>
                    <w:rPr>
                      <w:rFonts w:cs="Times New Roman"/>
                      <w:sz w:val="21"/>
                      <w:szCs w:val="21"/>
                    </w:rPr>
                  </w:pPr>
                </w:p>
              </w:tc>
              <w:tc>
                <w:tcPr>
                  <w:tcW w:w="1832" w:type="pct"/>
                  <w:vMerge/>
                  <w:vAlign w:val="center"/>
                </w:tcPr>
                <w:p w14:paraId="5171863B" w14:textId="77777777" w:rsidR="003C4F46" w:rsidRPr="000228A3" w:rsidRDefault="003C4F46">
                  <w:pPr>
                    <w:spacing w:line="140" w:lineRule="atLeast"/>
                    <w:ind w:firstLineChars="0" w:firstLine="0"/>
                    <w:contextualSpacing/>
                    <w:jc w:val="center"/>
                    <w:textAlignment w:val="auto"/>
                    <w:rPr>
                      <w:rFonts w:cs="Times New Roman"/>
                      <w:sz w:val="21"/>
                      <w:szCs w:val="21"/>
                    </w:rPr>
                  </w:pPr>
                </w:p>
              </w:tc>
              <w:tc>
                <w:tcPr>
                  <w:tcW w:w="2668" w:type="pct"/>
                  <w:vMerge w:val="restart"/>
                  <w:vAlign w:val="center"/>
                </w:tcPr>
                <w:p w14:paraId="0B376B6A" w14:textId="77777777" w:rsidR="003C4F46" w:rsidRPr="000228A3" w:rsidRDefault="004B6A81">
                  <w:pPr>
                    <w:widowControl/>
                    <w:ind w:firstLine="420"/>
                    <w:jc w:val="center"/>
                    <w:rPr>
                      <w:b/>
                      <w:bCs/>
                      <w:sz w:val="21"/>
                      <w:szCs w:val="21"/>
                    </w:rPr>
                  </w:pPr>
                  <w:r w:rsidRPr="000228A3">
                    <w:rPr>
                      <w:noProof/>
                      <w:sz w:val="21"/>
                      <w:szCs w:val="21"/>
                    </w:rPr>
                    <w:drawing>
                      <wp:inline distT="0" distB="0" distL="0" distR="0" wp14:anchorId="3BC1690D" wp14:editId="05E7EDD2">
                        <wp:extent cx="1964055" cy="18605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964055" cy="1860550"/>
                                </a:xfrm>
                                <a:prstGeom prst="rect">
                                  <a:avLst/>
                                </a:prstGeom>
                                <a:noFill/>
                                <a:ln>
                                  <a:noFill/>
                                </a:ln>
                              </pic:spPr>
                            </pic:pic>
                          </a:graphicData>
                        </a:graphic>
                      </wp:inline>
                    </w:drawing>
                  </w:r>
                </w:p>
              </w:tc>
              <w:tc>
                <w:tcPr>
                  <w:tcW w:w="250" w:type="pct"/>
                  <w:vMerge w:val="restart"/>
                  <w:vAlign w:val="center"/>
                </w:tcPr>
                <w:p w14:paraId="68207D26" w14:textId="77777777" w:rsidR="003C4F46" w:rsidRPr="000228A3" w:rsidRDefault="004B6A81">
                  <w:pPr>
                    <w:widowControl/>
                    <w:ind w:firstLineChars="0" w:firstLine="0"/>
                    <w:rPr>
                      <w:rFonts w:cs="Times New Roman"/>
                      <w:sz w:val="21"/>
                      <w:szCs w:val="21"/>
                    </w:rPr>
                  </w:pPr>
                  <w:r w:rsidRPr="000228A3">
                    <w:rPr>
                      <w:rFonts w:cs="Times New Roman" w:hint="eastAsia"/>
                      <w:sz w:val="21"/>
                      <w:szCs w:val="21"/>
                    </w:rPr>
                    <w:t>柱式</w:t>
                  </w:r>
                </w:p>
              </w:tc>
            </w:tr>
            <w:tr w:rsidR="003C4F46" w:rsidRPr="000228A3" w14:paraId="34CD05B1" w14:textId="77777777" w:rsidTr="000228A3">
              <w:trPr>
                <w:trHeight w:val="1326"/>
                <w:jc w:val="center"/>
              </w:trPr>
              <w:tc>
                <w:tcPr>
                  <w:tcW w:w="250" w:type="pct"/>
                  <w:vMerge/>
                  <w:vAlign w:val="center"/>
                </w:tcPr>
                <w:p w14:paraId="35AD88D1" w14:textId="77777777" w:rsidR="003C4F46" w:rsidRPr="000228A3" w:rsidRDefault="003C4F46">
                  <w:pPr>
                    <w:spacing w:line="140" w:lineRule="atLeast"/>
                    <w:ind w:firstLineChars="0" w:firstLine="0"/>
                    <w:contextualSpacing/>
                    <w:jc w:val="center"/>
                    <w:textAlignment w:val="auto"/>
                    <w:rPr>
                      <w:rFonts w:cs="Times New Roman"/>
                      <w:sz w:val="21"/>
                      <w:szCs w:val="21"/>
                    </w:rPr>
                  </w:pPr>
                </w:p>
              </w:tc>
              <w:tc>
                <w:tcPr>
                  <w:tcW w:w="1832" w:type="pct"/>
                  <w:vAlign w:val="center"/>
                </w:tcPr>
                <w:p w14:paraId="5D668A9F" w14:textId="77777777" w:rsidR="003C4F46" w:rsidRPr="000228A3" w:rsidRDefault="004B6A81">
                  <w:pPr>
                    <w:spacing w:line="140" w:lineRule="atLeast"/>
                    <w:ind w:firstLineChars="0" w:firstLine="0"/>
                    <w:contextualSpacing/>
                    <w:textAlignment w:val="auto"/>
                    <w:rPr>
                      <w:rFonts w:cs="Times New Roman"/>
                      <w:sz w:val="21"/>
                      <w:szCs w:val="21"/>
                    </w:rPr>
                  </w:pPr>
                  <w:r w:rsidRPr="000228A3">
                    <w:rPr>
                      <w:rFonts w:cs="Times New Roman"/>
                      <w:sz w:val="21"/>
                      <w:szCs w:val="21"/>
                    </w:rPr>
                    <w:t>危险废物贮存分区标志可采用附着式</w:t>
                  </w:r>
                  <w:r w:rsidRPr="000228A3">
                    <w:rPr>
                      <w:rFonts w:cs="Times New Roman"/>
                      <w:sz w:val="21"/>
                      <w:szCs w:val="21"/>
                    </w:rPr>
                    <w:t>(</w:t>
                  </w:r>
                  <w:r w:rsidRPr="000228A3">
                    <w:rPr>
                      <w:rFonts w:cs="Times New Roman"/>
                      <w:sz w:val="21"/>
                      <w:szCs w:val="21"/>
                    </w:rPr>
                    <w:t>如钉挂、粘贴等）、悬挂式和柱式（固定于标志杆或支架等物体上）等固定形式，</w:t>
                  </w:r>
                  <w:r w:rsidRPr="000228A3">
                    <w:rPr>
                      <w:rFonts w:cs="Times New Roman" w:hint="eastAsia"/>
                      <w:sz w:val="21"/>
                      <w:szCs w:val="21"/>
                    </w:rPr>
                    <w:t>见</w:t>
                  </w:r>
                  <w:r w:rsidRPr="000228A3">
                    <w:rPr>
                      <w:rFonts w:cs="Times New Roman"/>
                      <w:sz w:val="21"/>
                      <w:szCs w:val="21"/>
                    </w:rPr>
                    <w:t>示意图见。</w:t>
                  </w:r>
                </w:p>
              </w:tc>
              <w:tc>
                <w:tcPr>
                  <w:tcW w:w="2668" w:type="pct"/>
                  <w:vMerge/>
                  <w:vAlign w:val="center"/>
                </w:tcPr>
                <w:p w14:paraId="41E0E7A7" w14:textId="77777777" w:rsidR="003C4F46" w:rsidRPr="000228A3" w:rsidRDefault="003C4F46">
                  <w:pPr>
                    <w:widowControl/>
                    <w:ind w:firstLine="420"/>
                    <w:jc w:val="center"/>
                    <w:rPr>
                      <w:sz w:val="21"/>
                      <w:szCs w:val="21"/>
                    </w:rPr>
                  </w:pPr>
                </w:p>
              </w:tc>
              <w:tc>
                <w:tcPr>
                  <w:tcW w:w="250" w:type="pct"/>
                  <w:vMerge/>
                  <w:vAlign w:val="center"/>
                </w:tcPr>
                <w:p w14:paraId="6C23CF1A" w14:textId="77777777" w:rsidR="003C4F46" w:rsidRPr="000228A3" w:rsidRDefault="003C4F46">
                  <w:pPr>
                    <w:widowControl/>
                    <w:ind w:firstLine="420"/>
                    <w:jc w:val="center"/>
                    <w:rPr>
                      <w:rFonts w:cs="Times New Roman"/>
                      <w:sz w:val="21"/>
                      <w:szCs w:val="21"/>
                    </w:rPr>
                  </w:pPr>
                </w:p>
              </w:tc>
            </w:tr>
            <w:tr w:rsidR="003C4F46" w:rsidRPr="000228A3" w14:paraId="445B3E18" w14:textId="77777777" w:rsidTr="000228A3">
              <w:trPr>
                <w:trHeight w:val="901"/>
                <w:jc w:val="center"/>
              </w:trPr>
              <w:tc>
                <w:tcPr>
                  <w:tcW w:w="250" w:type="pct"/>
                  <w:vMerge/>
                  <w:vAlign w:val="center"/>
                </w:tcPr>
                <w:p w14:paraId="38602AD9" w14:textId="77777777" w:rsidR="003C4F46" w:rsidRPr="000228A3" w:rsidRDefault="003C4F46">
                  <w:pPr>
                    <w:spacing w:line="140" w:lineRule="atLeast"/>
                    <w:ind w:firstLineChars="0" w:firstLine="0"/>
                    <w:contextualSpacing/>
                    <w:jc w:val="center"/>
                    <w:textAlignment w:val="auto"/>
                    <w:rPr>
                      <w:rFonts w:cs="Times New Roman"/>
                      <w:sz w:val="21"/>
                      <w:szCs w:val="21"/>
                    </w:rPr>
                  </w:pPr>
                </w:p>
              </w:tc>
              <w:tc>
                <w:tcPr>
                  <w:tcW w:w="1832" w:type="pct"/>
                  <w:vAlign w:val="center"/>
                </w:tcPr>
                <w:p w14:paraId="5C588E9D" w14:textId="77777777" w:rsidR="003C4F46" w:rsidRPr="000228A3" w:rsidRDefault="004B6A81">
                  <w:pPr>
                    <w:spacing w:line="140" w:lineRule="atLeast"/>
                    <w:ind w:firstLineChars="0" w:firstLine="0"/>
                    <w:contextualSpacing/>
                    <w:textAlignment w:val="auto"/>
                    <w:rPr>
                      <w:rFonts w:cs="Times New Roman"/>
                      <w:sz w:val="21"/>
                      <w:szCs w:val="21"/>
                    </w:rPr>
                  </w:pPr>
                  <w:r w:rsidRPr="000228A3">
                    <w:rPr>
                      <w:rFonts w:cs="Times New Roman"/>
                      <w:sz w:val="21"/>
                      <w:szCs w:val="21"/>
                    </w:rPr>
                    <w:t>危险废物贮存分区标志中各贮存分区存放的危险废物种类信息可采用卡槽式或附着式</w:t>
                  </w:r>
                  <w:r w:rsidRPr="000228A3">
                    <w:rPr>
                      <w:rFonts w:cs="Times New Roman"/>
                      <w:sz w:val="21"/>
                      <w:szCs w:val="21"/>
                    </w:rPr>
                    <w:t>(</w:t>
                  </w:r>
                  <w:r w:rsidRPr="000228A3">
                    <w:rPr>
                      <w:rFonts w:cs="Times New Roman"/>
                      <w:sz w:val="21"/>
                      <w:szCs w:val="21"/>
                    </w:rPr>
                    <w:t>如钉挂、粘贴等）固定方式。</w:t>
                  </w:r>
                </w:p>
              </w:tc>
              <w:tc>
                <w:tcPr>
                  <w:tcW w:w="2668" w:type="pct"/>
                  <w:vMerge/>
                  <w:vAlign w:val="center"/>
                </w:tcPr>
                <w:p w14:paraId="4C63F753" w14:textId="77777777" w:rsidR="003C4F46" w:rsidRPr="000228A3" w:rsidRDefault="003C4F46">
                  <w:pPr>
                    <w:widowControl/>
                    <w:ind w:firstLine="420"/>
                    <w:jc w:val="center"/>
                    <w:rPr>
                      <w:sz w:val="21"/>
                      <w:szCs w:val="21"/>
                    </w:rPr>
                  </w:pPr>
                </w:p>
              </w:tc>
              <w:tc>
                <w:tcPr>
                  <w:tcW w:w="250" w:type="pct"/>
                  <w:vMerge/>
                  <w:vAlign w:val="center"/>
                </w:tcPr>
                <w:p w14:paraId="32140046" w14:textId="77777777" w:rsidR="003C4F46" w:rsidRPr="000228A3" w:rsidRDefault="003C4F46">
                  <w:pPr>
                    <w:widowControl/>
                    <w:ind w:firstLine="420"/>
                    <w:jc w:val="center"/>
                    <w:rPr>
                      <w:rFonts w:cs="Times New Roman"/>
                      <w:sz w:val="21"/>
                      <w:szCs w:val="21"/>
                    </w:rPr>
                  </w:pPr>
                </w:p>
              </w:tc>
            </w:tr>
            <w:tr w:rsidR="000228A3" w:rsidRPr="000228A3" w14:paraId="77F70535" w14:textId="77777777" w:rsidTr="000228A3">
              <w:trPr>
                <w:trHeight w:val="1457"/>
                <w:jc w:val="center"/>
              </w:trPr>
              <w:tc>
                <w:tcPr>
                  <w:tcW w:w="250" w:type="pct"/>
                  <w:vMerge/>
                  <w:vAlign w:val="center"/>
                </w:tcPr>
                <w:p w14:paraId="7B69EF30" w14:textId="77777777" w:rsidR="000228A3" w:rsidRPr="000228A3" w:rsidRDefault="000228A3">
                  <w:pPr>
                    <w:spacing w:line="140" w:lineRule="atLeast"/>
                    <w:ind w:firstLineChars="0" w:firstLine="0"/>
                    <w:contextualSpacing/>
                    <w:jc w:val="center"/>
                    <w:textAlignment w:val="auto"/>
                    <w:rPr>
                      <w:rFonts w:cs="Times New Roman"/>
                      <w:sz w:val="21"/>
                      <w:szCs w:val="21"/>
                    </w:rPr>
                  </w:pPr>
                </w:p>
              </w:tc>
              <w:tc>
                <w:tcPr>
                  <w:tcW w:w="1832" w:type="pct"/>
                  <w:vAlign w:val="center"/>
                </w:tcPr>
                <w:p w14:paraId="2A0A07CA" w14:textId="77777777" w:rsidR="000228A3" w:rsidRPr="000228A3" w:rsidRDefault="000228A3">
                  <w:pPr>
                    <w:spacing w:line="140" w:lineRule="atLeast"/>
                    <w:ind w:firstLineChars="0" w:firstLine="0"/>
                    <w:contextualSpacing/>
                    <w:textAlignment w:val="auto"/>
                    <w:rPr>
                      <w:rFonts w:cs="Times New Roman"/>
                      <w:sz w:val="21"/>
                      <w:szCs w:val="21"/>
                    </w:rPr>
                  </w:pPr>
                  <w:r w:rsidRPr="000228A3">
                    <w:rPr>
                      <w:rFonts w:cs="Times New Roman"/>
                      <w:sz w:val="21"/>
                      <w:szCs w:val="21"/>
                    </w:rPr>
                    <w:t>危险废物分区标志背景色应采用黄色，</w:t>
                  </w:r>
                  <w:r w:rsidRPr="000228A3">
                    <w:rPr>
                      <w:rFonts w:cs="Times New Roman"/>
                      <w:sz w:val="21"/>
                      <w:szCs w:val="21"/>
                    </w:rPr>
                    <w:t>RGB</w:t>
                  </w:r>
                  <w:r w:rsidRPr="000228A3">
                    <w:rPr>
                      <w:rFonts w:cs="Times New Roman"/>
                      <w:sz w:val="21"/>
                      <w:szCs w:val="21"/>
                    </w:rPr>
                    <w:t>颜色值为</w:t>
                  </w:r>
                  <w:r w:rsidRPr="000228A3">
                    <w:rPr>
                      <w:rFonts w:cs="Times New Roman"/>
                      <w:sz w:val="21"/>
                      <w:szCs w:val="21"/>
                    </w:rPr>
                    <w:t>(255,255,0)</w:t>
                  </w:r>
                  <w:r w:rsidRPr="000228A3">
                    <w:rPr>
                      <w:rFonts w:cs="Times New Roman"/>
                      <w:sz w:val="21"/>
                      <w:szCs w:val="21"/>
                    </w:rPr>
                    <w:t>。废物种类信息应采用醒目的橘黄色，</w:t>
                  </w:r>
                  <w:r w:rsidRPr="000228A3">
                    <w:rPr>
                      <w:rFonts w:cs="Times New Roman"/>
                      <w:sz w:val="21"/>
                      <w:szCs w:val="21"/>
                    </w:rPr>
                    <w:t>RGB</w:t>
                  </w:r>
                  <w:r w:rsidRPr="000228A3">
                    <w:rPr>
                      <w:rFonts w:cs="Times New Roman"/>
                      <w:sz w:val="21"/>
                      <w:szCs w:val="21"/>
                    </w:rPr>
                    <w:t>颜色值为</w:t>
                  </w:r>
                  <w:r w:rsidRPr="000228A3">
                    <w:rPr>
                      <w:rFonts w:cs="Times New Roman"/>
                      <w:sz w:val="21"/>
                      <w:szCs w:val="21"/>
                    </w:rPr>
                    <w:t>(255,150,0)</w:t>
                  </w:r>
                  <w:r w:rsidRPr="000228A3">
                    <w:rPr>
                      <w:rFonts w:cs="Times New Roman"/>
                      <w:sz w:val="21"/>
                      <w:szCs w:val="21"/>
                    </w:rPr>
                    <w:t>。字体颜色为黑色，</w:t>
                  </w:r>
                  <w:r w:rsidRPr="000228A3">
                    <w:rPr>
                      <w:rFonts w:cs="Times New Roman"/>
                      <w:sz w:val="21"/>
                      <w:szCs w:val="21"/>
                    </w:rPr>
                    <w:t>RGB</w:t>
                  </w:r>
                  <w:r w:rsidRPr="000228A3">
                    <w:rPr>
                      <w:rFonts w:cs="Times New Roman"/>
                      <w:sz w:val="21"/>
                      <w:szCs w:val="21"/>
                    </w:rPr>
                    <w:t>颜色值为（</w:t>
                  </w:r>
                  <w:r w:rsidRPr="000228A3">
                    <w:rPr>
                      <w:rFonts w:cs="Times New Roman"/>
                      <w:sz w:val="21"/>
                      <w:szCs w:val="21"/>
                    </w:rPr>
                    <w:t>O,0,0</w:t>
                  </w:r>
                  <w:r w:rsidRPr="000228A3">
                    <w:rPr>
                      <w:rFonts w:cs="Times New Roman"/>
                      <w:sz w:val="21"/>
                      <w:szCs w:val="21"/>
                    </w:rPr>
                    <w:t>）。</w:t>
                  </w:r>
                </w:p>
              </w:tc>
              <w:tc>
                <w:tcPr>
                  <w:tcW w:w="2918" w:type="pct"/>
                  <w:gridSpan w:val="2"/>
                  <w:vMerge w:val="restart"/>
                  <w:vAlign w:val="center"/>
                </w:tcPr>
                <w:p w14:paraId="7F0B84EA" w14:textId="71C81799" w:rsidR="000228A3" w:rsidRPr="000228A3" w:rsidRDefault="000228A3" w:rsidP="000228A3">
                  <w:pPr>
                    <w:widowControl/>
                    <w:ind w:firstLineChars="0" w:firstLine="0"/>
                    <w:jc w:val="center"/>
                    <w:rPr>
                      <w:rFonts w:cs="Times New Roman"/>
                      <w:sz w:val="21"/>
                      <w:szCs w:val="21"/>
                    </w:rPr>
                  </w:pPr>
                  <w:r w:rsidRPr="000228A3">
                    <w:rPr>
                      <w:noProof/>
                      <w:sz w:val="21"/>
                      <w:szCs w:val="21"/>
                    </w:rPr>
                    <w:drawing>
                      <wp:inline distT="0" distB="0" distL="0" distR="0" wp14:anchorId="2D9B3974" wp14:editId="36F7D867">
                        <wp:extent cx="2440940" cy="2059305"/>
                        <wp:effectExtent l="0" t="0" r="12700"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440940" cy="2059305"/>
                                </a:xfrm>
                                <a:prstGeom prst="rect">
                                  <a:avLst/>
                                </a:prstGeom>
                                <a:noFill/>
                                <a:ln>
                                  <a:noFill/>
                                </a:ln>
                              </pic:spPr>
                            </pic:pic>
                          </a:graphicData>
                        </a:graphic>
                      </wp:inline>
                    </w:drawing>
                  </w:r>
                </w:p>
              </w:tc>
            </w:tr>
            <w:tr w:rsidR="000228A3" w:rsidRPr="000228A3" w14:paraId="1F8097A5" w14:textId="77777777" w:rsidTr="000228A3">
              <w:trPr>
                <w:trHeight w:val="836"/>
                <w:jc w:val="center"/>
              </w:trPr>
              <w:tc>
                <w:tcPr>
                  <w:tcW w:w="250" w:type="pct"/>
                  <w:vMerge/>
                  <w:vAlign w:val="center"/>
                </w:tcPr>
                <w:p w14:paraId="5A8FBA5D" w14:textId="77777777" w:rsidR="000228A3" w:rsidRPr="000228A3" w:rsidRDefault="000228A3">
                  <w:pPr>
                    <w:spacing w:line="140" w:lineRule="atLeast"/>
                    <w:ind w:firstLineChars="0" w:firstLine="0"/>
                    <w:contextualSpacing/>
                    <w:jc w:val="center"/>
                    <w:textAlignment w:val="auto"/>
                    <w:rPr>
                      <w:rFonts w:cs="Times New Roman"/>
                      <w:sz w:val="21"/>
                      <w:szCs w:val="21"/>
                    </w:rPr>
                  </w:pPr>
                </w:p>
              </w:tc>
              <w:tc>
                <w:tcPr>
                  <w:tcW w:w="1832" w:type="pct"/>
                  <w:vAlign w:val="center"/>
                </w:tcPr>
                <w:p w14:paraId="56ED6237" w14:textId="77777777" w:rsidR="000228A3" w:rsidRPr="000228A3" w:rsidRDefault="000228A3">
                  <w:pPr>
                    <w:spacing w:line="140" w:lineRule="atLeast"/>
                    <w:ind w:firstLineChars="0" w:firstLine="0"/>
                    <w:contextualSpacing/>
                    <w:textAlignment w:val="auto"/>
                    <w:rPr>
                      <w:rFonts w:cs="Times New Roman"/>
                      <w:sz w:val="21"/>
                      <w:szCs w:val="21"/>
                    </w:rPr>
                  </w:pPr>
                  <w:r w:rsidRPr="000228A3">
                    <w:rPr>
                      <w:rFonts w:cs="Times New Roman"/>
                      <w:sz w:val="21"/>
                      <w:szCs w:val="21"/>
                    </w:rPr>
                    <w:t>危险废物分区标志的字体宜采用黑体字，其中</w:t>
                  </w:r>
                  <w:r w:rsidRPr="000228A3">
                    <w:rPr>
                      <w:rFonts w:cs="Times New Roman"/>
                      <w:sz w:val="21"/>
                      <w:szCs w:val="21"/>
                    </w:rPr>
                    <w:t>“</w:t>
                  </w:r>
                  <w:r w:rsidRPr="000228A3">
                    <w:rPr>
                      <w:rFonts w:cs="Times New Roman"/>
                      <w:sz w:val="21"/>
                      <w:szCs w:val="21"/>
                    </w:rPr>
                    <w:t>危险废物贮存分区标志</w:t>
                  </w:r>
                  <w:r w:rsidRPr="000228A3">
                    <w:rPr>
                      <w:rFonts w:cs="Times New Roman"/>
                      <w:sz w:val="21"/>
                      <w:szCs w:val="21"/>
                    </w:rPr>
                    <w:t>”</w:t>
                  </w:r>
                  <w:r w:rsidRPr="000228A3">
                    <w:rPr>
                      <w:rFonts w:cs="Times New Roman"/>
                      <w:sz w:val="21"/>
                      <w:szCs w:val="21"/>
                    </w:rPr>
                    <w:t>字样应加粗放大并居中显示。</w:t>
                  </w:r>
                </w:p>
              </w:tc>
              <w:tc>
                <w:tcPr>
                  <w:tcW w:w="2918" w:type="pct"/>
                  <w:gridSpan w:val="2"/>
                  <w:vMerge/>
                  <w:vAlign w:val="center"/>
                </w:tcPr>
                <w:p w14:paraId="376B03E1" w14:textId="77777777" w:rsidR="000228A3" w:rsidRPr="000228A3" w:rsidRDefault="000228A3">
                  <w:pPr>
                    <w:widowControl/>
                    <w:ind w:firstLine="420"/>
                    <w:jc w:val="center"/>
                    <w:rPr>
                      <w:rFonts w:cs="Times New Roman"/>
                      <w:sz w:val="21"/>
                      <w:szCs w:val="21"/>
                    </w:rPr>
                  </w:pPr>
                </w:p>
              </w:tc>
            </w:tr>
            <w:tr w:rsidR="000228A3" w:rsidRPr="000228A3" w14:paraId="4195A53D" w14:textId="77777777" w:rsidTr="000228A3">
              <w:trPr>
                <w:trHeight w:val="269"/>
                <w:jc w:val="center"/>
              </w:trPr>
              <w:tc>
                <w:tcPr>
                  <w:tcW w:w="250" w:type="pct"/>
                  <w:vMerge/>
                  <w:vAlign w:val="center"/>
                </w:tcPr>
                <w:p w14:paraId="234664AB" w14:textId="77777777" w:rsidR="000228A3" w:rsidRPr="000228A3" w:rsidRDefault="000228A3">
                  <w:pPr>
                    <w:spacing w:line="140" w:lineRule="atLeast"/>
                    <w:ind w:firstLineChars="0" w:firstLine="0"/>
                    <w:contextualSpacing/>
                    <w:jc w:val="center"/>
                    <w:textAlignment w:val="auto"/>
                    <w:rPr>
                      <w:rFonts w:cs="Times New Roman"/>
                      <w:sz w:val="21"/>
                      <w:szCs w:val="21"/>
                    </w:rPr>
                  </w:pPr>
                </w:p>
              </w:tc>
              <w:tc>
                <w:tcPr>
                  <w:tcW w:w="1832" w:type="pct"/>
                  <w:vAlign w:val="center"/>
                </w:tcPr>
                <w:p w14:paraId="5E90B1C9" w14:textId="77777777" w:rsidR="000228A3" w:rsidRPr="000228A3" w:rsidRDefault="000228A3">
                  <w:pPr>
                    <w:spacing w:line="140" w:lineRule="atLeast"/>
                    <w:ind w:firstLineChars="0" w:firstLine="0"/>
                    <w:contextualSpacing/>
                    <w:textAlignment w:val="auto"/>
                    <w:rPr>
                      <w:rFonts w:cs="Times New Roman"/>
                      <w:sz w:val="21"/>
                      <w:szCs w:val="21"/>
                    </w:rPr>
                  </w:pPr>
                  <w:r w:rsidRPr="000228A3">
                    <w:rPr>
                      <w:rFonts w:cs="Times New Roman"/>
                      <w:sz w:val="21"/>
                      <w:szCs w:val="21"/>
                    </w:rPr>
                    <w:t>危险废物贮存分区标志的尺寸宜根据对应的观察距离按照表</w:t>
                  </w:r>
                  <w:r w:rsidRPr="000228A3">
                    <w:rPr>
                      <w:rFonts w:cs="Times New Roman"/>
                      <w:sz w:val="21"/>
                      <w:szCs w:val="21"/>
                    </w:rPr>
                    <w:t>2</w:t>
                  </w:r>
                  <w:r w:rsidRPr="000228A3">
                    <w:rPr>
                      <w:rFonts w:cs="Times New Roman"/>
                      <w:sz w:val="21"/>
                      <w:szCs w:val="21"/>
                    </w:rPr>
                    <w:t>中的要求设置。</w:t>
                  </w:r>
                </w:p>
              </w:tc>
              <w:tc>
                <w:tcPr>
                  <w:tcW w:w="2918" w:type="pct"/>
                  <w:gridSpan w:val="2"/>
                  <w:vMerge/>
                  <w:vAlign w:val="center"/>
                </w:tcPr>
                <w:p w14:paraId="7EB35A21" w14:textId="77777777" w:rsidR="000228A3" w:rsidRPr="000228A3" w:rsidRDefault="000228A3">
                  <w:pPr>
                    <w:widowControl/>
                    <w:ind w:firstLine="420"/>
                    <w:jc w:val="center"/>
                    <w:rPr>
                      <w:rFonts w:cs="Times New Roman"/>
                      <w:sz w:val="21"/>
                      <w:szCs w:val="21"/>
                    </w:rPr>
                  </w:pPr>
                </w:p>
              </w:tc>
            </w:tr>
            <w:tr w:rsidR="000228A3" w:rsidRPr="000228A3" w14:paraId="7FFF726C" w14:textId="77777777" w:rsidTr="000228A3">
              <w:trPr>
                <w:trHeight w:val="90"/>
                <w:jc w:val="center"/>
              </w:trPr>
              <w:tc>
                <w:tcPr>
                  <w:tcW w:w="250" w:type="pct"/>
                  <w:vMerge/>
                  <w:vAlign w:val="center"/>
                </w:tcPr>
                <w:p w14:paraId="24F0FBBD" w14:textId="77777777" w:rsidR="000228A3" w:rsidRPr="000228A3" w:rsidRDefault="000228A3">
                  <w:pPr>
                    <w:spacing w:line="140" w:lineRule="atLeast"/>
                    <w:ind w:firstLineChars="0" w:firstLine="0"/>
                    <w:contextualSpacing/>
                    <w:jc w:val="center"/>
                    <w:textAlignment w:val="auto"/>
                    <w:rPr>
                      <w:rFonts w:cs="Times New Roman"/>
                      <w:sz w:val="21"/>
                      <w:szCs w:val="21"/>
                    </w:rPr>
                  </w:pPr>
                </w:p>
              </w:tc>
              <w:tc>
                <w:tcPr>
                  <w:tcW w:w="1832" w:type="pct"/>
                  <w:vAlign w:val="center"/>
                </w:tcPr>
                <w:p w14:paraId="4BF64EB0" w14:textId="77777777" w:rsidR="000228A3" w:rsidRPr="000228A3" w:rsidRDefault="000228A3">
                  <w:pPr>
                    <w:spacing w:line="140" w:lineRule="atLeast"/>
                    <w:ind w:firstLineChars="0" w:firstLine="0"/>
                    <w:contextualSpacing/>
                    <w:textAlignment w:val="auto"/>
                    <w:rPr>
                      <w:rFonts w:cs="Times New Roman"/>
                      <w:sz w:val="21"/>
                      <w:szCs w:val="21"/>
                    </w:rPr>
                  </w:pPr>
                  <w:r w:rsidRPr="000228A3">
                    <w:rPr>
                      <w:rFonts w:cs="Times New Roman"/>
                      <w:sz w:val="21"/>
                      <w:szCs w:val="21"/>
                    </w:rPr>
                    <w:t>危险废物贮存分区标志的衬底宜采用坚固耐用的材料，并具有耐用性和防水性。废物贮存种类信息等可采用印刷纸张、不粘胶材质或塑料卡片等，以便固定在</w:t>
                  </w:r>
                  <w:r w:rsidRPr="000228A3">
                    <w:rPr>
                      <w:rFonts w:cs="Times New Roman"/>
                      <w:sz w:val="21"/>
                      <w:szCs w:val="21"/>
                    </w:rPr>
                    <w:lastRenderedPageBreak/>
                    <w:t>衬底上。</w:t>
                  </w:r>
                </w:p>
              </w:tc>
              <w:tc>
                <w:tcPr>
                  <w:tcW w:w="2918" w:type="pct"/>
                  <w:gridSpan w:val="2"/>
                  <w:vMerge/>
                  <w:vAlign w:val="center"/>
                </w:tcPr>
                <w:p w14:paraId="77472911" w14:textId="77777777" w:rsidR="000228A3" w:rsidRPr="000228A3" w:rsidRDefault="000228A3">
                  <w:pPr>
                    <w:widowControl/>
                    <w:ind w:firstLine="420"/>
                    <w:jc w:val="center"/>
                    <w:rPr>
                      <w:rFonts w:cs="Times New Roman"/>
                      <w:sz w:val="21"/>
                      <w:szCs w:val="21"/>
                    </w:rPr>
                  </w:pPr>
                </w:p>
              </w:tc>
            </w:tr>
          </w:tbl>
          <w:p w14:paraId="05D5A62E" w14:textId="627AACFE" w:rsidR="003C4F46" w:rsidRDefault="004B6A81">
            <w:pPr>
              <w:spacing w:beforeLines="50" w:before="163" w:line="240" w:lineRule="auto"/>
              <w:ind w:firstLineChars="0" w:firstLine="0"/>
              <w:jc w:val="center"/>
              <w:rPr>
                <w:rFonts w:cs="Times New Roman"/>
                <w:b/>
                <w:color w:val="000000"/>
                <w:sz w:val="21"/>
              </w:rPr>
            </w:pPr>
            <w:r>
              <w:rPr>
                <w:rFonts w:cs="Times New Roman" w:hint="eastAsia"/>
                <w:b/>
                <w:color w:val="000000"/>
                <w:sz w:val="21"/>
              </w:rPr>
              <w:t>表</w:t>
            </w:r>
            <w:r>
              <w:rPr>
                <w:rFonts w:cs="Times New Roman" w:hint="eastAsia"/>
                <w:b/>
                <w:color w:val="000000"/>
                <w:sz w:val="21"/>
              </w:rPr>
              <w:t>4-</w:t>
            </w:r>
            <w:r>
              <w:rPr>
                <w:rFonts w:cs="Times New Roman"/>
                <w:b/>
                <w:color w:val="000000"/>
                <w:sz w:val="21"/>
              </w:rPr>
              <w:t>1</w:t>
            </w:r>
            <w:r w:rsidR="00201FF2">
              <w:rPr>
                <w:rFonts w:cs="Times New Roman"/>
                <w:b/>
                <w:color w:val="000000"/>
                <w:sz w:val="21"/>
              </w:rPr>
              <w:t>1</w:t>
            </w:r>
            <w:r>
              <w:rPr>
                <w:rFonts w:cs="Times New Roman" w:hint="eastAsia"/>
                <w:b/>
                <w:color w:val="000000"/>
                <w:sz w:val="21"/>
              </w:rPr>
              <w:t xml:space="preserve">  </w:t>
            </w:r>
            <w:r>
              <w:rPr>
                <w:rFonts w:cs="Times New Roman" w:hint="eastAsia"/>
                <w:b/>
                <w:color w:val="000000"/>
                <w:sz w:val="21"/>
              </w:rPr>
              <w:t>危险废物标签样式</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86"/>
              <w:gridCol w:w="3373"/>
              <w:gridCol w:w="4262"/>
            </w:tblGrid>
            <w:tr w:rsidR="003C4F46" w14:paraId="248DF812" w14:textId="77777777">
              <w:trPr>
                <w:trHeight w:val="1341"/>
              </w:trPr>
              <w:tc>
                <w:tcPr>
                  <w:tcW w:w="520" w:type="pct"/>
                  <w:vMerge w:val="restart"/>
                  <w:vAlign w:val="center"/>
                </w:tcPr>
                <w:p w14:paraId="7054D972"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hint="eastAsia"/>
                      <w:sz w:val="21"/>
                      <w:szCs w:val="21"/>
                    </w:rPr>
                    <w:t>危险废物标签设置要求</w:t>
                  </w:r>
                </w:p>
              </w:tc>
              <w:tc>
                <w:tcPr>
                  <w:tcW w:w="1979" w:type="pct"/>
                  <w:vAlign w:val="center"/>
                </w:tcPr>
                <w:p w14:paraId="0226E719" w14:textId="77777777" w:rsidR="003C4F46" w:rsidRDefault="004B6A81">
                  <w:pPr>
                    <w:spacing w:line="140" w:lineRule="atLeast"/>
                    <w:ind w:firstLineChars="0" w:firstLine="0"/>
                    <w:contextualSpacing/>
                    <w:textAlignment w:val="auto"/>
                    <w:rPr>
                      <w:rFonts w:cs="Times New Roman"/>
                      <w:sz w:val="21"/>
                      <w:szCs w:val="21"/>
                    </w:rPr>
                  </w:pPr>
                  <w:r>
                    <w:rPr>
                      <w:rFonts w:cs="Times New Roman"/>
                      <w:sz w:val="21"/>
                      <w:szCs w:val="21"/>
                    </w:rPr>
                    <w:t>危险废物标签背景色应采用醒目的橘黄色，</w:t>
                  </w:r>
                  <w:r>
                    <w:rPr>
                      <w:rFonts w:cs="Times New Roman"/>
                      <w:sz w:val="21"/>
                      <w:szCs w:val="21"/>
                    </w:rPr>
                    <w:t>RGB</w:t>
                  </w:r>
                  <w:r>
                    <w:rPr>
                      <w:rFonts w:cs="Times New Roman"/>
                      <w:sz w:val="21"/>
                      <w:szCs w:val="21"/>
                    </w:rPr>
                    <w:t>颜色值为（</w:t>
                  </w:r>
                  <w:r>
                    <w:rPr>
                      <w:rFonts w:cs="Times New Roman"/>
                      <w:sz w:val="21"/>
                      <w:szCs w:val="21"/>
                    </w:rPr>
                    <w:t>255,150,0)</w:t>
                  </w:r>
                  <w:r>
                    <w:rPr>
                      <w:rFonts w:cs="Times New Roman"/>
                      <w:sz w:val="21"/>
                      <w:szCs w:val="21"/>
                    </w:rPr>
                    <w:t>。标签边框和字体颜色为黑色，</w:t>
                  </w:r>
                  <w:r>
                    <w:rPr>
                      <w:rFonts w:cs="Times New Roman"/>
                      <w:sz w:val="21"/>
                      <w:szCs w:val="21"/>
                    </w:rPr>
                    <w:t>RGB</w:t>
                  </w:r>
                  <w:r>
                    <w:rPr>
                      <w:rFonts w:cs="Times New Roman"/>
                      <w:sz w:val="21"/>
                      <w:szCs w:val="21"/>
                    </w:rPr>
                    <w:t>颜色值为（</w:t>
                  </w:r>
                  <w:r>
                    <w:rPr>
                      <w:rFonts w:cs="Times New Roman"/>
                      <w:sz w:val="21"/>
                      <w:szCs w:val="21"/>
                    </w:rPr>
                    <w:t>0,0,0</w:t>
                  </w:r>
                  <w:r>
                    <w:rPr>
                      <w:rFonts w:cs="Times New Roman"/>
                      <w:sz w:val="21"/>
                      <w:szCs w:val="21"/>
                    </w:rPr>
                    <w:t>）。</w:t>
                  </w:r>
                </w:p>
              </w:tc>
              <w:tc>
                <w:tcPr>
                  <w:tcW w:w="2500" w:type="pct"/>
                  <w:vMerge w:val="restart"/>
                  <w:vAlign w:val="center"/>
                </w:tcPr>
                <w:p w14:paraId="297C6726" w14:textId="77777777" w:rsidR="003C4F46" w:rsidRDefault="004B6A81">
                  <w:pPr>
                    <w:spacing w:line="140" w:lineRule="atLeast"/>
                    <w:ind w:firstLineChars="0" w:firstLine="0"/>
                    <w:contextualSpacing/>
                    <w:jc w:val="center"/>
                    <w:textAlignment w:val="auto"/>
                    <w:rPr>
                      <w:rFonts w:cs="Times New Roman"/>
                      <w:sz w:val="21"/>
                      <w:szCs w:val="21"/>
                    </w:rPr>
                  </w:pPr>
                  <w:r>
                    <w:rPr>
                      <w:noProof/>
                    </w:rPr>
                    <w:drawing>
                      <wp:inline distT="0" distB="0" distL="0" distR="0" wp14:anchorId="5D35C946" wp14:editId="737764CF">
                        <wp:extent cx="2440940" cy="225044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440940" cy="2250440"/>
                                </a:xfrm>
                                <a:prstGeom prst="rect">
                                  <a:avLst/>
                                </a:prstGeom>
                                <a:noFill/>
                                <a:ln>
                                  <a:noFill/>
                                </a:ln>
                                <a:effectLst/>
                              </pic:spPr>
                            </pic:pic>
                          </a:graphicData>
                        </a:graphic>
                      </wp:inline>
                    </w:drawing>
                  </w:r>
                </w:p>
              </w:tc>
            </w:tr>
            <w:tr w:rsidR="003C4F46" w14:paraId="280E188A" w14:textId="77777777">
              <w:trPr>
                <w:trHeight w:val="981"/>
              </w:trPr>
              <w:tc>
                <w:tcPr>
                  <w:tcW w:w="520" w:type="pct"/>
                  <w:vMerge/>
                  <w:vAlign w:val="center"/>
                </w:tcPr>
                <w:p w14:paraId="75729E28" w14:textId="77777777" w:rsidR="003C4F46" w:rsidRDefault="003C4F46">
                  <w:pPr>
                    <w:spacing w:line="140" w:lineRule="atLeast"/>
                    <w:ind w:firstLineChars="0" w:firstLine="0"/>
                    <w:contextualSpacing/>
                    <w:jc w:val="center"/>
                    <w:textAlignment w:val="auto"/>
                    <w:rPr>
                      <w:rFonts w:cs="Times New Roman"/>
                      <w:sz w:val="21"/>
                      <w:szCs w:val="21"/>
                    </w:rPr>
                  </w:pPr>
                </w:p>
              </w:tc>
              <w:tc>
                <w:tcPr>
                  <w:tcW w:w="1979" w:type="pct"/>
                  <w:vAlign w:val="center"/>
                </w:tcPr>
                <w:p w14:paraId="492A59A5"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危险废物标签字体宜采用黑体字，其中</w:t>
                  </w:r>
                  <w:r>
                    <w:rPr>
                      <w:rFonts w:cs="Times New Roman"/>
                      <w:sz w:val="21"/>
                      <w:szCs w:val="21"/>
                    </w:rPr>
                    <w:t>“</w:t>
                  </w:r>
                  <w:r>
                    <w:rPr>
                      <w:rFonts w:cs="Times New Roman"/>
                      <w:sz w:val="21"/>
                      <w:szCs w:val="21"/>
                    </w:rPr>
                    <w:t>危险废物</w:t>
                  </w:r>
                  <w:r>
                    <w:rPr>
                      <w:rFonts w:cs="Times New Roman"/>
                      <w:sz w:val="21"/>
                      <w:szCs w:val="21"/>
                    </w:rPr>
                    <w:t>”</w:t>
                  </w:r>
                  <w:r>
                    <w:rPr>
                      <w:rFonts w:cs="Times New Roman"/>
                      <w:sz w:val="21"/>
                      <w:szCs w:val="21"/>
                    </w:rPr>
                    <w:t>字样应加粗放大。</w:t>
                  </w:r>
                </w:p>
              </w:tc>
              <w:tc>
                <w:tcPr>
                  <w:tcW w:w="2500" w:type="pct"/>
                  <w:vMerge/>
                </w:tcPr>
                <w:p w14:paraId="78BDE52E" w14:textId="77777777" w:rsidR="003C4F46" w:rsidRDefault="003C4F46">
                  <w:pPr>
                    <w:spacing w:line="140" w:lineRule="atLeast"/>
                    <w:ind w:firstLineChars="0" w:firstLine="0"/>
                    <w:contextualSpacing/>
                    <w:jc w:val="left"/>
                    <w:textAlignment w:val="auto"/>
                    <w:rPr>
                      <w:rFonts w:cs="Times New Roman"/>
                      <w:sz w:val="21"/>
                      <w:szCs w:val="21"/>
                    </w:rPr>
                  </w:pPr>
                </w:p>
              </w:tc>
            </w:tr>
            <w:tr w:rsidR="003C4F46" w14:paraId="0F7B6B10" w14:textId="77777777">
              <w:trPr>
                <w:trHeight w:val="1288"/>
              </w:trPr>
              <w:tc>
                <w:tcPr>
                  <w:tcW w:w="520" w:type="pct"/>
                  <w:vMerge/>
                  <w:vAlign w:val="center"/>
                </w:tcPr>
                <w:p w14:paraId="3FD01F4E" w14:textId="77777777" w:rsidR="003C4F46" w:rsidRDefault="003C4F46">
                  <w:pPr>
                    <w:spacing w:line="140" w:lineRule="atLeast"/>
                    <w:ind w:firstLineChars="0" w:firstLine="0"/>
                    <w:contextualSpacing/>
                    <w:jc w:val="center"/>
                    <w:textAlignment w:val="auto"/>
                    <w:rPr>
                      <w:rFonts w:cs="Times New Roman"/>
                      <w:sz w:val="21"/>
                      <w:szCs w:val="21"/>
                    </w:rPr>
                  </w:pPr>
                </w:p>
              </w:tc>
              <w:tc>
                <w:tcPr>
                  <w:tcW w:w="1979" w:type="pct"/>
                  <w:vAlign w:val="center"/>
                </w:tcPr>
                <w:p w14:paraId="2E4DBD84" w14:textId="77777777" w:rsidR="003C4F46" w:rsidRDefault="004B6A81">
                  <w:pPr>
                    <w:spacing w:line="140" w:lineRule="atLeast"/>
                    <w:ind w:firstLineChars="0" w:firstLine="0"/>
                    <w:contextualSpacing/>
                    <w:textAlignment w:val="auto"/>
                    <w:rPr>
                      <w:rFonts w:cs="Times New Roman"/>
                      <w:sz w:val="21"/>
                      <w:szCs w:val="21"/>
                    </w:rPr>
                  </w:pPr>
                  <w:r>
                    <w:rPr>
                      <w:rFonts w:cs="Times New Roman"/>
                      <w:sz w:val="21"/>
                      <w:szCs w:val="21"/>
                    </w:rPr>
                    <w:t>危险废物标签所选用的材质宜具有一定的耐用性和防水性。标签可采用不干胶印刷品，或印刷品外加防水塑料袋或塑封等。</w:t>
                  </w:r>
                </w:p>
              </w:tc>
              <w:tc>
                <w:tcPr>
                  <w:tcW w:w="2500" w:type="pct"/>
                  <w:vMerge/>
                </w:tcPr>
                <w:p w14:paraId="776C440C" w14:textId="77777777" w:rsidR="003C4F46" w:rsidRDefault="003C4F46">
                  <w:pPr>
                    <w:spacing w:line="140" w:lineRule="atLeast"/>
                    <w:ind w:firstLineChars="0" w:firstLine="0"/>
                    <w:contextualSpacing/>
                    <w:jc w:val="left"/>
                    <w:textAlignment w:val="auto"/>
                    <w:rPr>
                      <w:rFonts w:cs="Times New Roman"/>
                      <w:sz w:val="21"/>
                      <w:szCs w:val="21"/>
                    </w:rPr>
                  </w:pPr>
                </w:p>
              </w:tc>
            </w:tr>
            <w:tr w:rsidR="003C4F46" w14:paraId="6090C15B" w14:textId="77777777">
              <w:trPr>
                <w:trHeight w:val="1536"/>
              </w:trPr>
              <w:tc>
                <w:tcPr>
                  <w:tcW w:w="520" w:type="pct"/>
                  <w:vMerge/>
                  <w:vAlign w:val="center"/>
                </w:tcPr>
                <w:p w14:paraId="0CC6EB1B" w14:textId="77777777" w:rsidR="003C4F46" w:rsidRDefault="003C4F46">
                  <w:pPr>
                    <w:spacing w:line="140" w:lineRule="atLeast"/>
                    <w:ind w:firstLineChars="0" w:firstLine="0"/>
                    <w:contextualSpacing/>
                    <w:jc w:val="center"/>
                    <w:textAlignment w:val="auto"/>
                    <w:rPr>
                      <w:rFonts w:cs="Times New Roman"/>
                      <w:sz w:val="21"/>
                      <w:szCs w:val="21"/>
                    </w:rPr>
                  </w:pPr>
                </w:p>
              </w:tc>
              <w:tc>
                <w:tcPr>
                  <w:tcW w:w="1979" w:type="pct"/>
                  <w:vAlign w:val="center"/>
                </w:tcPr>
                <w:p w14:paraId="46361751" w14:textId="77777777" w:rsidR="003C4F46" w:rsidRDefault="004B6A81">
                  <w:pPr>
                    <w:spacing w:line="140" w:lineRule="atLeast"/>
                    <w:ind w:firstLineChars="0" w:firstLine="0"/>
                    <w:contextualSpacing/>
                    <w:textAlignment w:val="auto"/>
                    <w:rPr>
                      <w:rFonts w:cs="Times New Roman"/>
                      <w:sz w:val="21"/>
                      <w:szCs w:val="21"/>
                    </w:rPr>
                  </w:pPr>
                  <w:r>
                    <w:rPr>
                      <w:rFonts w:cs="Times New Roman"/>
                      <w:sz w:val="21"/>
                      <w:szCs w:val="21"/>
                    </w:rPr>
                    <w:t>危险废物标签印刷的油墨应均匀，图案和文字应清晰、完整。危险废物标签的文字边缘宜加黑色边框，边框宽度不小于</w:t>
                  </w:r>
                  <w:r>
                    <w:rPr>
                      <w:rFonts w:cs="Times New Roman"/>
                      <w:sz w:val="21"/>
                      <w:szCs w:val="21"/>
                    </w:rPr>
                    <w:t>1 mm</w:t>
                  </w:r>
                  <w:r>
                    <w:rPr>
                      <w:rFonts w:cs="Times New Roman"/>
                      <w:sz w:val="21"/>
                      <w:szCs w:val="21"/>
                    </w:rPr>
                    <w:t>，边框外宜留不小于</w:t>
                  </w:r>
                  <w:r>
                    <w:rPr>
                      <w:rFonts w:cs="Times New Roman"/>
                      <w:sz w:val="21"/>
                      <w:szCs w:val="21"/>
                    </w:rPr>
                    <w:t>3 mm</w:t>
                  </w:r>
                  <w:r>
                    <w:rPr>
                      <w:rFonts w:cs="Times New Roman"/>
                      <w:sz w:val="21"/>
                      <w:szCs w:val="21"/>
                    </w:rPr>
                    <w:t>的空白。</w:t>
                  </w:r>
                </w:p>
              </w:tc>
              <w:tc>
                <w:tcPr>
                  <w:tcW w:w="2500" w:type="pct"/>
                  <w:vMerge/>
                </w:tcPr>
                <w:p w14:paraId="24295438" w14:textId="77777777" w:rsidR="003C4F46" w:rsidRDefault="003C4F46">
                  <w:pPr>
                    <w:spacing w:line="140" w:lineRule="atLeast"/>
                    <w:ind w:firstLineChars="0" w:firstLine="0"/>
                    <w:contextualSpacing/>
                    <w:jc w:val="left"/>
                    <w:textAlignment w:val="auto"/>
                    <w:rPr>
                      <w:rFonts w:cs="Times New Roman"/>
                      <w:sz w:val="21"/>
                      <w:szCs w:val="21"/>
                    </w:rPr>
                  </w:pPr>
                </w:p>
              </w:tc>
            </w:tr>
          </w:tbl>
          <w:p w14:paraId="2C56B82C" w14:textId="4553B8C8" w:rsidR="003C4F46" w:rsidRDefault="004B6A81">
            <w:pPr>
              <w:spacing w:beforeLines="50" w:before="163" w:line="240" w:lineRule="auto"/>
              <w:ind w:firstLineChars="0" w:firstLine="0"/>
              <w:jc w:val="center"/>
              <w:rPr>
                <w:rFonts w:cs="Times New Roman"/>
                <w:b/>
                <w:color w:val="000000"/>
                <w:sz w:val="21"/>
              </w:rPr>
            </w:pPr>
            <w:r>
              <w:rPr>
                <w:rFonts w:cs="Times New Roman" w:hint="eastAsia"/>
                <w:b/>
                <w:color w:val="000000"/>
                <w:sz w:val="21"/>
              </w:rPr>
              <w:t>表</w:t>
            </w:r>
            <w:r>
              <w:rPr>
                <w:rFonts w:cs="Times New Roman" w:hint="eastAsia"/>
                <w:b/>
                <w:color w:val="000000"/>
                <w:sz w:val="21"/>
              </w:rPr>
              <w:t>4-1</w:t>
            </w:r>
            <w:r w:rsidR="00201FF2">
              <w:rPr>
                <w:rFonts w:cs="Times New Roman"/>
                <w:b/>
                <w:color w:val="000000"/>
                <w:sz w:val="21"/>
              </w:rPr>
              <w:t>2</w:t>
            </w:r>
            <w:r>
              <w:rPr>
                <w:rFonts w:cs="Times New Roman" w:hint="eastAsia"/>
                <w:b/>
                <w:color w:val="000000"/>
                <w:sz w:val="21"/>
              </w:rPr>
              <w:t xml:space="preserve">  </w:t>
            </w:r>
            <w:r>
              <w:rPr>
                <w:rFonts w:cs="Times New Roman" w:hint="eastAsia"/>
                <w:b/>
                <w:color w:val="000000"/>
                <w:sz w:val="21"/>
              </w:rPr>
              <w:t>危险废物标签的尺寸要求</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17"/>
              <w:gridCol w:w="2561"/>
              <w:gridCol w:w="2713"/>
              <w:gridCol w:w="2130"/>
            </w:tblGrid>
            <w:tr w:rsidR="003C4F46" w14:paraId="4442ED23" w14:textId="77777777">
              <w:tc>
                <w:tcPr>
                  <w:tcW w:w="655" w:type="pct"/>
                  <w:vAlign w:val="center"/>
                </w:tcPr>
                <w:p w14:paraId="15E429FB"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序号</w:t>
                  </w:r>
                </w:p>
              </w:tc>
              <w:tc>
                <w:tcPr>
                  <w:tcW w:w="1502" w:type="pct"/>
                  <w:vAlign w:val="center"/>
                </w:tcPr>
                <w:p w14:paraId="6D2B4C49" w14:textId="77777777" w:rsidR="003C4F46" w:rsidRDefault="004B6A81">
                  <w:pPr>
                    <w:spacing w:line="140" w:lineRule="atLeast"/>
                    <w:ind w:firstLineChars="0" w:firstLine="0"/>
                    <w:contextualSpacing/>
                    <w:textAlignment w:val="auto"/>
                    <w:rPr>
                      <w:rFonts w:cs="Times New Roman"/>
                      <w:sz w:val="21"/>
                      <w:szCs w:val="21"/>
                    </w:rPr>
                  </w:pPr>
                  <w:r>
                    <w:rPr>
                      <w:rFonts w:cs="Times New Roman" w:hint="eastAsia"/>
                      <w:sz w:val="21"/>
                      <w:szCs w:val="21"/>
                    </w:rPr>
                    <w:t>危险废物包装物容积</w:t>
                  </w:r>
                  <w:r>
                    <w:rPr>
                      <w:rFonts w:cs="Times New Roman"/>
                      <w:sz w:val="21"/>
                      <w:szCs w:val="21"/>
                    </w:rPr>
                    <w:t>（</w:t>
                  </w:r>
                  <w:r>
                    <w:rPr>
                      <w:rFonts w:cs="Times New Roman"/>
                      <w:sz w:val="21"/>
                      <w:szCs w:val="21"/>
                    </w:rPr>
                    <w:t>L</w:t>
                  </w:r>
                  <w:r>
                    <w:rPr>
                      <w:rFonts w:cs="Times New Roman"/>
                      <w:sz w:val="21"/>
                      <w:szCs w:val="21"/>
                    </w:rPr>
                    <w:t>）</w:t>
                  </w:r>
                </w:p>
              </w:tc>
              <w:tc>
                <w:tcPr>
                  <w:tcW w:w="1592" w:type="pct"/>
                  <w:vAlign w:val="center"/>
                </w:tcPr>
                <w:p w14:paraId="311A7F03" w14:textId="77777777" w:rsidR="003C4F46" w:rsidRDefault="004B6A81">
                  <w:pPr>
                    <w:spacing w:line="140" w:lineRule="atLeast"/>
                    <w:ind w:firstLineChars="0" w:firstLine="0"/>
                    <w:contextualSpacing/>
                    <w:textAlignment w:val="auto"/>
                    <w:rPr>
                      <w:rFonts w:cs="Times New Roman"/>
                      <w:sz w:val="21"/>
                      <w:szCs w:val="21"/>
                    </w:rPr>
                  </w:pPr>
                  <w:r>
                    <w:rPr>
                      <w:rFonts w:cs="Times New Roman"/>
                      <w:sz w:val="21"/>
                      <w:szCs w:val="21"/>
                    </w:rPr>
                    <w:t>标签最小尺寸（</w:t>
                  </w:r>
                  <w:proofErr w:type="spellStart"/>
                  <w:r>
                    <w:rPr>
                      <w:rFonts w:cs="Times New Roman"/>
                      <w:sz w:val="21"/>
                      <w:szCs w:val="21"/>
                    </w:rPr>
                    <w:t>mm×mm</w:t>
                  </w:r>
                  <w:proofErr w:type="spellEnd"/>
                  <w:r>
                    <w:rPr>
                      <w:rFonts w:cs="Times New Roman"/>
                      <w:sz w:val="21"/>
                      <w:szCs w:val="21"/>
                    </w:rPr>
                    <w:t>）</w:t>
                  </w:r>
                </w:p>
              </w:tc>
              <w:tc>
                <w:tcPr>
                  <w:tcW w:w="1250" w:type="pct"/>
                  <w:vAlign w:val="center"/>
                </w:tcPr>
                <w:p w14:paraId="60875E8B" w14:textId="77777777" w:rsidR="003C4F46" w:rsidRDefault="004B6A81">
                  <w:pPr>
                    <w:spacing w:line="140" w:lineRule="atLeast"/>
                    <w:ind w:firstLineChars="0" w:firstLine="0"/>
                    <w:contextualSpacing/>
                    <w:textAlignment w:val="auto"/>
                    <w:rPr>
                      <w:rFonts w:cs="Times New Roman"/>
                      <w:sz w:val="21"/>
                      <w:szCs w:val="21"/>
                    </w:rPr>
                  </w:pPr>
                  <w:r>
                    <w:rPr>
                      <w:rFonts w:cs="Times New Roman"/>
                      <w:sz w:val="21"/>
                      <w:szCs w:val="21"/>
                    </w:rPr>
                    <w:t>最低文字高度（</w:t>
                  </w:r>
                  <w:r>
                    <w:rPr>
                      <w:rFonts w:cs="Times New Roman"/>
                      <w:sz w:val="21"/>
                      <w:szCs w:val="21"/>
                    </w:rPr>
                    <w:t>mm</w:t>
                  </w:r>
                  <w:r>
                    <w:rPr>
                      <w:rFonts w:cs="Times New Roman"/>
                      <w:sz w:val="21"/>
                      <w:szCs w:val="21"/>
                    </w:rPr>
                    <w:t>）</w:t>
                  </w:r>
                </w:p>
              </w:tc>
            </w:tr>
            <w:tr w:rsidR="003C4F46" w14:paraId="67D91286" w14:textId="77777777">
              <w:tc>
                <w:tcPr>
                  <w:tcW w:w="655" w:type="pct"/>
                  <w:vAlign w:val="center"/>
                </w:tcPr>
                <w:p w14:paraId="56902E1B"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1</w:t>
                  </w:r>
                </w:p>
              </w:tc>
              <w:tc>
                <w:tcPr>
                  <w:tcW w:w="1502" w:type="pct"/>
                  <w:vAlign w:val="center"/>
                </w:tcPr>
                <w:p w14:paraId="7445AC34"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≤50</w:t>
                  </w:r>
                </w:p>
              </w:tc>
              <w:tc>
                <w:tcPr>
                  <w:tcW w:w="1592" w:type="pct"/>
                  <w:vAlign w:val="center"/>
                </w:tcPr>
                <w:p w14:paraId="2FEC4466"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100×100</w:t>
                  </w:r>
                </w:p>
              </w:tc>
              <w:tc>
                <w:tcPr>
                  <w:tcW w:w="1250" w:type="pct"/>
                  <w:vAlign w:val="center"/>
                </w:tcPr>
                <w:p w14:paraId="1608BA20"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3</w:t>
                  </w:r>
                </w:p>
              </w:tc>
            </w:tr>
            <w:tr w:rsidR="003C4F46" w14:paraId="0322D94E" w14:textId="77777777">
              <w:tc>
                <w:tcPr>
                  <w:tcW w:w="655" w:type="pct"/>
                  <w:vAlign w:val="center"/>
                </w:tcPr>
                <w:p w14:paraId="0DA881AA"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2</w:t>
                  </w:r>
                </w:p>
              </w:tc>
              <w:tc>
                <w:tcPr>
                  <w:tcW w:w="1502" w:type="pct"/>
                  <w:vAlign w:val="center"/>
                </w:tcPr>
                <w:p w14:paraId="14830837"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w:t>
                  </w:r>
                  <w:r>
                    <w:rPr>
                      <w:rFonts w:cs="Times New Roman"/>
                      <w:sz w:val="21"/>
                      <w:szCs w:val="21"/>
                    </w:rPr>
                    <w:t>50~≤450</w:t>
                  </w:r>
                </w:p>
              </w:tc>
              <w:tc>
                <w:tcPr>
                  <w:tcW w:w="1592" w:type="pct"/>
                  <w:vAlign w:val="center"/>
                </w:tcPr>
                <w:p w14:paraId="01DED4F7"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150×150</w:t>
                  </w:r>
                </w:p>
              </w:tc>
              <w:tc>
                <w:tcPr>
                  <w:tcW w:w="1250" w:type="pct"/>
                  <w:vAlign w:val="center"/>
                </w:tcPr>
                <w:p w14:paraId="5C9CB6EF"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5</w:t>
                  </w:r>
                </w:p>
              </w:tc>
            </w:tr>
            <w:tr w:rsidR="003C4F46" w14:paraId="45C04439" w14:textId="77777777">
              <w:tc>
                <w:tcPr>
                  <w:tcW w:w="655" w:type="pct"/>
                  <w:vAlign w:val="center"/>
                </w:tcPr>
                <w:p w14:paraId="6AF72DB8"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3</w:t>
                  </w:r>
                </w:p>
              </w:tc>
              <w:tc>
                <w:tcPr>
                  <w:tcW w:w="1502" w:type="pct"/>
                  <w:vAlign w:val="center"/>
                </w:tcPr>
                <w:p w14:paraId="27A1E861"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w:t>
                  </w:r>
                  <w:r>
                    <w:rPr>
                      <w:rFonts w:cs="Times New Roman"/>
                      <w:sz w:val="21"/>
                      <w:szCs w:val="21"/>
                    </w:rPr>
                    <w:t>450</w:t>
                  </w:r>
                </w:p>
              </w:tc>
              <w:tc>
                <w:tcPr>
                  <w:tcW w:w="1592" w:type="pct"/>
                  <w:vAlign w:val="center"/>
                </w:tcPr>
                <w:p w14:paraId="095C9773"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200×200</w:t>
                  </w:r>
                </w:p>
              </w:tc>
              <w:tc>
                <w:tcPr>
                  <w:tcW w:w="1250" w:type="pct"/>
                  <w:vAlign w:val="center"/>
                </w:tcPr>
                <w:p w14:paraId="402AD1D2" w14:textId="77777777" w:rsidR="003C4F46" w:rsidRDefault="004B6A81">
                  <w:pPr>
                    <w:spacing w:line="140" w:lineRule="atLeast"/>
                    <w:ind w:firstLineChars="0" w:firstLine="0"/>
                    <w:contextualSpacing/>
                    <w:jc w:val="center"/>
                    <w:textAlignment w:val="auto"/>
                    <w:rPr>
                      <w:rFonts w:cs="Times New Roman"/>
                      <w:sz w:val="21"/>
                      <w:szCs w:val="21"/>
                    </w:rPr>
                  </w:pPr>
                  <w:r>
                    <w:rPr>
                      <w:rFonts w:cs="Times New Roman"/>
                      <w:sz w:val="21"/>
                      <w:szCs w:val="21"/>
                    </w:rPr>
                    <w:t>6</w:t>
                  </w:r>
                </w:p>
              </w:tc>
            </w:tr>
          </w:tbl>
          <w:p w14:paraId="7C061DDD" w14:textId="59C40370" w:rsidR="003C4F46" w:rsidRDefault="004B6A81">
            <w:pPr>
              <w:spacing w:beforeLines="50" w:before="163" w:line="240" w:lineRule="auto"/>
              <w:ind w:firstLineChars="0" w:firstLine="0"/>
              <w:jc w:val="center"/>
              <w:rPr>
                <w:rFonts w:cs="Times New Roman"/>
                <w:b/>
                <w:color w:val="000000"/>
                <w:sz w:val="21"/>
              </w:rPr>
            </w:pPr>
            <w:r>
              <w:rPr>
                <w:rFonts w:cs="Times New Roman" w:hint="eastAsia"/>
                <w:b/>
                <w:color w:val="000000"/>
                <w:sz w:val="21"/>
              </w:rPr>
              <w:t>表</w:t>
            </w:r>
            <w:r>
              <w:rPr>
                <w:rFonts w:cs="Times New Roman" w:hint="eastAsia"/>
                <w:b/>
                <w:color w:val="000000"/>
                <w:sz w:val="21"/>
              </w:rPr>
              <w:t>4-1</w:t>
            </w:r>
            <w:r w:rsidR="00201FF2">
              <w:rPr>
                <w:rFonts w:cs="Times New Roman"/>
                <w:b/>
                <w:color w:val="000000"/>
                <w:sz w:val="21"/>
              </w:rPr>
              <w:t>3</w:t>
            </w:r>
            <w:r>
              <w:rPr>
                <w:rFonts w:cs="Times New Roman" w:hint="eastAsia"/>
                <w:b/>
                <w:color w:val="000000"/>
                <w:sz w:val="21"/>
              </w:rPr>
              <w:t xml:space="preserve">  </w:t>
            </w:r>
            <w:r>
              <w:rPr>
                <w:rFonts w:cs="Times New Roman" w:hint="eastAsia"/>
                <w:b/>
                <w:color w:val="000000"/>
                <w:sz w:val="21"/>
              </w:rPr>
              <w:t>危险特性警示图形</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31"/>
              <w:gridCol w:w="2130"/>
              <w:gridCol w:w="2130"/>
              <w:gridCol w:w="2130"/>
            </w:tblGrid>
            <w:tr w:rsidR="003C4F46" w14:paraId="7BD85D2C" w14:textId="77777777">
              <w:tc>
                <w:tcPr>
                  <w:tcW w:w="1250" w:type="pct"/>
                  <w:vAlign w:val="center"/>
                </w:tcPr>
                <w:p w14:paraId="11B49B5A" w14:textId="77777777" w:rsidR="003C4F46" w:rsidRDefault="004B6A81">
                  <w:pPr>
                    <w:pStyle w:val="1a"/>
                    <w:jc w:val="center"/>
                  </w:pPr>
                  <w:r>
                    <w:rPr>
                      <w:rFonts w:hint="eastAsia"/>
                    </w:rPr>
                    <w:t>腐蚀性</w:t>
                  </w:r>
                </w:p>
              </w:tc>
              <w:tc>
                <w:tcPr>
                  <w:tcW w:w="1250" w:type="pct"/>
                  <w:vAlign w:val="center"/>
                </w:tcPr>
                <w:p w14:paraId="58B88D1B" w14:textId="77777777" w:rsidR="003C4F46" w:rsidRDefault="004B6A81">
                  <w:pPr>
                    <w:pStyle w:val="1a"/>
                    <w:jc w:val="center"/>
                  </w:pPr>
                  <w:r>
                    <w:rPr>
                      <w:rFonts w:hint="eastAsia"/>
                    </w:rPr>
                    <w:t>毒性</w:t>
                  </w:r>
                </w:p>
              </w:tc>
              <w:tc>
                <w:tcPr>
                  <w:tcW w:w="1250" w:type="pct"/>
                  <w:vAlign w:val="center"/>
                </w:tcPr>
                <w:p w14:paraId="3B0A349A" w14:textId="77777777" w:rsidR="003C4F46" w:rsidRDefault="004B6A81">
                  <w:pPr>
                    <w:pStyle w:val="1a"/>
                    <w:jc w:val="center"/>
                  </w:pPr>
                  <w:r>
                    <w:rPr>
                      <w:rFonts w:hint="eastAsia"/>
                    </w:rPr>
                    <w:t>易燃性</w:t>
                  </w:r>
                </w:p>
              </w:tc>
              <w:tc>
                <w:tcPr>
                  <w:tcW w:w="1250" w:type="pct"/>
                  <w:vAlign w:val="center"/>
                </w:tcPr>
                <w:p w14:paraId="1190D216" w14:textId="77777777" w:rsidR="003C4F46" w:rsidRDefault="004B6A81">
                  <w:pPr>
                    <w:pStyle w:val="1a"/>
                    <w:jc w:val="center"/>
                  </w:pPr>
                  <w:r>
                    <w:rPr>
                      <w:rFonts w:hint="eastAsia"/>
                    </w:rPr>
                    <w:t>反应性</w:t>
                  </w:r>
                </w:p>
              </w:tc>
            </w:tr>
            <w:tr w:rsidR="003C4F46" w14:paraId="267725B2" w14:textId="77777777">
              <w:tc>
                <w:tcPr>
                  <w:tcW w:w="1250" w:type="pct"/>
                </w:tcPr>
                <w:p w14:paraId="367B5041" w14:textId="77777777" w:rsidR="003C4F46" w:rsidRDefault="004B6A81">
                  <w:pPr>
                    <w:pStyle w:val="1a"/>
                  </w:pPr>
                  <w:r>
                    <w:rPr>
                      <w:noProof/>
                    </w:rPr>
                    <w:drawing>
                      <wp:inline distT="0" distB="0" distL="0" distR="0" wp14:anchorId="466345FF" wp14:editId="69811795">
                        <wp:extent cx="1153160" cy="1137285"/>
                        <wp:effectExtent l="0" t="0" r="889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153160" cy="1137285"/>
                                </a:xfrm>
                                <a:prstGeom prst="rect">
                                  <a:avLst/>
                                </a:prstGeom>
                                <a:noFill/>
                                <a:ln>
                                  <a:noFill/>
                                </a:ln>
                              </pic:spPr>
                            </pic:pic>
                          </a:graphicData>
                        </a:graphic>
                      </wp:inline>
                    </w:drawing>
                  </w:r>
                </w:p>
              </w:tc>
              <w:tc>
                <w:tcPr>
                  <w:tcW w:w="1250" w:type="pct"/>
                </w:tcPr>
                <w:p w14:paraId="33C29D6A" w14:textId="77777777" w:rsidR="003C4F46" w:rsidRDefault="004B6A81">
                  <w:pPr>
                    <w:pStyle w:val="1a"/>
                  </w:pPr>
                  <w:r>
                    <w:rPr>
                      <w:noProof/>
                    </w:rPr>
                    <w:drawing>
                      <wp:inline distT="0" distB="0" distL="0" distR="0" wp14:anchorId="1872A811" wp14:editId="01A64E19">
                        <wp:extent cx="1153160" cy="1089025"/>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153160" cy="1089025"/>
                                </a:xfrm>
                                <a:prstGeom prst="rect">
                                  <a:avLst/>
                                </a:prstGeom>
                                <a:noFill/>
                                <a:ln>
                                  <a:noFill/>
                                </a:ln>
                              </pic:spPr>
                            </pic:pic>
                          </a:graphicData>
                        </a:graphic>
                      </wp:inline>
                    </w:drawing>
                  </w:r>
                </w:p>
              </w:tc>
              <w:tc>
                <w:tcPr>
                  <w:tcW w:w="1250" w:type="pct"/>
                </w:tcPr>
                <w:p w14:paraId="4C1DB024" w14:textId="77777777" w:rsidR="003C4F46" w:rsidRDefault="004B6A81">
                  <w:pPr>
                    <w:pStyle w:val="1a"/>
                  </w:pPr>
                  <w:r>
                    <w:rPr>
                      <w:noProof/>
                    </w:rPr>
                    <w:drawing>
                      <wp:inline distT="0" distB="0" distL="0" distR="0" wp14:anchorId="640ED837" wp14:editId="2889AC98">
                        <wp:extent cx="1153160" cy="1184910"/>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153160" cy="1184910"/>
                                </a:xfrm>
                                <a:prstGeom prst="rect">
                                  <a:avLst/>
                                </a:prstGeom>
                                <a:noFill/>
                                <a:ln>
                                  <a:noFill/>
                                </a:ln>
                              </pic:spPr>
                            </pic:pic>
                          </a:graphicData>
                        </a:graphic>
                      </wp:inline>
                    </w:drawing>
                  </w:r>
                </w:p>
              </w:tc>
              <w:tc>
                <w:tcPr>
                  <w:tcW w:w="1250" w:type="pct"/>
                </w:tcPr>
                <w:p w14:paraId="29FB3D9B" w14:textId="77777777" w:rsidR="003C4F46" w:rsidRDefault="004B6A81">
                  <w:pPr>
                    <w:pStyle w:val="1a"/>
                  </w:pPr>
                  <w:r>
                    <w:rPr>
                      <w:noProof/>
                    </w:rPr>
                    <w:drawing>
                      <wp:inline distT="0" distB="0" distL="0" distR="0" wp14:anchorId="44AF16C4" wp14:editId="0C0924FD">
                        <wp:extent cx="1153160" cy="1137285"/>
                        <wp:effectExtent l="0" t="0" r="889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153160" cy="1137285"/>
                                </a:xfrm>
                                <a:prstGeom prst="rect">
                                  <a:avLst/>
                                </a:prstGeom>
                                <a:noFill/>
                                <a:ln>
                                  <a:noFill/>
                                </a:ln>
                              </pic:spPr>
                            </pic:pic>
                          </a:graphicData>
                        </a:graphic>
                      </wp:inline>
                    </w:drawing>
                  </w:r>
                </w:p>
              </w:tc>
            </w:tr>
          </w:tbl>
          <w:p w14:paraId="43EDF4F5" w14:textId="7FF1CD03" w:rsidR="003C4F46" w:rsidRDefault="004B6A81">
            <w:pPr>
              <w:ind w:firstLine="480"/>
              <w:textAlignment w:val="auto"/>
              <w:rPr>
                <w:rFonts w:cs="Times New Roman"/>
              </w:rPr>
            </w:pPr>
            <w:r>
              <w:rPr>
                <w:rFonts w:cs="Times New Roman"/>
              </w:rPr>
              <w:t>经采取上述措施后，项目</w:t>
            </w:r>
            <w:r w:rsidR="000228A3">
              <w:rPr>
                <w:rFonts w:cs="Times New Roman" w:hint="eastAsia"/>
              </w:rPr>
              <w:t>危险废物</w:t>
            </w:r>
            <w:r>
              <w:rPr>
                <w:rFonts w:cs="Times New Roman" w:hint="eastAsia"/>
              </w:rPr>
              <w:t>贮存</w:t>
            </w:r>
            <w:r>
              <w:rPr>
                <w:rFonts w:cs="Times New Roman"/>
              </w:rPr>
              <w:t>满足《危险废物贮存污染控制标准》（</w:t>
            </w:r>
            <w:r>
              <w:rPr>
                <w:rFonts w:cs="Times New Roman"/>
              </w:rPr>
              <w:t>GB18597-20</w:t>
            </w:r>
            <w:r>
              <w:rPr>
                <w:rFonts w:cs="Times New Roman" w:hint="eastAsia"/>
              </w:rPr>
              <w:t>23</w:t>
            </w:r>
            <w:r>
              <w:rPr>
                <w:rFonts w:cs="Times New Roman"/>
              </w:rPr>
              <w:t>）。不会对周围环境造成污染和影响</w:t>
            </w:r>
            <w:r>
              <w:rPr>
                <w:rFonts w:cs="Times New Roman" w:hint="eastAsia"/>
              </w:rPr>
              <w:t>。</w:t>
            </w:r>
          </w:p>
          <w:p w14:paraId="1ADB25EF" w14:textId="77777777" w:rsidR="003C4F46" w:rsidRDefault="004B6A81">
            <w:pPr>
              <w:ind w:firstLineChars="0" w:firstLine="0"/>
              <w:textAlignment w:val="auto"/>
            </w:pPr>
            <w:r>
              <w:rPr>
                <w:rFonts w:hint="eastAsia"/>
                <w:b/>
                <w:bCs/>
                <w:color w:val="000000"/>
              </w:rPr>
              <w:t>4</w:t>
            </w:r>
            <w:r>
              <w:rPr>
                <w:b/>
                <w:bCs/>
                <w:color w:val="000000"/>
              </w:rPr>
              <w:t>.</w:t>
            </w:r>
            <w:r>
              <w:rPr>
                <w:rFonts w:hint="eastAsia"/>
                <w:b/>
                <w:bCs/>
                <w:color w:val="000000"/>
              </w:rPr>
              <w:t>3</w:t>
            </w:r>
            <w:r>
              <w:rPr>
                <w:rFonts w:hint="eastAsia"/>
                <w:b/>
                <w:bCs/>
                <w:color w:val="000000"/>
              </w:rPr>
              <w:t>地下水、土壤环境影响分析</w:t>
            </w:r>
          </w:p>
          <w:p w14:paraId="644B0DE0" w14:textId="34B43B6F" w:rsidR="003C4F46" w:rsidRDefault="004B6A81">
            <w:pPr>
              <w:ind w:firstLine="480"/>
              <w:rPr>
                <w:rFonts w:cs="Times New Roman"/>
                <w:szCs w:val="24"/>
              </w:rPr>
            </w:pPr>
            <w:r>
              <w:rPr>
                <w:rFonts w:hint="eastAsia"/>
                <w:szCs w:val="24"/>
              </w:rPr>
              <w:t>项目对土壤与地下水环境影响主要为贮存</w:t>
            </w:r>
            <w:r w:rsidR="00CF46A4" w:rsidRPr="00CF46A4">
              <w:rPr>
                <w:rFonts w:hint="eastAsia"/>
                <w:szCs w:val="24"/>
              </w:rPr>
              <w:t>库</w:t>
            </w:r>
            <w:r>
              <w:rPr>
                <w:rFonts w:hint="eastAsia"/>
                <w:szCs w:val="24"/>
              </w:rPr>
              <w:t>、事故池（依托轮台塔中石油化工有限公司</w:t>
            </w:r>
            <w:r>
              <w:rPr>
                <w:szCs w:val="24"/>
              </w:rPr>
              <w:t>800</w:t>
            </w:r>
            <w:r>
              <w:rPr>
                <w:rFonts w:hint="eastAsia"/>
                <w:szCs w:val="24"/>
              </w:rPr>
              <w:t>m</w:t>
            </w:r>
            <w:r>
              <w:rPr>
                <w:rFonts w:hint="eastAsia"/>
                <w:szCs w:val="24"/>
                <w:vertAlign w:val="superscript"/>
              </w:rPr>
              <w:t>3</w:t>
            </w:r>
            <w:r>
              <w:rPr>
                <w:rFonts w:hint="eastAsia"/>
                <w:szCs w:val="24"/>
              </w:rPr>
              <w:t>事故池）等。项目各区</w:t>
            </w:r>
            <w:r>
              <w:rPr>
                <w:rFonts w:cs="Times New Roman"/>
                <w:szCs w:val="24"/>
              </w:rPr>
              <w:t>域均严格按照《危险废物贮存污染控制标准》</w:t>
            </w:r>
            <w:r>
              <w:rPr>
                <w:rFonts w:cs="Times New Roman"/>
                <w:szCs w:val="24"/>
              </w:rPr>
              <w:lastRenderedPageBreak/>
              <w:t>（</w:t>
            </w:r>
            <w:r>
              <w:rPr>
                <w:rFonts w:cs="Times New Roman"/>
                <w:szCs w:val="24"/>
              </w:rPr>
              <w:t>GB18597-2023</w:t>
            </w:r>
            <w:r>
              <w:rPr>
                <w:rFonts w:cs="Times New Roman"/>
                <w:szCs w:val="24"/>
              </w:rPr>
              <w:t>）、《危险废物收集、贮存、运输技术规范》（</w:t>
            </w:r>
            <w:r>
              <w:rPr>
                <w:rFonts w:cs="Times New Roman"/>
                <w:szCs w:val="24"/>
              </w:rPr>
              <w:t>HJ2025-2012</w:t>
            </w:r>
            <w:r>
              <w:rPr>
                <w:rFonts w:cs="Times New Roman"/>
                <w:szCs w:val="24"/>
              </w:rPr>
              <w:t>）、《电池废料贮运规范》（</w:t>
            </w:r>
            <w:r>
              <w:rPr>
                <w:rFonts w:cs="Times New Roman"/>
                <w:szCs w:val="24"/>
              </w:rPr>
              <w:t>GB/T26493-2011</w:t>
            </w:r>
            <w:r>
              <w:rPr>
                <w:rFonts w:cs="Times New Roman"/>
                <w:szCs w:val="24"/>
              </w:rPr>
              <w:t>）、《废电池污染防治技术政策》（环发〔</w:t>
            </w:r>
            <w:r>
              <w:rPr>
                <w:rFonts w:cs="Times New Roman"/>
                <w:szCs w:val="24"/>
              </w:rPr>
              <w:t>2003</w:t>
            </w:r>
            <w:r>
              <w:rPr>
                <w:rFonts w:cs="Times New Roman"/>
                <w:szCs w:val="24"/>
              </w:rPr>
              <w:t>〕</w:t>
            </w:r>
            <w:r>
              <w:rPr>
                <w:rFonts w:cs="Times New Roman"/>
                <w:szCs w:val="24"/>
              </w:rPr>
              <w:t>163</w:t>
            </w:r>
            <w:r>
              <w:rPr>
                <w:rFonts w:cs="Times New Roman"/>
                <w:szCs w:val="24"/>
              </w:rPr>
              <w:t>号）及《废铅酸蓄电池处理污染控制技术规范》（</w:t>
            </w:r>
            <w:r>
              <w:rPr>
                <w:rFonts w:cs="Times New Roman" w:hint="eastAsia"/>
                <w:szCs w:val="24"/>
              </w:rPr>
              <w:t>HJ519-2020</w:t>
            </w:r>
            <w:r>
              <w:rPr>
                <w:rFonts w:cs="Times New Roman"/>
                <w:szCs w:val="24"/>
              </w:rPr>
              <w:t>）相关要求进行场地施工改造。评价要求建设方应采用专用贮存设施，仓库内设置泄漏液收集系统，设置导流沟，阻断可能引起土壤与地下水污染的途径。</w:t>
            </w:r>
          </w:p>
          <w:p w14:paraId="2E60323A" w14:textId="77777777" w:rsidR="003C4F46" w:rsidRDefault="004B6A81">
            <w:pPr>
              <w:ind w:firstLine="480"/>
              <w:rPr>
                <w:rFonts w:cs="Times New Roman"/>
                <w:szCs w:val="24"/>
              </w:rPr>
            </w:pPr>
            <w:r>
              <w:rPr>
                <w:rFonts w:cs="Times New Roman"/>
                <w:szCs w:val="24"/>
              </w:rPr>
              <w:t>（</w:t>
            </w:r>
            <w:r>
              <w:rPr>
                <w:rFonts w:cs="Times New Roman"/>
                <w:szCs w:val="24"/>
              </w:rPr>
              <w:t>1</w:t>
            </w:r>
            <w:r>
              <w:rPr>
                <w:rFonts w:cs="Times New Roman"/>
                <w:szCs w:val="24"/>
              </w:rPr>
              <w:t>）正常情况</w:t>
            </w:r>
          </w:p>
          <w:p w14:paraId="3B73AB78" w14:textId="5694EAB6" w:rsidR="003C4F46" w:rsidRDefault="004B6A81">
            <w:pPr>
              <w:ind w:firstLine="480"/>
              <w:rPr>
                <w:rFonts w:cs="Times New Roman"/>
                <w:szCs w:val="24"/>
              </w:rPr>
            </w:pPr>
            <w:r>
              <w:rPr>
                <w:rFonts w:cs="Times New Roman"/>
                <w:szCs w:val="24"/>
              </w:rPr>
              <w:t>正常工况下</w:t>
            </w:r>
            <w:r>
              <w:rPr>
                <w:rFonts w:cs="Times New Roman"/>
              </w:rPr>
              <w:t>污染源得到有效防护，污染物不会外排，微量的滴漏可能出现，可及时进行回收，</w:t>
            </w:r>
            <w:r>
              <w:rPr>
                <w:rFonts w:cs="Times New Roman"/>
                <w:szCs w:val="24"/>
              </w:rPr>
              <w:t>不存在泄漏长期未发现的情况，</w:t>
            </w:r>
            <w:r w:rsidR="00F1134E">
              <w:rPr>
                <w:rFonts w:cs="Times New Roman" w:hint="eastAsia"/>
                <w:szCs w:val="24"/>
              </w:rPr>
              <w:t>贮存库</w:t>
            </w:r>
            <w:r>
              <w:rPr>
                <w:rFonts w:cs="Times New Roman"/>
                <w:szCs w:val="24"/>
              </w:rPr>
              <w:t>设置导流槽，通往</w:t>
            </w:r>
            <w:r w:rsidR="00F1134E">
              <w:rPr>
                <w:rFonts w:cs="Times New Roman" w:hint="eastAsia"/>
                <w:szCs w:val="24"/>
              </w:rPr>
              <w:t>收集池</w:t>
            </w:r>
            <w:r>
              <w:rPr>
                <w:rFonts w:cs="Times New Roman"/>
                <w:szCs w:val="24"/>
              </w:rPr>
              <w:t>，主管单位及当地环境保护部门会组织专门力量进行对污染物的控制工作，通过转移污水等方法在最短的时间内减少含油污水下渗的总量，因而，污染物泄漏进入土壤与地下水的可能性不大。</w:t>
            </w:r>
          </w:p>
          <w:p w14:paraId="5F85F09C" w14:textId="77777777" w:rsidR="003C4F46" w:rsidRDefault="004B6A81">
            <w:pPr>
              <w:pStyle w:val="Default"/>
              <w:spacing w:line="360" w:lineRule="auto"/>
              <w:ind w:left="420"/>
              <w:rPr>
                <w:rFonts w:ascii="Times New Roman" w:hAnsi="Times New Roman"/>
              </w:rPr>
            </w:pPr>
            <w:r>
              <w:rPr>
                <w:rFonts w:ascii="Times New Roman" w:hAnsi="Times New Roman"/>
              </w:rPr>
              <w:t>（</w:t>
            </w:r>
            <w:r>
              <w:rPr>
                <w:rFonts w:ascii="Times New Roman" w:hAnsi="Times New Roman"/>
              </w:rPr>
              <w:t>2</w:t>
            </w:r>
            <w:r>
              <w:rPr>
                <w:rFonts w:ascii="Times New Roman" w:hAnsi="Times New Roman"/>
              </w:rPr>
              <w:t>）非正常情况</w:t>
            </w:r>
          </w:p>
          <w:p w14:paraId="306C7E98" w14:textId="77777777" w:rsidR="003C4F46" w:rsidRDefault="004B6A81">
            <w:pPr>
              <w:overflowPunct w:val="0"/>
              <w:adjustRightInd w:val="0"/>
              <w:snapToGrid w:val="0"/>
              <w:ind w:firstLine="480"/>
            </w:pPr>
            <w:r>
              <w:rPr>
                <w:rFonts w:cs="Times New Roman"/>
              </w:rPr>
              <w:t>非正常状况是指建设项目的工艺设备或环境保护措施因系统老化、腐蚀等原因不能正常运行或保护效果达不到设计要求时的运行状况。针对本项目土壤与地下水环境来说主要是指在项目在生产运行期</w:t>
            </w:r>
            <w:r>
              <w:rPr>
                <w:rFonts w:hint="eastAsia"/>
              </w:rPr>
              <w:t>间由于因防渗系统或管道连接等老化、腐蚀等原因不能正常运行或保护效果达不到设计时造成污染物质泄漏，从而对土壤与地下水环境造成影响的情况。</w:t>
            </w:r>
          </w:p>
          <w:p w14:paraId="4D41529A" w14:textId="09F762A9" w:rsidR="003C4F46" w:rsidRDefault="004B6A81">
            <w:pPr>
              <w:overflowPunct w:val="0"/>
              <w:adjustRightInd w:val="0"/>
              <w:snapToGrid w:val="0"/>
              <w:ind w:firstLine="480"/>
            </w:pPr>
            <w:r>
              <w:rPr>
                <w:rFonts w:hint="eastAsia"/>
              </w:rPr>
              <w:t>本项目主要为</w:t>
            </w:r>
            <w:r w:rsidR="00691223" w:rsidRPr="00691223">
              <w:rPr>
                <w:rFonts w:hint="eastAsia"/>
                <w:kern w:val="0"/>
                <w:lang w:bidi="ar"/>
              </w:rPr>
              <w:t>废铅蓄电池</w:t>
            </w:r>
            <w:r>
              <w:rPr>
                <w:rFonts w:hint="eastAsia"/>
              </w:rPr>
              <w:t>、废油等危废收集、贮存，会出现非正常状况下，污染物穿过损坏或不合格的防渗层、未防渗的地面等，泄漏的污染物在重力作用下渗入土壤与地下水，并造成局部的土壤与地下水环境受到污染，泄漏的污染物随地下水的流动不断扩散，最后导致土壤与地下水污染范围不断扩大，假设项目环境管理水平高，在非正常状况下企业环境管理人员及时发现并在一定时间内，采取措施对防渗措施进行修复，污染物即被切断，因此项目非正常状况下对土壤与地下水的污染途径可定义为间歇入渗型。</w:t>
            </w:r>
          </w:p>
          <w:p w14:paraId="5E0ABF6D" w14:textId="77777777" w:rsidR="003C4F46" w:rsidRDefault="004B6A81">
            <w:pPr>
              <w:ind w:firstLineChars="0" w:firstLine="0"/>
              <w:rPr>
                <w:rFonts w:cs="Times New Roman"/>
                <w:b/>
                <w:bCs/>
                <w:szCs w:val="24"/>
              </w:rPr>
            </w:pPr>
            <w:r>
              <w:rPr>
                <w:rFonts w:cs="Times New Roman"/>
                <w:b/>
                <w:bCs/>
                <w:szCs w:val="24"/>
              </w:rPr>
              <w:t>4.4</w:t>
            </w:r>
            <w:r>
              <w:rPr>
                <w:rFonts w:cs="Times New Roman" w:hint="eastAsia"/>
                <w:b/>
                <w:bCs/>
                <w:szCs w:val="24"/>
              </w:rPr>
              <w:t>土壤与</w:t>
            </w:r>
            <w:r>
              <w:rPr>
                <w:rFonts w:cs="Times New Roman"/>
                <w:b/>
                <w:bCs/>
                <w:szCs w:val="24"/>
              </w:rPr>
              <w:t>地下水污染控制措施</w:t>
            </w:r>
          </w:p>
          <w:p w14:paraId="5D5E9E80" w14:textId="77777777" w:rsidR="003C4F46" w:rsidRDefault="004B6A81">
            <w:pPr>
              <w:ind w:firstLine="480"/>
              <w:rPr>
                <w:rFonts w:cs="Times New Roman"/>
              </w:rPr>
            </w:pPr>
            <w:r>
              <w:rPr>
                <w:rFonts w:cs="Times New Roman"/>
              </w:rPr>
              <w:t>本项目土壤与地下水污染防治措施按照</w:t>
            </w:r>
            <w:r>
              <w:rPr>
                <w:rFonts w:cs="Times New Roman"/>
              </w:rPr>
              <w:t>“</w:t>
            </w:r>
            <w:r>
              <w:rPr>
                <w:rFonts w:cs="Times New Roman"/>
              </w:rPr>
              <w:t>源头控制、分区防治、污染监控、应急响应</w:t>
            </w:r>
            <w:r>
              <w:rPr>
                <w:rFonts w:cs="Times New Roman"/>
              </w:rPr>
              <w:t>”</w:t>
            </w:r>
            <w:r>
              <w:rPr>
                <w:rFonts w:cs="Times New Roman"/>
              </w:rPr>
              <w:t>相结合的原则，参照</w:t>
            </w:r>
            <w:r>
              <w:rPr>
                <w:rFonts w:cs="Times New Roman"/>
                <w:szCs w:val="24"/>
              </w:rPr>
              <w:t>《危险废物贮存污染控制标准》（</w:t>
            </w:r>
            <w:r>
              <w:rPr>
                <w:rFonts w:cs="Times New Roman"/>
                <w:szCs w:val="24"/>
              </w:rPr>
              <w:t>GB18597-2023</w:t>
            </w:r>
            <w:r>
              <w:rPr>
                <w:rFonts w:cs="Times New Roman"/>
                <w:szCs w:val="24"/>
              </w:rPr>
              <w:t>）</w:t>
            </w:r>
            <w:r>
              <w:rPr>
                <w:rFonts w:cs="Times New Roman"/>
              </w:rPr>
              <w:t>的要求进行防渗设计，从污染物的产生、入渗、扩散、应急响应全方位进行控制。</w:t>
            </w:r>
          </w:p>
          <w:p w14:paraId="2584E2FA" w14:textId="5EA3A745" w:rsidR="004B4554" w:rsidRPr="004B4554" w:rsidRDefault="004B6A81" w:rsidP="004B4554">
            <w:pPr>
              <w:pStyle w:val="Default"/>
              <w:spacing w:line="360" w:lineRule="auto"/>
              <w:ind w:firstLineChars="200" w:firstLine="480"/>
              <w:rPr>
                <w:rFonts w:ascii="Times New Roman" w:hAnsi="Times New Roman"/>
                <w:color w:val="auto"/>
              </w:rPr>
            </w:pPr>
            <w:r>
              <w:rPr>
                <w:rFonts w:ascii="Times New Roman" w:hAnsi="Times New Roman"/>
                <w:color w:val="auto"/>
              </w:rPr>
              <w:t>（</w:t>
            </w:r>
            <w:r>
              <w:rPr>
                <w:rFonts w:ascii="Times New Roman" w:hAnsi="Times New Roman"/>
                <w:color w:val="auto"/>
              </w:rPr>
              <w:t>1</w:t>
            </w:r>
            <w:r>
              <w:rPr>
                <w:rFonts w:ascii="Times New Roman" w:hAnsi="Times New Roman"/>
                <w:color w:val="auto"/>
              </w:rPr>
              <w:t>）本项目应选择先进、成熟、可靠的工艺技术，对产生的废物进行合理的</w:t>
            </w:r>
            <w:r>
              <w:rPr>
                <w:rFonts w:ascii="Times New Roman" w:hAnsi="Times New Roman"/>
                <w:color w:val="auto"/>
              </w:rPr>
              <w:lastRenderedPageBreak/>
              <w:t>回用和治理，尽可能从源头上减少污染物排放。严格按照国家相关规范要求，对工艺、管道、设备及构筑物采取相应的措施，以防止和降低污染物的跑、冒、滴、漏，</w:t>
            </w:r>
            <w:r w:rsidRPr="004B4554">
              <w:rPr>
                <w:rFonts w:ascii="Times New Roman" w:hAnsi="Times New Roman"/>
                <w:color w:val="auto"/>
              </w:rPr>
              <w:t>将环境风险事故降低到最低。</w:t>
            </w:r>
          </w:p>
          <w:p w14:paraId="430ACF35" w14:textId="40186E79" w:rsidR="003C4F46" w:rsidRPr="004B4554" w:rsidRDefault="004B6A81" w:rsidP="004B4554">
            <w:pPr>
              <w:pStyle w:val="Default"/>
              <w:spacing w:line="360" w:lineRule="auto"/>
              <w:ind w:firstLineChars="200" w:firstLine="480"/>
              <w:rPr>
                <w:rFonts w:ascii="Times New Roman" w:hAnsi="Times New Roman"/>
                <w:color w:val="auto"/>
              </w:rPr>
            </w:pPr>
            <w:r w:rsidRPr="004B4554">
              <w:rPr>
                <w:rFonts w:ascii="Times New Roman" w:hAnsi="Times New Roman"/>
              </w:rPr>
              <w:t>（</w:t>
            </w:r>
            <w:r w:rsidRPr="004B4554">
              <w:rPr>
                <w:rFonts w:ascii="Times New Roman" w:hAnsi="Times New Roman"/>
              </w:rPr>
              <w:t>2</w:t>
            </w:r>
            <w:r w:rsidRPr="004B4554">
              <w:rPr>
                <w:rFonts w:ascii="Times New Roman" w:hAnsi="Times New Roman"/>
              </w:rPr>
              <w:t>）项目主要从事</w:t>
            </w:r>
            <w:r w:rsidR="00691223" w:rsidRPr="00691223">
              <w:rPr>
                <w:rFonts w:ascii="Times New Roman" w:hAnsi="Times New Roman" w:hint="eastAsia"/>
                <w:color w:val="auto"/>
                <w:kern w:val="0"/>
                <w:lang w:bidi="ar"/>
              </w:rPr>
              <w:t>废铅蓄电池</w:t>
            </w:r>
            <w:r w:rsidRPr="004B4554">
              <w:rPr>
                <w:rFonts w:ascii="Times New Roman" w:hAnsi="Times New Roman"/>
              </w:rPr>
              <w:t>、废油等危废的收集、贮存和转运，为有效预防地下水、土壤污染，本项目所有位置均按重点防渗进行防渗处理。重点防渗区需参照《危险废物贮存污染控制标准》（</w:t>
            </w:r>
            <w:r w:rsidRPr="004B4554">
              <w:rPr>
                <w:rFonts w:ascii="Times New Roman" w:hAnsi="Times New Roman"/>
              </w:rPr>
              <w:t>GB18597-2023</w:t>
            </w:r>
            <w:r w:rsidRPr="004B4554">
              <w:rPr>
                <w:rFonts w:ascii="Times New Roman" w:hAnsi="Times New Roman"/>
              </w:rPr>
              <w:t>）的要求进行防渗设计，</w:t>
            </w:r>
            <w:r w:rsidR="00F50D49">
              <w:rPr>
                <w:rFonts w:ascii="Times New Roman" w:hAnsi="Times New Roman" w:hint="eastAsia"/>
              </w:rPr>
              <w:t>贮存</w:t>
            </w:r>
            <w:r w:rsidRPr="004B4554">
              <w:rPr>
                <w:rFonts w:ascii="Times New Roman" w:hAnsi="Times New Roman"/>
              </w:rPr>
              <w:t>库地面要严格进行防渗、防漏、防腐处理。</w:t>
            </w:r>
          </w:p>
          <w:p w14:paraId="10BC0870" w14:textId="77777777" w:rsidR="003C4F46" w:rsidRDefault="004B6A81">
            <w:pPr>
              <w:ind w:firstLine="536"/>
              <w:rPr>
                <w:rFonts w:cs="Times New Roman"/>
                <w:snapToGrid w:val="0"/>
              </w:rPr>
            </w:pPr>
            <w:r>
              <w:rPr>
                <w:rFonts w:cs="Times New Roman"/>
                <w:snapToGrid w:val="0"/>
                <w:spacing w:val="14"/>
              </w:rPr>
              <w:t>根据《</w:t>
            </w:r>
            <w:r>
              <w:rPr>
                <w:rFonts w:cs="Times New Roman"/>
                <w:snapToGrid w:val="0"/>
              </w:rPr>
              <w:t>环境影响评价技术导则</w:t>
            </w:r>
            <w:r>
              <w:rPr>
                <w:rFonts w:cs="Times New Roman"/>
                <w:snapToGrid w:val="0"/>
              </w:rPr>
              <w:t xml:space="preserve"> </w:t>
            </w:r>
            <w:r>
              <w:rPr>
                <w:rFonts w:cs="Times New Roman"/>
                <w:snapToGrid w:val="0"/>
              </w:rPr>
              <w:t>地下水环境》（</w:t>
            </w:r>
            <w:r>
              <w:rPr>
                <w:rFonts w:eastAsia="Times New Roman" w:cs="Times New Roman"/>
                <w:snapToGrid w:val="0"/>
              </w:rPr>
              <w:t>HJ610-2016</w:t>
            </w:r>
            <w:r>
              <w:rPr>
                <w:rFonts w:cs="Times New Roman"/>
                <w:snapToGrid w:val="0"/>
              </w:rPr>
              <w:t>）要求，结合本项目的</w:t>
            </w:r>
            <w:r>
              <w:rPr>
                <w:rFonts w:cs="Times New Roman"/>
                <w:snapToGrid w:val="0"/>
                <w:spacing w:val="16"/>
              </w:rPr>
              <w:t>性</w:t>
            </w:r>
            <w:r>
              <w:rPr>
                <w:rFonts w:cs="Times New Roman"/>
                <w:snapToGrid w:val="0"/>
              </w:rPr>
              <w:t>质，厂区分区防渗设置如下：</w:t>
            </w:r>
          </w:p>
          <w:p w14:paraId="189C5E8C" w14:textId="4AEE4C1E" w:rsidR="003C4F46" w:rsidRDefault="004B6A81">
            <w:pPr>
              <w:spacing w:line="240" w:lineRule="auto"/>
              <w:ind w:firstLineChars="0" w:firstLine="0"/>
              <w:jc w:val="center"/>
              <w:textAlignment w:val="auto"/>
              <w:rPr>
                <w:b/>
                <w:bCs/>
                <w:sz w:val="21"/>
                <w:szCs w:val="21"/>
              </w:rPr>
            </w:pPr>
            <w:r>
              <w:rPr>
                <w:rFonts w:hint="eastAsia"/>
                <w:b/>
                <w:bCs/>
                <w:sz w:val="21"/>
                <w:szCs w:val="21"/>
              </w:rPr>
              <w:t>表</w:t>
            </w:r>
            <w:r>
              <w:rPr>
                <w:rFonts w:hint="eastAsia"/>
                <w:b/>
                <w:bCs/>
                <w:sz w:val="21"/>
                <w:szCs w:val="21"/>
              </w:rPr>
              <w:t>4-</w:t>
            </w:r>
            <w:r>
              <w:rPr>
                <w:b/>
                <w:bCs/>
                <w:sz w:val="21"/>
                <w:szCs w:val="21"/>
              </w:rPr>
              <w:t>1</w:t>
            </w:r>
            <w:r w:rsidR="00201FF2">
              <w:rPr>
                <w:b/>
                <w:bCs/>
                <w:sz w:val="21"/>
                <w:szCs w:val="21"/>
              </w:rPr>
              <w:t>4</w:t>
            </w:r>
            <w:r>
              <w:rPr>
                <w:b/>
                <w:bCs/>
                <w:sz w:val="21"/>
                <w:szCs w:val="21"/>
              </w:rPr>
              <w:t xml:space="preserve">  </w:t>
            </w:r>
            <w:r>
              <w:rPr>
                <w:rFonts w:hint="eastAsia"/>
                <w:b/>
                <w:bCs/>
                <w:color w:val="000000" w:themeColor="text1"/>
                <w:sz w:val="21"/>
                <w:szCs w:val="21"/>
                <w:lang w:val="zh-CN"/>
              </w:rPr>
              <w:t>工程防渗措施要求一览表</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21"/>
              <w:gridCol w:w="1743"/>
              <w:gridCol w:w="2985"/>
              <w:gridCol w:w="2269"/>
            </w:tblGrid>
            <w:tr w:rsidR="003C4F46" w14:paraId="0849EDE8" w14:textId="77777777">
              <w:trPr>
                <w:trHeight w:val="324"/>
                <w:jc w:val="center"/>
              </w:trPr>
              <w:tc>
                <w:tcPr>
                  <w:tcW w:w="893" w:type="pct"/>
                  <w:vAlign w:val="center"/>
                </w:tcPr>
                <w:p w14:paraId="41E3DAA1"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防渗分区</w:t>
                  </w:r>
                </w:p>
              </w:tc>
              <w:tc>
                <w:tcPr>
                  <w:tcW w:w="1023" w:type="pct"/>
                  <w:vAlign w:val="center"/>
                </w:tcPr>
                <w:p w14:paraId="5D472E0D"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防渗区域</w:t>
                  </w:r>
                </w:p>
              </w:tc>
              <w:tc>
                <w:tcPr>
                  <w:tcW w:w="1752" w:type="pct"/>
                  <w:vAlign w:val="center"/>
                </w:tcPr>
                <w:p w14:paraId="0EBE813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防渗要求</w:t>
                  </w:r>
                </w:p>
              </w:tc>
              <w:tc>
                <w:tcPr>
                  <w:tcW w:w="1332" w:type="pct"/>
                  <w:vAlign w:val="center"/>
                </w:tcPr>
                <w:p w14:paraId="3D6FE250" w14:textId="77777777" w:rsidR="003C4F46" w:rsidRDefault="004B6A81">
                  <w:pPr>
                    <w:spacing w:line="240" w:lineRule="auto"/>
                    <w:ind w:firstLineChars="0" w:firstLine="0"/>
                    <w:jc w:val="center"/>
                    <w:textAlignment w:val="auto"/>
                    <w:rPr>
                      <w:rFonts w:cs="Times New Roman"/>
                      <w:sz w:val="21"/>
                      <w:szCs w:val="21"/>
                    </w:rPr>
                  </w:pPr>
                  <w:r>
                    <w:rPr>
                      <w:rFonts w:cs="Times New Roman"/>
                      <w:snapToGrid w:val="0"/>
                      <w:kern w:val="0"/>
                      <w:sz w:val="21"/>
                      <w:szCs w:val="24"/>
                    </w:rPr>
                    <w:t>执行标准</w:t>
                  </w:r>
                </w:p>
              </w:tc>
            </w:tr>
            <w:tr w:rsidR="003C4F46" w14:paraId="6AC12A9A" w14:textId="77777777">
              <w:trPr>
                <w:trHeight w:val="390"/>
                <w:jc w:val="center"/>
              </w:trPr>
              <w:tc>
                <w:tcPr>
                  <w:tcW w:w="893" w:type="pct"/>
                  <w:vAlign w:val="center"/>
                </w:tcPr>
                <w:p w14:paraId="1738A4C4"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重点防渗区</w:t>
                  </w:r>
                </w:p>
              </w:tc>
              <w:tc>
                <w:tcPr>
                  <w:tcW w:w="1023" w:type="pct"/>
                  <w:vAlign w:val="center"/>
                </w:tcPr>
                <w:p w14:paraId="7315B19E" w14:textId="240099C1" w:rsidR="003C4F46" w:rsidRDefault="004B6A81">
                  <w:pPr>
                    <w:spacing w:line="240" w:lineRule="auto"/>
                    <w:ind w:firstLineChars="0" w:firstLine="0"/>
                    <w:jc w:val="center"/>
                    <w:textAlignment w:val="auto"/>
                    <w:rPr>
                      <w:rFonts w:cs="Times New Roman"/>
                      <w:sz w:val="21"/>
                      <w:szCs w:val="21"/>
                    </w:rPr>
                  </w:pPr>
                  <w:r>
                    <w:rPr>
                      <w:rFonts w:hint="eastAsia"/>
                      <w:sz w:val="21"/>
                      <w:szCs w:val="21"/>
                    </w:rPr>
                    <w:t>1#</w:t>
                  </w:r>
                  <w:r>
                    <w:rPr>
                      <w:rFonts w:hint="eastAsia"/>
                      <w:sz w:val="21"/>
                      <w:szCs w:val="21"/>
                    </w:rPr>
                    <w:t>贮存库、储罐区</w:t>
                  </w:r>
                </w:p>
              </w:tc>
              <w:tc>
                <w:tcPr>
                  <w:tcW w:w="1752" w:type="pct"/>
                  <w:vAlign w:val="center"/>
                </w:tcPr>
                <w:p w14:paraId="224BE001" w14:textId="77777777" w:rsidR="003C4F46" w:rsidRDefault="004B6A81">
                  <w:pPr>
                    <w:widowControl/>
                    <w:spacing w:line="240" w:lineRule="auto"/>
                    <w:ind w:firstLineChars="0" w:firstLine="0"/>
                    <w:jc w:val="center"/>
                    <w:textAlignment w:val="auto"/>
                    <w:rPr>
                      <w:rFonts w:cs="Times New Roman"/>
                      <w:sz w:val="21"/>
                      <w:szCs w:val="21"/>
                    </w:rPr>
                  </w:pPr>
                  <w:r>
                    <w:rPr>
                      <w:rFonts w:cs="Times New Roman"/>
                      <w:snapToGrid w:val="0"/>
                      <w:kern w:val="0"/>
                      <w:sz w:val="21"/>
                      <w:szCs w:val="24"/>
                    </w:rPr>
                    <w:t>等效黏土防渗层</w:t>
                  </w:r>
                  <w:r>
                    <w:rPr>
                      <w:rFonts w:cs="Times New Roman"/>
                      <w:snapToGrid w:val="0"/>
                      <w:kern w:val="0"/>
                      <w:sz w:val="21"/>
                      <w:szCs w:val="24"/>
                    </w:rPr>
                    <w:t>Mb</w:t>
                  </w:r>
                  <w:r>
                    <w:rPr>
                      <w:rFonts w:ascii="宋体" w:hAnsi="宋体" w:cs="宋体" w:hint="eastAsia"/>
                      <w:snapToGrid w:val="0"/>
                      <w:kern w:val="0"/>
                      <w:sz w:val="21"/>
                      <w:szCs w:val="24"/>
                    </w:rPr>
                    <w:t>≧</w:t>
                  </w:r>
                  <w:r>
                    <w:rPr>
                      <w:rFonts w:cs="Times New Roman"/>
                      <w:snapToGrid w:val="0"/>
                      <w:kern w:val="0"/>
                      <w:sz w:val="21"/>
                      <w:szCs w:val="24"/>
                    </w:rPr>
                    <w:t>6.0m</w:t>
                  </w:r>
                  <w:r>
                    <w:rPr>
                      <w:rFonts w:cs="Times New Roman"/>
                      <w:snapToGrid w:val="0"/>
                      <w:kern w:val="0"/>
                      <w:sz w:val="21"/>
                      <w:szCs w:val="24"/>
                    </w:rPr>
                    <w:t>，</w:t>
                  </w:r>
                  <w:r>
                    <w:rPr>
                      <w:rFonts w:cs="Times New Roman"/>
                      <w:snapToGrid w:val="0"/>
                      <w:kern w:val="0"/>
                      <w:sz w:val="21"/>
                      <w:szCs w:val="24"/>
                    </w:rPr>
                    <w:t>K≤1.0×10</w:t>
                  </w:r>
                  <w:r>
                    <w:rPr>
                      <w:rFonts w:cs="Times New Roman"/>
                      <w:snapToGrid w:val="0"/>
                      <w:kern w:val="0"/>
                      <w:sz w:val="21"/>
                      <w:szCs w:val="24"/>
                      <w:vertAlign w:val="superscript"/>
                    </w:rPr>
                    <w:t>-7</w:t>
                  </w:r>
                  <w:r>
                    <w:rPr>
                      <w:rFonts w:cs="Times New Roman"/>
                      <w:snapToGrid w:val="0"/>
                      <w:kern w:val="0"/>
                      <w:sz w:val="21"/>
                      <w:szCs w:val="24"/>
                    </w:rPr>
                    <w:t>cm/s</w:t>
                  </w:r>
                  <w:r>
                    <w:rPr>
                      <w:rFonts w:cs="Times New Roman"/>
                      <w:snapToGrid w:val="0"/>
                      <w:kern w:val="0"/>
                      <w:sz w:val="21"/>
                      <w:szCs w:val="24"/>
                    </w:rPr>
                    <w:t>；或参照</w:t>
                  </w:r>
                  <w:r>
                    <w:rPr>
                      <w:rFonts w:cs="Times New Roman"/>
                      <w:snapToGrid w:val="0"/>
                      <w:kern w:val="0"/>
                      <w:sz w:val="21"/>
                      <w:szCs w:val="24"/>
                    </w:rPr>
                    <w:t>GB18598</w:t>
                  </w:r>
                  <w:r>
                    <w:rPr>
                      <w:rFonts w:cs="Times New Roman"/>
                      <w:snapToGrid w:val="0"/>
                      <w:kern w:val="0"/>
                      <w:sz w:val="21"/>
                      <w:szCs w:val="24"/>
                    </w:rPr>
                    <w:t>执行</w:t>
                  </w:r>
                </w:p>
              </w:tc>
              <w:tc>
                <w:tcPr>
                  <w:tcW w:w="1332" w:type="pct"/>
                  <w:vAlign w:val="center"/>
                </w:tcPr>
                <w:p w14:paraId="53DD4587" w14:textId="77777777" w:rsidR="003C4F46" w:rsidRDefault="004B6A81">
                  <w:pPr>
                    <w:spacing w:line="240" w:lineRule="auto"/>
                    <w:ind w:firstLineChars="0" w:firstLine="0"/>
                    <w:jc w:val="center"/>
                    <w:textAlignment w:val="auto"/>
                    <w:rPr>
                      <w:rFonts w:cs="Times New Roman"/>
                      <w:sz w:val="21"/>
                      <w:szCs w:val="21"/>
                    </w:rPr>
                  </w:pPr>
                  <w:r>
                    <w:rPr>
                      <w:rFonts w:cs="Times New Roman"/>
                      <w:snapToGrid w:val="0"/>
                      <w:kern w:val="0"/>
                      <w:sz w:val="21"/>
                      <w:szCs w:val="24"/>
                    </w:rPr>
                    <w:t>《环境影响评价技术导则</w:t>
                  </w:r>
                  <w:r>
                    <w:rPr>
                      <w:rFonts w:cs="Times New Roman"/>
                      <w:snapToGrid w:val="0"/>
                      <w:kern w:val="0"/>
                      <w:sz w:val="21"/>
                      <w:szCs w:val="24"/>
                    </w:rPr>
                    <w:t xml:space="preserve"> </w:t>
                  </w:r>
                  <w:r>
                    <w:rPr>
                      <w:rFonts w:cs="Times New Roman"/>
                      <w:snapToGrid w:val="0"/>
                      <w:kern w:val="0"/>
                      <w:sz w:val="21"/>
                      <w:szCs w:val="24"/>
                    </w:rPr>
                    <w:t>地下水环境》</w:t>
                  </w:r>
                  <w:r>
                    <w:rPr>
                      <w:rFonts w:cs="Times New Roman" w:hint="eastAsia"/>
                      <w:snapToGrid w:val="0"/>
                      <w:kern w:val="0"/>
                      <w:sz w:val="21"/>
                      <w:szCs w:val="24"/>
                    </w:rPr>
                    <w:t>（</w:t>
                  </w:r>
                  <w:r>
                    <w:rPr>
                      <w:rFonts w:cs="Times New Roman"/>
                      <w:snapToGrid w:val="0"/>
                      <w:kern w:val="0"/>
                      <w:sz w:val="21"/>
                      <w:szCs w:val="24"/>
                    </w:rPr>
                    <w:t>HJ610-2016</w:t>
                  </w:r>
                  <w:r>
                    <w:rPr>
                      <w:rFonts w:cs="Times New Roman" w:hint="eastAsia"/>
                      <w:snapToGrid w:val="0"/>
                      <w:kern w:val="0"/>
                      <w:sz w:val="21"/>
                      <w:szCs w:val="24"/>
                    </w:rPr>
                    <w:t>）</w:t>
                  </w:r>
                </w:p>
              </w:tc>
            </w:tr>
          </w:tbl>
          <w:p w14:paraId="1165346F" w14:textId="77777777" w:rsidR="003C4F46" w:rsidRDefault="004B6A81">
            <w:pPr>
              <w:adjustRightInd w:val="0"/>
              <w:snapToGrid w:val="0"/>
              <w:ind w:firstLineChars="0" w:firstLine="0"/>
              <w:textAlignment w:val="auto"/>
              <w:rPr>
                <w:rFonts w:cs="Times New Roman"/>
                <w:color w:val="000000"/>
                <w:szCs w:val="24"/>
              </w:rPr>
            </w:pPr>
            <w:r>
              <w:rPr>
                <w:rFonts w:cs="Times New Roman"/>
                <w:b/>
                <w:bCs/>
                <w:szCs w:val="24"/>
              </w:rPr>
              <w:t>4.5</w:t>
            </w:r>
            <w:r>
              <w:rPr>
                <w:rFonts w:cs="Times New Roman"/>
                <w:b/>
                <w:bCs/>
                <w:szCs w:val="24"/>
              </w:rPr>
              <w:t>地下水和土壤的环境监测与管理</w:t>
            </w:r>
          </w:p>
          <w:p w14:paraId="729945C9" w14:textId="77777777" w:rsidR="003C4F46" w:rsidRDefault="004B6A81">
            <w:pPr>
              <w:adjustRightInd w:val="0"/>
              <w:snapToGrid w:val="0"/>
              <w:ind w:firstLine="480"/>
              <w:textAlignment w:val="auto"/>
              <w:rPr>
                <w:rFonts w:cs="Times New Roman"/>
                <w:color w:val="000000"/>
                <w:szCs w:val="24"/>
              </w:rPr>
            </w:pPr>
            <w:r>
              <w:rPr>
                <w:rFonts w:cs="Times New Roman"/>
                <w:color w:val="000000"/>
                <w:szCs w:val="24"/>
              </w:rPr>
              <w:t>建立完善的地下水和土壤环境监测制度和环境管理体系，制定完善的监测计划，环境监测工作可委托当地有资质的环境监测机构承担。</w:t>
            </w:r>
          </w:p>
          <w:p w14:paraId="7D172A73"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①</w:t>
            </w:r>
            <w:r>
              <w:rPr>
                <w:rFonts w:cs="Times New Roman"/>
                <w:color w:val="000000"/>
                <w:szCs w:val="24"/>
              </w:rPr>
              <w:t>监测方案</w:t>
            </w:r>
          </w:p>
          <w:p w14:paraId="7CC4767C" w14:textId="77777777" w:rsidR="003C4F46" w:rsidRDefault="004B6A81">
            <w:pPr>
              <w:adjustRightInd w:val="0"/>
              <w:snapToGrid w:val="0"/>
              <w:ind w:firstLine="480"/>
              <w:textAlignment w:val="auto"/>
              <w:rPr>
                <w:rFonts w:cs="Times New Roman"/>
                <w:color w:val="000000"/>
                <w:szCs w:val="24"/>
              </w:rPr>
            </w:pPr>
            <w:r>
              <w:rPr>
                <w:rFonts w:cs="Times New Roman"/>
                <w:color w:val="000000"/>
                <w:szCs w:val="24"/>
              </w:rPr>
              <w:t>为了及时准确的掌握项目所在地周围地下水、土壤环境质量状况和地下水体、土壤中污染物的动态变化情况，应对该项目所在区域地下水和土壤环境质量进行定期的监测，防止或最大限度的减轻项目对地下水和土壤环境的污染。</w:t>
            </w:r>
          </w:p>
          <w:p w14:paraId="661E9BC2" w14:textId="7163F9F5" w:rsidR="003C4F46" w:rsidRDefault="004B6A81" w:rsidP="004148F3">
            <w:pPr>
              <w:adjustRightInd w:val="0"/>
              <w:snapToGrid w:val="0"/>
              <w:ind w:firstLine="480"/>
              <w:textAlignment w:val="auto"/>
              <w:rPr>
                <w:rFonts w:cs="Times New Roman"/>
                <w:color w:val="000000"/>
                <w:szCs w:val="24"/>
              </w:rPr>
            </w:pPr>
            <w:r>
              <w:rPr>
                <w:rFonts w:cs="Times New Roman"/>
                <w:color w:val="000000"/>
                <w:szCs w:val="24"/>
              </w:rPr>
              <w:t>根据《环境影响评价技术导则</w:t>
            </w:r>
            <w:r>
              <w:rPr>
                <w:rFonts w:cs="Times New Roman"/>
                <w:color w:val="000000"/>
                <w:szCs w:val="24"/>
              </w:rPr>
              <w:t xml:space="preserve"> </w:t>
            </w:r>
            <w:r>
              <w:rPr>
                <w:rFonts w:cs="Times New Roman"/>
                <w:color w:val="000000"/>
                <w:szCs w:val="24"/>
              </w:rPr>
              <w:t>地下水环境》</w:t>
            </w:r>
            <w:r>
              <w:rPr>
                <w:rFonts w:cs="Times New Roman" w:hint="eastAsia"/>
                <w:color w:val="000000"/>
                <w:szCs w:val="24"/>
              </w:rPr>
              <w:t>（</w:t>
            </w:r>
            <w:r>
              <w:rPr>
                <w:rFonts w:cs="Times New Roman"/>
                <w:color w:val="000000"/>
                <w:szCs w:val="24"/>
              </w:rPr>
              <w:t>HJ610-2016</w:t>
            </w:r>
            <w:r>
              <w:rPr>
                <w:rFonts w:cs="Times New Roman" w:hint="eastAsia"/>
                <w:color w:val="000000"/>
                <w:szCs w:val="24"/>
              </w:rPr>
              <w:t>）</w:t>
            </w:r>
            <w:r>
              <w:rPr>
                <w:rFonts w:cs="Times New Roman"/>
                <w:color w:val="000000"/>
                <w:szCs w:val="24"/>
              </w:rPr>
              <w:t>及《地下水环境监测技术规范》</w:t>
            </w:r>
            <w:r>
              <w:rPr>
                <w:rFonts w:cs="Times New Roman" w:hint="eastAsia"/>
                <w:color w:val="000000"/>
                <w:szCs w:val="24"/>
              </w:rPr>
              <w:t>（</w:t>
            </w:r>
            <w:r>
              <w:rPr>
                <w:rFonts w:cs="Times New Roman"/>
                <w:color w:val="000000"/>
                <w:szCs w:val="24"/>
              </w:rPr>
              <w:t>HJ164-2020</w:t>
            </w:r>
            <w:r>
              <w:rPr>
                <w:rFonts w:cs="Times New Roman" w:hint="eastAsia"/>
                <w:color w:val="000000"/>
                <w:szCs w:val="24"/>
              </w:rPr>
              <w:t>）</w:t>
            </w:r>
            <w:r>
              <w:rPr>
                <w:rFonts w:cs="Times New Roman"/>
                <w:color w:val="000000"/>
                <w:szCs w:val="24"/>
              </w:rPr>
              <w:t>的要求、地下水流向、项目的平面</w:t>
            </w:r>
            <w:r w:rsidR="006C5144" w:rsidRPr="006C5144">
              <w:rPr>
                <w:rFonts w:cs="Times New Roman" w:hint="eastAsia"/>
                <w:color w:val="000000"/>
                <w:szCs w:val="24"/>
              </w:rPr>
              <w:t>布置</w:t>
            </w:r>
            <w:r>
              <w:rPr>
                <w:rFonts w:cs="Times New Roman"/>
                <w:color w:val="000000"/>
                <w:szCs w:val="24"/>
              </w:rPr>
              <w:t>特征及地下水监测布点原则，</w:t>
            </w:r>
            <w:r>
              <w:rPr>
                <w:rFonts w:cs="Times New Roman" w:hint="eastAsia"/>
                <w:color w:val="000000"/>
                <w:szCs w:val="24"/>
              </w:rPr>
              <w:t>利用厂区既有监测井（下游地下水</w:t>
            </w:r>
            <w:r>
              <w:rPr>
                <w:rFonts w:cs="Times New Roman"/>
                <w:color w:val="000000"/>
                <w:szCs w:val="24"/>
              </w:rPr>
              <w:t>水质</w:t>
            </w:r>
            <w:r>
              <w:rPr>
                <w:rFonts w:cs="Times New Roman" w:hint="eastAsia"/>
                <w:color w:val="000000"/>
                <w:szCs w:val="24"/>
              </w:rPr>
              <w:t>跟踪</w:t>
            </w:r>
            <w:r>
              <w:rPr>
                <w:rFonts w:cs="Times New Roman"/>
                <w:color w:val="000000"/>
                <w:szCs w:val="24"/>
              </w:rPr>
              <w:t>监测井</w:t>
            </w:r>
            <w:r>
              <w:rPr>
                <w:rFonts w:cs="Times New Roman"/>
                <w:color w:val="000000"/>
                <w:szCs w:val="24"/>
              </w:rPr>
              <w:t>1</w:t>
            </w:r>
            <w:r>
              <w:rPr>
                <w:rFonts w:cs="Times New Roman"/>
                <w:color w:val="000000"/>
                <w:szCs w:val="24"/>
              </w:rPr>
              <w:t>眼</w:t>
            </w:r>
            <w:r>
              <w:rPr>
                <w:rFonts w:cs="Times New Roman" w:hint="eastAsia"/>
                <w:color w:val="000000"/>
                <w:szCs w:val="24"/>
              </w:rPr>
              <w:t>）监测</w:t>
            </w:r>
            <w:r>
              <w:rPr>
                <w:rFonts w:cs="Times New Roman"/>
                <w:color w:val="000000"/>
                <w:szCs w:val="24"/>
              </w:rPr>
              <w:t>地下水水质变化趋势</w:t>
            </w:r>
            <w:r>
              <w:rPr>
                <w:rFonts w:cs="Times New Roman" w:hint="eastAsia"/>
                <w:color w:val="000000"/>
                <w:szCs w:val="24"/>
              </w:rPr>
              <w:t>，</w:t>
            </w:r>
            <w:r>
              <w:rPr>
                <w:rFonts w:cs="Times New Roman"/>
                <w:color w:val="000000"/>
                <w:szCs w:val="24"/>
              </w:rPr>
              <w:t>随时掌握地下水和土壤环境监测情况</w:t>
            </w:r>
            <w:r w:rsidR="004148F3">
              <w:rPr>
                <w:rFonts w:cs="Times New Roman" w:hint="eastAsia"/>
                <w:color w:val="000000"/>
                <w:szCs w:val="24"/>
              </w:rPr>
              <w:t>。</w:t>
            </w:r>
            <w:r>
              <w:rPr>
                <w:rFonts w:cs="Times New Roman"/>
                <w:color w:val="000000"/>
                <w:szCs w:val="24"/>
              </w:rPr>
              <w:t>监测结果应按项目有关规定及时建立档案，并对于自行检测数据进行公开。发现污染时，要及时进行处理，开展系统调查，并上报有关部门。</w:t>
            </w:r>
          </w:p>
          <w:p w14:paraId="3F4A4F66"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②</w:t>
            </w:r>
            <w:r>
              <w:rPr>
                <w:rFonts w:cs="Times New Roman"/>
                <w:color w:val="000000"/>
                <w:szCs w:val="24"/>
              </w:rPr>
              <w:t>监测管理</w:t>
            </w:r>
          </w:p>
          <w:p w14:paraId="20D4C171" w14:textId="77777777" w:rsidR="003C4F46" w:rsidRDefault="004B6A81">
            <w:pPr>
              <w:adjustRightInd w:val="0"/>
              <w:snapToGrid w:val="0"/>
              <w:ind w:firstLine="480"/>
              <w:textAlignment w:val="auto"/>
              <w:rPr>
                <w:rFonts w:cs="Times New Roman"/>
                <w:color w:val="000000"/>
                <w:szCs w:val="24"/>
              </w:rPr>
            </w:pPr>
            <w:r>
              <w:rPr>
                <w:rFonts w:cs="Times New Roman"/>
                <w:color w:val="000000"/>
                <w:szCs w:val="24"/>
              </w:rPr>
              <w:t>为保证地下水和土壤监测有效、有序管理，须制定相关规定、明确职责，采取以下管理措施和技术措施。</w:t>
            </w:r>
          </w:p>
          <w:p w14:paraId="1D0DC72C" w14:textId="77777777" w:rsidR="003C4F46" w:rsidRDefault="004B6A81">
            <w:pPr>
              <w:adjustRightInd w:val="0"/>
              <w:snapToGrid w:val="0"/>
              <w:ind w:firstLine="480"/>
              <w:textAlignment w:val="auto"/>
              <w:rPr>
                <w:rFonts w:cs="Times New Roman"/>
                <w:color w:val="000000"/>
                <w:szCs w:val="24"/>
              </w:rPr>
            </w:pPr>
            <w:r>
              <w:rPr>
                <w:rFonts w:cs="Times New Roman"/>
                <w:color w:val="000000"/>
                <w:szCs w:val="24"/>
              </w:rPr>
              <w:lastRenderedPageBreak/>
              <w:t>管理措施：防止地下水和土壤污染管理的职责属于企业的职责之一。建设单位指派专人负责防治地下水污染管理工作；建设单位环境保护管理部门应委托具有监测资质的单位负责地下水和土壤监测工作，按要求及时分析整理原始资料、监测报告的编写工作；监测结果应该进行公开，满足法律中关于知情权的要求。发现污染时，要及时进行处理，开展系统调查，并上报有关部门。</w:t>
            </w:r>
          </w:p>
          <w:p w14:paraId="349EA286" w14:textId="77777777" w:rsidR="003C4F46" w:rsidRDefault="004B6A81">
            <w:pPr>
              <w:adjustRightInd w:val="0"/>
              <w:snapToGrid w:val="0"/>
              <w:ind w:firstLine="480"/>
              <w:textAlignment w:val="auto"/>
              <w:rPr>
                <w:rFonts w:cs="Times New Roman"/>
                <w:color w:val="000000"/>
                <w:szCs w:val="24"/>
              </w:rPr>
            </w:pPr>
            <w:r>
              <w:rPr>
                <w:rFonts w:cs="Times New Roman"/>
                <w:color w:val="000000"/>
                <w:szCs w:val="24"/>
              </w:rPr>
              <w:t>技术措施：及时上报监测数据和有关表格；在日常例行监测中，一旦发现地下水水质和土壤监测数据异常，应尽快核查数据，确保数据的正确性，并将核查过的监测数据通告公司环保部门，由专人负责对数据进行分析、核实，并密切关注生产设施的运行情况，为防止地下水和土壤污染采取措施提供正确的依据。</w:t>
            </w:r>
          </w:p>
          <w:p w14:paraId="44CDC9B8"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③</w:t>
            </w:r>
            <w:r>
              <w:rPr>
                <w:rFonts w:cs="Times New Roman"/>
                <w:color w:val="000000"/>
                <w:szCs w:val="24"/>
              </w:rPr>
              <w:t>应急响应</w:t>
            </w:r>
          </w:p>
          <w:p w14:paraId="25C065EC" w14:textId="77777777" w:rsidR="003C4F46" w:rsidRDefault="004B6A81">
            <w:pPr>
              <w:adjustRightInd w:val="0"/>
              <w:snapToGrid w:val="0"/>
              <w:ind w:firstLine="480"/>
              <w:textAlignment w:val="auto"/>
              <w:rPr>
                <w:rFonts w:cs="Times New Roman"/>
                <w:color w:val="000000"/>
                <w:szCs w:val="24"/>
              </w:rPr>
            </w:pPr>
            <w:r>
              <w:rPr>
                <w:rFonts w:cs="Times New Roman"/>
                <w:color w:val="000000"/>
                <w:szCs w:val="24"/>
              </w:rPr>
              <w:t>一旦发现地下水和土壤发生异常情况，必须按照应急预案马上采取紧急措施：</w:t>
            </w:r>
          </w:p>
          <w:p w14:paraId="6112CC8C"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①</w:t>
            </w:r>
            <w:r>
              <w:rPr>
                <w:rFonts w:cs="Times New Roman"/>
                <w:color w:val="000000"/>
                <w:szCs w:val="24"/>
              </w:rPr>
              <w:t>当确定发生地下水和土壤异常情况时，按照制订的地下水和土壤应急预案，在第一时间内尽快上报主管领导，通知当地环境保护主管部门、附近居民等地下水用户，密切关注地下水水质变化情况。</w:t>
            </w:r>
          </w:p>
          <w:p w14:paraId="293E1172"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②</w:t>
            </w:r>
            <w:r>
              <w:rPr>
                <w:rFonts w:cs="Times New Roman"/>
                <w:color w:val="000000"/>
                <w:szCs w:val="24"/>
              </w:rPr>
              <w:t>组织专业队伍对事故现场进行调查、监测，查找环境事故发生地点、分析事故原因，尽量将紧急事件局部化，如可能应予以消除，采取包括切断生产装置或设施等措施，对污水进行封闭、截流，防止事故的扩散、蔓延及连锁反应，尽量缩小地下水污染事故对人和财产的影响。</w:t>
            </w:r>
          </w:p>
          <w:p w14:paraId="4D2FFC2F"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③</w:t>
            </w:r>
            <w:r>
              <w:rPr>
                <w:rFonts w:cs="Times New Roman"/>
                <w:color w:val="000000"/>
                <w:szCs w:val="24"/>
              </w:rPr>
              <w:t>当通过监测发现对周围地下水造成污染时，根据观测井的反馈信息，控制污染区地下水流场，防止污染物扩散。</w:t>
            </w:r>
          </w:p>
          <w:p w14:paraId="44EA72A3"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④</w:t>
            </w:r>
            <w:r>
              <w:rPr>
                <w:rFonts w:cs="Times New Roman"/>
                <w:color w:val="000000"/>
                <w:szCs w:val="24"/>
              </w:rPr>
              <w:t>对事故后果进行评估，并制定防止类似事件发生的措施。</w:t>
            </w:r>
          </w:p>
          <w:p w14:paraId="713CAFB4" w14:textId="77777777" w:rsidR="003C4F46" w:rsidRDefault="004B6A81">
            <w:pPr>
              <w:adjustRightInd w:val="0"/>
              <w:snapToGrid w:val="0"/>
              <w:ind w:firstLine="480"/>
              <w:textAlignment w:val="auto"/>
              <w:rPr>
                <w:rFonts w:cs="Times New Roman"/>
                <w:color w:val="000000"/>
                <w:szCs w:val="24"/>
              </w:rPr>
            </w:pPr>
            <w:r>
              <w:rPr>
                <w:rFonts w:ascii="宋体" w:hAnsi="宋体" w:cs="宋体" w:hint="eastAsia"/>
                <w:color w:val="000000"/>
                <w:szCs w:val="24"/>
              </w:rPr>
              <w:t>⑤</w:t>
            </w:r>
            <w:r>
              <w:rPr>
                <w:rFonts w:cs="Times New Roman"/>
                <w:color w:val="000000"/>
                <w:szCs w:val="24"/>
              </w:rPr>
              <w:t>如果自身力量无法应对污染事故，应立即请求社会应急力量协助处理。</w:t>
            </w:r>
          </w:p>
          <w:p w14:paraId="402D7A16" w14:textId="3A08325A" w:rsidR="003C4F46" w:rsidRDefault="004B6A81">
            <w:pPr>
              <w:adjustRightInd w:val="0"/>
              <w:snapToGrid w:val="0"/>
              <w:ind w:firstLine="480"/>
              <w:textAlignment w:val="auto"/>
              <w:rPr>
                <w:rFonts w:cs="Times New Roman"/>
                <w:color w:val="000000"/>
                <w:szCs w:val="24"/>
              </w:rPr>
            </w:pPr>
            <w:r>
              <w:rPr>
                <w:rFonts w:cs="Times New Roman"/>
                <w:color w:val="000000"/>
                <w:szCs w:val="24"/>
              </w:rPr>
              <w:t>本项目严格按照《危险废物贮存污染控制标准》</w:t>
            </w:r>
            <w:r>
              <w:rPr>
                <w:rFonts w:cs="Times New Roman" w:hint="eastAsia"/>
                <w:color w:val="000000"/>
                <w:szCs w:val="24"/>
              </w:rPr>
              <w:t>（</w:t>
            </w:r>
            <w:r>
              <w:rPr>
                <w:rFonts w:cs="Times New Roman"/>
                <w:color w:val="000000"/>
                <w:szCs w:val="24"/>
              </w:rPr>
              <w:t>GB18597-2023</w:t>
            </w:r>
            <w:r>
              <w:rPr>
                <w:rFonts w:cs="Times New Roman" w:hint="eastAsia"/>
                <w:color w:val="000000"/>
                <w:szCs w:val="24"/>
              </w:rPr>
              <w:t>）</w:t>
            </w:r>
            <w:r>
              <w:rPr>
                <w:rFonts w:cs="Times New Roman"/>
                <w:color w:val="000000"/>
                <w:szCs w:val="24"/>
              </w:rPr>
              <w:t>进行防渗，正常状况下不会对地下水和土壤环境产生不利影响。因此，在做好源头控制措施、重点防渗措施、地下水污染监控措施和地下水污染应急处</w:t>
            </w:r>
            <w:r w:rsidR="006C5144" w:rsidRPr="006C5144">
              <w:rPr>
                <w:rFonts w:cs="Times New Roman" w:hint="eastAsia"/>
                <w:color w:val="000000"/>
                <w:szCs w:val="24"/>
              </w:rPr>
              <w:t>置</w:t>
            </w:r>
            <w:r>
              <w:rPr>
                <w:rFonts w:cs="Times New Roman"/>
                <w:color w:val="000000"/>
                <w:szCs w:val="24"/>
              </w:rPr>
              <w:t>的前提下，可避免项目实施后对区域地下水水质产生污染影响。因此本项目建设对地下水和土壤环境影响是可以接受的。</w:t>
            </w:r>
          </w:p>
          <w:p w14:paraId="2BB174D6" w14:textId="77777777" w:rsidR="003C4F46" w:rsidRDefault="004B6A81">
            <w:pPr>
              <w:adjustRightInd w:val="0"/>
              <w:snapToGrid w:val="0"/>
              <w:ind w:firstLineChars="0" w:firstLine="0"/>
              <w:textAlignment w:val="auto"/>
              <w:rPr>
                <w:rFonts w:cs="Times New Roman"/>
                <w:b/>
                <w:bCs/>
                <w:szCs w:val="24"/>
              </w:rPr>
            </w:pPr>
            <w:r>
              <w:rPr>
                <w:rFonts w:hint="eastAsia"/>
                <w:b/>
                <w:bCs/>
              </w:rPr>
              <w:t>4</w:t>
            </w:r>
            <w:r>
              <w:rPr>
                <w:b/>
                <w:bCs/>
              </w:rPr>
              <w:t>.6</w:t>
            </w:r>
            <w:r>
              <w:rPr>
                <w:rFonts w:hint="eastAsia"/>
                <w:b/>
                <w:bCs/>
              </w:rPr>
              <w:t>生态环境</w:t>
            </w:r>
          </w:p>
          <w:p w14:paraId="51DBFD39" w14:textId="77777777" w:rsidR="003C4F46" w:rsidRDefault="004B6A81">
            <w:pPr>
              <w:adjustRightInd w:val="0"/>
              <w:snapToGrid w:val="0"/>
              <w:ind w:firstLine="480"/>
              <w:textAlignment w:val="auto"/>
            </w:pPr>
            <w:r>
              <w:t>项目占地范围内无生态环境保护目标，无生态环境影响</w:t>
            </w:r>
            <w:r>
              <w:rPr>
                <w:rFonts w:hint="eastAsia"/>
              </w:rPr>
              <w:t>。</w:t>
            </w:r>
          </w:p>
          <w:p w14:paraId="7F8E587B" w14:textId="77777777" w:rsidR="003C4F46" w:rsidRDefault="004B6A81">
            <w:pPr>
              <w:adjustRightInd w:val="0"/>
              <w:snapToGrid w:val="0"/>
              <w:ind w:firstLineChars="0" w:firstLine="0"/>
              <w:textAlignment w:val="auto"/>
              <w:rPr>
                <w:b/>
                <w:bCs/>
                <w:color w:val="000000" w:themeColor="text1"/>
              </w:rPr>
            </w:pPr>
            <w:r>
              <w:rPr>
                <w:b/>
                <w:bCs/>
                <w:color w:val="000000" w:themeColor="text1"/>
              </w:rPr>
              <w:lastRenderedPageBreak/>
              <w:t>4.7</w:t>
            </w:r>
            <w:r>
              <w:rPr>
                <w:rFonts w:hint="eastAsia"/>
                <w:b/>
                <w:bCs/>
                <w:color w:val="000000" w:themeColor="text1"/>
              </w:rPr>
              <w:t>环境风险</w:t>
            </w:r>
          </w:p>
          <w:p w14:paraId="12E572A7" w14:textId="77777777" w:rsidR="003C4F46" w:rsidRDefault="004B6A81">
            <w:pPr>
              <w:adjustRightInd w:val="0"/>
              <w:snapToGrid w:val="0"/>
              <w:ind w:firstLineChars="0" w:firstLine="0"/>
              <w:textAlignment w:val="auto"/>
              <w:rPr>
                <w:b/>
                <w:bCs/>
              </w:rPr>
            </w:pPr>
            <w:r>
              <w:rPr>
                <w:rFonts w:cs="Times New Roman"/>
                <w:b/>
                <w:bCs/>
              </w:rPr>
              <w:t>4.7.1</w:t>
            </w:r>
            <w:r>
              <w:rPr>
                <w:rFonts w:hint="eastAsia"/>
                <w:b/>
                <w:bCs/>
              </w:rPr>
              <w:t>风险物质识别</w:t>
            </w:r>
          </w:p>
          <w:p w14:paraId="076C2FD6" w14:textId="77777777" w:rsidR="003C4F46" w:rsidRDefault="004B6A81">
            <w:pPr>
              <w:adjustRightInd w:val="0"/>
              <w:snapToGrid w:val="0"/>
              <w:ind w:firstLine="480"/>
              <w:textAlignment w:val="auto"/>
              <w:rPr>
                <w:b/>
                <w:bCs/>
              </w:rPr>
            </w:pPr>
            <w:r>
              <w:rPr>
                <w:rFonts w:hint="eastAsia"/>
              </w:rPr>
              <w:t>计算所涉及的每种危险物质在厂界内的最大存在总量与其在附录</w:t>
            </w:r>
            <w:r>
              <w:rPr>
                <w:rFonts w:hint="eastAsia"/>
              </w:rPr>
              <w:t>B</w:t>
            </w:r>
            <w:r>
              <w:rPr>
                <w:rFonts w:hint="eastAsia"/>
              </w:rPr>
              <w:t>中对应临界量的比值</w:t>
            </w:r>
            <w:r>
              <w:rPr>
                <w:rFonts w:hint="eastAsia"/>
              </w:rPr>
              <w:t>Q</w:t>
            </w:r>
            <w:r>
              <w:rPr>
                <w:rFonts w:hint="eastAsia"/>
              </w:rPr>
              <w:t>。在不同厂区的同一种物质，按其在厂界内的最大存在总量计算。对于长输管线项目，按照两个截断阀室之间管段危险物质最大存在总量计算。</w:t>
            </w:r>
          </w:p>
          <w:p w14:paraId="5C73DCF0" w14:textId="77777777" w:rsidR="003C4F46" w:rsidRDefault="004B6A81">
            <w:pPr>
              <w:adjustRightInd w:val="0"/>
              <w:snapToGrid w:val="0"/>
              <w:ind w:firstLine="480"/>
              <w:textAlignment w:val="auto"/>
              <w:rPr>
                <w:b/>
                <w:bCs/>
              </w:rPr>
            </w:pPr>
            <w:r>
              <w:rPr>
                <w:rFonts w:hint="eastAsia"/>
              </w:rPr>
              <w:t>当只涉及一种危险物质时，计算该物质的总量与其临界量比值，即为</w:t>
            </w:r>
            <w:r>
              <w:rPr>
                <w:rFonts w:hint="eastAsia"/>
              </w:rPr>
              <w:t>Q</w:t>
            </w:r>
            <w:r>
              <w:rPr>
                <w:rFonts w:hint="eastAsia"/>
              </w:rPr>
              <w:t>；</w:t>
            </w:r>
          </w:p>
          <w:p w14:paraId="63EFC5DE" w14:textId="77777777" w:rsidR="003C4F46" w:rsidRDefault="004B6A81">
            <w:pPr>
              <w:adjustRightInd w:val="0"/>
              <w:snapToGrid w:val="0"/>
              <w:ind w:firstLine="480"/>
              <w:textAlignment w:val="auto"/>
              <w:rPr>
                <w:b/>
                <w:bCs/>
              </w:rPr>
            </w:pPr>
            <w:r>
              <w:rPr>
                <w:rFonts w:hint="eastAsia"/>
              </w:rPr>
              <w:t>当存在多种危险物质时，则按式（</w:t>
            </w:r>
            <w:r>
              <w:rPr>
                <w:rFonts w:hint="eastAsia"/>
              </w:rPr>
              <w:t>C.1</w:t>
            </w:r>
            <w:r>
              <w:rPr>
                <w:rFonts w:hint="eastAsia"/>
              </w:rPr>
              <w:t>）计算物质总量与其临界量比值（</w:t>
            </w:r>
            <w:r>
              <w:rPr>
                <w:rFonts w:hint="eastAsia"/>
              </w:rPr>
              <w:t>Q</w:t>
            </w:r>
            <w:r>
              <w:rPr>
                <w:rFonts w:hint="eastAsia"/>
              </w:rPr>
              <w:t>）：</w:t>
            </w:r>
          </w:p>
          <w:p w14:paraId="0086B7F5" w14:textId="77777777" w:rsidR="003C4F46" w:rsidRDefault="004B6A81">
            <w:pPr>
              <w:ind w:firstLineChars="0" w:firstLine="0"/>
              <w:jc w:val="center"/>
              <w:rPr>
                <w:color w:val="000000"/>
                <w:szCs w:val="24"/>
              </w:rPr>
            </w:pPr>
            <w:r>
              <w:rPr>
                <w:noProof/>
              </w:rPr>
              <w:drawing>
                <wp:inline distT="0" distB="0" distL="114300" distR="114300" wp14:anchorId="55DCB1D6" wp14:editId="0E9F33DD">
                  <wp:extent cx="1785620" cy="539115"/>
                  <wp:effectExtent l="0" t="0" r="5080" b="13335"/>
                  <wp:docPr id="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
                          <pic:cNvPicPr>
                            <a:picLocks noChangeAspect="1"/>
                          </pic:cNvPicPr>
                        </pic:nvPicPr>
                        <pic:blipFill>
                          <a:blip r:embed="rId31"/>
                          <a:stretch>
                            <a:fillRect/>
                          </a:stretch>
                        </pic:blipFill>
                        <pic:spPr>
                          <a:xfrm>
                            <a:off x="0" y="0"/>
                            <a:ext cx="1785620" cy="539115"/>
                          </a:xfrm>
                          <a:prstGeom prst="rect">
                            <a:avLst/>
                          </a:prstGeom>
                          <a:noFill/>
                          <a:ln>
                            <a:noFill/>
                          </a:ln>
                        </pic:spPr>
                      </pic:pic>
                    </a:graphicData>
                  </a:graphic>
                </wp:inline>
              </w:drawing>
            </w:r>
          </w:p>
          <w:p w14:paraId="4B4BF178" w14:textId="77777777" w:rsidR="003C4F46" w:rsidRDefault="004B6A81">
            <w:pPr>
              <w:ind w:firstLine="480"/>
              <w:textAlignment w:val="auto"/>
              <w:rPr>
                <w:color w:val="000000"/>
                <w:szCs w:val="24"/>
              </w:rPr>
            </w:pPr>
            <w:r>
              <w:rPr>
                <w:color w:val="000000"/>
                <w:szCs w:val="24"/>
              </w:rPr>
              <w:t>式中：</w:t>
            </w:r>
            <w:r>
              <w:rPr>
                <w:color w:val="000000"/>
                <w:szCs w:val="24"/>
              </w:rPr>
              <w:t>q</w:t>
            </w:r>
            <w:r>
              <w:rPr>
                <w:color w:val="000000"/>
                <w:szCs w:val="24"/>
                <w:vertAlign w:val="subscript"/>
              </w:rPr>
              <w:t>1</w:t>
            </w:r>
            <w:r>
              <w:rPr>
                <w:color w:val="000000"/>
                <w:szCs w:val="24"/>
              </w:rPr>
              <w:t>、</w:t>
            </w:r>
            <w:r>
              <w:rPr>
                <w:color w:val="000000"/>
                <w:szCs w:val="24"/>
              </w:rPr>
              <w:t>q</w:t>
            </w:r>
            <w:r>
              <w:rPr>
                <w:color w:val="000000"/>
                <w:szCs w:val="24"/>
                <w:vertAlign w:val="subscript"/>
              </w:rPr>
              <w:t>2</w:t>
            </w:r>
            <w:r>
              <w:rPr>
                <w:color w:val="000000"/>
                <w:szCs w:val="24"/>
              </w:rPr>
              <w:t>、</w:t>
            </w:r>
            <w:r>
              <w:rPr>
                <w:color w:val="000000"/>
                <w:szCs w:val="24"/>
              </w:rPr>
              <w:t>……</w:t>
            </w:r>
            <w:proofErr w:type="spellStart"/>
            <w:r>
              <w:rPr>
                <w:color w:val="000000"/>
                <w:szCs w:val="24"/>
              </w:rPr>
              <w:t>q</w:t>
            </w:r>
            <w:r>
              <w:rPr>
                <w:color w:val="000000"/>
                <w:szCs w:val="24"/>
                <w:vertAlign w:val="subscript"/>
              </w:rPr>
              <w:t>n</w:t>
            </w:r>
            <w:proofErr w:type="spellEnd"/>
            <w:r>
              <w:rPr>
                <w:rFonts w:hint="eastAsia"/>
                <w:color w:val="000000"/>
                <w:szCs w:val="24"/>
              </w:rPr>
              <w:t>——</w:t>
            </w:r>
            <w:r>
              <w:rPr>
                <w:color w:val="000000"/>
                <w:szCs w:val="24"/>
              </w:rPr>
              <w:t>每种危险物质的最大存在总量，</w:t>
            </w:r>
            <w:r>
              <w:rPr>
                <w:color w:val="000000"/>
                <w:szCs w:val="24"/>
              </w:rPr>
              <w:t>t</w:t>
            </w:r>
            <w:r>
              <w:rPr>
                <w:color w:val="000000"/>
                <w:szCs w:val="24"/>
              </w:rPr>
              <w:t>；</w:t>
            </w:r>
          </w:p>
          <w:p w14:paraId="3B7B5CAA" w14:textId="77777777" w:rsidR="003C4F46" w:rsidRDefault="004B6A81">
            <w:pPr>
              <w:ind w:firstLineChars="500" w:firstLine="1200"/>
              <w:textAlignment w:val="auto"/>
              <w:rPr>
                <w:color w:val="000000"/>
                <w:szCs w:val="24"/>
              </w:rPr>
            </w:pPr>
            <w:r>
              <w:rPr>
                <w:color w:val="000000"/>
                <w:szCs w:val="24"/>
              </w:rPr>
              <w:t>Q</w:t>
            </w:r>
            <w:r>
              <w:rPr>
                <w:color w:val="000000"/>
                <w:szCs w:val="24"/>
                <w:vertAlign w:val="subscript"/>
              </w:rPr>
              <w:t>1</w:t>
            </w:r>
            <w:r>
              <w:rPr>
                <w:color w:val="000000"/>
                <w:szCs w:val="24"/>
              </w:rPr>
              <w:t>、</w:t>
            </w:r>
            <w:r>
              <w:rPr>
                <w:color w:val="000000"/>
                <w:szCs w:val="24"/>
              </w:rPr>
              <w:t>Q</w:t>
            </w:r>
            <w:r>
              <w:rPr>
                <w:color w:val="000000"/>
                <w:szCs w:val="24"/>
                <w:vertAlign w:val="subscript"/>
              </w:rPr>
              <w:t>2</w:t>
            </w:r>
            <w:r>
              <w:rPr>
                <w:color w:val="000000"/>
                <w:szCs w:val="24"/>
              </w:rPr>
              <w:t>、</w:t>
            </w:r>
            <w:r>
              <w:rPr>
                <w:color w:val="000000"/>
                <w:szCs w:val="24"/>
              </w:rPr>
              <w:t>……</w:t>
            </w:r>
            <w:proofErr w:type="spellStart"/>
            <w:r>
              <w:rPr>
                <w:color w:val="000000"/>
                <w:szCs w:val="24"/>
              </w:rPr>
              <w:t>Q</w:t>
            </w:r>
            <w:r>
              <w:rPr>
                <w:color w:val="000000"/>
                <w:szCs w:val="24"/>
                <w:vertAlign w:val="subscript"/>
              </w:rPr>
              <w:t>n</w:t>
            </w:r>
            <w:proofErr w:type="spellEnd"/>
            <w:r>
              <w:rPr>
                <w:rFonts w:hint="eastAsia"/>
                <w:color w:val="000000"/>
                <w:szCs w:val="24"/>
              </w:rPr>
              <w:t>——</w:t>
            </w:r>
            <w:r>
              <w:rPr>
                <w:color w:val="000000"/>
                <w:szCs w:val="24"/>
              </w:rPr>
              <w:t>每种危险物质的临界量，</w:t>
            </w:r>
            <w:r>
              <w:rPr>
                <w:color w:val="000000"/>
                <w:szCs w:val="24"/>
              </w:rPr>
              <w:t>t</w:t>
            </w:r>
            <w:r>
              <w:rPr>
                <w:color w:val="000000"/>
                <w:szCs w:val="24"/>
              </w:rPr>
              <w:t>；</w:t>
            </w:r>
          </w:p>
          <w:p w14:paraId="069EC36C" w14:textId="77777777" w:rsidR="003C4F46" w:rsidRDefault="004B6A81">
            <w:pPr>
              <w:ind w:firstLine="480"/>
              <w:textAlignment w:val="auto"/>
              <w:rPr>
                <w:color w:val="000000"/>
                <w:szCs w:val="24"/>
              </w:rPr>
            </w:pPr>
            <w:r>
              <w:rPr>
                <w:color w:val="000000"/>
                <w:szCs w:val="24"/>
              </w:rPr>
              <w:t>当</w:t>
            </w:r>
            <w:r>
              <w:rPr>
                <w:color w:val="000000"/>
                <w:szCs w:val="24"/>
              </w:rPr>
              <w:t>Q</w:t>
            </w:r>
            <w:r>
              <w:rPr>
                <w:color w:val="000000"/>
                <w:szCs w:val="24"/>
              </w:rPr>
              <w:t>＜</w:t>
            </w:r>
            <w:r>
              <w:rPr>
                <w:color w:val="000000"/>
                <w:szCs w:val="24"/>
              </w:rPr>
              <w:t>1</w:t>
            </w:r>
            <w:r>
              <w:rPr>
                <w:color w:val="000000"/>
                <w:szCs w:val="24"/>
              </w:rPr>
              <w:t>时，该项目环境风险潜势为</w:t>
            </w:r>
            <w:r>
              <w:rPr>
                <w:color w:val="000000"/>
                <w:szCs w:val="24"/>
              </w:rPr>
              <w:t>I</w:t>
            </w:r>
            <w:r>
              <w:rPr>
                <w:color w:val="000000"/>
                <w:szCs w:val="24"/>
              </w:rPr>
              <w:t>。</w:t>
            </w:r>
          </w:p>
          <w:p w14:paraId="13BBBBA9" w14:textId="77777777" w:rsidR="003C4F46" w:rsidRDefault="004B6A81">
            <w:pPr>
              <w:ind w:firstLine="480"/>
              <w:textAlignment w:val="auto"/>
              <w:rPr>
                <w:color w:val="000000"/>
                <w:szCs w:val="24"/>
              </w:rPr>
            </w:pPr>
            <w:r>
              <w:rPr>
                <w:color w:val="000000"/>
                <w:szCs w:val="24"/>
              </w:rPr>
              <w:t>当</w:t>
            </w:r>
            <w:r>
              <w:rPr>
                <w:color w:val="000000"/>
                <w:szCs w:val="24"/>
              </w:rPr>
              <w:t>Q≥1</w:t>
            </w:r>
            <w:r>
              <w:rPr>
                <w:color w:val="000000"/>
                <w:szCs w:val="24"/>
              </w:rPr>
              <w:t>时，将</w:t>
            </w:r>
            <w:r>
              <w:rPr>
                <w:color w:val="000000"/>
                <w:szCs w:val="24"/>
              </w:rPr>
              <w:t>Q</w:t>
            </w:r>
            <w:r>
              <w:rPr>
                <w:color w:val="000000"/>
                <w:szCs w:val="24"/>
              </w:rPr>
              <w:t>值化为：</w:t>
            </w:r>
            <w:r>
              <w:rPr>
                <w:color w:val="000000"/>
                <w:szCs w:val="24"/>
              </w:rPr>
              <w:t>1≤Q</w:t>
            </w:r>
            <w:r>
              <w:rPr>
                <w:color w:val="000000"/>
                <w:szCs w:val="24"/>
              </w:rPr>
              <w:t>＜</w:t>
            </w:r>
            <w:r>
              <w:rPr>
                <w:color w:val="000000"/>
                <w:szCs w:val="24"/>
              </w:rPr>
              <w:t>10</w:t>
            </w:r>
            <w:r>
              <w:rPr>
                <w:color w:val="000000"/>
                <w:szCs w:val="24"/>
              </w:rPr>
              <w:t>；</w:t>
            </w:r>
            <w:r>
              <w:rPr>
                <w:color w:val="000000"/>
                <w:szCs w:val="24"/>
              </w:rPr>
              <w:t>10≤Q</w:t>
            </w:r>
            <w:r>
              <w:rPr>
                <w:color w:val="000000"/>
                <w:szCs w:val="24"/>
              </w:rPr>
              <w:t>＜</w:t>
            </w:r>
            <w:r>
              <w:rPr>
                <w:color w:val="000000"/>
                <w:szCs w:val="24"/>
              </w:rPr>
              <w:t>100</w:t>
            </w:r>
            <w:r>
              <w:rPr>
                <w:color w:val="000000"/>
                <w:szCs w:val="24"/>
              </w:rPr>
              <w:t>；</w:t>
            </w:r>
            <w:r>
              <w:rPr>
                <w:color w:val="000000"/>
                <w:szCs w:val="24"/>
              </w:rPr>
              <w:t>Q≥100</w:t>
            </w:r>
            <w:r>
              <w:rPr>
                <w:color w:val="000000"/>
                <w:szCs w:val="24"/>
              </w:rPr>
              <w:t>。</w:t>
            </w:r>
          </w:p>
          <w:p w14:paraId="241B096E" w14:textId="7B03A518" w:rsidR="003C4F46" w:rsidRDefault="004B6A81">
            <w:pPr>
              <w:spacing w:line="240" w:lineRule="auto"/>
              <w:ind w:firstLineChars="0" w:firstLine="0"/>
              <w:jc w:val="center"/>
              <w:textAlignment w:val="auto"/>
              <w:rPr>
                <w:b/>
                <w:bCs/>
                <w:sz w:val="21"/>
                <w:szCs w:val="21"/>
              </w:rPr>
            </w:pPr>
            <w:r>
              <w:rPr>
                <w:b/>
                <w:bCs/>
                <w:sz w:val="21"/>
                <w:szCs w:val="21"/>
              </w:rPr>
              <w:t>表</w:t>
            </w:r>
            <w:r>
              <w:rPr>
                <w:rFonts w:hint="eastAsia"/>
                <w:b/>
                <w:bCs/>
                <w:sz w:val="21"/>
                <w:szCs w:val="21"/>
              </w:rPr>
              <w:t>4-1</w:t>
            </w:r>
            <w:r w:rsidR="00201FF2">
              <w:rPr>
                <w:b/>
                <w:bCs/>
                <w:sz w:val="21"/>
                <w:szCs w:val="21"/>
              </w:rPr>
              <w:t>5</w:t>
            </w:r>
            <w:r>
              <w:rPr>
                <w:b/>
                <w:bCs/>
                <w:sz w:val="21"/>
                <w:szCs w:val="21"/>
              </w:rPr>
              <w:t xml:space="preserve">  </w:t>
            </w:r>
            <w:r>
              <w:rPr>
                <w:b/>
                <w:bCs/>
                <w:sz w:val="21"/>
                <w:szCs w:val="21"/>
              </w:rPr>
              <w:t>风险物质存储量一览表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26"/>
              <w:gridCol w:w="1844"/>
              <w:gridCol w:w="1133"/>
              <w:gridCol w:w="1834"/>
              <w:gridCol w:w="1428"/>
              <w:gridCol w:w="856"/>
            </w:tblGrid>
            <w:tr w:rsidR="003C4F46" w14:paraId="4F8176A1" w14:textId="77777777">
              <w:tc>
                <w:tcPr>
                  <w:tcW w:w="837" w:type="pct"/>
                  <w:vAlign w:val="center"/>
                </w:tcPr>
                <w:p w14:paraId="3C457BEE"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风险物质</w:t>
                  </w:r>
                </w:p>
              </w:tc>
              <w:tc>
                <w:tcPr>
                  <w:tcW w:w="1082" w:type="pct"/>
                  <w:vAlign w:val="center"/>
                </w:tcPr>
                <w:p w14:paraId="50B0316D"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物质名称</w:t>
                  </w:r>
                </w:p>
              </w:tc>
              <w:tc>
                <w:tcPr>
                  <w:tcW w:w="665" w:type="pct"/>
                  <w:vAlign w:val="center"/>
                </w:tcPr>
                <w:p w14:paraId="126505E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CAS</w:t>
                  </w:r>
                  <w:r>
                    <w:rPr>
                      <w:rFonts w:cs="Times New Roman" w:hint="eastAsia"/>
                      <w:sz w:val="21"/>
                      <w:szCs w:val="21"/>
                    </w:rPr>
                    <w:t>号</w:t>
                  </w:r>
                </w:p>
              </w:tc>
              <w:tc>
                <w:tcPr>
                  <w:tcW w:w="1076" w:type="pct"/>
                  <w:vAlign w:val="center"/>
                </w:tcPr>
                <w:p w14:paraId="489F5610"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最大贮存</w:t>
                  </w:r>
                  <w:r>
                    <w:rPr>
                      <w:rFonts w:cs="Times New Roman"/>
                      <w:sz w:val="21"/>
                      <w:szCs w:val="21"/>
                    </w:rPr>
                    <w:t>量（</w:t>
                  </w:r>
                  <w:r>
                    <w:rPr>
                      <w:rFonts w:cs="Times New Roman"/>
                      <w:sz w:val="21"/>
                      <w:szCs w:val="21"/>
                    </w:rPr>
                    <w:t>t</w:t>
                  </w:r>
                  <w:r>
                    <w:rPr>
                      <w:rFonts w:cs="Times New Roman"/>
                      <w:sz w:val="21"/>
                      <w:szCs w:val="21"/>
                    </w:rPr>
                    <w:t>）</w:t>
                  </w:r>
                </w:p>
              </w:tc>
              <w:tc>
                <w:tcPr>
                  <w:tcW w:w="838" w:type="pct"/>
                  <w:vAlign w:val="center"/>
                </w:tcPr>
                <w:p w14:paraId="23B58F09"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临界量（</w:t>
                  </w:r>
                  <w:r>
                    <w:rPr>
                      <w:rFonts w:cs="Times New Roman"/>
                      <w:sz w:val="21"/>
                      <w:szCs w:val="21"/>
                    </w:rPr>
                    <w:t>t</w:t>
                  </w:r>
                  <w:r>
                    <w:rPr>
                      <w:rFonts w:cs="Times New Roman"/>
                      <w:sz w:val="21"/>
                      <w:szCs w:val="21"/>
                    </w:rPr>
                    <w:t>）</w:t>
                  </w:r>
                </w:p>
              </w:tc>
              <w:tc>
                <w:tcPr>
                  <w:tcW w:w="502" w:type="pct"/>
                  <w:vAlign w:val="center"/>
                </w:tcPr>
                <w:p w14:paraId="073D235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Q</w:t>
                  </w:r>
                  <w:r>
                    <w:rPr>
                      <w:rFonts w:cs="Times New Roman"/>
                      <w:sz w:val="21"/>
                      <w:szCs w:val="21"/>
                    </w:rPr>
                    <w:t>值</w:t>
                  </w:r>
                </w:p>
              </w:tc>
            </w:tr>
            <w:tr w:rsidR="003C4F46" w14:paraId="388EC5EC" w14:textId="77777777">
              <w:tc>
                <w:tcPr>
                  <w:tcW w:w="837" w:type="pct"/>
                  <w:vAlign w:val="center"/>
                </w:tcPr>
                <w:p w14:paraId="34B0D6E8"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废矿物油</w:t>
                  </w:r>
                  <w:r>
                    <w:rPr>
                      <w:rFonts w:cs="Times New Roman"/>
                      <w:sz w:val="21"/>
                      <w:szCs w:val="21"/>
                    </w:rPr>
                    <w:t>HW08</w:t>
                  </w:r>
                </w:p>
              </w:tc>
              <w:tc>
                <w:tcPr>
                  <w:tcW w:w="1082" w:type="pct"/>
                  <w:vAlign w:val="center"/>
                </w:tcPr>
                <w:p w14:paraId="7F3142A4"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油类物质</w:t>
                  </w:r>
                </w:p>
              </w:tc>
              <w:tc>
                <w:tcPr>
                  <w:tcW w:w="665" w:type="pct"/>
                  <w:vAlign w:val="center"/>
                </w:tcPr>
                <w:p w14:paraId="1FD68EE8"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w:t>
                  </w:r>
                </w:p>
              </w:tc>
              <w:tc>
                <w:tcPr>
                  <w:tcW w:w="1076" w:type="pct"/>
                  <w:vAlign w:val="center"/>
                </w:tcPr>
                <w:p w14:paraId="0535218B" w14:textId="23320B3A" w:rsidR="003C4F46" w:rsidRDefault="00691223">
                  <w:pPr>
                    <w:spacing w:line="240" w:lineRule="auto"/>
                    <w:ind w:firstLineChars="0" w:firstLine="0"/>
                    <w:jc w:val="center"/>
                    <w:textAlignment w:val="auto"/>
                    <w:rPr>
                      <w:rFonts w:cs="Times New Roman"/>
                      <w:sz w:val="21"/>
                      <w:szCs w:val="21"/>
                    </w:rPr>
                  </w:pPr>
                  <w:r>
                    <w:rPr>
                      <w:rFonts w:cs="Times New Roman"/>
                      <w:sz w:val="21"/>
                      <w:szCs w:val="21"/>
                    </w:rPr>
                    <w:t>1377</w:t>
                  </w:r>
                </w:p>
              </w:tc>
              <w:tc>
                <w:tcPr>
                  <w:tcW w:w="838" w:type="pct"/>
                  <w:vAlign w:val="center"/>
                </w:tcPr>
                <w:p w14:paraId="62547B01"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2500</w:t>
                  </w:r>
                </w:p>
              </w:tc>
              <w:tc>
                <w:tcPr>
                  <w:tcW w:w="502" w:type="pct"/>
                  <w:vAlign w:val="center"/>
                </w:tcPr>
                <w:p w14:paraId="5DFFC754" w14:textId="5DBE46C3" w:rsidR="003C4F46" w:rsidRDefault="00691223">
                  <w:pPr>
                    <w:spacing w:line="240" w:lineRule="auto"/>
                    <w:ind w:firstLineChars="0" w:firstLine="0"/>
                    <w:jc w:val="center"/>
                    <w:textAlignment w:val="auto"/>
                    <w:rPr>
                      <w:rFonts w:cs="Times New Roman"/>
                      <w:sz w:val="21"/>
                      <w:szCs w:val="21"/>
                    </w:rPr>
                  </w:pPr>
                  <w:r>
                    <w:rPr>
                      <w:rFonts w:cs="Times New Roman"/>
                      <w:sz w:val="21"/>
                      <w:szCs w:val="21"/>
                    </w:rPr>
                    <w:t>0.5508</w:t>
                  </w:r>
                </w:p>
              </w:tc>
            </w:tr>
            <w:tr w:rsidR="003C4F46" w14:paraId="132BB021" w14:textId="77777777">
              <w:tc>
                <w:tcPr>
                  <w:tcW w:w="837" w:type="pct"/>
                  <w:vAlign w:val="center"/>
                </w:tcPr>
                <w:p w14:paraId="584BB17F" w14:textId="3E5CE88A" w:rsidR="003C4F46" w:rsidRDefault="004B6A81" w:rsidP="00AD32F2">
                  <w:pPr>
                    <w:spacing w:line="240" w:lineRule="auto"/>
                    <w:ind w:firstLineChars="0" w:firstLine="0"/>
                    <w:textAlignment w:val="auto"/>
                    <w:rPr>
                      <w:rFonts w:cs="Times New Roman"/>
                      <w:sz w:val="21"/>
                      <w:szCs w:val="21"/>
                    </w:rPr>
                  </w:pPr>
                  <w:r>
                    <w:rPr>
                      <w:rFonts w:cs="Times New Roman"/>
                      <w:sz w:val="21"/>
                      <w:szCs w:val="21"/>
                    </w:rPr>
                    <w:t>废铅蓄电池电解液</w:t>
                  </w:r>
                  <w:r w:rsidR="00AD32F2">
                    <w:rPr>
                      <w:rFonts w:cs="Times New Roman" w:hint="eastAsia"/>
                      <w:sz w:val="21"/>
                      <w:szCs w:val="21"/>
                    </w:rPr>
                    <w:t>H</w:t>
                  </w:r>
                  <w:r w:rsidR="00AD32F2">
                    <w:rPr>
                      <w:rFonts w:cs="Times New Roman"/>
                      <w:sz w:val="21"/>
                      <w:szCs w:val="21"/>
                    </w:rPr>
                    <w:t>W31</w:t>
                  </w:r>
                  <w:r>
                    <w:rPr>
                      <w:rFonts w:cs="Times New Roman"/>
                      <w:sz w:val="21"/>
                      <w:szCs w:val="21"/>
                    </w:rPr>
                    <w:t>（硫酸）</w:t>
                  </w:r>
                </w:p>
              </w:tc>
              <w:tc>
                <w:tcPr>
                  <w:tcW w:w="1082" w:type="pct"/>
                  <w:vAlign w:val="center"/>
                </w:tcPr>
                <w:p w14:paraId="6AE528E7"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硫酸</w:t>
                  </w:r>
                </w:p>
              </w:tc>
              <w:tc>
                <w:tcPr>
                  <w:tcW w:w="665" w:type="pct"/>
                  <w:vAlign w:val="center"/>
                </w:tcPr>
                <w:p w14:paraId="745F28F7"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7664-93-9</w:t>
                  </w:r>
                </w:p>
              </w:tc>
              <w:tc>
                <w:tcPr>
                  <w:tcW w:w="1076" w:type="pct"/>
                  <w:vAlign w:val="center"/>
                </w:tcPr>
                <w:p w14:paraId="01B38019"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1.6</w:t>
                  </w:r>
                  <w:r>
                    <w:rPr>
                      <w:rFonts w:cs="Times New Roman" w:hint="eastAsia"/>
                      <w:sz w:val="21"/>
                      <w:szCs w:val="21"/>
                    </w:rPr>
                    <w:t>×</w:t>
                  </w:r>
                  <w:r>
                    <w:rPr>
                      <w:rFonts w:cs="Times New Roman" w:hint="eastAsia"/>
                      <w:sz w:val="21"/>
                      <w:szCs w:val="21"/>
                    </w:rPr>
                    <w:t>18%</w:t>
                  </w:r>
                  <w:r>
                    <w:rPr>
                      <w:rFonts w:cs="Times New Roman" w:hint="eastAsia"/>
                      <w:sz w:val="21"/>
                      <w:szCs w:val="21"/>
                    </w:rPr>
                    <w:t>×</w:t>
                  </w:r>
                  <w:r>
                    <w:rPr>
                      <w:rFonts w:cs="Times New Roman" w:hint="eastAsia"/>
                      <w:sz w:val="21"/>
                      <w:szCs w:val="21"/>
                    </w:rPr>
                    <w:t>37.4%</w:t>
                  </w:r>
                  <w:r>
                    <w:rPr>
                      <w:rFonts w:cs="Times New Roman" w:hint="eastAsia"/>
                      <w:sz w:val="21"/>
                      <w:szCs w:val="21"/>
                    </w:rPr>
                    <w:t>≈</w:t>
                  </w:r>
                  <w:r>
                    <w:rPr>
                      <w:rFonts w:cs="Times New Roman" w:hint="eastAsia"/>
                      <w:sz w:val="21"/>
                      <w:szCs w:val="21"/>
                    </w:rPr>
                    <w:t>0.108</w:t>
                  </w:r>
                </w:p>
              </w:tc>
              <w:tc>
                <w:tcPr>
                  <w:tcW w:w="838" w:type="pct"/>
                  <w:vAlign w:val="center"/>
                </w:tcPr>
                <w:p w14:paraId="5E45F60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1</w:t>
                  </w:r>
                  <w:r>
                    <w:rPr>
                      <w:rFonts w:cs="Times New Roman"/>
                      <w:sz w:val="21"/>
                      <w:szCs w:val="21"/>
                    </w:rPr>
                    <w:t>0</w:t>
                  </w:r>
                </w:p>
              </w:tc>
              <w:tc>
                <w:tcPr>
                  <w:tcW w:w="502" w:type="pct"/>
                  <w:vAlign w:val="center"/>
                </w:tcPr>
                <w:p w14:paraId="3CFB63AD"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.0108</w:t>
                  </w:r>
                </w:p>
              </w:tc>
            </w:tr>
            <w:tr w:rsidR="003C4F46" w14:paraId="61FAC9C3" w14:textId="77777777" w:rsidTr="00CF46A4">
              <w:tc>
                <w:tcPr>
                  <w:tcW w:w="837" w:type="pct"/>
                  <w:vAlign w:val="center"/>
                </w:tcPr>
                <w:p w14:paraId="0E109205"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废有机溶剂</w:t>
                  </w:r>
                  <w:r>
                    <w:rPr>
                      <w:rFonts w:cs="Times New Roman"/>
                      <w:sz w:val="21"/>
                      <w:szCs w:val="21"/>
                    </w:rPr>
                    <w:t>HW06</w:t>
                  </w:r>
                </w:p>
              </w:tc>
              <w:tc>
                <w:tcPr>
                  <w:tcW w:w="1082" w:type="pct"/>
                  <w:vAlign w:val="center"/>
                </w:tcPr>
                <w:p w14:paraId="2CBE8DDA"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2554BB57" w14:textId="1BEE9DD8" w:rsidR="003C4F46"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w:t>
                  </w:r>
                </w:p>
              </w:tc>
              <w:tc>
                <w:tcPr>
                  <w:tcW w:w="1076" w:type="pct"/>
                  <w:vAlign w:val="center"/>
                </w:tcPr>
                <w:p w14:paraId="3EA3B599"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2</w:t>
                  </w:r>
                  <w:r>
                    <w:rPr>
                      <w:rFonts w:cs="Times New Roman"/>
                      <w:sz w:val="21"/>
                      <w:szCs w:val="21"/>
                    </w:rPr>
                    <w:t>0</w:t>
                  </w:r>
                </w:p>
              </w:tc>
              <w:tc>
                <w:tcPr>
                  <w:tcW w:w="838" w:type="pct"/>
                  <w:vAlign w:val="center"/>
                </w:tcPr>
                <w:p w14:paraId="297A82E1"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5</w:t>
                  </w:r>
                  <w:r>
                    <w:rPr>
                      <w:rFonts w:cs="Times New Roman"/>
                      <w:sz w:val="21"/>
                      <w:szCs w:val="21"/>
                    </w:rPr>
                    <w:t>0</w:t>
                  </w:r>
                </w:p>
              </w:tc>
              <w:tc>
                <w:tcPr>
                  <w:tcW w:w="502" w:type="pct"/>
                  <w:vAlign w:val="center"/>
                </w:tcPr>
                <w:p w14:paraId="5BFBB27A"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.4</w:t>
                  </w:r>
                </w:p>
              </w:tc>
            </w:tr>
            <w:tr w:rsidR="00CF46A4" w14:paraId="12AECD9A" w14:textId="77777777" w:rsidTr="00CF46A4">
              <w:tc>
                <w:tcPr>
                  <w:tcW w:w="837" w:type="pct"/>
                  <w:vAlign w:val="center"/>
                </w:tcPr>
                <w:p w14:paraId="6D1B16B4"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染料、涂料废物</w:t>
                  </w:r>
                  <w:r>
                    <w:rPr>
                      <w:rFonts w:cs="Times New Roman"/>
                      <w:color w:val="0F1115"/>
                      <w:sz w:val="21"/>
                      <w:szCs w:val="21"/>
                      <w:shd w:val="clear" w:color="auto" w:fill="FFFFFF"/>
                    </w:rPr>
                    <w:t>HW12</w:t>
                  </w:r>
                </w:p>
              </w:tc>
              <w:tc>
                <w:tcPr>
                  <w:tcW w:w="1082" w:type="pct"/>
                  <w:vAlign w:val="center"/>
                </w:tcPr>
                <w:p w14:paraId="4342E190"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77D439FC" w14:textId="32B7359F" w:rsidR="00CF46A4" w:rsidRDefault="00CF46A4" w:rsidP="00CF46A4">
                  <w:pPr>
                    <w:spacing w:line="240" w:lineRule="auto"/>
                    <w:ind w:firstLineChars="0" w:firstLine="0"/>
                    <w:jc w:val="center"/>
                    <w:textAlignment w:val="auto"/>
                    <w:rPr>
                      <w:rFonts w:cs="Times New Roman"/>
                      <w:sz w:val="21"/>
                      <w:szCs w:val="21"/>
                    </w:rPr>
                  </w:pPr>
                  <w:r w:rsidRPr="00BE50C4">
                    <w:rPr>
                      <w:rFonts w:cs="Times New Roman"/>
                      <w:sz w:val="21"/>
                      <w:szCs w:val="21"/>
                    </w:rPr>
                    <w:t>/</w:t>
                  </w:r>
                </w:p>
              </w:tc>
              <w:tc>
                <w:tcPr>
                  <w:tcW w:w="1076" w:type="pct"/>
                  <w:vAlign w:val="center"/>
                </w:tcPr>
                <w:p w14:paraId="23C16F3C"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2</w:t>
                  </w:r>
                </w:p>
              </w:tc>
              <w:tc>
                <w:tcPr>
                  <w:tcW w:w="838" w:type="pct"/>
                  <w:vAlign w:val="center"/>
                </w:tcPr>
                <w:p w14:paraId="4ED51FD8"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5</w:t>
                  </w:r>
                  <w:r>
                    <w:rPr>
                      <w:rFonts w:cs="Times New Roman"/>
                      <w:sz w:val="21"/>
                      <w:szCs w:val="21"/>
                    </w:rPr>
                    <w:t>0</w:t>
                  </w:r>
                </w:p>
              </w:tc>
              <w:tc>
                <w:tcPr>
                  <w:tcW w:w="502" w:type="pct"/>
                  <w:vAlign w:val="center"/>
                </w:tcPr>
                <w:p w14:paraId="61339382"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.04</w:t>
                  </w:r>
                </w:p>
              </w:tc>
            </w:tr>
            <w:tr w:rsidR="00CF46A4" w14:paraId="32BB8A37" w14:textId="77777777" w:rsidTr="00CF46A4">
              <w:tc>
                <w:tcPr>
                  <w:tcW w:w="837" w:type="pct"/>
                  <w:vAlign w:val="center"/>
                </w:tcPr>
                <w:p w14:paraId="57124B96"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有机树脂类废物</w:t>
                  </w:r>
                  <w:r>
                    <w:rPr>
                      <w:rFonts w:cs="Times New Roman"/>
                      <w:sz w:val="21"/>
                      <w:szCs w:val="21"/>
                    </w:rPr>
                    <w:t>HW13</w:t>
                  </w:r>
                </w:p>
              </w:tc>
              <w:tc>
                <w:tcPr>
                  <w:tcW w:w="1082" w:type="pct"/>
                  <w:vAlign w:val="center"/>
                </w:tcPr>
                <w:p w14:paraId="73EA8DA2"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08487F62" w14:textId="05EDD4D7" w:rsidR="00CF46A4" w:rsidRDefault="00CF46A4" w:rsidP="00CF46A4">
                  <w:pPr>
                    <w:spacing w:line="240" w:lineRule="auto"/>
                    <w:ind w:firstLineChars="0" w:firstLine="0"/>
                    <w:jc w:val="center"/>
                    <w:textAlignment w:val="auto"/>
                    <w:rPr>
                      <w:rFonts w:cs="Times New Roman"/>
                      <w:sz w:val="21"/>
                      <w:szCs w:val="21"/>
                    </w:rPr>
                  </w:pPr>
                  <w:r w:rsidRPr="00BE50C4">
                    <w:rPr>
                      <w:rFonts w:cs="Times New Roman"/>
                      <w:sz w:val="21"/>
                      <w:szCs w:val="21"/>
                    </w:rPr>
                    <w:t>/</w:t>
                  </w:r>
                </w:p>
              </w:tc>
              <w:tc>
                <w:tcPr>
                  <w:tcW w:w="1076" w:type="pct"/>
                  <w:vAlign w:val="center"/>
                </w:tcPr>
                <w:p w14:paraId="604B8C12"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5</w:t>
                  </w:r>
                </w:p>
              </w:tc>
              <w:tc>
                <w:tcPr>
                  <w:tcW w:w="838" w:type="pct"/>
                  <w:vAlign w:val="center"/>
                </w:tcPr>
                <w:p w14:paraId="4D497497"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5</w:t>
                  </w:r>
                  <w:r>
                    <w:rPr>
                      <w:rFonts w:cs="Times New Roman"/>
                      <w:sz w:val="21"/>
                      <w:szCs w:val="21"/>
                    </w:rPr>
                    <w:t>0</w:t>
                  </w:r>
                </w:p>
              </w:tc>
              <w:tc>
                <w:tcPr>
                  <w:tcW w:w="502" w:type="pct"/>
                  <w:vAlign w:val="center"/>
                </w:tcPr>
                <w:p w14:paraId="160AADD5"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.1</w:t>
                  </w:r>
                </w:p>
              </w:tc>
            </w:tr>
            <w:tr w:rsidR="00CF46A4" w14:paraId="33CE1588" w14:textId="77777777" w:rsidTr="00CF46A4">
              <w:tc>
                <w:tcPr>
                  <w:tcW w:w="837" w:type="pct"/>
                  <w:vAlign w:val="center"/>
                </w:tcPr>
                <w:p w14:paraId="5FB21E8B"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感光材料废物</w:t>
                  </w:r>
                  <w:r>
                    <w:rPr>
                      <w:rFonts w:cs="Times New Roman" w:hint="eastAsia"/>
                      <w:sz w:val="21"/>
                      <w:szCs w:val="21"/>
                    </w:rPr>
                    <w:t>HW16</w:t>
                  </w:r>
                </w:p>
              </w:tc>
              <w:tc>
                <w:tcPr>
                  <w:tcW w:w="1082" w:type="pct"/>
                  <w:vAlign w:val="center"/>
                </w:tcPr>
                <w:p w14:paraId="4F4AAE09"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7F036C8D" w14:textId="0E371D12" w:rsidR="00CF46A4" w:rsidRDefault="00CF46A4" w:rsidP="00CF46A4">
                  <w:pPr>
                    <w:spacing w:line="240" w:lineRule="auto"/>
                    <w:ind w:firstLineChars="0" w:firstLine="0"/>
                    <w:jc w:val="center"/>
                    <w:textAlignment w:val="auto"/>
                    <w:rPr>
                      <w:rFonts w:cs="Times New Roman"/>
                      <w:sz w:val="21"/>
                      <w:szCs w:val="21"/>
                    </w:rPr>
                  </w:pPr>
                  <w:r w:rsidRPr="00BE50C4">
                    <w:rPr>
                      <w:rFonts w:cs="Times New Roman"/>
                      <w:sz w:val="21"/>
                      <w:szCs w:val="21"/>
                    </w:rPr>
                    <w:t>/</w:t>
                  </w:r>
                </w:p>
              </w:tc>
              <w:tc>
                <w:tcPr>
                  <w:tcW w:w="1076" w:type="pct"/>
                  <w:vAlign w:val="center"/>
                </w:tcPr>
                <w:p w14:paraId="416862E5"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2</w:t>
                  </w:r>
                </w:p>
              </w:tc>
              <w:tc>
                <w:tcPr>
                  <w:tcW w:w="838" w:type="pct"/>
                  <w:vAlign w:val="center"/>
                </w:tcPr>
                <w:p w14:paraId="5CA6C6D4"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50</w:t>
                  </w:r>
                </w:p>
              </w:tc>
              <w:tc>
                <w:tcPr>
                  <w:tcW w:w="502" w:type="pct"/>
                  <w:vAlign w:val="center"/>
                </w:tcPr>
                <w:p w14:paraId="0526927A"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0.04</w:t>
                  </w:r>
                </w:p>
              </w:tc>
            </w:tr>
            <w:tr w:rsidR="003C4F46" w14:paraId="527C74FE" w14:textId="77777777" w:rsidTr="00CF46A4">
              <w:tc>
                <w:tcPr>
                  <w:tcW w:w="837" w:type="pct"/>
                  <w:vAlign w:val="center"/>
                </w:tcPr>
                <w:p w14:paraId="041CD9A0"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含汞废物</w:t>
                  </w:r>
                  <w:r>
                    <w:rPr>
                      <w:rFonts w:cs="Times New Roman" w:hint="eastAsia"/>
                      <w:sz w:val="21"/>
                      <w:szCs w:val="21"/>
                    </w:rPr>
                    <w:t>HW29</w:t>
                  </w:r>
                </w:p>
              </w:tc>
              <w:tc>
                <w:tcPr>
                  <w:tcW w:w="1082" w:type="pct"/>
                  <w:vAlign w:val="center"/>
                </w:tcPr>
                <w:p w14:paraId="61D59315"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汞</w:t>
                  </w:r>
                </w:p>
              </w:tc>
              <w:tc>
                <w:tcPr>
                  <w:tcW w:w="665" w:type="pct"/>
                  <w:vAlign w:val="center"/>
                </w:tcPr>
                <w:p w14:paraId="5978832A" w14:textId="77777777" w:rsidR="003C4F46" w:rsidRDefault="004B6A81" w:rsidP="00CF46A4">
                  <w:pPr>
                    <w:spacing w:line="240" w:lineRule="auto"/>
                    <w:ind w:firstLineChars="0" w:firstLine="0"/>
                    <w:jc w:val="center"/>
                    <w:textAlignment w:val="auto"/>
                    <w:rPr>
                      <w:rFonts w:cs="Times New Roman"/>
                      <w:sz w:val="21"/>
                      <w:szCs w:val="21"/>
                    </w:rPr>
                  </w:pPr>
                  <w:r>
                    <w:rPr>
                      <w:rFonts w:cs="Times New Roman"/>
                      <w:sz w:val="21"/>
                      <w:szCs w:val="21"/>
                    </w:rPr>
                    <w:t>7439-97-6</w:t>
                  </w:r>
                </w:p>
              </w:tc>
              <w:tc>
                <w:tcPr>
                  <w:tcW w:w="1076" w:type="pct"/>
                  <w:vAlign w:val="center"/>
                </w:tcPr>
                <w:p w14:paraId="7F4CC9BB"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2</w:t>
                  </w:r>
                </w:p>
              </w:tc>
              <w:tc>
                <w:tcPr>
                  <w:tcW w:w="838" w:type="pct"/>
                  <w:vAlign w:val="center"/>
                </w:tcPr>
                <w:p w14:paraId="3FE40538" w14:textId="77777777" w:rsidR="003C4F46" w:rsidRDefault="004B6A81">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.5</w:t>
                  </w:r>
                </w:p>
              </w:tc>
              <w:tc>
                <w:tcPr>
                  <w:tcW w:w="502" w:type="pct"/>
                  <w:vAlign w:val="center"/>
                </w:tcPr>
                <w:p w14:paraId="29A8F99B"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t>4</w:t>
                  </w:r>
                </w:p>
              </w:tc>
            </w:tr>
            <w:tr w:rsidR="00CF46A4" w14:paraId="56017335" w14:textId="77777777" w:rsidTr="00CF46A4">
              <w:tc>
                <w:tcPr>
                  <w:tcW w:w="837" w:type="pct"/>
                  <w:vAlign w:val="center"/>
                </w:tcPr>
                <w:p w14:paraId="0BA10B45"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含铅废物</w:t>
                  </w:r>
                  <w:r>
                    <w:rPr>
                      <w:rFonts w:cs="Times New Roman"/>
                      <w:sz w:val="21"/>
                      <w:szCs w:val="21"/>
                    </w:rPr>
                    <w:t>HW31</w:t>
                  </w:r>
                </w:p>
              </w:tc>
              <w:tc>
                <w:tcPr>
                  <w:tcW w:w="1082" w:type="pct"/>
                  <w:vAlign w:val="center"/>
                </w:tcPr>
                <w:p w14:paraId="3C3A051F"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18E352CD" w14:textId="3DD3014E" w:rsidR="00CF46A4" w:rsidRDefault="00CF46A4" w:rsidP="00CF46A4">
                  <w:pPr>
                    <w:spacing w:line="240" w:lineRule="auto"/>
                    <w:ind w:firstLineChars="0" w:firstLine="0"/>
                    <w:jc w:val="center"/>
                    <w:textAlignment w:val="auto"/>
                    <w:rPr>
                      <w:rFonts w:cs="Times New Roman"/>
                      <w:sz w:val="21"/>
                      <w:szCs w:val="21"/>
                    </w:rPr>
                  </w:pPr>
                  <w:r w:rsidRPr="000A1687">
                    <w:rPr>
                      <w:rFonts w:cs="Times New Roman"/>
                      <w:sz w:val="21"/>
                      <w:szCs w:val="21"/>
                    </w:rPr>
                    <w:t>/</w:t>
                  </w:r>
                </w:p>
              </w:tc>
              <w:tc>
                <w:tcPr>
                  <w:tcW w:w="1076" w:type="pct"/>
                  <w:vAlign w:val="center"/>
                </w:tcPr>
                <w:p w14:paraId="63EC4276"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3</w:t>
                  </w:r>
                  <w:r>
                    <w:rPr>
                      <w:rFonts w:cs="Times New Roman"/>
                      <w:sz w:val="21"/>
                      <w:szCs w:val="21"/>
                    </w:rPr>
                    <w:t>0</w:t>
                  </w:r>
                </w:p>
              </w:tc>
              <w:tc>
                <w:tcPr>
                  <w:tcW w:w="838" w:type="pct"/>
                  <w:vAlign w:val="center"/>
                </w:tcPr>
                <w:p w14:paraId="79BE8759"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50</w:t>
                  </w:r>
                </w:p>
              </w:tc>
              <w:tc>
                <w:tcPr>
                  <w:tcW w:w="502" w:type="pct"/>
                  <w:vAlign w:val="center"/>
                </w:tcPr>
                <w:p w14:paraId="1D5B6369"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.6</w:t>
                  </w:r>
                </w:p>
              </w:tc>
            </w:tr>
            <w:tr w:rsidR="00CF46A4" w14:paraId="5F822487" w14:textId="77777777" w:rsidTr="00CF46A4">
              <w:tc>
                <w:tcPr>
                  <w:tcW w:w="837" w:type="pct"/>
                  <w:vAlign w:val="center"/>
                </w:tcPr>
                <w:p w14:paraId="10AD9DB6"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废催化剂</w:t>
                  </w:r>
                  <w:r>
                    <w:rPr>
                      <w:rFonts w:cs="Times New Roman"/>
                      <w:sz w:val="21"/>
                      <w:szCs w:val="21"/>
                    </w:rPr>
                    <w:t>HW50</w:t>
                  </w:r>
                </w:p>
              </w:tc>
              <w:tc>
                <w:tcPr>
                  <w:tcW w:w="1082" w:type="pct"/>
                  <w:vAlign w:val="center"/>
                </w:tcPr>
                <w:p w14:paraId="6F880058"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4F8216C5" w14:textId="258421D2" w:rsidR="00CF46A4" w:rsidRDefault="00CF46A4" w:rsidP="00CF46A4">
                  <w:pPr>
                    <w:spacing w:line="240" w:lineRule="auto"/>
                    <w:ind w:firstLineChars="0" w:firstLine="0"/>
                    <w:jc w:val="center"/>
                    <w:textAlignment w:val="auto"/>
                    <w:rPr>
                      <w:rFonts w:cs="Times New Roman"/>
                      <w:sz w:val="21"/>
                      <w:szCs w:val="21"/>
                    </w:rPr>
                  </w:pPr>
                  <w:r w:rsidRPr="000A1687">
                    <w:rPr>
                      <w:rFonts w:cs="Times New Roman"/>
                      <w:sz w:val="21"/>
                      <w:szCs w:val="21"/>
                    </w:rPr>
                    <w:t>/</w:t>
                  </w:r>
                </w:p>
              </w:tc>
              <w:tc>
                <w:tcPr>
                  <w:tcW w:w="1076" w:type="pct"/>
                  <w:vAlign w:val="center"/>
                </w:tcPr>
                <w:p w14:paraId="4CB0657F"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1</w:t>
                  </w:r>
                  <w:r>
                    <w:rPr>
                      <w:rFonts w:cs="Times New Roman"/>
                      <w:sz w:val="21"/>
                      <w:szCs w:val="21"/>
                    </w:rPr>
                    <w:t>0</w:t>
                  </w:r>
                </w:p>
              </w:tc>
              <w:tc>
                <w:tcPr>
                  <w:tcW w:w="838" w:type="pct"/>
                  <w:vAlign w:val="center"/>
                </w:tcPr>
                <w:p w14:paraId="2632A27D"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50</w:t>
                  </w:r>
                </w:p>
              </w:tc>
              <w:tc>
                <w:tcPr>
                  <w:tcW w:w="502" w:type="pct"/>
                  <w:vAlign w:val="center"/>
                </w:tcPr>
                <w:p w14:paraId="7F9057B8"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.2</w:t>
                  </w:r>
                </w:p>
              </w:tc>
            </w:tr>
            <w:tr w:rsidR="00CF46A4" w14:paraId="110CDF29" w14:textId="77777777" w:rsidTr="00CF46A4">
              <w:tc>
                <w:tcPr>
                  <w:tcW w:w="837" w:type="pct"/>
                  <w:vAlign w:val="center"/>
                </w:tcPr>
                <w:p w14:paraId="1EC04475"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其他废物</w:t>
                  </w:r>
                  <w:r>
                    <w:rPr>
                      <w:rFonts w:cs="Times New Roman"/>
                      <w:sz w:val="21"/>
                      <w:szCs w:val="21"/>
                    </w:rPr>
                    <w:t>HW49</w:t>
                  </w:r>
                </w:p>
              </w:tc>
              <w:tc>
                <w:tcPr>
                  <w:tcW w:w="1082" w:type="pct"/>
                  <w:vAlign w:val="center"/>
                </w:tcPr>
                <w:p w14:paraId="510F082E"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健康危险急性毒性物质（类别</w:t>
                  </w:r>
                  <w:r>
                    <w:rPr>
                      <w:rFonts w:cs="Times New Roman" w:hint="eastAsia"/>
                      <w:sz w:val="21"/>
                      <w:szCs w:val="21"/>
                    </w:rPr>
                    <w:t>2</w:t>
                  </w:r>
                  <w:r>
                    <w:rPr>
                      <w:rFonts w:cs="Times New Roman" w:hint="eastAsia"/>
                      <w:sz w:val="21"/>
                      <w:szCs w:val="21"/>
                    </w:rPr>
                    <w:t>）</w:t>
                  </w:r>
                </w:p>
              </w:tc>
              <w:tc>
                <w:tcPr>
                  <w:tcW w:w="665" w:type="pct"/>
                  <w:vAlign w:val="center"/>
                </w:tcPr>
                <w:p w14:paraId="48B9B815" w14:textId="29EEEAA7" w:rsidR="00CF46A4" w:rsidRDefault="00CF46A4" w:rsidP="00CF46A4">
                  <w:pPr>
                    <w:spacing w:line="240" w:lineRule="auto"/>
                    <w:ind w:firstLineChars="0" w:firstLine="0"/>
                    <w:jc w:val="center"/>
                    <w:textAlignment w:val="auto"/>
                    <w:rPr>
                      <w:rFonts w:cs="Times New Roman"/>
                      <w:sz w:val="21"/>
                      <w:szCs w:val="21"/>
                    </w:rPr>
                  </w:pPr>
                  <w:r w:rsidRPr="000A1687">
                    <w:rPr>
                      <w:rFonts w:cs="Times New Roman"/>
                      <w:sz w:val="21"/>
                      <w:szCs w:val="21"/>
                    </w:rPr>
                    <w:t>/</w:t>
                  </w:r>
                </w:p>
              </w:tc>
              <w:tc>
                <w:tcPr>
                  <w:tcW w:w="1076" w:type="pct"/>
                  <w:vAlign w:val="center"/>
                </w:tcPr>
                <w:p w14:paraId="17D7E2A3"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1</w:t>
                  </w:r>
                  <w:r>
                    <w:rPr>
                      <w:rFonts w:cs="Times New Roman"/>
                      <w:sz w:val="21"/>
                      <w:szCs w:val="21"/>
                    </w:rPr>
                    <w:t>5</w:t>
                  </w:r>
                </w:p>
              </w:tc>
              <w:tc>
                <w:tcPr>
                  <w:tcW w:w="838" w:type="pct"/>
                  <w:vAlign w:val="center"/>
                </w:tcPr>
                <w:p w14:paraId="501E34FF"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sz w:val="21"/>
                      <w:szCs w:val="21"/>
                    </w:rPr>
                    <w:t>50</w:t>
                  </w:r>
                </w:p>
              </w:tc>
              <w:tc>
                <w:tcPr>
                  <w:tcW w:w="502" w:type="pct"/>
                  <w:vAlign w:val="center"/>
                </w:tcPr>
                <w:p w14:paraId="31E3F3CD" w14:textId="77777777" w:rsidR="00CF46A4" w:rsidRDefault="00CF46A4" w:rsidP="00CF46A4">
                  <w:pPr>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.3</w:t>
                  </w:r>
                </w:p>
              </w:tc>
            </w:tr>
            <w:tr w:rsidR="003C4F46" w14:paraId="136469FB" w14:textId="77777777">
              <w:tc>
                <w:tcPr>
                  <w:tcW w:w="4498" w:type="pct"/>
                  <w:gridSpan w:val="5"/>
                  <w:vAlign w:val="center"/>
                </w:tcPr>
                <w:p w14:paraId="35D9D9A6" w14:textId="77777777" w:rsidR="003C4F46" w:rsidRDefault="004B6A81">
                  <w:pPr>
                    <w:spacing w:line="240" w:lineRule="auto"/>
                    <w:ind w:firstLineChars="0" w:firstLine="0"/>
                    <w:jc w:val="center"/>
                    <w:textAlignment w:val="auto"/>
                    <w:rPr>
                      <w:rFonts w:cs="Times New Roman"/>
                      <w:sz w:val="21"/>
                      <w:szCs w:val="21"/>
                    </w:rPr>
                  </w:pPr>
                  <w:r>
                    <w:rPr>
                      <w:rFonts w:cs="Times New Roman"/>
                      <w:sz w:val="21"/>
                      <w:szCs w:val="21"/>
                    </w:rPr>
                    <w:lastRenderedPageBreak/>
                    <w:t>合计</w:t>
                  </w:r>
                </w:p>
              </w:tc>
              <w:tc>
                <w:tcPr>
                  <w:tcW w:w="502" w:type="pct"/>
                  <w:vAlign w:val="center"/>
                </w:tcPr>
                <w:p w14:paraId="017F802A" w14:textId="1F797E7E" w:rsidR="003C4F46" w:rsidRDefault="00691223">
                  <w:pPr>
                    <w:spacing w:line="240" w:lineRule="auto"/>
                    <w:ind w:firstLineChars="0" w:firstLine="0"/>
                    <w:jc w:val="center"/>
                    <w:textAlignment w:val="auto"/>
                    <w:rPr>
                      <w:rFonts w:cs="Times New Roman"/>
                      <w:sz w:val="21"/>
                      <w:szCs w:val="21"/>
                    </w:rPr>
                  </w:pPr>
                  <w:r>
                    <w:rPr>
                      <w:rFonts w:cs="Times New Roman"/>
                      <w:sz w:val="21"/>
                      <w:szCs w:val="21"/>
                    </w:rPr>
                    <w:t>6.2416</w:t>
                  </w:r>
                </w:p>
              </w:tc>
            </w:tr>
            <w:tr w:rsidR="003C4F46" w14:paraId="29605246" w14:textId="77777777">
              <w:tc>
                <w:tcPr>
                  <w:tcW w:w="5000" w:type="pct"/>
                  <w:gridSpan w:val="6"/>
                  <w:vAlign w:val="center"/>
                </w:tcPr>
                <w:p w14:paraId="0E4287CC" w14:textId="77777777" w:rsidR="003C4F46" w:rsidRDefault="004B6A81">
                  <w:pPr>
                    <w:spacing w:line="240" w:lineRule="auto"/>
                    <w:ind w:firstLineChars="0" w:firstLine="0"/>
                    <w:textAlignment w:val="auto"/>
                    <w:rPr>
                      <w:rFonts w:cs="Times New Roman"/>
                      <w:sz w:val="21"/>
                      <w:szCs w:val="21"/>
                    </w:rPr>
                  </w:pPr>
                  <w:r>
                    <w:rPr>
                      <w:rFonts w:cs="Times New Roman" w:hint="eastAsia"/>
                      <w:sz w:val="21"/>
                      <w:szCs w:val="21"/>
                    </w:rPr>
                    <w:t>注：①废铅蓄电池最大贮存量</w:t>
                  </w:r>
                  <w:r>
                    <w:rPr>
                      <w:rFonts w:cs="Times New Roman" w:hint="eastAsia"/>
                      <w:sz w:val="21"/>
                      <w:szCs w:val="21"/>
                    </w:rPr>
                    <w:t>30t</w:t>
                  </w:r>
                  <w:r>
                    <w:rPr>
                      <w:rFonts w:cs="Times New Roman" w:hint="eastAsia"/>
                      <w:sz w:val="21"/>
                      <w:szCs w:val="21"/>
                    </w:rPr>
                    <w:t>，电解液占比约</w:t>
                  </w:r>
                  <w:r>
                    <w:rPr>
                      <w:rFonts w:cs="Times New Roman" w:hint="eastAsia"/>
                      <w:sz w:val="21"/>
                      <w:szCs w:val="21"/>
                    </w:rPr>
                    <w:t>18%</w:t>
                  </w:r>
                  <w:r>
                    <w:rPr>
                      <w:rFonts w:cs="Times New Roman" w:hint="eastAsia"/>
                      <w:sz w:val="21"/>
                      <w:szCs w:val="21"/>
                    </w:rPr>
                    <w:t>，硫酸含量约</w:t>
                  </w:r>
                  <w:r>
                    <w:rPr>
                      <w:rFonts w:cs="Times New Roman" w:hint="eastAsia"/>
                      <w:sz w:val="21"/>
                      <w:szCs w:val="21"/>
                    </w:rPr>
                    <w:t>37.4%</w:t>
                  </w:r>
                  <w:r>
                    <w:rPr>
                      <w:rFonts w:cs="Times New Roman" w:hint="eastAsia"/>
                      <w:sz w:val="21"/>
                      <w:szCs w:val="21"/>
                    </w:rPr>
                    <w:t>，折算硫酸最大存在量约</w:t>
                  </w:r>
                  <w:r>
                    <w:rPr>
                      <w:rFonts w:cs="Times New Roman" w:hint="eastAsia"/>
                      <w:sz w:val="21"/>
                      <w:szCs w:val="21"/>
                    </w:rPr>
                    <w:t>0.108t</w:t>
                  </w:r>
                  <w:r>
                    <w:rPr>
                      <w:rFonts w:cs="Times New Roman" w:hint="eastAsia"/>
                      <w:sz w:val="21"/>
                      <w:szCs w:val="21"/>
                    </w:rPr>
                    <w:t>；②</w:t>
                  </w:r>
                  <w:r>
                    <w:rPr>
                      <w:rFonts w:cs="Times New Roman" w:hint="eastAsia"/>
                      <w:sz w:val="21"/>
                      <w:szCs w:val="21"/>
                    </w:rPr>
                    <w:t>HW29</w:t>
                  </w:r>
                  <w:r>
                    <w:rPr>
                      <w:rFonts w:cs="Times New Roman" w:hint="eastAsia"/>
                      <w:sz w:val="21"/>
                      <w:szCs w:val="21"/>
                    </w:rPr>
                    <w:t>含汞废物临界量参照</w:t>
                  </w:r>
                  <w:r>
                    <w:rPr>
                      <w:rFonts w:cs="Times New Roman" w:hint="eastAsia"/>
                      <w:sz w:val="21"/>
                      <w:szCs w:val="21"/>
                    </w:rPr>
                    <w:t>HJ169-2018</w:t>
                  </w:r>
                  <w:r>
                    <w:rPr>
                      <w:rFonts w:cs="Times New Roman" w:hint="eastAsia"/>
                      <w:sz w:val="21"/>
                      <w:szCs w:val="21"/>
                    </w:rPr>
                    <w:t>表</w:t>
                  </w:r>
                  <w:r>
                    <w:rPr>
                      <w:rFonts w:cs="Times New Roman" w:hint="eastAsia"/>
                      <w:sz w:val="21"/>
                      <w:szCs w:val="21"/>
                    </w:rPr>
                    <w:t>B.1</w:t>
                  </w:r>
                  <w:r>
                    <w:rPr>
                      <w:rFonts w:cs="Times New Roman" w:hint="eastAsia"/>
                      <w:sz w:val="21"/>
                      <w:szCs w:val="21"/>
                    </w:rPr>
                    <w:t>中汞及其化合物的临界量</w:t>
                  </w:r>
                  <w:r>
                    <w:rPr>
                      <w:rFonts w:cs="Times New Roman" w:hint="eastAsia"/>
                      <w:sz w:val="21"/>
                      <w:szCs w:val="21"/>
                    </w:rPr>
                    <w:t>0.5t</w:t>
                  </w:r>
                  <w:r>
                    <w:rPr>
                      <w:rFonts w:cs="Times New Roman" w:hint="eastAsia"/>
                      <w:sz w:val="21"/>
                      <w:szCs w:val="21"/>
                    </w:rPr>
                    <w:t>；③</w:t>
                  </w:r>
                  <w:r>
                    <w:rPr>
                      <w:rFonts w:cs="Times New Roman" w:hint="eastAsia"/>
                      <w:sz w:val="21"/>
                      <w:szCs w:val="21"/>
                    </w:rPr>
                    <w:t>HW06</w:t>
                  </w:r>
                  <w:r>
                    <w:rPr>
                      <w:rFonts w:cs="Times New Roman" w:hint="eastAsia"/>
                      <w:sz w:val="21"/>
                      <w:szCs w:val="21"/>
                    </w:rPr>
                    <w:t>、</w:t>
                  </w:r>
                  <w:r>
                    <w:rPr>
                      <w:rFonts w:cs="Times New Roman" w:hint="eastAsia"/>
                      <w:sz w:val="21"/>
                      <w:szCs w:val="21"/>
                    </w:rPr>
                    <w:t>HW12</w:t>
                  </w:r>
                  <w:r>
                    <w:rPr>
                      <w:rFonts w:cs="Times New Roman" w:hint="eastAsia"/>
                      <w:sz w:val="21"/>
                      <w:szCs w:val="21"/>
                    </w:rPr>
                    <w:t>、</w:t>
                  </w:r>
                  <w:r>
                    <w:rPr>
                      <w:rFonts w:cs="Times New Roman" w:hint="eastAsia"/>
                      <w:sz w:val="21"/>
                      <w:szCs w:val="21"/>
                    </w:rPr>
                    <w:t>HW13</w:t>
                  </w:r>
                  <w:r>
                    <w:rPr>
                      <w:rFonts w:cs="Times New Roman" w:hint="eastAsia"/>
                      <w:sz w:val="21"/>
                      <w:szCs w:val="21"/>
                    </w:rPr>
                    <w:t>、</w:t>
                  </w:r>
                  <w:r>
                    <w:rPr>
                      <w:rFonts w:cs="Times New Roman" w:hint="eastAsia"/>
                      <w:sz w:val="21"/>
                      <w:szCs w:val="21"/>
                    </w:rPr>
                    <w:t>HW16</w:t>
                  </w:r>
                  <w:r>
                    <w:rPr>
                      <w:rFonts w:cs="Times New Roman" w:hint="eastAsia"/>
                      <w:sz w:val="21"/>
                      <w:szCs w:val="21"/>
                    </w:rPr>
                    <w:t>、</w:t>
                  </w:r>
                  <w:r>
                    <w:rPr>
                      <w:rFonts w:cs="Times New Roman" w:hint="eastAsia"/>
                      <w:sz w:val="21"/>
                      <w:szCs w:val="21"/>
                    </w:rPr>
                    <w:t>HW31</w:t>
                  </w:r>
                  <w:r>
                    <w:rPr>
                      <w:rFonts w:cs="Times New Roman" w:hint="eastAsia"/>
                      <w:sz w:val="21"/>
                      <w:szCs w:val="21"/>
                    </w:rPr>
                    <w:t>、</w:t>
                  </w:r>
                  <w:r>
                    <w:rPr>
                      <w:rFonts w:cs="Times New Roman" w:hint="eastAsia"/>
                      <w:sz w:val="21"/>
                      <w:szCs w:val="21"/>
                    </w:rPr>
                    <w:t>HW49</w:t>
                  </w:r>
                  <w:r>
                    <w:rPr>
                      <w:rFonts w:cs="Times New Roman" w:hint="eastAsia"/>
                      <w:sz w:val="21"/>
                      <w:szCs w:val="21"/>
                    </w:rPr>
                    <w:t>、</w:t>
                  </w:r>
                  <w:r>
                    <w:rPr>
                      <w:rFonts w:cs="Times New Roman" w:hint="eastAsia"/>
                      <w:sz w:val="21"/>
                      <w:szCs w:val="21"/>
                    </w:rPr>
                    <w:t>HW50</w:t>
                  </w:r>
                  <w:r>
                    <w:rPr>
                      <w:rFonts w:cs="Times New Roman" w:hint="eastAsia"/>
                      <w:sz w:val="21"/>
                      <w:szCs w:val="21"/>
                    </w:rPr>
                    <w:t>临界量参照</w:t>
                  </w:r>
                  <w:r>
                    <w:rPr>
                      <w:rFonts w:cs="Times New Roman" w:hint="eastAsia"/>
                      <w:sz w:val="21"/>
                      <w:szCs w:val="21"/>
                    </w:rPr>
                    <w:t>HJ169-2018</w:t>
                  </w:r>
                  <w:r>
                    <w:rPr>
                      <w:rFonts w:cs="Times New Roman" w:hint="eastAsia"/>
                      <w:sz w:val="21"/>
                      <w:szCs w:val="21"/>
                    </w:rPr>
                    <w:t>附录</w:t>
                  </w:r>
                  <w:r>
                    <w:rPr>
                      <w:rFonts w:cs="Times New Roman" w:hint="eastAsia"/>
                      <w:sz w:val="21"/>
                      <w:szCs w:val="21"/>
                    </w:rPr>
                    <w:t>B.2</w:t>
                  </w:r>
                  <w:r>
                    <w:rPr>
                      <w:rFonts w:cs="Times New Roman" w:hint="eastAsia"/>
                      <w:sz w:val="21"/>
                      <w:szCs w:val="21"/>
                    </w:rPr>
                    <w:t>中“健康危险急性毒性物质（类别</w:t>
                  </w:r>
                  <w:r>
                    <w:rPr>
                      <w:rFonts w:cs="Times New Roman" w:hint="eastAsia"/>
                      <w:sz w:val="21"/>
                      <w:szCs w:val="21"/>
                    </w:rPr>
                    <w:t>2</w:t>
                  </w:r>
                  <w:r>
                    <w:rPr>
                      <w:rFonts w:cs="Times New Roman" w:hint="eastAsia"/>
                      <w:sz w:val="21"/>
                      <w:szCs w:val="21"/>
                    </w:rPr>
                    <w:t>，类别</w:t>
                  </w:r>
                  <w:r>
                    <w:rPr>
                      <w:rFonts w:cs="Times New Roman" w:hint="eastAsia"/>
                      <w:sz w:val="21"/>
                      <w:szCs w:val="21"/>
                    </w:rPr>
                    <w:t>3</w:t>
                  </w:r>
                  <w:r>
                    <w:rPr>
                      <w:rFonts w:cs="Times New Roman" w:hint="eastAsia"/>
                      <w:sz w:val="21"/>
                      <w:szCs w:val="21"/>
                    </w:rPr>
                    <w:t>）”的临界量</w:t>
                  </w:r>
                  <w:r>
                    <w:rPr>
                      <w:rFonts w:cs="Times New Roman" w:hint="eastAsia"/>
                      <w:sz w:val="21"/>
                      <w:szCs w:val="21"/>
                    </w:rPr>
                    <w:t>50t</w:t>
                  </w:r>
                </w:p>
              </w:tc>
            </w:tr>
          </w:tbl>
          <w:p w14:paraId="2D0CDF30" w14:textId="2994C8BE" w:rsidR="003C4F46" w:rsidRDefault="004B6A81" w:rsidP="000228A3">
            <w:pPr>
              <w:adjustRightInd w:val="0"/>
              <w:snapToGrid w:val="0"/>
              <w:ind w:firstLine="480"/>
              <w:rPr>
                <w:rFonts w:cs="Times New Roman"/>
                <w:bCs/>
                <w:szCs w:val="24"/>
              </w:rPr>
            </w:pPr>
            <w:r>
              <w:rPr>
                <w:rFonts w:cs="Times New Roman" w:hint="eastAsia"/>
                <w:bCs/>
                <w:szCs w:val="24"/>
              </w:rPr>
              <w:t>经计算，本项目</w:t>
            </w:r>
            <w:r>
              <w:rPr>
                <w:rFonts w:cs="Times New Roman" w:hint="eastAsia"/>
                <w:bCs/>
                <w:szCs w:val="24"/>
              </w:rPr>
              <w:t>Q=</w:t>
            </w:r>
            <w:r w:rsidR="00691223" w:rsidRPr="00691223">
              <w:rPr>
                <w:rFonts w:cs="Times New Roman"/>
                <w:bCs/>
                <w:szCs w:val="24"/>
              </w:rPr>
              <w:t>6.2416</w:t>
            </w:r>
            <w:r>
              <w:rPr>
                <w:rFonts w:cs="Times New Roman" w:hint="eastAsia"/>
                <w:bCs/>
                <w:szCs w:val="24"/>
              </w:rPr>
              <w:t>，属于</w:t>
            </w:r>
            <w:r>
              <w:rPr>
                <w:rFonts w:cs="Times New Roman" w:hint="eastAsia"/>
                <w:bCs/>
                <w:szCs w:val="24"/>
              </w:rPr>
              <w:t>1</w:t>
            </w:r>
            <w:r>
              <w:rPr>
                <w:rFonts w:cs="Times New Roman" w:hint="eastAsia"/>
                <w:bCs/>
                <w:szCs w:val="24"/>
              </w:rPr>
              <w:t>≤</w:t>
            </w:r>
            <w:r>
              <w:rPr>
                <w:rFonts w:cs="Times New Roman" w:hint="eastAsia"/>
                <w:bCs/>
                <w:szCs w:val="24"/>
              </w:rPr>
              <w:t>Q</w:t>
            </w:r>
            <w:r>
              <w:rPr>
                <w:rFonts w:cs="Times New Roman" w:hint="eastAsia"/>
                <w:bCs/>
                <w:szCs w:val="24"/>
              </w:rPr>
              <w:t>＜</w:t>
            </w:r>
            <w:r>
              <w:rPr>
                <w:rFonts w:cs="Times New Roman" w:hint="eastAsia"/>
                <w:bCs/>
                <w:szCs w:val="24"/>
              </w:rPr>
              <w:t>10</w:t>
            </w:r>
            <w:r>
              <w:rPr>
                <w:rFonts w:cs="Times New Roman" w:hint="eastAsia"/>
                <w:bCs/>
                <w:szCs w:val="24"/>
              </w:rPr>
              <w:t>区间。根据</w:t>
            </w:r>
            <w:r>
              <w:rPr>
                <w:rFonts w:cs="Times New Roman" w:hint="eastAsia"/>
                <w:bCs/>
                <w:szCs w:val="24"/>
              </w:rPr>
              <w:t>HJ169-2018</w:t>
            </w:r>
            <w:r>
              <w:rPr>
                <w:rFonts w:cs="Times New Roman" w:hint="eastAsia"/>
                <w:bCs/>
                <w:szCs w:val="24"/>
              </w:rPr>
              <w:t>，结合项目行业及生产工艺（</w:t>
            </w:r>
            <w:r>
              <w:rPr>
                <w:rFonts w:cs="Times New Roman" w:hint="eastAsia"/>
                <w:bCs/>
                <w:szCs w:val="24"/>
              </w:rPr>
              <w:t>M</w:t>
            </w:r>
            <w:r>
              <w:rPr>
                <w:rFonts w:cs="Times New Roman" w:hint="eastAsia"/>
                <w:bCs/>
                <w:szCs w:val="24"/>
              </w:rPr>
              <w:t>）判定，本项目环境风险潜势为</w:t>
            </w:r>
            <w:r>
              <w:rPr>
                <w:rFonts w:cs="Times New Roman" w:hint="eastAsia"/>
                <w:bCs/>
                <w:szCs w:val="24"/>
              </w:rPr>
              <w:t>II</w:t>
            </w:r>
            <w:r>
              <w:rPr>
                <w:rFonts w:cs="Times New Roman" w:hint="eastAsia"/>
                <w:bCs/>
                <w:szCs w:val="24"/>
              </w:rPr>
              <w:t>，环境风险评价工作等级为三级。</w:t>
            </w:r>
          </w:p>
          <w:p w14:paraId="61DB0B21" w14:textId="4A328083" w:rsidR="003C4F46" w:rsidRDefault="004B6A81">
            <w:pPr>
              <w:spacing w:line="240" w:lineRule="auto"/>
              <w:ind w:firstLineChars="0" w:firstLine="0"/>
              <w:jc w:val="center"/>
              <w:textAlignment w:val="auto"/>
              <w:rPr>
                <w:b/>
                <w:bCs/>
                <w:sz w:val="21"/>
                <w:szCs w:val="21"/>
              </w:rPr>
            </w:pPr>
            <w:r>
              <w:rPr>
                <w:b/>
                <w:bCs/>
                <w:sz w:val="21"/>
                <w:szCs w:val="21"/>
              </w:rPr>
              <w:t>表</w:t>
            </w:r>
            <w:r>
              <w:rPr>
                <w:rFonts w:hint="eastAsia"/>
                <w:b/>
                <w:bCs/>
                <w:sz w:val="21"/>
                <w:szCs w:val="21"/>
              </w:rPr>
              <w:t>4-1</w:t>
            </w:r>
            <w:r w:rsidR="00201FF2">
              <w:rPr>
                <w:b/>
                <w:bCs/>
                <w:sz w:val="21"/>
                <w:szCs w:val="21"/>
              </w:rPr>
              <w:t>6</w:t>
            </w:r>
            <w:r>
              <w:rPr>
                <w:rFonts w:hint="eastAsia"/>
                <w:b/>
                <w:bCs/>
                <w:sz w:val="21"/>
                <w:szCs w:val="21"/>
              </w:rPr>
              <w:t xml:space="preserve">  </w:t>
            </w:r>
            <w:r>
              <w:rPr>
                <w:b/>
                <w:bCs/>
                <w:sz w:val="21"/>
                <w:szCs w:val="21"/>
              </w:rPr>
              <w:t>环境风险评价工作级别划分一览表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705"/>
              <w:gridCol w:w="1702"/>
              <w:gridCol w:w="1704"/>
              <w:gridCol w:w="1704"/>
              <w:gridCol w:w="1706"/>
            </w:tblGrid>
            <w:tr w:rsidR="003C4F46" w14:paraId="034F7691" w14:textId="77777777">
              <w:trPr>
                <w:trHeight w:val="313"/>
                <w:jc w:val="center"/>
              </w:trPr>
              <w:tc>
                <w:tcPr>
                  <w:tcW w:w="1000" w:type="pct"/>
                </w:tcPr>
                <w:p w14:paraId="2B46D0E6" w14:textId="77777777" w:rsidR="003C4F46" w:rsidRDefault="004B6A81">
                  <w:pPr>
                    <w:spacing w:line="240" w:lineRule="auto"/>
                    <w:ind w:firstLineChars="0" w:firstLine="0"/>
                    <w:jc w:val="center"/>
                    <w:textAlignment w:val="auto"/>
                    <w:rPr>
                      <w:sz w:val="21"/>
                      <w:szCs w:val="21"/>
                    </w:rPr>
                  </w:pPr>
                  <w:r>
                    <w:rPr>
                      <w:sz w:val="21"/>
                      <w:szCs w:val="21"/>
                    </w:rPr>
                    <w:t>环境风险潜势</w:t>
                  </w:r>
                </w:p>
              </w:tc>
              <w:tc>
                <w:tcPr>
                  <w:tcW w:w="999" w:type="pct"/>
                </w:tcPr>
                <w:p w14:paraId="56C8CE36" w14:textId="77777777" w:rsidR="003C4F46" w:rsidRDefault="004B6A81">
                  <w:pPr>
                    <w:spacing w:line="240" w:lineRule="auto"/>
                    <w:ind w:firstLineChars="0" w:firstLine="0"/>
                    <w:jc w:val="center"/>
                    <w:textAlignment w:val="auto"/>
                    <w:rPr>
                      <w:sz w:val="21"/>
                      <w:szCs w:val="21"/>
                    </w:rPr>
                  </w:pPr>
                  <w:r>
                    <w:rPr>
                      <w:sz w:val="21"/>
                      <w:szCs w:val="21"/>
                    </w:rPr>
                    <w:t>IV</w:t>
                  </w:r>
                  <w:r>
                    <w:rPr>
                      <w:sz w:val="21"/>
                      <w:szCs w:val="21"/>
                    </w:rPr>
                    <w:t>＋、</w:t>
                  </w:r>
                  <w:r>
                    <w:rPr>
                      <w:sz w:val="21"/>
                      <w:szCs w:val="21"/>
                    </w:rPr>
                    <w:t>IV</w:t>
                  </w:r>
                </w:p>
              </w:tc>
              <w:tc>
                <w:tcPr>
                  <w:tcW w:w="1000" w:type="pct"/>
                </w:tcPr>
                <w:p w14:paraId="709BD278" w14:textId="77777777" w:rsidR="003C4F46" w:rsidRDefault="004B6A81">
                  <w:pPr>
                    <w:spacing w:line="240" w:lineRule="auto"/>
                    <w:ind w:firstLineChars="0" w:firstLine="0"/>
                    <w:jc w:val="center"/>
                    <w:textAlignment w:val="auto"/>
                    <w:rPr>
                      <w:sz w:val="21"/>
                      <w:szCs w:val="21"/>
                    </w:rPr>
                  </w:pPr>
                  <w:r>
                    <w:rPr>
                      <w:sz w:val="21"/>
                      <w:szCs w:val="21"/>
                    </w:rPr>
                    <w:t>III</w:t>
                  </w:r>
                </w:p>
              </w:tc>
              <w:tc>
                <w:tcPr>
                  <w:tcW w:w="1000" w:type="pct"/>
                  <w:shd w:val="clear" w:color="auto" w:fill="E7E6E6" w:themeFill="background2"/>
                </w:tcPr>
                <w:p w14:paraId="24E6322B" w14:textId="77777777" w:rsidR="003C4F46" w:rsidRDefault="004B6A81">
                  <w:pPr>
                    <w:spacing w:line="240" w:lineRule="auto"/>
                    <w:ind w:firstLineChars="0" w:firstLine="0"/>
                    <w:jc w:val="center"/>
                    <w:textAlignment w:val="auto"/>
                    <w:rPr>
                      <w:sz w:val="21"/>
                      <w:szCs w:val="21"/>
                    </w:rPr>
                  </w:pPr>
                  <w:r>
                    <w:rPr>
                      <w:sz w:val="21"/>
                      <w:szCs w:val="21"/>
                    </w:rPr>
                    <w:t>II</w:t>
                  </w:r>
                </w:p>
              </w:tc>
              <w:tc>
                <w:tcPr>
                  <w:tcW w:w="1001" w:type="pct"/>
                </w:tcPr>
                <w:p w14:paraId="2E1F56BE" w14:textId="77777777" w:rsidR="003C4F46" w:rsidRDefault="004B6A81">
                  <w:pPr>
                    <w:spacing w:line="240" w:lineRule="auto"/>
                    <w:ind w:firstLineChars="0" w:firstLine="0"/>
                    <w:jc w:val="center"/>
                    <w:textAlignment w:val="auto"/>
                    <w:rPr>
                      <w:sz w:val="21"/>
                      <w:szCs w:val="21"/>
                    </w:rPr>
                  </w:pPr>
                  <w:r>
                    <w:rPr>
                      <w:sz w:val="21"/>
                      <w:szCs w:val="21"/>
                    </w:rPr>
                    <w:t>I</w:t>
                  </w:r>
                </w:p>
              </w:tc>
            </w:tr>
            <w:tr w:rsidR="003C4F46" w14:paraId="362D75DD" w14:textId="77777777">
              <w:trPr>
                <w:trHeight w:val="313"/>
                <w:jc w:val="center"/>
              </w:trPr>
              <w:tc>
                <w:tcPr>
                  <w:tcW w:w="1000" w:type="pct"/>
                </w:tcPr>
                <w:p w14:paraId="1A844D5A" w14:textId="77777777" w:rsidR="003C4F46" w:rsidRDefault="004B6A81">
                  <w:pPr>
                    <w:spacing w:line="240" w:lineRule="auto"/>
                    <w:ind w:firstLineChars="0" w:firstLine="0"/>
                    <w:jc w:val="center"/>
                    <w:textAlignment w:val="auto"/>
                    <w:rPr>
                      <w:sz w:val="21"/>
                      <w:szCs w:val="21"/>
                    </w:rPr>
                  </w:pPr>
                  <w:r>
                    <w:rPr>
                      <w:sz w:val="21"/>
                      <w:szCs w:val="21"/>
                    </w:rPr>
                    <w:t>评价工作等级</w:t>
                  </w:r>
                </w:p>
              </w:tc>
              <w:tc>
                <w:tcPr>
                  <w:tcW w:w="999" w:type="pct"/>
                </w:tcPr>
                <w:p w14:paraId="609843C5" w14:textId="77777777" w:rsidR="003C4F46" w:rsidRDefault="004B6A81">
                  <w:pPr>
                    <w:spacing w:line="240" w:lineRule="auto"/>
                    <w:ind w:firstLineChars="0" w:firstLine="0"/>
                    <w:jc w:val="center"/>
                    <w:textAlignment w:val="auto"/>
                    <w:rPr>
                      <w:sz w:val="21"/>
                      <w:szCs w:val="21"/>
                    </w:rPr>
                  </w:pPr>
                  <w:r>
                    <w:rPr>
                      <w:sz w:val="21"/>
                      <w:szCs w:val="21"/>
                    </w:rPr>
                    <w:t>一</w:t>
                  </w:r>
                </w:p>
              </w:tc>
              <w:tc>
                <w:tcPr>
                  <w:tcW w:w="1000" w:type="pct"/>
                </w:tcPr>
                <w:p w14:paraId="4C6CD7C0" w14:textId="77777777" w:rsidR="003C4F46" w:rsidRDefault="004B6A81">
                  <w:pPr>
                    <w:spacing w:line="240" w:lineRule="auto"/>
                    <w:ind w:firstLineChars="0" w:firstLine="0"/>
                    <w:jc w:val="center"/>
                    <w:textAlignment w:val="auto"/>
                    <w:rPr>
                      <w:sz w:val="21"/>
                      <w:szCs w:val="21"/>
                    </w:rPr>
                  </w:pPr>
                  <w:r>
                    <w:rPr>
                      <w:sz w:val="21"/>
                      <w:szCs w:val="21"/>
                    </w:rPr>
                    <w:t>二</w:t>
                  </w:r>
                </w:p>
              </w:tc>
              <w:tc>
                <w:tcPr>
                  <w:tcW w:w="1000" w:type="pct"/>
                  <w:shd w:val="clear" w:color="auto" w:fill="E7E6E6" w:themeFill="background2"/>
                </w:tcPr>
                <w:p w14:paraId="069DABE8" w14:textId="77777777" w:rsidR="003C4F46" w:rsidRDefault="004B6A81">
                  <w:pPr>
                    <w:spacing w:line="240" w:lineRule="auto"/>
                    <w:ind w:firstLineChars="0" w:firstLine="0"/>
                    <w:jc w:val="center"/>
                    <w:textAlignment w:val="auto"/>
                    <w:rPr>
                      <w:sz w:val="21"/>
                      <w:szCs w:val="21"/>
                    </w:rPr>
                  </w:pPr>
                  <w:r>
                    <w:rPr>
                      <w:sz w:val="21"/>
                      <w:szCs w:val="21"/>
                    </w:rPr>
                    <w:t>三</w:t>
                  </w:r>
                </w:p>
              </w:tc>
              <w:tc>
                <w:tcPr>
                  <w:tcW w:w="1001" w:type="pct"/>
                </w:tcPr>
                <w:p w14:paraId="69D89DDF" w14:textId="77777777" w:rsidR="003C4F46" w:rsidRDefault="004B6A81">
                  <w:pPr>
                    <w:spacing w:line="240" w:lineRule="auto"/>
                    <w:ind w:firstLineChars="0" w:firstLine="0"/>
                    <w:jc w:val="center"/>
                    <w:textAlignment w:val="auto"/>
                    <w:rPr>
                      <w:sz w:val="21"/>
                      <w:szCs w:val="21"/>
                    </w:rPr>
                  </w:pPr>
                  <w:r>
                    <w:rPr>
                      <w:sz w:val="21"/>
                      <w:szCs w:val="21"/>
                    </w:rPr>
                    <w:t>简单分析</w:t>
                  </w:r>
                  <w:r>
                    <w:rPr>
                      <w:rFonts w:hint="eastAsia"/>
                      <w:sz w:val="21"/>
                      <w:szCs w:val="21"/>
                    </w:rPr>
                    <w:t>①</w:t>
                  </w:r>
                </w:p>
              </w:tc>
            </w:tr>
            <w:tr w:rsidR="003C4F46" w14:paraId="306780A7" w14:textId="77777777">
              <w:trPr>
                <w:trHeight w:val="431"/>
                <w:jc w:val="center"/>
              </w:trPr>
              <w:tc>
                <w:tcPr>
                  <w:tcW w:w="5000" w:type="pct"/>
                  <w:gridSpan w:val="5"/>
                </w:tcPr>
                <w:p w14:paraId="090F70D0" w14:textId="77777777" w:rsidR="003C4F46" w:rsidRDefault="004B6A81">
                  <w:pPr>
                    <w:spacing w:line="240" w:lineRule="auto"/>
                    <w:ind w:firstLineChars="0" w:firstLine="0"/>
                    <w:textAlignment w:val="auto"/>
                    <w:rPr>
                      <w:sz w:val="21"/>
                      <w:szCs w:val="21"/>
                    </w:rPr>
                  </w:pPr>
                  <w:r>
                    <w:rPr>
                      <w:rFonts w:hint="eastAsia"/>
                      <w:sz w:val="21"/>
                      <w:szCs w:val="21"/>
                    </w:rPr>
                    <w:t>①</w:t>
                  </w:r>
                  <w:r>
                    <w:rPr>
                      <w:sz w:val="21"/>
                      <w:szCs w:val="21"/>
                    </w:rPr>
                    <w:t>：是相对于详细评价工作内容而言，在描述危险物质、环境影响途径、环境危害后果、风险防范措施等方面给出定性的说明，见附录</w:t>
                  </w:r>
                  <w:r>
                    <w:rPr>
                      <w:sz w:val="21"/>
                      <w:szCs w:val="21"/>
                    </w:rPr>
                    <w:t>A</w:t>
                  </w:r>
                </w:p>
              </w:tc>
            </w:tr>
          </w:tbl>
          <w:p w14:paraId="0DBF5D23" w14:textId="77777777" w:rsidR="003C4F46" w:rsidRDefault="004B6A81">
            <w:pPr>
              <w:adjustRightInd w:val="0"/>
              <w:snapToGrid w:val="0"/>
              <w:ind w:firstLineChars="0" w:firstLine="0"/>
              <w:rPr>
                <w:rFonts w:cs="Times New Roman"/>
                <w:b/>
                <w:bCs/>
              </w:rPr>
            </w:pPr>
            <w:r>
              <w:rPr>
                <w:rFonts w:cs="Times New Roman"/>
                <w:b/>
                <w:bCs/>
              </w:rPr>
              <w:t>4.7.2</w:t>
            </w:r>
            <w:r>
              <w:rPr>
                <w:rFonts w:cs="Times New Roman"/>
                <w:b/>
                <w:bCs/>
              </w:rPr>
              <w:t>环境风险识别</w:t>
            </w:r>
          </w:p>
          <w:p w14:paraId="0164D2B9" w14:textId="77777777" w:rsidR="003C4F46" w:rsidRDefault="004B6A81">
            <w:pPr>
              <w:adjustRightInd w:val="0"/>
              <w:snapToGrid w:val="0"/>
              <w:ind w:firstLine="480"/>
              <w:rPr>
                <w:rFonts w:cs="Times New Roman"/>
                <w:b/>
                <w:bCs/>
              </w:rPr>
            </w:pPr>
            <w:r>
              <w:t>（</w:t>
            </w:r>
            <w:r>
              <w:t>1</w:t>
            </w:r>
            <w:r>
              <w:t>）危险物质及风险源分布情况</w:t>
            </w:r>
          </w:p>
          <w:p w14:paraId="13F4AFDE" w14:textId="75D6853F" w:rsidR="003C4F46" w:rsidRPr="000228A3" w:rsidRDefault="004B6A81">
            <w:pPr>
              <w:adjustRightInd w:val="0"/>
              <w:snapToGrid w:val="0"/>
              <w:ind w:firstLine="480"/>
            </w:pPr>
            <w:r>
              <w:rPr>
                <w:rFonts w:hint="eastAsia"/>
                <w:kern w:val="0"/>
                <w:szCs w:val="24"/>
                <w:lang w:bidi="ar"/>
              </w:rPr>
              <w:t>在正常装卸、储存情况下，一般不会出现泄露，事故情况下由于包装破裂、操作失误等造成危险废物的泄漏，渗滤液逐渐渗入水体和土壤，造成土壤和地下水污染等；另</w:t>
            </w:r>
            <w:r w:rsidRPr="000228A3">
              <w:rPr>
                <w:rFonts w:hint="eastAsia"/>
              </w:rPr>
              <w:t>外，废润滑油及含矿物油废物若遇明火或高温，以及自然因素，温度达到</w:t>
            </w:r>
            <w:r w:rsidRPr="000228A3">
              <w:rPr>
                <w:rFonts w:hint="eastAsia"/>
              </w:rPr>
              <w:t>200</w:t>
            </w:r>
            <w:r w:rsidRPr="000228A3">
              <w:rPr>
                <w:rFonts w:hint="eastAsia"/>
              </w:rPr>
              <w:t>℃以上可能会引起火灾爆炸事故的发生</w:t>
            </w:r>
            <w:r w:rsidRPr="000228A3">
              <w:t>。本项目风险源主要为</w:t>
            </w:r>
            <w:r w:rsidRPr="000228A3">
              <w:rPr>
                <w:rFonts w:hint="eastAsia"/>
              </w:rPr>
              <w:t>危险废物贮存库。</w:t>
            </w:r>
          </w:p>
          <w:p w14:paraId="2D0B9504" w14:textId="77777777" w:rsidR="003C4F46" w:rsidRPr="000228A3" w:rsidRDefault="004B6A81">
            <w:pPr>
              <w:adjustRightInd w:val="0"/>
              <w:snapToGrid w:val="0"/>
              <w:ind w:firstLine="480"/>
            </w:pPr>
            <w:r w:rsidRPr="000228A3">
              <w:rPr>
                <w:rFonts w:hint="eastAsia"/>
              </w:rPr>
              <w:t>（</w:t>
            </w:r>
            <w:r w:rsidRPr="000228A3">
              <w:rPr>
                <w:rFonts w:hint="eastAsia"/>
              </w:rPr>
              <w:t>2</w:t>
            </w:r>
            <w:r w:rsidRPr="000228A3">
              <w:rPr>
                <w:rFonts w:hint="eastAsia"/>
              </w:rPr>
              <w:t>）伴生</w:t>
            </w:r>
            <w:r w:rsidRPr="000228A3">
              <w:rPr>
                <w:rFonts w:hint="eastAsia"/>
              </w:rPr>
              <w:t>/</w:t>
            </w:r>
            <w:r w:rsidRPr="000228A3">
              <w:rPr>
                <w:rFonts w:hint="eastAsia"/>
              </w:rPr>
              <w:t>次生风险识别</w:t>
            </w:r>
          </w:p>
          <w:p w14:paraId="306096BB" w14:textId="77777777" w:rsidR="003C4F46" w:rsidRPr="000228A3" w:rsidRDefault="004B6A81" w:rsidP="000228A3">
            <w:pPr>
              <w:adjustRightInd w:val="0"/>
              <w:snapToGrid w:val="0"/>
              <w:ind w:firstLine="480"/>
            </w:pPr>
            <w:r w:rsidRPr="000228A3">
              <w:rPr>
                <w:rFonts w:hint="eastAsia"/>
              </w:rPr>
              <w:t>①事故固体废物</w:t>
            </w:r>
          </w:p>
          <w:p w14:paraId="04833EB8" w14:textId="77777777" w:rsidR="003C4F46" w:rsidRPr="000228A3" w:rsidRDefault="004B6A81" w:rsidP="000228A3">
            <w:pPr>
              <w:adjustRightInd w:val="0"/>
              <w:snapToGrid w:val="0"/>
              <w:ind w:firstLine="480"/>
            </w:pPr>
            <w:r w:rsidRPr="000228A3">
              <w:rPr>
                <w:rFonts w:hint="eastAsia"/>
              </w:rPr>
              <w:t>项目在泄露、火灾、爆炸等事故救援中可能会产生大量的灭火器、拦截、堵漏材料，均可能掺杂一定的有毒有害物质，若事故排放后随意丢弃、排放，将对环境产生二次污染。</w:t>
            </w:r>
          </w:p>
          <w:p w14:paraId="3A09CC35" w14:textId="77777777" w:rsidR="003C4F46" w:rsidRPr="000228A3" w:rsidRDefault="004B6A81" w:rsidP="000228A3">
            <w:pPr>
              <w:adjustRightInd w:val="0"/>
              <w:snapToGrid w:val="0"/>
              <w:ind w:firstLine="480"/>
            </w:pPr>
            <w:r w:rsidRPr="000228A3">
              <w:rPr>
                <w:rFonts w:hint="eastAsia"/>
              </w:rPr>
              <w:t>②事故排污水</w:t>
            </w:r>
          </w:p>
          <w:p w14:paraId="24EBE7A8" w14:textId="77777777" w:rsidR="003C4F46" w:rsidRPr="000228A3" w:rsidRDefault="004B6A81" w:rsidP="000228A3">
            <w:pPr>
              <w:adjustRightInd w:val="0"/>
              <w:snapToGrid w:val="0"/>
              <w:ind w:firstLine="480"/>
            </w:pPr>
            <w:r w:rsidRPr="000228A3">
              <w:rPr>
                <w:rFonts w:hint="eastAsia"/>
              </w:rPr>
              <w:t>危险废物泄露若发生火灾事故，在应急救援中，会在事故现场喷射的消防水以及冷却水等进行灭火或降低有毒物质对大气的污染。针对事故排污水若无收集措施，可能会有部分有毒有害物质直接或随冷却水、消防水等进入附近水体或土壤，对局部水体、土壤造成污染。</w:t>
            </w:r>
          </w:p>
          <w:p w14:paraId="0922E476" w14:textId="77777777" w:rsidR="003C4F46" w:rsidRDefault="004B6A81" w:rsidP="000228A3">
            <w:pPr>
              <w:adjustRightInd w:val="0"/>
              <w:snapToGrid w:val="0"/>
              <w:ind w:firstLine="480"/>
            </w:pPr>
            <w:r>
              <w:rPr>
                <w:rFonts w:hint="eastAsia"/>
              </w:rPr>
              <w:t>（</w:t>
            </w:r>
            <w:r>
              <w:rPr>
                <w:rFonts w:hint="eastAsia"/>
              </w:rPr>
              <w:t>3</w:t>
            </w:r>
            <w:r>
              <w:rPr>
                <w:rFonts w:hint="eastAsia"/>
              </w:rPr>
              <w:t>）不相容危废意外混存风险</w:t>
            </w:r>
          </w:p>
          <w:p w14:paraId="1AA340D6" w14:textId="15D27E93" w:rsidR="003C4F46" w:rsidRDefault="004B6A81" w:rsidP="000228A3">
            <w:pPr>
              <w:adjustRightInd w:val="0"/>
              <w:snapToGrid w:val="0"/>
              <w:ind w:firstLine="480"/>
            </w:pPr>
            <w:r>
              <w:rPr>
                <w:rFonts w:hint="eastAsia"/>
              </w:rPr>
              <w:t>本项目共涉及</w:t>
            </w:r>
            <w:r>
              <w:rPr>
                <w:rFonts w:hint="eastAsia"/>
              </w:rPr>
              <w:t>1</w:t>
            </w:r>
            <w:r w:rsidR="00AD32F2">
              <w:t>2</w:t>
            </w:r>
            <w:r>
              <w:rPr>
                <w:rFonts w:hint="eastAsia"/>
              </w:rPr>
              <w:t>类危险废物，不同类别危废之间可能存在不相容性。若因管理失误导致不相容废物意外接触、混合，可能产生热量、火灾、有毒气体、爆炸等</w:t>
            </w:r>
            <w:r>
              <w:rPr>
                <w:rFonts w:hint="eastAsia"/>
              </w:rPr>
              <w:lastRenderedPageBreak/>
              <w:t>严重后果。本项目重点关注的不相容组合包括：</w:t>
            </w:r>
            <w:r>
              <w:rPr>
                <w:rFonts w:hint="eastAsia"/>
              </w:rPr>
              <w:t>HW06</w:t>
            </w:r>
            <w:r>
              <w:rPr>
                <w:rFonts w:hint="eastAsia"/>
              </w:rPr>
              <w:t>废有机溶剂与</w:t>
            </w:r>
            <w:r>
              <w:rPr>
                <w:rFonts w:hint="eastAsia"/>
              </w:rPr>
              <w:t>HW31</w:t>
            </w:r>
            <w:r>
              <w:rPr>
                <w:rFonts w:hint="eastAsia"/>
              </w:rPr>
              <w:t>废铅蓄电池（酸液）接触可能发生剧烈反应引发火灾；</w:t>
            </w:r>
            <w:r>
              <w:rPr>
                <w:rFonts w:hint="eastAsia"/>
              </w:rPr>
              <w:t>HW29</w:t>
            </w:r>
            <w:r>
              <w:rPr>
                <w:rFonts w:hint="eastAsia"/>
              </w:rPr>
              <w:t>含汞废物与</w:t>
            </w:r>
            <w:r>
              <w:rPr>
                <w:rFonts w:hint="eastAsia"/>
              </w:rPr>
              <w:t>HW06</w:t>
            </w:r>
            <w:r>
              <w:rPr>
                <w:rFonts w:hint="eastAsia"/>
              </w:rPr>
              <w:t>废有机溶剂或酸液接触可能产生有毒汞蒸气；</w:t>
            </w:r>
            <w:r>
              <w:rPr>
                <w:rFonts w:hint="eastAsia"/>
              </w:rPr>
              <w:t>HW06</w:t>
            </w:r>
            <w:r>
              <w:rPr>
                <w:rFonts w:hint="eastAsia"/>
              </w:rPr>
              <w:t>废有机溶剂与</w:t>
            </w:r>
            <w:r>
              <w:rPr>
                <w:rFonts w:hint="eastAsia"/>
              </w:rPr>
              <w:t>HW08</w:t>
            </w:r>
            <w:r>
              <w:rPr>
                <w:rFonts w:hint="eastAsia"/>
              </w:rPr>
              <w:t>废矿物油混存会扩大火灾荷载；</w:t>
            </w:r>
            <w:r>
              <w:rPr>
                <w:rFonts w:hint="eastAsia"/>
              </w:rPr>
              <w:t>HW31</w:t>
            </w:r>
            <w:r>
              <w:rPr>
                <w:rFonts w:hint="eastAsia"/>
              </w:rPr>
              <w:t>废铅蓄电池酸液与</w:t>
            </w:r>
            <w:r>
              <w:rPr>
                <w:rFonts w:hint="eastAsia"/>
              </w:rPr>
              <w:t>HW36</w:t>
            </w:r>
            <w:r>
              <w:rPr>
                <w:rFonts w:hint="eastAsia"/>
              </w:rPr>
              <w:t>石棉废物接触可能腐蚀包装导致石棉纤维释放；</w:t>
            </w:r>
            <w:r>
              <w:rPr>
                <w:rFonts w:hint="eastAsia"/>
              </w:rPr>
              <w:t>HW06</w:t>
            </w:r>
            <w:r>
              <w:rPr>
                <w:rFonts w:hint="eastAsia"/>
              </w:rPr>
              <w:t>废有机溶剂与</w:t>
            </w:r>
            <w:r>
              <w:rPr>
                <w:rFonts w:hint="eastAsia"/>
              </w:rPr>
              <w:t>HW50</w:t>
            </w:r>
            <w:r>
              <w:rPr>
                <w:rFonts w:hint="eastAsia"/>
              </w:rPr>
              <w:t>废催化剂接触可能引发催化反应。</w:t>
            </w:r>
          </w:p>
          <w:p w14:paraId="03FB0D8A" w14:textId="77777777" w:rsidR="003C4F46" w:rsidRDefault="004B6A81">
            <w:pPr>
              <w:widowControl/>
              <w:ind w:firstLineChars="0" w:firstLine="0"/>
              <w:jc w:val="left"/>
              <w:rPr>
                <w:kern w:val="0"/>
                <w:szCs w:val="24"/>
                <w:lang w:bidi="ar"/>
              </w:rPr>
            </w:pPr>
            <w:r>
              <w:rPr>
                <w:rFonts w:cs="Times New Roman"/>
                <w:b/>
                <w:bCs/>
              </w:rPr>
              <w:t>4.7.3</w:t>
            </w:r>
            <w:r>
              <w:rPr>
                <w:rFonts w:cs="Times New Roman"/>
                <w:b/>
                <w:bCs/>
                <w:szCs w:val="24"/>
              </w:rPr>
              <w:t>环境风险影响分析</w:t>
            </w:r>
          </w:p>
          <w:p w14:paraId="514318A9"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hint="eastAsia"/>
                <w:color w:val="auto"/>
                <w:kern w:val="0"/>
                <w:lang w:bidi="ar"/>
              </w:rPr>
              <w:t>1</w:t>
            </w:r>
            <w:r>
              <w:rPr>
                <w:rFonts w:ascii="Times New Roman" w:hAnsi="Times New Roman" w:hint="eastAsia"/>
                <w:color w:val="auto"/>
                <w:kern w:val="0"/>
                <w:lang w:bidi="ar"/>
              </w:rPr>
              <w:t>）装卸过程风险影响分析</w:t>
            </w:r>
          </w:p>
          <w:p w14:paraId="1615E7B6"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危险废物在正常装卸、贮存情况下，一般不会出现泄露。从项目建设内容来看，每次收集危险废物均为来自各收集点更换下的固态、半固态以及液态的危险废物，经有运输资质的专用车辆运至厂区并于贮存车间内贮存，一般不会对危险废物容器造成损伤。但如果发生泄漏，渗滤液逐渐渗入水体和土壤，造成土壤和地下水污染；如遇雨天，事故排放进入雨水系统直接排入外环境，污染土壤及地下水。因此要求企业务必</w:t>
            </w:r>
            <w:r>
              <w:rPr>
                <w:rFonts w:ascii="Times New Roman" w:hAnsi="Times New Roman"/>
                <w:color w:val="auto"/>
                <w:kern w:val="0"/>
                <w:lang w:bidi="ar"/>
              </w:rPr>
              <w:t>做好雨污分流工作，防止废水进入雨水系统，设置导流沟、事故池等，一旦发生事故，将废水导入事故池，避免对周边环境造成影响</w:t>
            </w:r>
          </w:p>
          <w:p w14:paraId="6166DC33" w14:textId="431A72AA"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本项目危险废物贮存设施已按《危险废物贮存污染控制标准》（</w:t>
            </w:r>
            <w:r>
              <w:rPr>
                <w:rFonts w:ascii="Times New Roman" w:hAnsi="Times New Roman"/>
                <w:color w:val="auto"/>
                <w:kern w:val="0"/>
                <w:lang w:bidi="ar"/>
              </w:rPr>
              <w:t>GB18597-2023</w:t>
            </w:r>
            <w:r>
              <w:rPr>
                <w:rFonts w:ascii="Times New Roman" w:hAnsi="Times New Roman"/>
                <w:color w:val="auto"/>
                <w:kern w:val="0"/>
                <w:lang w:bidi="ar"/>
              </w:rPr>
              <w:t>）要求，建设为封闭式厂房，具备防风、防雨、防晒、防渗漏功能。同时，项目区内设置导流槽及围堰，并对全部地面和池体进行防腐防渗处理，事故状态下的危险废物渗滤液及消防废水可全部收集进入事故池。</w:t>
            </w:r>
          </w:p>
          <w:p w14:paraId="421A7B60"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综上所述，采取上述风险措施后，事故情况下危险废物外泄可能性极小，风险可控。</w:t>
            </w:r>
          </w:p>
          <w:p w14:paraId="0CFBEC77"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hint="eastAsia"/>
                <w:color w:val="auto"/>
                <w:kern w:val="0"/>
                <w:lang w:bidi="ar"/>
              </w:rPr>
              <w:t>2</w:t>
            </w:r>
            <w:r>
              <w:rPr>
                <w:rFonts w:ascii="Times New Roman" w:hAnsi="Times New Roman" w:hint="eastAsia"/>
                <w:color w:val="auto"/>
                <w:kern w:val="0"/>
                <w:lang w:bidi="ar"/>
              </w:rPr>
              <w:t>）贮存</w:t>
            </w:r>
            <w:r>
              <w:rPr>
                <w:rFonts w:ascii="Times New Roman" w:hAnsi="Times New Roman"/>
                <w:color w:val="auto"/>
                <w:kern w:val="0"/>
                <w:lang w:bidi="ar"/>
              </w:rPr>
              <w:t>过程中泄漏事故</w:t>
            </w:r>
          </w:p>
          <w:p w14:paraId="37AB5BDC" w14:textId="6D8203FE"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项目涉及的废油属于易燃液体</w:t>
            </w:r>
            <w:r>
              <w:rPr>
                <w:rFonts w:ascii="Times New Roman" w:hAnsi="Times New Roman" w:hint="eastAsia"/>
                <w:color w:val="auto"/>
                <w:kern w:val="0"/>
                <w:lang w:bidi="ar"/>
              </w:rPr>
              <w:t>、废电解液属于</w:t>
            </w:r>
            <w:r w:rsidR="007C29E4" w:rsidRPr="007C29E4">
              <w:rPr>
                <w:rFonts w:ascii="Times New Roman" w:hAnsi="Times New Roman" w:hint="eastAsia"/>
                <w:color w:val="auto"/>
                <w:kern w:val="0"/>
                <w:lang w:bidi="ar"/>
              </w:rPr>
              <w:t>腐蚀性物质</w:t>
            </w:r>
            <w:r>
              <w:rPr>
                <w:rFonts w:ascii="Times New Roman" w:hAnsi="Times New Roman"/>
                <w:color w:val="auto"/>
                <w:kern w:val="0"/>
                <w:lang w:bidi="ar"/>
              </w:rPr>
              <w:t>，在贮存过程存在泄漏的风险。项目主要原料闪点较高，一般情况较为稳定，但在生产过程存在一定的程度的泄漏的风险。</w:t>
            </w:r>
          </w:p>
          <w:p w14:paraId="43EFDD77"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无论储存装置破裂还是爆炸导致泄漏事故都可能导致污染物进入清下水和雨水系统，从而直接排放环境，容易导致污染，就本项目而言，储存量相对较小，一旦发生事故</w:t>
            </w:r>
            <w:r>
              <w:rPr>
                <w:rFonts w:ascii="Times New Roman" w:hAnsi="Times New Roman" w:hint="eastAsia"/>
                <w:color w:val="auto"/>
                <w:kern w:val="0"/>
                <w:lang w:bidi="ar"/>
              </w:rPr>
              <w:t>也</w:t>
            </w:r>
            <w:r>
              <w:rPr>
                <w:rFonts w:ascii="Times New Roman" w:hAnsi="Times New Roman"/>
                <w:color w:val="auto"/>
                <w:kern w:val="0"/>
                <w:lang w:bidi="ar"/>
              </w:rPr>
              <w:t>将</w:t>
            </w:r>
            <w:r>
              <w:rPr>
                <w:rFonts w:ascii="Times New Roman" w:hAnsi="Times New Roman" w:hint="eastAsia"/>
                <w:color w:val="auto"/>
                <w:kern w:val="0"/>
                <w:lang w:bidi="ar"/>
              </w:rPr>
              <w:t>对环境产生一定的影响</w:t>
            </w:r>
            <w:r>
              <w:rPr>
                <w:rFonts w:ascii="Times New Roman" w:hAnsi="Times New Roman"/>
                <w:color w:val="auto"/>
                <w:kern w:val="0"/>
                <w:lang w:bidi="ar"/>
              </w:rPr>
              <w:t>，须采取措施加以预防。在设置围堰的情况下，泄漏可以得到有效控制，不会发生太大的影响。企业平时采取措施，尽量避免</w:t>
            </w:r>
            <w:r>
              <w:rPr>
                <w:rFonts w:ascii="Times New Roman" w:hAnsi="Times New Roman"/>
                <w:color w:val="auto"/>
                <w:kern w:val="0"/>
                <w:lang w:bidi="ar"/>
              </w:rPr>
              <w:lastRenderedPageBreak/>
              <w:t>此类事故的发生。</w:t>
            </w:r>
          </w:p>
          <w:p w14:paraId="640FF033"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本项目事故池</w:t>
            </w:r>
            <w:r>
              <w:rPr>
                <w:rFonts w:ascii="Times New Roman" w:hAnsi="Times New Roman" w:hint="eastAsia"/>
                <w:color w:val="auto"/>
                <w:kern w:val="0"/>
                <w:lang w:bidi="ar"/>
              </w:rPr>
              <w:t>依托轮台塔中石油化工有限公司厂区内既有事故池（</w:t>
            </w:r>
            <w:r>
              <w:rPr>
                <w:rFonts w:ascii="Times New Roman" w:hAnsi="Times New Roman"/>
                <w:color w:val="auto"/>
                <w:kern w:val="0"/>
                <w:lang w:bidi="ar"/>
              </w:rPr>
              <w:t>80</w:t>
            </w:r>
            <w:r>
              <w:rPr>
                <w:rFonts w:ascii="Times New Roman" w:hAnsi="Times New Roman" w:hint="eastAsia"/>
                <w:color w:val="auto"/>
                <w:kern w:val="0"/>
                <w:lang w:bidi="ar"/>
              </w:rPr>
              <w:t>0m</w:t>
            </w:r>
            <w:r>
              <w:rPr>
                <w:rFonts w:ascii="Times New Roman" w:hAnsi="Times New Roman" w:hint="eastAsia"/>
                <w:color w:val="auto"/>
                <w:kern w:val="0"/>
                <w:vertAlign w:val="superscript"/>
                <w:lang w:bidi="ar"/>
              </w:rPr>
              <w:t>3</w:t>
            </w:r>
            <w:r>
              <w:rPr>
                <w:rFonts w:ascii="Times New Roman" w:hAnsi="Times New Roman" w:hint="eastAsia"/>
                <w:color w:val="auto"/>
                <w:kern w:val="0"/>
                <w:lang w:bidi="ar"/>
              </w:rPr>
              <w:t>）</w:t>
            </w:r>
            <w:r>
              <w:rPr>
                <w:rFonts w:ascii="Times New Roman" w:hAnsi="Times New Roman"/>
                <w:color w:val="auto"/>
                <w:kern w:val="0"/>
                <w:lang w:bidi="ar"/>
              </w:rPr>
              <w:t>。根据《建筑设计防火规范》</w:t>
            </w:r>
            <w:r>
              <w:rPr>
                <w:rFonts w:ascii="Times New Roman" w:hAnsi="Times New Roman" w:hint="eastAsia"/>
                <w:color w:val="auto"/>
                <w:kern w:val="0"/>
                <w:lang w:bidi="ar"/>
              </w:rPr>
              <w:t>GB50016-2014</w:t>
            </w:r>
            <w:r>
              <w:rPr>
                <w:rFonts w:ascii="Times New Roman" w:hAnsi="Times New Roman" w:hint="eastAsia"/>
                <w:color w:val="auto"/>
                <w:kern w:val="0"/>
                <w:lang w:bidi="ar"/>
              </w:rPr>
              <w:t>（</w:t>
            </w:r>
            <w:r>
              <w:rPr>
                <w:rFonts w:ascii="Times New Roman" w:hAnsi="Times New Roman" w:hint="eastAsia"/>
                <w:color w:val="auto"/>
                <w:kern w:val="0"/>
                <w:lang w:bidi="ar"/>
              </w:rPr>
              <w:t>2018</w:t>
            </w:r>
            <w:r>
              <w:rPr>
                <w:rFonts w:ascii="Times New Roman" w:hAnsi="Times New Roman" w:hint="eastAsia"/>
                <w:color w:val="auto"/>
                <w:kern w:val="0"/>
                <w:lang w:bidi="ar"/>
              </w:rPr>
              <w:t>年版）</w:t>
            </w:r>
            <w:r>
              <w:rPr>
                <w:rFonts w:ascii="Times New Roman" w:hAnsi="Times New Roman"/>
                <w:color w:val="auto"/>
                <w:kern w:val="0"/>
                <w:lang w:bidi="ar"/>
              </w:rPr>
              <w:t>、《石油化工企业设计防火规范》</w:t>
            </w:r>
            <w:r>
              <w:rPr>
                <w:rFonts w:ascii="Times New Roman" w:hAnsi="Times New Roman" w:hint="eastAsia"/>
                <w:color w:val="auto"/>
                <w:kern w:val="0"/>
                <w:lang w:bidi="ar"/>
              </w:rPr>
              <w:t>（</w:t>
            </w:r>
            <w:r>
              <w:rPr>
                <w:rFonts w:ascii="Times New Roman" w:hAnsi="Times New Roman"/>
                <w:color w:val="auto"/>
                <w:kern w:val="0"/>
                <w:lang w:bidi="ar"/>
              </w:rPr>
              <w:t>GB50160-2008</w:t>
            </w:r>
            <w:r>
              <w:rPr>
                <w:rFonts w:ascii="Times New Roman" w:hAnsi="Times New Roman" w:hint="eastAsia"/>
                <w:color w:val="auto"/>
                <w:kern w:val="0"/>
                <w:lang w:bidi="ar"/>
              </w:rPr>
              <w:t>）</w:t>
            </w:r>
            <w:r>
              <w:rPr>
                <w:rFonts w:ascii="Times New Roman" w:hAnsi="Times New Roman"/>
                <w:color w:val="auto"/>
                <w:kern w:val="0"/>
                <w:lang w:bidi="ar"/>
              </w:rPr>
              <w:t>等相要求，进行事故池总有效容积的计算。</w:t>
            </w:r>
          </w:p>
          <w:p w14:paraId="527EC9CA" w14:textId="77777777" w:rsidR="003C4F46" w:rsidRDefault="004B6A81">
            <w:pPr>
              <w:spacing w:line="520" w:lineRule="exact"/>
              <w:ind w:firstLine="480"/>
              <w:jc w:val="center"/>
              <w:rPr>
                <w:rFonts w:cs="Times New Roman"/>
                <w:color w:val="000000"/>
                <w:szCs w:val="24"/>
              </w:rPr>
            </w:pPr>
            <w:r>
              <w:rPr>
                <w:rFonts w:cs="Times New Roman"/>
                <w:color w:val="000000"/>
                <w:szCs w:val="24"/>
              </w:rPr>
              <w:t>V</w:t>
            </w:r>
            <w:r>
              <w:rPr>
                <w:rFonts w:cs="Times New Roman"/>
                <w:color w:val="000000"/>
                <w:szCs w:val="24"/>
                <w:vertAlign w:val="subscript"/>
              </w:rPr>
              <w:t>总</w:t>
            </w:r>
            <w:r>
              <w:rPr>
                <w:rFonts w:cs="Times New Roman"/>
                <w:color w:val="000000"/>
                <w:szCs w:val="24"/>
              </w:rPr>
              <w:t>＝（</w:t>
            </w:r>
            <w:r>
              <w:rPr>
                <w:rFonts w:cs="Times New Roman"/>
                <w:color w:val="000000"/>
                <w:szCs w:val="24"/>
              </w:rPr>
              <w:t>V</w:t>
            </w:r>
            <w:r>
              <w:rPr>
                <w:rFonts w:cs="Times New Roman"/>
                <w:color w:val="000000"/>
                <w:szCs w:val="24"/>
                <w:vertAlign w:val="subscript"/>
              </w:rPr>
              <w:t>1</w:t>
            </w:r>
            <w:r>
              <w:rPr>
                <w:rFonts w:cs="Times New Roman"/>
                <w:color w:val="000000"/>
                <w:szCs w:val="24"/>
              </w:rPr>
              <w:t>＋</w:t>
            </w:r>
            <w:r>
              <w:rPr>
                <w:rFonts w:cs="Times New Roman"/>
                <w:color w:val="000000"/>
                <w:szCs w:val="24"/>
              </w:rPr>
              <w:t>V</w:t>
            </w:r>
            <w:r>
              <w:rPr>
                <w:rFonts w:cs="Times New Roman"/>
                <w:color w:val="000000"/>
                <w:szCs w:val="24"/>
                <w:vertAlign w:val="subscript"/>
              </w:rPr>
              <w:t>2</w:t>
            </w:r>
            <w:r>
              <w:rPr>
                <w:rFonts w:cs="Times New Roman"/>
                <w:color w:val="000000"/>
                <w:szCs w:val="24"/>
              </w:rPr>
              <w:t>－</w:t>
            </w:r>
            <w:r>
              <w:rPr>
                <w:rFonts w:cs="Times New Roman"/>
                <w:color w:val="000000"/>
                <w:szCs w:val="24"/>
              </w:rPr>
              <w:t>V</w:t>
            </w:r>
            <w:r>
              <w:rPr>
                <w:rFonts w:cs="Times New Roman"/>
                <w:color w:val="000000"/>
                <w:szCs w:val="24"/>
                <w:vertAlign w:val="subscript"/>
              </w:rPr>
              <w:t>3</w:t>
            </w:r>
            <w:r>
              <w:rPr>
                <w:rFonts w:cs="Times New Roman"/>
                <w:color w:val="000000"/>
                <w:szCs w:val="24"/>
              </w:rPr>
              <w:t>）</w:t>
            </w:r>
            <w:r>
              <w:rPr>
                <w:rFonts w:cs="Times New Roman"/>
                <w:color w:val="000000"/>
                <w:szCs w:val="24"/>
                <w:vertAlign w:val="subscript"/>
              </w:rPr>
              <w:t>MAX</w:t>
            </w:r>
            <w:r>
              <w:rPr>
                <w:rFonts w:cs="Times New Roman"/>
                <w:color w:val="000000"/>
                <w:szCs w:val="24"/>
              </w:rPr>
              <w:t>＋</w:t>
            </w:r>
            <w:r>
              <w:rPr>
                <w:rFonts w:cs="Times New Roman"/>
                <w:color w:val="000000"/>
                <w:szCs w:val="24"/>
              </w:rPr>
              <w:t>V</w:t>
            </w:r>
            <w:r>
              <w:rPr>
                <w:rFonts w:cs="Times New Roman"/>
                <w:color w:val="000000"/>
                <w:szCs w:val="24"/>
                <w:vertAlign w:val="subscript"/>
              </w:rPr>
              <w:t>4</w:t>
            </w:r>
            <w:r>
              <w:rPr>
                <w:rFonts w:cs="Times New Roman"/>
                <w:color w:val="000000"/>
                <w:szCs w:val="24"/>
              </w:rPr>
              <w:t>＋</w:t>
            </w:r>
            <w:r>
              <w:rPr>
                <w:rFonts w:cs="Times New Roman"/>
                <w:color w:val="000000"/>
                <w:szCs w:val="24"/>
              </w:rPr>
              <w:t>V</w:t>
            </w:r>
            <w:r>
              <w:rPr>
                <w:rFonts w:cs="Times New Roman"/>
                <w:color w:val="000000"/>
                <w:szCs w:val="24"/>
                <w:vertAlign w:val="subscript"/>
              </w:rPr>
              <w:t>5</w:t>
            </w:r>
          </w:p>
          <w:p w14:paraId="65102E7C" w14:textId="77777777" w:rsidR="003C4F46" w:rsidRDefault="004B6A81">
            <w:pPr>
              <w:spacing w:line="520" w:lineRule="exact"/>
              <w:ind w:firstLine="480"/>
              <w:rPr>
                <w:rFonts w:cs="Times New Roman"/>
                <w:color w:val="000000"/>
                <w:szCs w:val="24"/>
              </w:rPr>
            </w:pPr>
            <w:r>
              <w:rPr>
                <w:rFonts w:cs="Times New Roman"/>
                <w:color w:val="000000"/>
                <w:szCs w:val="24"/>
              </w:rPr>
              <w:t>V</w:t>
            </w:r>
            <w:r>
              <w:rPr>
                <w:rFonts w:cs="Times New Roman"/>
                <w:color w:val="000000"/>
                <w:szCs w:val="24"/>
                <w:vertAlign w:val="subscript"/>
              </w:rPr>
              <w:t>总</w:t>
            </w:r>
            <w:r>
              <w:rPr>
                <w:rFonts w:cs="Times New Roman"/>
                <w:color w:val="000000"/>
                <w:szCs w:val="24"/>
              </w:rPr>
              <w:t>：事故储存设施总有效容积，</w:t>
            </w:r>
            <w:r>
              <w:rPr>
                <w:rFonts w:cs="Times New Roman"/>
                <w:color w:val="000000"/>
                <w:szCs w:val="24"/>
              </w:rPr>
              <w:t>m</w:t>
            </w:r>
            <w:r>
              <w:rPr>
                <w:rFonts w:cs="Times New Roman"/>
                <w:color w:val="000000"/>
                <w:szCs w:val="24"/>
                <w:vertAlign w:val="superscript"/>
              </w:rPr>
              <w:t>3</w:t>
            </w:r>
            <w:r>
              <w:rPr>
                <w:rFonts w:cs="Times New Roman"/>
                <w:color w:val="000000"/>
                <w:szCs w:val="24"/>
              </w:rPr>
              <w:t>；</w:t>
            </w:r>
          </w:p>
          <w:p w14:paraId="38D43EA9" w14:textId="77777777" w:rsidR="003C4F46" w:rsidRDefault="004B6A81">
            <w:pPr>
              <w:spacing w:line="520" w:lineRule="exact"/>
              <w:ind w:firstLine="480"/>
              <w:rPr>
                <w:rFonts w:cs="Times New Roman"/>
                <w:color w:val="000000"/>
                <w:szCs w:val="24"/>
              </w:rPr>
            </w:pPr>
            <w:r>
              <w:rPr>
                <w:rFonts w:cs="Times New Roman"/>
                <w:color w:val="000000"/>
                <w:szCs w:val="24"/>
              </w:rPr>
              <w:t>V</w:t>
            </w:r>
            <w:r>
              <w:rPr>
                <w:rFonts w:cs="Times New Roman"/>
                <w:color w:val="000000"/>
                <w:szCs w:val="24"/>
                <w:vertAlign w:val="subscript"/>
              </w:rPr>
              <w:t>1</w:t>
            </w:r>
            <w:r>
              <w:rPr>
                <w:rFonts w:cs="Times New Roman"/>
                <w:color w:val="000000"/>
                <w:szCs w:val="24"/>
              </w:rPr>
              <w:t>：收集系统范围内发生事故的一个罐组或一套装置的物料量，</w:t>
            </w:r>
            <w:r>
              <w:rPr>
                <w:rFonts w:cs="Times New Roman"/>
                <w:color w:val="000000"/>
                <w:szCs w:val="24"/>
              </w:rPr>
              <w:t>m</w:t>
            </w:r>
            <w:r>
              <w:rPr>
                <w:rFonts w:cs="Times New Roman"/>
                <w:color w:val="000000"/>
                <w:szCs w:val="24"/>
                <w:vertAlign w:val="superscript"/>
              </w:rPr>
              <w:t>3</w:t>
            </w:r>
            <w:r>
              <w:rPr>
                <w:rFonts w:cs="Times New Roman"/>
                <w:color w:val="000000"/>
                <w:szCs w:val="24"/>
              </w:rPr>
              <w:t>；</w:t>
            </w:r>
          </w:p>
          <w:p w14:paraId="4174BDA6" w14:textId="77777777" w:rsidR="003C4F46" w:rsidRDefault="004B6A81">
            <w:pPr>
              <w:spacing w:line="520" w:lineRule="exact"/>
              <w:ind w:firstLine="480"/>
              <w:rPr>
                <w:rFonts w:cs="Times New Roman"/>
                <w:color w:val="000000"/>
                <w:szCs w:val="24"/>
              </w:rPr>
            </w:pPr>
            <w:r>
              <w:rPr>
                <w:rFonts w:cs="Times New Roman"/>
                <w:color w:val="000000"/>
                <w:szCs w:val="24"/>
              </w:rPr>
              <w:t>V</w:t>
            </w:r>
            <w:r>
              <w:rPr>
                <w:rFonts w:cs="Times New Roman"/>
                <w:color w:val="000000"/>
                <w:szCs w:val="24"/>
                <w:vertAlign w:val="subscript"/>
              </w:rPr>
              <w:t>2</w:t>
            </w:r>
            <w:r>
              <w:rPr>
                <w:rFonts w:cs="Times New Roman"/>
                <w:color w:val="000000"/>
                <w:szCs w:val="24"/>
              </w:rPr>
              <w:t>：发生事故的储罐或装置的消防水量，</w:t>
            </w:r>
            <w:r>
              <w:rPr>
                <w:rFonts w:cs="Times New Roman"/>
                <w:color w:val="000000"/>
                <w:szCs w:val="24"/>
              </w:rPr>
              <w:t>m</w:t>
            </w:r>
            <w:r>
              <w:rPr>
                <w:rFonts w:cs="Times New Roman"/>
                <w:color w:val="000000"/>
                <w:szCs w:val="24"/>
                <w:vertAlign w:val="superscript"/>
              </w:rPr>
              <w:t>3</w:t>
            </w:r>
            <w:r>
              <w:rPr>
                <w:rFonts w:cs="Times New Roman"/>
                <w:color w:val="000000"/>
                <w:szCs w:val="24"/>
              </w:rPr>
              <w:t>；</w:t>
            </w:r>
          </w:p>
          <w:p w14:paraId="369C647E" w14:textId="77777777" w:rsidR="003C4F46" w:rsidRDefault="004B6A81">
            <w:pPr>
              <w:spacing w:line="520" w:lineRule="exact"/>
              <w:ind w:firstLine="480"/>
              <w:rPr>
                <w:rFonts w:cs="Times New Roman"/>
                <w:color w:val="000000"/>
                <w:szCs w:val="24"/>
              </w:rPr>
            </w:pPr>
            <w:r>
              <w:rPr>
                <w:rFonts w:cs="Times New Roman"/>
                <w:color w:val="000000"/>
                <w:szCs w:val="24"/>
              </w:rPr>
              <w:t>V</w:t>
            </w:r>
            <w:r>
              <w:rPr>
                <w:rFonts w:cs="Times New Roman"/>
                <w:color w:val="000000"/>
                <w:szCs w:val="24"/>
                <w:vertAlign w:val="subscript"/>
              </w:rPr>
              <w:t>3</w:t>
            </w:r>
            <w:r>
              <w:rPr>
                <w:rFonts w:cs="Times New Roman"/>
                <w:color w:val="000000"/>
                <w:szCs w:val="24"/>
              </w:rPr>
              <w:t>：发生事故时可以输送到其他储存或处理设施的物料，</w:t>
            </w:r>
            <w:r>
              <w:rPr>
                <w:rFonts w:cs="Times New Roman"/>
                <w:color w:val="000000"/>
                <w:szCs w:val="24"/>
              </w:rPr>
              <w:t>m</w:t>
            </w:r>
            <w:r>
              <w:rPr>
                <w:rFonts w:cs="Times New Roman"/>
                <w:color w:val="000000"/>
                <w:szCs w:val="24"/>
                <w:vertAlign w:val="superscript"/>
              </w:rPr>
              <w:t>3</w:t>
            </w:r>
            <w:r>
              <w:rPr>
                <w:rFonts w:cs="Times New Roman"/>
                <w:color w:val="000000"/>
                <w:szCs w:val="24"/>
              </w:rPr>
              <w:t>；</w:t>
            </w:r>
          </w:p>
          <w:p w14:paraId="28C811CA" w14:textId="77777777" w:rsidR="003C4F46" w:rsidRDefault="004B6A81">
            <w:pPr>
              <w:spacing w:line="520" w:lineRule="exact"/>
              <w:ind w:firstLine="480"/>
              <w:rPr>
                <w:rFonts w:cs="Times New Roman"/>
                <w:color w:val="000000"/>
                <w:szCs w:val="24"/>
              </w:rPr>
            </w:pPr>
            <w:r>
              <w:rPr>
                <w:rFonts w:cs="Times New Roman"/>
                <w:color w:val="000000"/>
                <w:szCs w:val="24"/>
              </w:rPr>
              <w:t>V</w:t>
            </w:r>
            <w:r>
              <w:rPr>
                <w:rFonts w:cs="Times New Roman"/>
                <w:color w:val="000000"/>
                <w:szCs w:val="24"/>
                <w:vertAlign w:val="subscript"/>
              </w:rPr>
              <w:t>4</w:t>
            </w:r>
            <w:r>
              <w:rPr>
                <w:rFonts w:cs="Times New Roman"/>
                <w:color w:val="000000"/>
                <w:szCs w:val="24"/>
              </w:rPr>
              <w:t>：发生事故时仍必须进入该收集系统的生产废水量，</w:t>
            </w:r>
            <w:r>
              <w:rPr>
                <w:rFonts w:cs="Times New Roman"/>
                <w:color w:val="000000"/>
                <w:szCs w:val="24"/>
              </w:rPr>
              <w:t>m</w:t>
            </w:r>
            <w:r>
              <w:rPr>
                <w:rFonts w:cs="Times New Roman"/>
                <w:color w:val="000000"/>
                <w:szCs w:val="24"/>
                <w:vertAlign w:val="superscript"/>
              </w:rPr>
              <w:t>3</w:t>
            </w:r>
            <w:r>
              <w:rPr>
                <w:rFonts w:cs="Times New Roman"/>
                <w:color w:val="000000"/>
                <w:szCs w:val="24"/>
              </w:rPr>
              <w:t>；</w:t>
            </w:r>
          </w:p>
          <w:p w14:paraId="1E5F27F5" w14:textId="77777777" w:rsidR="003C4F46" w:rsidRDefault="004B6A81">
            <w:pPr>
              <w:spacing w:line="520" w:lineRule="exact"/>
              <w:ind w:firstLine="480"/>
              <w:rPr>
                <w:rFonts w:cs="Times New Roman"/>
                <w:color w:val="000000"/>
                <w:szCs w:val="24"/>
              </w:rPr>
            </w:pPr>
            <w:r>
              <w:rPr>
                <w:rFonts w:cs="Times New Roman"/>
                <w:color w:val="000000"/>
                <w:szCs w:val="24"/>
              </w:rPr>
              <w:t>V</w:t>
            </w:r>
            <w:r>
              <w:rPr>
                <w:rFonts w:cs="Times New Roman"/>
                <w:color w:val="000000"/>
                <w:szCs w:val="24"/>
                <w:vertAlign w:val="subscript"/>
              </w:rPr>
              <w:t>5</w:t>
            </w:r>
            <w:r>
              <w:rPr>
                <w:rFonts w:cs="Times New Roman"/>
                <w:color w:val="000000"/>
                <w:szCs w:val="24"/>
              </w:rPr>
              <w:t>：发生事故时可能进入该收集系统的降雨量，</w:t>
            </w:r>
            <w:r>
              <w:rPr>
                <w:rFonts w:cs="Times New Roman"/>
                <w:color w:val="000000"/>
                <w:szCs w:val="24"/>
              </w:rPr>
              <w:t>m</w:t>
            </w:r>
            <w:r>
              <w:rPr>
                <w:rFonts w:cs="Times New Roman"/>
                <w:color w:val="000000"/>
                <w:szCs w:val="24"/>
                <w:vertAlign w:val="superscript"/>
              </w:rPr>
              <w:t>3</w:t>
            </w:r>
            <w:r>
              <w:rPr>
                <w:rFonts w:cs="Times New Roman"/>
                <w:color w:val="000000"/>
                <w:szCs w:val="24"/>
              </w:rPr>
              <w:t>。</w:t>
            </w:r>
          </w:p>
          <w:p w14:paraId="438CB6F9" w14:textId="77777777" w:rsidR="003C4F46" w:rsidRDefault="004B6A81">
            <w:pPr>
              <w:spacing w:line="520" w:lineRule="exact"/>
              <w:ind w:firstLineChars="450" w:firstLine="1080"/>
              <w:rPr>
                <w:rFonts w:cs="Times New Roman"/>
                <w:color w:val="000000"/>
                <w:szCs w:val="24"/>
              </w:rPr>
            </w:pPr>
            <w:r>
              <w:rPr>
                <w:rFonts w:cs="Times New Roman"/>
                <w:color w:val="000000"/>
                <w:szCs w:val="24"/>
              </w:rPr>
              <w:t>其中：</w:t>
            </w:r>
            <w:r>
              <w:rPr>
                <w:rFonts w:cs="Times New Roman"/>
                <w:color w:val="000000"/>
                <w:szCs w:val="24"/>
              </w:rPr>
              <w:t>V</w:t>
            </w:r>
            <w:r>
              <w:rPr>
                <w:rFonts w:cs="Times New Roman"/>
                <w:color w:val="000000"/>
                <w:szCs w:val="24"/>
                <w:vertAlign w:val="subscript"/>
              </w:rPr>
              <w:t>5</w:t>
            </w:r>
            <w:r>
              <w:rPr>
                <w:rFonts w:cs="Times New Roman"/>
                <w:color w:val="000000"/>
                <w:szCs w:val="24"/>
              </w:rPr>
              <w:t>=10q</w:t>
            </w:r>
            <w:r>
              <w:rPr>
                <w:rFonts w:cs="Times New Roman"/>
                <w:color w:val="000000"/>
                <w:szCs w:val="24"/>
              </w:rPr>
              <w:t>﹒</w:t>
            </w:r>
            <w:r>
              <w:rPr>
                <w:rFonts w:cs="Times New Roman"/>
                <w:color w:val="000000"/>
                <w:szCs w:val="24"/>
              </w:rPr>
              <w:t>f</w:t>
            </w:r>
            <w:r>
              <w:rPr>
                <w:rFonts w:cs="Times New Roman"/>
                <w:color w:val="000000"/>
                <w:szCs w:val="24"/>
              </w:rPr>
              <w:t>；</w:t>
            </w:r>
            <w:r>
              <w:rPr>
                <w:rFonts w:cs="Times New Roman"/>
                <w:color w:val="000000"/>
                <w:szCs w:val="24"/>
              </w:rPr>
              <w:t>q-</w:t>
            </w:r>
            <w:r>
              <w:rPr>
                <w:rFonts w:cs="Times New Roman"/>
                <w:color w:val="000000"/>
                <w:szCs w:val="24"/>
              </w:rPr>
              <w:t>降雨强度，按平均日降雨量，</w:t>
            </w:r>
            <w:r>
              <w:rPr>
                <w:rFonts w:cs="Times New Roman"/>
                <w:color w:val="000000"/>
                <w:szCs w:val="24"/>
              </w:rPr>
              <w:t>mm</w:t>
            </w:r>
            <w:r>
              <w:rPr>
                <w:rFonts w:cs="Times New Roman"/>
                <w:color w:val="000000"/>
                <w:szCs w:val="24"/>
              </w:rPr>
              <w:t>；</w:t>
            </w:r>
          </w:p>
          <w:p w14:paraId="0854478D" w14:textId="77777777" w:rsidR="003C4F46" w:rsidRDefault="004B6A81">
            <w:pPr>
              <w:spacing w:line="520" w:lineRule="exact"/>
              <w:ind w:firstLineChars="500" w:firstLine="1200"/>
              <w:rPr>
                <w:rFonts w:cs="Times New Roman"/>
                <w:color w:val="000000"/>
                <w:szCs w:val="24"/>
              </w:rPr>
            </w:pPr>
            <w:r>
              <w:rPr>
                <w:rFonts w:cs="Times New Roman"/>
                <w:color w:val="000000"/>
                <w:kern w:val="0"/>
                <w:szCs w:val="24"/>
              </w:rPr>
              <w:t>q=</w:t>
            </w:r>
            <w:proofErr w:type="spellStart"/>
            <w:r>
              <w:rPr>
                <w:rFonts w:cs="Times New Roman"/>
                <w:color w:val="000000"/>
                <w:kern w:val="0"/>
                <w:szCs w:val="24"/>
              </w:rPr>
              <w:t>q</w:t>
            </w:r>
            <w:r>
              <w:rPr>
                <w:rFonts w:cs="Times New Roman"/>
                <w:color w:val="000000"/>
                <w:kern w:val="0"/>
                <w:szCs w:val="24"/>
                <w:vertAlign w:val="subscript"/>
              </w:rPr>
              <w:t>a</w:t>
            </w:r>
            <w:proofErr w:type="spellEnd"/>
            <w:r>
              <w:rPr>
                <w:rFonts w:cs="Times New Roman"/>
                <w:color w:val="000000"/>
                <w:kern w:val="0"/>
                <w:szCs w:val="24"/>
              </w:rPr>
              <w:t>/n</w:t>
            </w:r>
            <w:r>
              <w:rPr>
                <w:rFonts w:cs="Times New Roman"/>
                <w:color w:val="000000"/>
                <w:kern w:val="0"/>
                <w:szCs w:val="24"/>
              </w:rPr>
              <w:t>，</w:t>
            </w:r>
            <w:proofErr w:type="spellStart"/>
            <w:r>
              <w:rPr>
                <w:rFonts w:cs="Times New Roman"/>
                <w:color w:val="000000"/>
                <w:kern w:val="0"/>
                <w:szCs w:val="24"/>
              </w:rPr>
              <w:t>q</w:t>
            </w:r>
            <w:r>
              <w:rPr>
                <w:rFonts w:cs="Times New Roman"/>
                <w:color w:val="000000"/>
                <w:kern w:val="0"/>
                <w:szCs w:val="24"/>
                <w:vertAlign w:val="subscript"/>
              </w:rPr>
              <w:t>a</w:t>
            </w:r>
            <w:proofErr w:type="spellEnd"/>
            <w:r>
              <w:rPr>
                <w:rFonts w:cs="Times New Roman"/>
                <w:color w:val="000000"/>
                <w:kern w:val="0"/>
                <w:szCs w:val="24"/>
              </w:rPr>
              <w:t>-</w:t>
            </w:r>
            <w:r>
              <w:rPr>
                <w:rFonts w:cs="Times New Roman"/>
                <w:color w:val="000000"/>
                <w:kern w:val="0"/>
                <w:szCs w:val="24"/>
              </w:rPr>
              <w:t>年平均降雨量，</w:t>
            </w:r>
            <w:r>
              <w:rPr>
                <w:rFonts w:cs="Times New Roman"/>
                <w:color w:val="000000"/>
                <w:kern w:val="0"/>
                <w:szCs w:val="24"/>
              </w:rPr>
              <w:t>72.0mm</w:t>
            </w:r>
            <w:r>
              <w:rPr>
                <w:rFonts w:cs="Times New Roman"/>
                <w:color w:val="000000"/>
                <w:kern w:val="0"/>
                <w:szCs w:val="24"/>
              </w:rPr>
              <w:t>；</w:t>
            </w:r>
            <w:r>
              <w:rPr>
                <w:rFonts w:cs="Times New Roman"/>
                <w:color w:val="000000"/>
                <w:kern w:val="0"/>
                <w:szCs w:val="24"/>
              </w:rPr>
              <w:t>n-</w:t>
            </w:r>
            <w:r>
              <w:rPr>
                <w:rFonts w:cs="Times New Roman"/>
                <w:color w:val="000000"/>
                <w:kern w:val="0"/>
                <w:szCs w:val="24"/>
              </w:rPr>
              <w:t>年平均降雨日数，</w:t>
            </w:r>
            <w:r>
              <w:rPr>
                <w:rFonts w:cs="Times New Roman"/>
                <w:color w:val="000000"/>
                <w:kern w:val="0"/>
                <w:szCs w:val="24"/>
              </w:rPr>
              <w:t>30</w:t>
            </w:r>
            <w:r>
              <w:rPr>
                <w:rFonts w:cs="Times New Roman"/>
                <w:color w:val="000000"/>
                <w:kern w:val="0"/>
                <w:szCs w:val="24"/>
              </w:rPr>
              <w:t>天</w:t>
            </w:r>
            <w:r>
              <w:rPr>
                <w:rFonts w:cs="Times New Roman"/>
                <w:color w:val="000000"/>
                <w:szCs w:val="24"/>
              </w:rPr>
              <w:t>。</w:t>
            </w:r>
          </w:p>
          <w:p w14:paraId="24499E94" w14:textId="77777777" w:rsidR="003C4F46" w:rsidRDefault="004B6A81">
            <w:pPr>
              <w:spacing w:line="520" w:lineRule="exact"/>
              <w:ind w:firstLineChars="500" w:firstLine="1200"/>
              <w:rPr>
                <w:rFonts w:cs="Times New Roman"/>
                <w:color w:val="000000"/>
                <w:szCs w:val="24"/>
              </w:rPr>
            </w:pPr>
            <w:r>
              <w:rPr>
                <w:rFonts w:cs="Times New Roman"/>
                <w:color w:val="000000"/>
                <w:szCs w:val="24"/>
              </w:rPr>
              <w:t>f-</w:t>
            </w:r>
            <w:r>
              <w:rPr>
                <w:rFonts w:cs="Times New Roman"/>
                <w:color w:val="000000"/>
                <w:szCs w:val="24"/>
              </w:rPr>
              <w:t>必须进入事故废水收集系统的雨水汇水面积，</w:t>
            </w:r>
            <w:r>
              <w:rPr>
                <w:rFonts w:cs="Times New Roman"/>
                <w:color w:val="000000"/>
              </w:rPr>
              <w:t>1.4</w:t>
            </w:r>
            <w:r>
              <w:rPr>
                <w:rFonts w:cs="Times New Roman"/>
                <w:color w:val="000000"/>
                <w:szCs w:val="24"/>
              </w:rPr>
              <w:t>ha</w:t>
            </w:r>
            <w:r>
              <w:rPr>
                <w:rFonts w:cs="Times New Roman"/>
                <w:color w:val="000000"/>
                <w:szCs w:val="24"/>
              </w:rPr>
              <w:t>；</w:t>
            </w:r>
          </w:p>
          <w:p w14:paraId="375549A4" w14:textId="2BD1461E" w:rsidR="003C4F46" w:rsidRDefault="004B6A81">
            <w:pPr>
              <w:pStyle w:val="Affff"/>
              <w:spacing w:line="520" w:lineRule="exact"/>
              <w:rPr>
                <w:rFonts w:cs="Times New Roman"/>
                <w:color w:val="000000"/>
              </w:rPr>
            </w:pPr>
            <w:r>
              <w:rPr>
                <w:rFonts w:cs="Times New Roman"/>
                <w:color w:val="000000"/>
              </w:rPr>
              <w:t>本项目的储罐最大容量为</w:t>
            </w:r>
            <w:r>
              <w:rPr>
                <w:rFonts w:cs="Times New Roman"/>
                <w:color w:val="000000"/>
              </w:rPr>
              <w:t>V</w:t>
            </w:r>
            <w:r>
              <w:rPr>
                <w:rFonts w:cs="Times New Roman"/>
                <w:color w:val="000000"/>
                <w:vertAlign w:val="subscript"/>
              </w:rPr>
              <w:t>1</w:t>
            </w:r>
            <w:r>
              <w:rPr>
                <w:rFonts w:cs="Times New Roman"/>
                <w:color w:val="000000"/>
              </w:rPr>
              <w:t>=600m</w:t>
            </w:r>
            <w:r>
              <w:rPr>
                <w:rFonts w:cs="Times New Roman"/>
                <w:color w:val="000000"/>
                <w:vertAlign w:val="superscript"/>
              </w:rPr>
              <w:t>3</w:t>
            </w:r>
            <w:r>
              <w:rPr>
                <w:rFonts w:cs="Times New Roman"/>
                <w:color w:val="000000"/>
              </w:rPr>
              <w:t>；根据《石油化工企业设计防火规范》（</w:t>
            </w:r>
            <w:r>
              <w:rPr>
                <w:rFonts w:cs="Times New Roman"/>
                <w:color w:val="000000"/>
              </w:rPr>
              <w:t>GB50160-2008</w:t>
            </w:r>
            <w:r>
              <w:rPr>
                <w:rFonts w:cs="Times New Roman"/>
                <w:color w:val="000000"/>
              </w:rPr>
              <w:t>），本项目基地面积</w:t>
            </w:r>
            <w:r>
              <w:rPr>
                <w:rFonts w:cs="Times New Roman"/>
                <w:color w:val="000000"/>
              </w:rPr>
              <w:t>≤100ha</w:t>
            </w:r>
            <w:r>
              <w:rPr>
                <w:rFonts w:cs="Times New Roman"/>
                <w:color w:val="000000"/>
              </w:rPr>
              <w:t>，同一时间内的火灾次数</w:t>
            </w:r>
            <w:r>
              <w:rPr>
                <w:rFonts w:cs="Times New Roman"/>
                <w:color w:val="000000"/>
              </w:rPr>
              <w:t>1</w:t>
            </w:r>
            <w:r>
              <w:rPr>
                <w:rFonts w:cs="Times New Roman"/>
                <w:color w:val="000000"/>
              </w:rPr>
              <w:t>次，</w:t>
            </w:r>
            <w:r w:rsidR="007C29E4" w:rsidRPr="007C29E4">
              <w:rPr>
                <w:rFonts w:cs="Times New Roman" w:hint="eastAsia"/>
                <w:color w:val="000000"/>
              </w:rPr>
              <w:t>储罐消防用水量</w:t>
            </w:r>
            <w:r w:rsidR="007C29E4" w:rsidRPr="007C29E4">
              <w:rPr>
                <w:rFonts w:cs="Times New Roman" w:hint="eastAsia"/>
                <w:color w:val="000000"/>
              </w:rPr>
              <w:t>144m</w:t>
            </w:r>
            <w:r w:rsidR="007C29E4" w:rsidRPr="007C29E4">
              <w:rPr>
                <w:rFonts w:cs="Times New Roman" w:hint="eastAsia"/>
                <w:color w:val="000000"/>
              </w:rPr>
              <w:t>³</w:t>
            </w:r>
            <w:r>
              <w:rPr>
                <w:rFonts w:cs="Times New Roman"/>
                <w:color w:val="000000"/>
              </w:rPr>
              <w:t>；</w:t>
            </w:r>
            <w:r>
              <w:rPr>
                <w:rFonts w:cs="Times New Roman"/>
                <w:color w:val="000000"/>
              </w:rPr>
              <w:t>V</w:t>
            </w:r>
            <w:r>
              <w:rPr>
                <w:rFonts w:cs="Times New Roman"/>
                <w:color w:val="000000"/>
                <w:vertAlign w:val="subscript"/>
              </w:rPr>
              <w:t>3</w:t>
            </w:r>
            <w:r>
              <w:rPr>
                <w:rFonts w:cs="Times New Roman"/>
                <w:color w:val="000000"/>
              </w:rPr>
              <w:t>=</w:t>
            </w:r>
            <w:r>
              <w:rPr>
                <w:rFonts w:cs="Times New Roman" w:hint="eastAsia"/>
                <w:color w:val="000000"/>
              </w:rPr>
              <w:t>30</w:t>
            </w:r>
            <w:r>
              <w:rPr>
                <w:rFonts w:cs="Times New Roman"/>
                <w:color w:val="000000"/>
              </w:rPr>
              <w:t>0m</w:t>
            </w:r>
            <w:r>
              <w:rPr>
                <w:rFonts w:cs="Times New Roman"/>
                <w:color w:val="000000"/>
                <w:vertAlign w:val="superscript"/>
              </w:rPr>
              <w:t>3</w:t>
            </w:r>
            <w:r>
              <w:rPr>
                <w:rFonts w:cs="Times New Roman"/>
                <w:color w:val="000000"/>
              </w:rPr>
              <w:t>；发生事故时仍必须进入该收集系统的生产废水量</w:t>
            </w:r>
            <w:r>
              <w:rPr>
                <w:rFonts w:cs="Times New Roman"/>
                <w:color w:val="000000"/>
              </w:rPr>
              <w:t>V</w:t>
            </w:r>
            <w:r>
              <w:rPr>
                <w:rFonts w:cs="Times New Roman"/>
                <w:color w:val="000000"/>
                <w:vertAlign w:val="subscript"/>
              </w:rPr>
              <w:t>4</w:t>
            </w:r>
            <w:r>
              <w:rPr>
                <w:rFonts w:cs="Times New Roman"/>
                <w:color w:val="000000"/>
              </w:rPr>
              <w:t>=0</w:t>
            </w:r>
            <w:r>
              <w:rPr>
                <w:rFonts w:cs="Times New Roman"/>
                <w:color w:val="000000"/>
              </w:rPr>
              <w:t>；发生事故时可能进入该收集系统的降雨量按照本项目所在地区的最大暴雨量进行考虑，事故时产生的雨水量约为</w:t>
            </w:r>
            <w:r>
              <w:rPr>
                <w:rFonts w:cs="Times New Roman"/>
                <w:color w:val="000000"/>
              </w:rPr>
              <w:t>V</w:t>
            </w:r>
            <w:r>
              <w:rPr>
                <w:rFonts w:cs="Times New Roman"/>
                <w:color w:val="000000"/>
                <w:vertAlign w:val="subscript"/>
              </w:rPr>
              <w:t>5</w:t>
            </w:r>
            <w:r>
              <w:rPr>
                <w:rFonts w:cs="Times New Roman"/>
                <w:color w:val="000000"/>
              </w:rPr>
              <w:t>=</w:t>
            </w:r>
            <w:r>
              <w:rPr>
                <w:rFonts w:cs="Times New Roman" w:hint="eastAsia"/>
                <w:color w:val="000000"/>
              </w:rPr>
              <w:t>=</w:t>
            </w:r>
            <w:r>
              <w:rPr>
                <w:rFonts w:cs="Times New Roman"/>
                <w:color w:val="000000"/>
              </w:rPr>
              <w:t>10×</w:t>
            </w:r>
            <w:r>
              <w:rPr>
                <w:rFonts w:cs="Times New Roman" w:hint="eastAsia"/>
                <w:color w:val="000000"/>
              </w:rPr>
              <w:t>72</w:t>
            </w:r>
            <w:r>
              <w:rPr>
                <w:rFonts w:cs="Times New Roman"/>
                <w:color w:val="000000"/>
              </w:rPr>
              <w:t>/30</w:t>
            </w:r>
            <w:r>
              <w:rPr>
                <w:rFonts w:cs="Times New Roman" w:hint="eastAsia"/>
                <w:color w:val="000000"/>
              </w:rPr>
              <w:t>×</w:t>
            </w:r>
            <w:r>
              <w:rPr>
                <w:rFonts w:cs="Times New Roman" w:hint="eastAsia"/>
                <w:color w:val="000000"/>
              </w:rPr>
              <w:t>1</w:t>
            </w:r>
            <w:r>
              <w:rPr>
                <w:rFonts w:cs="Times New Roman"/>
                <w:color w:val="000000"/>
              </w:rPr>
              <w:t>.4=33.6m</w:t>
            </w:r>
            <w:r>
              <w:rPr>
                <w:rFonts w:cs="Times New Roman"/>
                <w:color w:val="000000"/>
                <w:vertAlign w:val="superscript"/>
              </w:rPr>
              <w:t>3</w:t>
            </w:r>
            <w:r>
              <w:rPr>
                <w:rFonts w:cs="Times New Roman" w:hint="eastAsia"/>
                <w:color w:val="000000"/>
              </w:rPr>
              <w:t>。</w:t>
            </w:r>
          </w:p>
          <w:p w14:paraId="5DF6E30E" w14:textId="77777777" w:rsidR="003C4F46" w:rsidRDefault="004B6A81">
            <w:pPr>
              <w:pStyle w:val="Affff"/>
              <w:spacing w:line="520" w:lineRule="exact"/>
              <w:rPr>
                <w:rFonts w:cs="Times New Roman"/>
                <w:color w:val="000000"/>
              </w:rPr>
            </w:pPr>
            <w:r>
              <w:rPr>
                <w:rFonts w:cs="Times New Roman"/>
                <w:color w:val="000000"/>
              </w:rPr>
              <w:t>事故储存设施总有效容积</w:t>
            </w:r>
            <w:r>
              <w:rPr>
                <w:rFonts w:cs="Times New Roman"/>
                <w:color w:val="000000"/>
              </w:rPr>
              <w:t>V</w:t>
            </w:r>
            <w:r>
              <w:rPr>
                <w:rFonts w:cs="Times New Roman"/>
                <w:color w:val="000000"/>
                <w:vertAlign w:val="subscript"/>
              </w:rPr>
              <w:t>总</w:t>
            </w:r>
            <w:r>
              <w:rPr>
                <w:rFonts w:cs="Times New Roman"/>
                <w:color w:val="000000"/>
              </w:rPr>
              <w:t>=</w:t>
            </w:r>
            <w:r>
              <w:rPr>
                <w:rFonts w:cs="Times New Roman"/>
                <w:color w:val="000000"/>
              </w:rPr>
              <w:t>（</w:t>
            </w:r>
            <w:r>
              <w:rPr>
                <w:rFonts w:cs="Times New Roman"/>
                <w:color w:val="000000"/>
              </w:rPr>
              <w:t>600+</w:t>
            </w:r>
            <w:r>
              <w:rPr>
                <w:rFonts w:cs="Times New Roman" w:hint="eastAsia"/>
                <w:color w:val="000000"/>
              </w:rPr>
              <w:t>144</w:t>
            </w:r>
            <w:r>
              <w:rPr>
                <w:rFonts w:cs="Times New Roman"/>
                <w:color w:val="000000"/>
              </w:rPr>
              <w:t>-</w:t>
            </w:r>
            <w:r>
              <w:rPr>
                <w:rFonts w:cs="Times New Roman" w:hint="eastAsia"/>
                <w:color w:val="000000"/>
              </w:rPr>
              <w:t>30</w:t>
            </w:r>
            <w:r>
              <w:rPr>
                <w:rFonts w:cs="Times New Roman"/>
                <w:color w:val="000000"/>
              </w:rPr>
              <w:t>0</w:t>
            </w:r>
            <w:r>
              <w:rPr>
                <w:rFonts w:cs="Times New Roman"/>
                <w:color w:val="000000"/>
              </w:rPr>
              <w:t>）</w:t>
            </w:r>
            <w:r>
              <w:rPr>
                <w:rFonts w:cs="Times New Roman"/>
                <w:color w:val="000000"/>
              </w:rPr>
              <w:t>+0+33.6=477.6m</w:t>
            </w:r>
            <w:r>
              <w:rPr>
                <w:rFonts w:cs="Times New Roman"/>
                <w:color w:val="000000"/>
                <w:vertAlign w:val="superscript"/>
              </w:rPr>
              <w:t>3</w:t>
            </w:r>
            <w:r>
              <w:rPr>
                <w:rFonts w:cs="Times New Roman" w:hint="eastAsia"/>
                <w:color w:val="000000"/>
              </w:rPr>
              <w:t>。</w:t>
            </w:r>
          </w:p>
          <w:p w14:paraId="63717F0E" w14:textId="77777777" w:rsidR="003C4F46" w:rsidRDefault="004B6A81">
            <w:pPr>
              <w:pStyle w:val="Default"/>
              <w:spacing w:line="360" w:lineRule="auto"/>
              <w:ind w:firstLineChars="200" w:firstLine="520"/>
              <w:rPr>
                <w:rFonts w:ascii="Times New Roman" w:hAnsi="Times New Roman"/>
                <w:color w:val="auto"/>
                <w:kern w:val="0"/>
                <w:lang w:bidi="ar"/>
              </w:rPr>
            </w:pPr>
            <w:r>
              <w:rPr>
                <w:rFonts w:ascii="Times New Roman" w:hAnsi="Times New Roman"/>
                <w:spacing w:val="10"/>
              </w:rPr>
              <w:t>根据《轮台塔中石油化工有限公司生产基地（</w:t>
            </w:r>
            <w:r>
              <w:rPr>
                <w:rFonts w:ascii="Times New Roman" w:hAnsi="Times New Roman"/>
                <w:spacing w:val="10"/>
              </w:rPr>
              <w:t>5</w:t>
            </w:r>
            <w:r>
              <w:rPr>
                <w:rFonts w:ascii="Times New Roman" w:hAnsi="Times New Roman"/>
                <w:spacing w:val="10"/>
              </w:rPr>
              <w:t>万吨</w:t>
            </w:r>
            <w:r>
              <w:rPr>
                <w:rFonts w:ascii="Times New Roman" w:hAnsi="Times New Roman"/>
                <w:spacing w:val="10"/>
              </w:rPr>
              <w:t>/</w:t>
            </w:r>
            <w:r>
              <w:rPr>
                <w:rFonts w:ascii="Times New Roman" w:hAnsi="Times New Roman"/>
                <w:spacing w:val="10"/>
              </w:rPr>
              <w:t>年废油再生利用项目）竣工环境保护验收报告》，厂区应急事故池总容量为</w:t>
            </w:r>
            <w:r>
              <w:rPr>
                <w:rFonts w:ascii="Times New Roman" w:hAnsi="Times New Roman"/>
                <w:spacing w:val="10"/>
              </w:rPr>
              <w:t>800m³</w:t>
            </w:r>
            <w:r>
              <w:rPr>
                <w:rFonts w:ascii="Times New Roman" w:hAnsi="Times New Roman"/>
                <w:spacing w:val="10"/>
              </w:rPr>
              <w:t>，位于厂区正中心位置（重点污染防治区），已验收完成并正常投用。防渗方面，事故池防渗层性能不低于</w:t>
            </w:r>
            <w:r>
              <w:rPr>
                <w:rFonts w:ascii="Times New Roman" w:hAnsi="Times New Roman"/>
                <w:spacing w:val="10"/>
              </w:rPr>
              <w:t>6.0m</w:t>
            </w:r>
            <w:r>
              <w:rPr>
                <w:rFonts w:ascii="Times New Roman" w:hAnsi="Times New Roman"/>
                <w:spacing w:val="10"/>
              </w:rPr>
              <w:t>厚、渗透系数</w:t>
            </w:r>
            <w:r>
              <w:rPr>
                <w:rFonts w:ascii="Times New Roman" w:hAnsi="Times New Roman"/>
                <w:spacing w:val="10"/>
              </w:rPr>
              <w:t>≤1.0×10⁻⁷cm/s</w:t>
            </w:r>
            <w:r>
              <w:rPr>
                <w:rFonts w:ascii="Times New Roman" w:hAnsi="Times New Roman"/>
                <w:spacing w:val="10"/>
              </w:rPr>
              <w:t>的黏土层，地下管道、防火堤及废水收集管网均做防渗处理</w:t>
            </w:r>
            <w:r>
              <w:rPr>
                <w:rFonts w:ascii="Times New Roman" w:hAnsi="Times New Roman"/>
                <w:color w:val="auto"/>
                <w:kern w:val="0"/>
                <w:lang w:bidi="ar"/>
              </w:rPr>
              <w:t>。</w:t>
            </w:r>
          </w:p>
          <w:p w14:paraId="1424164D"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本项目事故排水量为</w:t>
            </w:r>
            <w:r>
              <w:rPr>
                <w:rFonts w:ascii="Times New Roman" w:hAnsi="Times New Roman"/>
                <w:color w:val="auto"/>
                <w:kern w:val="0"/>
                <w:lang w:bidi="ar"/>
              </w:rPr>
              <w:t>477.6m³</w:t>
            </w:r>
            <w:r>
              <w:rPr>
                <w:rFonts w:ascii="Times New Roman" w:hAnsi="Times New Roman" w:hint="eastAsia"/>
                <w:color w:val="auto"/>
                <w:kern w:val="0"/>
                <w:lang w:bidi="ar"/>
              </w:rPr>
              <w:t>，现有项目事故排水量为</w:t>
            </w:r>
            <w:r>
              <w:rPr>
                <w:rFonts w:ascii="Times New Roman" w:hAnsi="Times New Roman"/>
                <w:color w:val="auto"/>
                <w:kern w:val="0"/>
                <w:lang w:bidi="ar"/>
              </w:rPr>
              <w:t>315m³</w:t>
            </w:r>
            <w:r>
              <w:rPr>
                <w:rFonts w:ascii="Times New Roman" w:hAnsi="Times New Roman" w:hint="eastAsia"/>
                <w:color w:val="auto"/>
                <w:kern w:val="0"/>
                <w:lang w:bidi="ar"/>
              </w:rPr>
              <w:t>。最不利叠加工况下全厂事故排水量合计为</w:t>
            </w:r>
            <w:r>
              <w:rPr>
                <w:rFonts w:ascii="Times New Roman" w:hAnsi="Times New Roman"/>
                <w:color w:val="auto"/>
                <w:kern w:val="0"/>
                <w:lang w:bidi="ar"/>
              </w:rPr>
              <w:t>477.6+315=792.6m³</w:t>
            </w:r>
            <w:r>
              <w:rPr>
                <w:rFonts w:ascii="Times New Roman" w:hAnsi="Times New Roman" w:hint="eastAsia"/>
                <w:color w:val="auto"/>
                <w:kern w:val="0"/>
                <w:lang w:bidi="ar"/>
              </w:rPr>
              <w:t>，小于事故池有效容积</w:t>
            </w:r>
            <w:r>
              <w:rPr>
                <w:rFonts w:ascii="Times New Roman" w:hAnsi="Times New Roman"/>
                <w:color w:val="auto"/>
                <w:kern w:val="0"/>
                <w:lang w:bidi="ar"/>
              </w:rPr>
              <w:t>800m³</w:t>
            </w:r>
            <w:r>
              <w:rPr>
                <w:rFonts w:ascii="Times New Roman" w:hAnsi="Times New Roman" w:hint="eastAsia"/>
                <w:color w:val="auto"/>
                <w:kern w:val="0"/>
                <w:lang w:bidi="ar"/>
              </w:rPr>
              <w:t>，满足事</w:t>
            </w:r>
            <w:r>
              <w:rPr>
                <w:rFonts w:ascii="Times New Roman" w:hAnsi="Times New Roman" w:hint="eastAsia"/>
                <w:color w:val="auto"/>
                <w:kern w:val="0"/>
                <w:lang w:bidi="ar"/>
              </w:rPr>
              <w:lastRenderedPageBreak/>
              <w:t>故废水收集需求。依托该事故池可行。为确保事故池在紧急情况下具备足够收容能力，企业须确保事故池日常保持空置状态，严禁占用；在事故状态下，优先利用围堰和罐区内地坪的临时收集能力，减少进入事故池的水量，确保不超出事故池收容能力。</w:t>
            </w:r>
          </w:p>
          <w:p w14:paraId="4778561F"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w:t>
            </w:r>
            <w:r>
              <w:rPr>
                <w:rFonts w:ascii="Times New Roman" w:hAnsi="Times New Roman" w:hint="eastAsia"/>
                <w:color w:val="auto"/>
                <w:kern w:val="0"/>
                <w:lang w:bidi="ar"/>
              </w:rPr>
              <w:t>3</w:t>
            </w:r>
            <w:r>
              <w:rPr>
                <w:rFonts w:ascii="Times New Roman" w:hAnsi="Times New Roman"/>
                <w:color w:val="auto"/>
                <w:kern w:val="0"/>
                <w:lang w:bidi="ar"/>
              </w:rPr>
              <w:t>）运输过程泄漏影响分析</w:t>
            </w:r>
          </w:p>
          <w:p w14:paraId="6E8CCE68"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废矿物油从产生点到收购公司，必须经过汽车运输过程。运输过程的事故排放主要是指废油在运输过程中发生的泄漏，最严重事故为发生交通事故后废油整体泄漏。对于本项目来说，收集的主要是废油，则发生泄漏后由于其中所含的一些有毒有害物质将进入环境，对环境会产生一定的影响。因此，企业应加强管理，执行危险品运输的技术规范，从管理和技术两方面出发确保运输过程安全。</w:t>
            </w:r>
          </w:p>
          <w:p w14:paraId="2AD7623F" w14:textId="77777777" w:rsidR="003C4F46" w:rsidRDefault="004B6A81">
            <w:pPr>
              <w:pStyle w:val="Default"/>
              <w:spacing w:line="360" w:lineRule="auto"/>
              <w:rPr>
                <w:rFonts w:ascii="Times New Roman" w:hAnsi="Times New Roman"/>
                <w:color w:val="auto"/>
                <w:kern w:val="0"/>
                <w:lang w:bidi="ar"/>
              </w:rPr>
            </w:pPr>
            <w:r>
              <w:rPr>
                <w:rFonts w:ascii="Times New Roman" w:hAnsi="Times New Roman"/>
                <w:b/>
                <w:bCs/>
              </w:rPr>
              <w:t>4.7.4</w:t>
            </w:r>
            <w:r>
              <w:rPr>
                <w:rFonts w:ascii="Times New Roman" w:hAnsi="Times New Roman"/>
                <w:b/>
                <w:bCs/>
              </w:rPr>
              <w:t>环境风险防范措施及应急要求</w:t>
            </w:r>
          </w:p>
          <w:p w14:paraId="23E0C51C" w14:textId="1E76AFFD"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根据《危险废物贮存污染控制标准》（</w:t>
            </w:r>
            <w:r>
              <w:rPr>
                <w:rFonts w:ascii="Times New Roman" w:hAnsi="Times New Roman"/>
                <w:color w:val="auto"/>
                <w:kern w:val="0"/>
                <w:lang w:bidi="ar"/>
              </w:rPr>
              <w:t>GB18597-2023</w:t>
            </w:r>
            <w:r>
              <w:rPr>
                <w:rFonts w:ascii="Times New Roman" w:hAnsi="Times New Roman"/>
                <w:color w:val="auto"/>
                <w:kern w:val="0"/>
                <w:lang w:bidi="ar"/>
              </w:rPr>
              <w:t>）与《废铅酸蓄电池处理污染控制技术规范》（</w:t>
            </w:r>
            <w:r>
              <w:rPr>
                <w:rFonts w:ascii="Times New Roman" w:hAnsi="Times New Roman"/>
                <w:color w:val="auto"/>
                <w:kern w:val="0"/>
                <w:lang w:bidi="ar"/>
              </w:rPr>
              <w:t>HJ519-2020</w:t>
            </w:r>
            <w:r>
              <w:rPr>
                <w:rFonts w:ascii="Times New Roman" w:hAnsi="Times New Roman"/>
                <w:color w:val="auto"/>
                <w:kern w:val="0"/>
                <w:lang w:bidi="ar"/>
              </w:rPr>
              <w:t>）、《</w:t>
            </w:r>
            <w:r w:rsidR="00691223" w:rsidRPr="00691223">
              <w:rPr>
                <w:rFonts w:ascii="Times New Roman" w:hAnsi="Times New Roman" w:hint="eastAsia"/>
                <w:color w:val="auto"/>
                <w:kern w:val="0"/>
                <w:lang w:bidi="ar"/>
              </w:rPr>
              <w:t>新疆维吾尔自治区废铅蓄电池收集贮存和转移管理规范</w:t>
            </w:r>
            <w:r>
              <w:rPr>
                <w:rFonts w:ascii="Times New Roman" w:hAnsi="Times New Roman"/>
                <w:color w:val="auto"/>
                <w:kern w:val="0"/>
                <w:lang w:bidi="ar"/>
              </w:rPr>
              <w:t>（试行）》要求，本环评对项目的风险安全管理提出如下要求：</w:t>
            </w:r>
          </w:p>
          <w:p w14:paraId="00F67BD2"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hint="eastAsia"/>
                <w:color w:val="auto"/>
                <w:kern w:val="0"/>
                <w:lang w:bidi="ar"/>
              </w:rPr>
              <w:t>1</w:t>
            </w:r>
            <w:r>
              <w:rPr>
                <w:rFonts w:ascii="Times New Roman" w:hAnsi="Times New Roman" w:hint="eastAsia"/>
                <w:color w:val="auto"/>
                <w:kern w:val="0"/>
                <w:lang w:bidi="ar"/>
              </w:rPr>
              <w:t>）</w:t>
            </w:r>
            <w:r>
              <w:rPr>
                <w:rFonts w:ascii="Times New Roman" w:hAnsi="Times New Roman"/>
                <w:color w:val="auto"/>
                <w:kern w:val="0"/>
                <w:lang w:bidi="ar"/>
              </w:rPr>
              <w:t>贮存过程中风险防范措施及</w:t>
            </w:r>
            <w:r>
              <w:rPr>
                <w:rFonts w:ascii="Times New Roman" w:hAnsi="Times New Roman" w:hint="eastAsia"/>
                <w:color w:val="auto"/>
                <w:kern w:val="0"/>
                <w:lang w:bidi="ar"/>
              </w:rPr>
              <w:t>应急要求</w:t>
            </w:r>
          </w:p>
          <w:p w14:paraId="0AF8E70E"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贮存过程事故风险主要是因设备泄漏、火灾爆炸、水质污染等事故，是安全生产的重要方面。必须按规定设置警示标志，分类管理，分类存放</w:t>
            </w:r>
            <w:r>
              <w:rPr>
                <w:rFonts w:ascii="Times New Roman" w:hAnsi="Times New Roman" w:hint="eastAsia"/>
                <w:color w:val="auto"/>
                <w:kern w:val="0"/>
                <w:lang w:bidi="ar"/>
              </w:rPr>
              <w:t>。</w:t>
            </w:r>
          </w:p>
          <w:p w14:paraId="09C4CDAC"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配备必要的危险品事故防范和应急技术装备。根据消防部门的要求配置消防设施。加强工作人员危险品贮存、使用防范事故的常识教育，明确各岗位的职责，实行事故防范的岗位责任制。根据《危险废物收集、贮存、运输技术规范》</w:t>
            </w:r>
            <w:r>
              <w:rPr>
                <w:rFonts w:ascii="Times New Roman" w:hAnsi="Times New Roman" w:hint="eastAsia"/>
                <w:color w:val="auto"/>
                <w:kern w:val="0"/>
                <w:lang w:bidi="ar"/>
              </w:rPr>
              <w:t>（</w:t>
            </w:r>
            <w:r>
              <w:rPr>
                <w:rFonts w:ascii="Times New Roman" w:hAnsi="Times New Roman"/>
                <w:color w:val="auto"/>
                <w:kern w:val="0"/>
                <w:lang w:bidi="ar"/>
              </w:rPr>
              <w:t>HJ2025-2012</w:t>
            </w:r>
            <w:r>
              <w:rPr>
                <w:rFonts w:ascii="Times New Roman" w:hAnsi="Times New Roman" w:hint="eastAsia"/>
                <w:color w:val="auto"/>
                <w:kern w:val="0"/>
                <w:lang w:bidi="ar"/>
              </w:rPr>
              <w:t>）</w:t>
            </w:r>
            <w:r>
              <w:rPr>
                <w:rFonts w:ascii="Times New Roman" w:hAnsi="Times New Roman"/>
                <w:color w:val="auto"/>
                <w:kern w:val="0"/>
                <w:lang w:bidi="ar"/>
              </w:rPr>
              <w:t>和《危险废物贮存污染控制标准》（</w:t>
            </w:r>
            <w:r>
              <w:rPr>
                <w:rFonts w:ascii="Times New Roman" w:hAnsi="Times New Roman"/>
                <w:color w:val="auto"/>
                <w:kern w:val="0"/>
                <w:lang w:bidi="ar"/>
              </w:rPr>
              <w:t>GB18597-2023</w:t>
            </w:r>
            <w:r>
              <w:rPr>
                <w:rFonts w:ascii="Times New Roman" w:hAnsi="Times New Roman"/>
                <w:color w:val="auto"/>
                <w:kern w:val="0"/>
                <w:lang w:bidi="ar"/>
              </w:rPr>
              <w:t>）危险废物贮存主要要求如下：</w:t>
            </w:r>
          </w:p>
          <w:p w14:paraId="5E12E655" w14:textId="5D3186FA"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①严格按贮存要求设计，贮存</w:t>
            </w:r>
            <w:r w:rsidR="00CF46A4">
              <w:rPr>
                <w:rFonts w:ascii="Times New Roman" w:hAnsi="Times New Roman" w:hint="eastAsia"/>
                <w:color w:val="auto"/>
                <w:kern w:val="0"/>
                <w:lang w:bidi="ar"/>
              </w:rPr>
              <w:t>库</w:t>
            </w:r>
            <w:r>
              <w:rPr>
                <w:rFonts w:ascii="Times New Roman" w:hAnsi="Times New Roman" w:hint="eastAsia"/>
                <w:color w:val="auto"/>
                <w:kern w:val="0"/>
                <w:lang w:bidi="ar"/>
              </w:rPr>
              <w:t>应设置地沟。应严格按照《建筑设计防火规范》</w:t>
            </w:r>
            <w:r>
              <w:rPr>
                <w:rFonts w:ascii="Times New Roman" w:hAnsi="Times New Roman" w:hint="eastAsia"/>
                <w:color w:val="auto"/>
                <w:kern w:val="0"/>
                <w:lang w:bidi="ar"/>
              </w:rPr>
              <w:t>GB50016-2014</w:t>
            </w:r>
            <w:r>
              <w:rPr>
                <w:rFonts w:ascii="Times New Roman" w:hAnsi="Times New Roman" w:hint="eastAsia"/>
                <w:color w:val="auto"/>
                <w:kern w:val="0"/>
                <w:lang w:bidi="ar"/>
              </w:rPr>
              <w:t>（</w:t>
            </w:r>
            <w:r>
              <w:rPr>
                <w:rFonts w:ascii="Times New Roman" w:hAnsi="Times New Roman" w:hint="eastAsia"/>
                <w:color w:val="auto"/>
                <w:kern w:val="0"/>
                <w:lang w:bidi="ar"/>
              </w:rPr>
              <w:t>2018</w:t>
            </w:r>
            <w:r>
              <w:rPr>
                <w:rFonts w:ascii="Times New Roman" w:hAnsi="Times New Roman" w:hint="eastAsia"/>
                <w:color w:val="auto"/>
                <w:kern w:val="0"/>
                <w:lang w:bidi="ar"/>
              </w:rPr>
              <w:t>年版）等标准规范执行。</w:t>
            </w:r>
          </w:p>
          <w:p w14:paraId="161B3ED5"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②贮存危险化学品的仓库管理人员，必须经过专业知识培训，熟悉贮存物品的特性、事故处理办法和防护知识，持证上岗，同时，必须配备有关的个人防护用品。</w:t>
            </w:r>
          </w:p>
          <w:p w14:paraId="2E463B69"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③贮存危险废物时应按危险废物的种类和特性进行分区贮存，每个贮存区域之间应设置挡墙间隔，并应设置防雨、防火、防雷、防扬尘装置。</w:t>
            </w:r>
            <w:r>
              <w:rPr>
                <w:rFonts w:ascii="Times New Roman" w:hAnsi="Times New Roman"/>
                <w:color w:val="auto"/>
                <w:kern w:val="0"/>
                <w:lang w:bidi="ar"/>
              </w:rPr>
              <w:t>不相容的危险废物</w:t>
            </w:r>
            <w:r>
              <w:rPr>
                <w:rFonts w:ascii="Times New Roman" w:hAnsi="Times New Roman"/>
                <w:color w:val="auto"/>
                <w:kern w:val="0"/>
                <w:lang w:bidi="ar"/>
              </w:rPr>
              <w:lastRenderedPageBreak/>
              <w:t>不能堆放在一起。</w:t>
            </w:r>
          </w:p>
          <w:p w14:paraId="5761F04D"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④盛装危险废物的容器上必须粘贴相应危险废物标志。危险废物贮存设施都必须按《危险废物识别标志设置技术规范》（</w:t>
            </w:r>
            <w:r>
              <w:rPr>
                <w:rFonts w:ascii="Times New Roman" w:hAnsi="Times New Roman" w:hint="eastAsia"/>
                <w:color w:val="auto"/>
                <w:kern w:val="0"/>
                <w:lang w:bidi="ar"/>
              </w:rPr>
              <w:t>HJ1276-2022</w:t>
            </w:r>
            <w:r>
              <w:rPr>
                <w:rFonts w:ascii="Times New Roman" w:hAnsi="Times New Roman" w:hint="eastAsia"/>
                <w:color w:val="auto"/>
                <w:kern w:val="0"/>
                <w:lang w:bidi="ar"/>
              </w:rPr>
              <w:t>）的规定设置警示标志。危险废物贮存库必须有专人</w:t>
            </w:r>
            <w:r>
              <w:rPr>
                <w:rFonts w:ascii="Times New Roman" w:hAnsi="Times New Roman" w:hint="eastAsia"/>
                <w:color w:val="auto"/>
                <w:kern w:val="0"/>
                <w:lang w:bidi="ar"/>
              </w:rPr>
              <w:t>24</w:t>
            </w:r>
            <w:r>
              <w:rPr>
                <w:rFonts w:ascii="Times New Roman" w:hAnsi="Times New Roman" w:hint="eastAsia"/>
                <w:color w:val="auto"/>
                <w:kern w:val="0"/>
                <w:lang w:bidi="ar"/>
              </w:rPr>
              <w:t>小时看管。</w:t>
            </w:r>
          </w:p>
          <w:p w14:paraId="634CACE9" w14:textId="34707700"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⑤如实记载每批危险废物的名称、来源、数量、特性和包装容器的类别、入库日期、存放库位、废物出库日期及接收单位名称。该记录在危险废物转运后应继续保留</w:t>
            </w:r>
            <w:r w:rsidR="002F2799">
              <w:rPr>
                <w:rFonts w:ascii="Times New Roman" w:hAnsi="Times New Roman" w:hint="eastAsia"/>
                <w:color w:val="auto"/>
                <w:kern w:val="0"/>
                <w:lang w:bidi="ar"/>
              </w:rPr>
              <w:t>1</w:t>
            </w:r>
            <w:r w:rsidR="002F2799">
              <w:rPr>
                <w:rFonts w:ascii="Times New Roman" w:hAnsi="Times New Roman"/>
                <w:color w:val="auto"/>
                <w:kern w:val="0"/>
                <w:lang w:bidi="ar"/>
              </w:rPr>
              <w:t>0</w:t>
            </w:r>
            <w:r>
              <w:rPr>
                <w:rFonts w:ascii="Times New Roman" w:hAnsi="Times New Roman" w:hint="eastAsia"/>
                <w:color w:val="auto"/>
                <w:kern w:val="0"/>
                <w:lang w:bidi="ar"/>
              </w:rPr>
              <w:t>年。出入库必须检查验收登记，贮存期间定期养护，控制好贮存场所的温度和湿度；装卸、搬运时应轻装轻卸，注意自我防护。定期对所贮存的危险废物容器及贮存设施进行检查，发现破损，及时采取措施清理更换</w:t>
            </w:r>
          </w:p>
          <w:p w14:paraId="0F9258EA"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⑥要严格遵守有关贮存的安全规定，具体包括《仓库防火安全管理规则》《建筑设计防火规范》等。</w:t>
            </w:r>
          </w:p>
          <w:p w14:paraId="7C69BC8E"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⑦仓库内配备足够数量的消防设备、干粉灭火器和灭火药器等，值班人员应经过培训，除了具有一般消防知识之外，还应熟悉危险废物的种类、特性、贮存地点、事故的处理程序及方法。</w:t>
            </w:r>
          </w:p>
          <w:p w14:paraId="7F739296"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⑧危险废物贮存库内灯具必需为冷光源，防爆灯具。</w:t>
            </w:r>
            <w:r>
              <w:rPr>
                <w:rFonts w:ascii="Times New Roman" w:hAnsi="Times New Roman"/>
                <w:color w:val="auto"/>
                <w:kern w:val="0"/>
                <w:lang w:bidi="ar"/>
              </w:rPr>
              <w:t>应只有一个入口，并且在一般情况下，应关闭此入口以避免灰尘的扩散。</w:t>
            </w:r>
          </w:p>
          <w:p w14:paraId="0FCB8034" w14:textId="023178C5"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⑨</w:t>
            </w:r>
            <w:r>
              <w:rPr>
                <w:rFonts w:ascii="Times New Roman" w:hAnsi="Times New Roman"/>
                <w:color w:val="auto"/>
                <w:kern w:val="0"/>
                <w:lang w:bidi="ar"/>
              </w:rPr>
              <w:t>应避免</w:t>
            </w:r>
            <w:r w:rsidR="00691223" w:rsidRPr="00691223">
              <w:rPr>
                <w:rFonts w:ascii="Times New Roman" w:hAnsi="Times New Roman" w:hint="eastAsia"/>
                <w:color w:val="auto"/>
                <w:kern w:val="0"/>
                <w:lang w:bidi="ar"/>
              </w:rPr>
              <w:t>废铅蓄电池</w:t>
            </w:r>
            <w:r>
              <w:rPr>
                <w:rFonts w:ascii="Times New Roman" w:hAnsi="Times New Roman" w:hint="eastAsia"/>
                <w:color w:val="auto"/>
                <w:kern w:val="0"/>
                <w:lang w:bidi="ar"/>
              </w:rPr>
              <w:t>和废润滑油的大量贮存</w:t>
            </w:r>
            <w:r>
              <w:rPr>
                <w:rFonts w:ascii="Times New Roman" w:hAnsi="Times New Roman"/>
                <w:color w:val="auto"/>
                <w:kern w:val="0"/>
                <w:lang w:bidi="ar"/>
              </w:rPr>
              <w:t>或</w:t>
            </w:r>
            <w:r>
              <w:rPr>
                <w:rFonts w:ascii="Times New Roman" w:hAnsi="Times New Roman" w:hint="eastAsia"/>
                <w:color w:val="auto"/>
                <w:kern w:val="0"/>
                <w:lang w:bidi="ar"/>
              </w:rPr>
              <w:t>过长</w:t>
            </w:r>
            <w:r>
              <w:rPr>
                <w:rFonts w:ascii="Times New Roman" w:hAnsi="Times New Roman"/>
                <w:color w:val="auto"/>
                <w:kern w:val="0"/>
                <w:lang w:bidi="ar"/>
              </w:rPr>
              <w:t>时间贮存</w:t>
            </w:r>
            <w:r>
              <w:rPr>
                <w:rFonts w:ascii="Times New Roman" w:hAnsi="Times New Roman" w:hint="eastAsia"/>
                <w:color w:val="auto"/>
                <w:kern w:val="0"/>
                <w:lang w:bidi="ar"/>
              </w:rPr>
              <w:t>。</w:t>
            </w:r>
          </w:p>
          <w:p w14:paraId="0D01FA2C"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⑩贮存设施都必须按《环境保护图形标志</w:t>
            </w:r>
            <w:r>
              <w:rPr>
                <w:rFonts w:ascii="Times New Roman" w:hAnsi="Times New Roman" w:hint="eastAsia"/>
                <w:color w:val="auto"/>
                <w:kern w:val="0"/>
                <w:lang w:bidi="ar"/>
              </w:rPr>
              <w:t>-</w:t>
            </w:r>
            <w:r>
              <w:rPr>
                <w:rFonts w:ascii="Times New Roman" w:hAnsi="Times New Roman" w:hint="eastAsia"/>
                <w:color w:val="auto"/>
                <w:kern w:val="0"/>
                <w:lang w:bidi="ar"/>
              </w:rPr>
              <w:t>固体废物贮存（处置）场》（</w:t>
            </w:r>
            <w:r>
              <w:rPr>
                <w:rFonts w:ascii="Times New Roman" w:hAnsi="Times New Roman" w:hint="eastAsia"/>
                <w:color w:val="auto"/>
                <w:kern w:val="0"/>
                <w:lang w:bidi="ar"/>
              </w:rPr>
              <w:t>GB15562.2-1995</w:t>
            </w:r>
            <w:r>
              <w:rPr>
                <w:rFonts w:ascii="Times New Roman" w:hAnsi="Times New Roman" w:hint="eastAsia"/>
                <w:color w:val="auto"/>
                <w:kern w:val="0"/>
                <w:lang w:bidi="ar"/>
              </w:rPr>
              <w:t>）修改单的规定设置警示标志；贮存设施周围设置围墙或其它防护栅栏；贮存仓库的温度、湿度应严格控制，发现变化及时检查贮存状况；按国家污染源管理要求对贮存设施进行监测；贮存设施应定期进行检查，发现破损，应及时采取措施清理更换；贮存场地应配备通讯设备、照明设施、安全视察窗口、安全防护服装及工具，并设有应急防护设施；值班人员应掌握危险废物发生泄露、火灾的扑救常识，学会使用堵漏、灭火器材；根据《危险废物贮存污染控制标准》（</w:t>
            </w:r>
            <w:r>
              <w:rPr>
                <w:rFonts w:ascii="Times New Roman" w:hAnsi="Times New Roman" w:hint="eastAsia"/>
                <w:color w:val="auto"/>
                <w:kern w:val="0"/>
                <w:lang w:bidi="ar"/>
              </w:rPr>
              <w:t>GB18597-2023</w:t>
            </w:r>
            <w:r>
              <w:rPr>
                <w:rFonts w:ascii="Times New Roman" w:hAnsi="Times New Roman" w:hint="eastAsia"/>
                <w:color w:val="auto"/>
                <w:kern w:val="0"/>
                <w:lang w:bidi="ar"/>
              </w:rPr>
              <w:t>）的相关规定对地面采取防渗措施，设置导流沟、渗漏液暂存池。</w:t>
            </w:r>
          </w:p>
          <w:p w14:paraId="1FE73511"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w:t>
            </w:r>
            <w:r>
              <w:rPr>
                <w:rFonts w:ascii="Times New Roman" w:hAnsi="Times New Roman"/>
                <w:color w:val="auto"/>
                <w:kern w:val="0"/>
                <w:lang w:bidi="ar"/>
              </w:rPr>
              <w:t>2</w:t>
            </w:r>
            <w:r>
              <w:rPr>
                <w:rFonts w:ascii="Times New Roman" w:hAnsi="Times New Roman"/>
                <w:color w:val="auto"/>
                <w:kern w:val="0"/>
                <w:lang w:bidi="ar"/>
              </w:rPr>
              <w:t>）运输过程风险管理及防范措施</w:t>
            </w:r>
          </w:p>
          <w:p w14:paraId="03EB80CE"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t>由于危险废物的运输较其他物品的运输有更大的危险性，因此在运输过程中应小心谨慎，确保安全。危险废物运输过程中主要要求如下：</w:t>
            </w:r>
          </w:p>
          <w:p w14:paraId="7CB91814"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lastRenderedPageBreak/>
              <w:t>①</w:t>
            </w:r>
            <w:r>
              <w:rPr>
                <w:rFonts w:ascii="Times New Roman" w:hAnsi="Times New Roman"/>
                <w:color w:val="auto"/>
                <w:kern w:val="0"/>
                <w:lang w:bidi="ar"/>
              </w:rPr>
              <w:t>本项目收集的</w:t>
            </w:r>
            <w:r>
              <w:rPr>
                <w:rFonts w:ascii="Times New Roman" w:hAnsi="Times New Roman" w:hint="eastAsia"/>
                <w:color w:val="auto"/>
                <w:kern w:val="0"/>
                <w:lang w:bidi="ar"/>
              </w:rPr>
              <w:t>危废</w:t>
            </w:r>
            <w:r>
              <w:rPr>
                <w:rFonts w:ascii="Times New Roman" w:hAnsi="Times New Roman"/>
                <w:color w:val="auto"/>
                <w:kern w:val="0"/>
                <w:lang w:bidi="ar"/>
              </w:rPr>
              <w:t>由具有危险废物运输资质的货运车辆运输，路线不得经过医院、学校和居民区等人口密集区，不得穿越饮用水水源保护区、自然保护区等敏感区域。</w:t>
            </w:r>
          </w:p>
          <w:p w14:paraId="63DDAEC6" w14:textId="37EAE043"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②</w:t>
            </w:r>
            <w:r>
              <w:rPr>
                <w:rFonts w:ascii="Times New Roman" w:hAnsi="Times New Roman"/>
                <w:color w:val="auto"/>
                <w:kern w:val="0"/>
                <w:lang w:bidi="ar"/>
              </w:rPr>
              <w:t>当发生翻车等事故</w:t>
            </w:r>
            <w:r>
              <w:rPr>
                <w:rFonts w:ascii="Times New Roman" w:hAnsi="Times New Roman" w:hint="eastAsia"/>
                <w:color w:val="auto"/>
                <w:kern w:val="0"/>
                <w:lang w:bidi="ar"/>
              </w:rPr>
              <w:t>时</w:t>
            </w:r>
            <w:r>
              <w:rPr>
                <w:rFonts w:ascii="Times New Roman" w:hAnsi="Times New Roman"/>
                <w:color w:val="auto"/>
                <w:kern w:val="0"/>
                <w:lang w:bidi="ar"/>
              </w:rPr>
              <w:t>运输单位应立即组织人员及时对散落地面的</w:t>
            </w:r>
            <w:r>
              <w:rPr>
                <w:rFonts w:ascii="Times New Roman" w:hAnsi="Times New Roman" w:hint="eastAsia"/>
                <w:color w:val="auto"/>
                <w:kern w:val="0"/>
                <w:lang w:bidi="ar"/>
              </w:rPr>
              <w:t>危废</w:t>
            </w:r>
            <w:r>
              <w:rPr>
                <w:rFonts w:ascii="Times New Roman" w:hAnsi="Times New Roman"/>
                <w:color w:val="auto"/>
                <w:kern w:val="0"/>
                <w:lang w:bidi="ar"/>
              </w:rPr>
              <w:t>重新收集，对落入水体的要及时打捞，尽可能将环境影响</w:t>
            </w:r>
            <w:r w:rsidR="005C2C94">
              <w:rPr>
                <w:rFonts w:ascii="Helvetica" w:hAnsi="Helvetica"/>
                <w:color w:val="111111"/>
                <w:shd w:val="clear" w:color="auto" w:fill="FFFFFF"/>
              </w:rPr>
              <w:t>降至最低</w:t>
            </w:r>
            <w:r>
              <w:rPr>
                <w:rFonts w:ascii="Times New Roman" w:hAnsi="Times New Roman"/>
                <w:color w:val="auto"/>
                <w:kern w:val="0"/>
                <w:lang w:bidi="ar"/>
              </w:rPr>
              <w:t>。</w:t>
            </w:r>
          </w:p>
          <w:p w14:paraId="4A86D758"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③</w:t>
            </w:r>
            <w:r>
              <w:rPr>
                <w:rFonts w:ascii="Times New Roman" w:hAnsi="Times New Roman"/>
                <w:color w:val="auto"/>
                <w:kern w:val="0"/>
                <w:lang w:bidi="ar"/>
              </w:rPr>
              <w:t>运输时应采取有效防漏、防腐的包装措施，以防止有害成分的泄漏污染。另外，运输、装卸应符合</w:t>
            </w:r>
            <w:r>
              <w:rPr>
                <w:rFonts w:ascii="Times New Roman" w:hAnsi="Times New Roman" w:hint="eastAsia"/>
                <w:color w:val="auto"/>
                <w:kern w:val="0"/>
                <w:lang w:bidi="ar"/>
              </w:rPr>
              <w:t>《危险货物道路运输规则》（</w:t>
            </w:r>
            <w:r>
              <w:rPr>
                <w:rFonts w:ascii="Times New Roman" w:hAnsi="Times New Roman" w:hint="eastAsia"/>
                <w:color w:val="auto"/>
                <w:kern w:val="0"/>
                <w:lang w:bidi="ar"/>
              </w:rPr>
              <w:t>JT/T617-2018</w:t>
            </w:r>
            <w:r>
              <w:rPr>
                <w:rFonts w:ascii="Times New Roman" w:hAnsi="Times New Roman" w:hint="eastAsia"/>
                <w:color w:val="auto"/>
                <w:kern w:val="0"/>
                <w:lang w:bidi="ar"/>
              </w:rPr>
              <w:t>）</w:t>
            </w:r>
            <w:r>
              <w:rPr>
                <w:rFonts w:ascii="Times New Roman" w:hAnsi="Times New Roman"/>
                <w:color w:val="auto"/>
                <w:kern w:val="0"/>
                <w:lang w:bidi="ar"/>
              </w:rPr>
              <w:t>的有关规定：运输</w:t>
            </w:r>
            <w:r>
              <w:rPr>
                <w:rFonts w:ascii="Times New Roman" w:hAnsi="Times New Roman" w:hint="eastAsia"/>
                <w:color w:val="auto"/>
                <w:kern w:val="0"/>
                <w:lang w:bidi="ar"/>
              </w:rPr>
              <w:t>危险废物</w:t>
            </w:r>
            <w:r>
              <w:rPr>
                <w:rFonts w:ascii="Times New Roman" w:hAnsi="Times New Roman"/>
                <w:color w:val="auto"/>
                <w:kern w:val="0"/>
                <w:lang w:bidi="ar"/>
              </w:rPr>
              <w:t>的司机必须按国家有关规定进行岗位培训，凭专业岗位操作证书上岗作业：运输人员应掌握应急措施；须进行处理危险废物和应急救援方面的培训；进入装卸作业区，不准携带火种：运输车辆的车厢、底板必须平坦完好，周围栏板必须牢固：车辆均具有防潮、防腐、防晒的功能。车辆设有明显的防火标志，并配备相应的防泄漏设施：运输车辆在运输途中必须持有通行证，必要时须有单位人员负责押运工作。</w:t>
            </w:r>
          </w:p>
          <w:p w14:paraId="320016A6" w14:textId="2CE6DB80"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④</w:t>
            </w:r>
            <w:r>
              <w:rPr>
                <w:rFonts w:ascii="Times New Roman" w:hAnsi="Times New Roman"/>
                <w:color w:val="auto"/>
                <w:kern w:val="0"/>
                <w:lang w:bidi="ar"/>
              </w:rPr>
              <w:t>每次运输前应准确告诉司机和押运人员有关运输物质的性质和事故应急处理方法，确保在事故发生情况下仍能事故应急，减缓影响。若运输过程时发生泄漏</w:t>
            </w:r>
            <w:r>
              <w:rPr>
                <w:rFonts w:ascii="Times New Roman" w:hAnsi="Times New Roman" w:hint="eastAsia"/>
                <w:color w:val="auto"/>
                <w:kern w:val="0"/>
                <w:lang w:bidi="ar"/>
              </w:rPr>
              <w:t>、火灾等事故，</w:t>
            </w:r>
            <w:r>
              <w:rPr>
                <w:rFonts w:ascii="Times New Roman" w:hAnsi="Times New Roman"/>
                <w:color w:val="auto"/>
                <w:kern w:val="0"/>
                <w:lang w:bidi="ar"/>
              </w:rPr>
              <w:t>要立即向当地应急委员会</w:t>
            </w:r>
            <w:r>
              <w:rPr>
                <w:rFonts w:ascii="Times New Roman" w:hAnsi="Times New Roman" w:hint="eastAsia"/>
                <w:color w:val="auto"/>
                <w:kern w:val="0"/>
                <w:lang w:bidi="ar"/>
              </w:rPr>
              <w:t>、</w:t>
            </w:r>
            <w:r w:rsidR="005C2C94" w:rsidRPr="005C2C94">
              <w:rPr>
                <w:rFonts w:ascii="Times New Roman" w:hAnsi="Times New Roman" w:hint="eastAsia"/>
                <w:color w:val="auto"/>
                <w:kern w:val="0"/>
                <w:lang w:bidi="ar"/>
              </w:rPr>
              <w:t>生态环境局</w:t>
            </w:r>
            <w:r>
              <w:rPr>
                <w:rFonts w:ascii="Times New Roman" w:hAnsi="Times New Roman" w:hint="eastAsia"/>
                <w:color w:val="auto"/>
                <w:kern w:val="0"/>
                <w:lang w:bidi="ar"/>
              </w:rPr>
              <w:t>报告，</w:t>
            </w:r>
            <w:r>
              <w:rPr>
                <w:rFonts w:ascii="Times New Roman" w:hAnsi="Times New Roman"/>
                <w:color w:val="auto"/>
                <w:kern w:val="0"/>
                <w:lang w:bidi="ar"/>
              </w:rPr>
              <w:t>同时向接收单位报告情况。当地应急委员会</w:t>
            </w:r>
            <w:r>
              <w:rPr>
                <w:rFonts w:ascii="Times New Roman" w:hAnsi="Times New Roman" w:hint="eastAsia"/>
                <w:color w:val="auto"/>
                <w:kern w:val="0"/>
                <w:lang w:bidi="ar"/>
              </w:rPr>
              <w:t>、</w:t>
            </w:r>
            <w:r w:rsidR="005C2C94" w:rsidRPr="005C2C94">
              <w:rPr>
                <w:rFonts w:ascii="Times New Roman" w:hAnsi="Times New Roman" w:hint="eastAsia"/>
                <w:color w:val="auto"/>
                <w:kern w:val="0"/>
                <w:lang w:bidi="ar"/>
              </w:rPr>
              <w:t>生态环境局</w:t>
            </w:r>
            <w:r>
              <w:rPr>
                <w:rFonts w:ascii="Times New Roman" w:hAnsi="Times New Roman"/>
                <w:color w:val="auto"/>
                <w:kern w:val="0"/>
                <w:lang w:bidi="ar"/>
              </w:rPr>
              <w:t>应当立即组织力量，到达现场进行先期处置，同时组织专家就突发公共事件的性质以及造成的影响进行评估，并出具相应的评估报告，供专业应急委员会决策。专业应急委员会接到报告后，认为明显属于特大突发公共事件的，应立即向上级应急委员会报告。高速公路运输发生泄漏，应向高速公路应急领导小组或高速巡警报告，同时向相关部门报告情况，确定事故发生地，再由所在地人民政府按照各自职责负责高速公路突发事件的应急处理工作。</w:t>
            </w:r>
          </w:p>
          <w:p w14:paraId="4871A350"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⑤</w:t>
            </w:r>
            <w:r>
              <w:rPr>
                <w:rFonts w:ascii="Times New Roman" w:hAnsi="Times New Roman"/>
                <w:color w:val="auto"/>
                <w:kern w:val="0"/>
                <w:lang w:bidi="ar"/>
              </w:rPr>
              <w:t>参加现场处置的部门或单位应当按照应急预案规定的时限要求，及时向当地应急委员会或专业应急委员会报告突发公共事件的处置情况。突发公共事件发生后，与事件有关的部门或单位还应当按照国家的有关规定向上级部门报告，报告内容主要包括时间、地点、信息来源、事件性质、影响范围、事件发展趋势和已经采取的措施等。</w:t>
            </w:r>
          </w:p>
          <w:p w14:paraId="4A931911" w14:textId="77777777" w:rsidR="003C4F46" w:rsidRDefault="004B6A81">
            <w:pPr>
              <w:pStyle w:val="Default"/>
              <w:spacing w:line="360" w:lineRule="auto"/>
              <w:rPr>
                <w:rFonts w:ascii="Times New Roman" w:hAnsi="Times New Roman"/>
                <w:color w:val="auto"/>
                <w:kern w:val="0"/>
                <w:lang w:bidi="ar"/>
              </w:rPr>
            </w:pPr>
            <w:r>
              <w:rPr>
                <w:rFonts w:ascii="Times New Roman" w:hAnsi="Times New Roman"/>
                <w:b/>
                <w:bCs/>
              </w:rPr>
              <w:t>4.7.5</w:t>
            </w:r>
            <w:r>
              <w:rPr>
                <w:rFonts w:ascii="Times New Roman" w:hAnsi="Times New Roman"/>
                <w:b/>
                <w:bCs/>
              </w:rPr>
              <w:t>风险管理措施</w:t>
            </w:r>
          </w:p>
          <w:p w14:paraId="08357553"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color w:val="auto"/>
                <w:kern w:val="0"/>
                <w:lang w:bidi="ar"/>
              </w:rPr>
              <w:lastRenderedPageBreak/>
              <w:t>根据《危险废物收集</w:t>
            </w:r>
            <w:r>
              <w:rPr>
                <w:rFonts w:ascii="Times New Roman" w:hAnsi="Times New Roman" w:hint="eastAsia"/>
                <w:color w:val="auto"/>
                <w:kern w:val="0"/>
                <w:lang w:bidi="ar"/>
              </w:rPr>
              <w:t>、</w:t>
            </w:r>
            <w:r>
              <w:rPr>
                <w:rFonts w:ascii="Times New Roman" w:hAnsi="Times New Roman"/>
                <w:color w:val="auto"/>
                <w:kern w:val="0"/>
                <w:lang w:bidi="ar"/>
              </w:rPr>
              <w:t>贮存</w:t>
            </w:r>
            <w:r>
              <w:rPr>
                <w:rFonts w:ascii="Times New Roman" w:hAnsi="Times New Roman" w:hint="eastAsia"/>
                <w:color w:val="auto"/>
                <w:kern w:val="0"/>
                <w:lang w:bidi="ar"/>
              </w:rPr>
              <w:t>、</w:t>
            </w:r>
            <w:r>
              <w:rPr>
                <w:rFonts w:ascii="Times New Roman" w:hAnsi="Times New Roman"/>
                <w:color w:val="auto"/>
                <w:kern w:val="0"/>
                <w:lang w:bidi="ar"/>
              </w:rPr>
              <w:t>运输技术规范》</w:t>
            </w:r>
            <w:r>
              <w:rPr>
                <w:rFonts w:ascii="Times New Roman" w:hAnsi="Times New Roman" w:hint="eastAsia"/>
                <w:color w:val="auto"/>
                <w:kern w:val="0"/>
                <w:lang w:bidi="ar"/>
              </w:rPr>
              <w:t>（</w:t>
            </w:r>
            <w:r>
              <w:rPr>
                <w:rFonts w:ascii="Times New Roman" w:hAnsi="Times New Roman"/>
                <w:color w:val="auto"/>
                <w:kern w:val="0"/>
                <w:lang w:bidi="ar"/>
              </w:rPr>
              <w:t>HJ2025-2012</w:t>
            </w:r>
            <w:r>
              <w:rPr>
                <w:rFonts w:ascii="Times New Roman" w:hAnsi="Times New Roman" w:hint="eastAsia"/>
                <w:color w:val="auto"/>
                <w:kern w:val="0"/>
                <w:lang w:bidi="ar"/>
              </w:rPr>
              <w:t>）</w:t>
            </w:r>
            <w:r>
              <w:rPr>
                <w:rFonts w:ascii="Times New Roman" w:hAnsi="Times New Roman"/>
                <w:color w:val="auto"/>
                <w:kern w:val="0"/>
                <w:lang w:bidi="ar"/>
              </w:rPr>
              <w:t>、《危险废物贮存污染控制标准》</w:t>
            </w:r>
            <w:r>
              <w:rPr>
                <w:rFonts w:ascii="Times New Roman" w:hAnsi="Times New Roman" w:hint="eastAsia"/>
                <w:color w:val="auto"/>
                <w:kern w:val="0"/>
                <w:lang w:bidi="ar"/>
              </w:rPr>
              <w:t>（</w:t>
            </w:r>
            <w:r>
              <w:rPr>
                <w:rFonts w:ascii="Times New Roman" w:hAnsi="Times New Roman"/>
                <w:color w:val="auto"/>
                <w:kern w:val="0"/>
                <w:lang w:bidi="ar"/>
              </w:rPr>
              <w:t>GB18597-20</w:t>
            </w:r>
            <w:r>
              <w:rPr>
                <w:rFonts w:ascii="Times New Roman" w:hAnsi="Times New Roman" w:hint="eastAsia"/>
                <w:color w:val="auto"/>
                <w:kern w:val="0"/>
                <w:lang w:bidi="ar"/>
              </w:rPr>
              <w:t>23</w:t>
            </w:r>
            <w:r>
              <w:rPr>
                <w:rFonts w:ascii="Times New Roman" w:hAnsi="Times New Roman" w:hint="eastAsia"/>
                <w:color w:val="auto"/>
                <w:kern w:val="0"/>
                <w:lang w:bidi="ar"/>
              </w:rPr>
              <w:t>）</w:t>
            </w:r>
            <w:r>
              <w:rPr>
                <w:rFonts w:ascii="Times New Roman" w:hAnsi="Times New Roman"/>
                <w:color w:val="auto"/>
                <w:kern w:val="0"/>
                <w:lang w:bidi="ar"/>
              </w:rPr>
              <w:t>，本环评对项目危险废物贮存期间的风险安全管理提出以下要求：</w:t>
            </w:r>
          </w:p>
          <w:p w14:paraId="05E2A3F5"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hint="eastAsia"/>
                <w:color w:val="auto"/>
                <w:kern w:val="0"/>
                <w:lang w:bidi="ar"/>
              </w:rPr>
              <w:t>1</w:t>
            </w:r>
            <w:r>
              <w:rPr>
                <w:rFonts w:ascii="Times New Roman" w:hAnsi="Times New Roman" w:hint="eastAsia"/>
                <w:color w:val="auto"/>
                <w:kern w:val="0"/>
                <w:lang w:bidi="ar"/>
              </w:rPr>
              <w:t>）</w:t>
            </w:r>
            <w:r>
              <w:rPr>
                <w:rFonts w:ascii="Times New Roman" w:hAnsi="Times New Roman"/>
                <w:color w:val="auto"/>
                <w:kern w:val="0"/>
                <w:lang w:bidi="ar"/>
              </w:rPr>
              <w:t>贮存过程事故风险主要是因包装泄漏或遭雷击而造成的火灾、水质污染等事故，是安全生产的重要方面。危险废物必须按规定设置警示标志，分类管理，分类存放；配备必要的危险品事故防范和应急技术装备。根据消防部门的要求配置消防设施。加强工作人员危险品贮存、使用防范事故的常识教育，明确各岗位的职责，实行事故防范的岗位责任制。根据《危险废物收集贮存运输技术规范》</w:t>
            </w:r>
            <w:r>
              <w:rPr>
                <w:rFonts w:ascii="Times New Roman" w:hAnsi="Times New Roman" w:hint="eastAsia"/>
                <w:color w:val="auto"/>
                <w:kern w:val="0"/>
                <w:lang w:bidi="ar"/>
              </w:rPr>
              <w:t>（</w:t>
            </w:r>
            <w:r>
              <w:rPr>
                <w:rFonts w:ascii="Times New Roman" w:hAnsi="Times New Roman"/>
                <w:color w:val="auto"/>
                <w:kern w:val="0"/>
                <w:lang w:bidi="ar"/>
              </w:rPr>
              <w:t>HJ2025-2012</w:t>
            </w:r>
            <w:r>
              <w:rPr>
                <w:rFonts w:ascii="Times New Roman" w:hAnsi="Times New Roman" w:hint="eastAsia"/>
                <w:color w:val="auto"/>
                <w:kern w:val="0"/>
                <w:lang w:bidi="ar"/>
              </w:rPr>
              <w:t>）</w:t>
            </w:r>
            <w:r>
              <w:rPr>
                <w:rFonts w:ascii="Times New Roman" w:hAnsi="Times New Roman"/>
                <w:color w:val="auto"/>
                <w:kern w:val="0"/>
                <w:lang w:bidi="ar"/>
              </w:rPr>
              <w:t>和《危险废物贮存污染控制标准》</w:t>
            </w:r>
            <w:r>
              <w:rPr>
                <w:rFonts w:ascii="Times New Roman" w:hAnsi="Times New Roman" w:hint="eastAsia"/>
                <w:color w:val="auto"/>
                <w:kern w:val="0"/>
                <w:lang w:bidi="ar"/>
              </w:rPr>
              <w:t>（</w:t>
            </w:r>
            <w:r>
              <w:rPr>
                <w:rFonts w:ascii="Times New Roman" w:hAnsi="Times New Roman"/>
                <w:color w:val="auto"/>
                <w:kern w:val="0"/>
                <w:lang w:bidi="ar"/>
              </w:rPr>
              <w:t>GB18597-2</w:t>
            </w:r>
            <w:r>
              <w:rPr>
                <w:rFonts w:ascii="Times New Roman" w:hAnsi="Times New Roman" w:hint="eastAsia"/>
                <w:color w:val="auto"/>
                <w:kern w:val="0"/>
                <w:lang w:bidi="ar"/>
              </w:rPr>
              <w:t>023</w:t>
            </w:r>
            <w:r>
              <w:rPr>
                <w:rFonts w:ascii="Times New Roman" w:hAnsi="Times New Roman" w:hint="eastAsia"/>
                <w:color w:val="auto"/>
                <w:kern w:val="0"/>
                <w:lang w:bidi="ar"/>
              </w:rPr>
              <w:t>）</w:t>
            </w:r>
            <w:r>
              <w:rPr>
                <w:rFonts w:ascii="Times New Roman" w:hAnsi="Times New Roman"/>
                <w:color w:val="auto"/>
                <w:kern w:val="0"/>
                <w:lang w:bidi="ar"/>
              </w:rPr>
              <w:t>，危险废物贮存主要要求如下：</w:t>
            </w:r>
          </w:p>
          <w:p w14:paraId="62B8A752"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①</w:t>
            </w:r>
            <w:r>
              <w:rPr>
                <w:rFonts w:ascii="Times New Roman" w:hAnsi="Times New Roman"/>
                <w:color w:val="auto"/>
                <w:kern w:val="0"/>
                <w:lang w:bidi="ar"/>
              </w:rPr>
              <w:t>严格按贮存要求设计。储存区设置导流槽和事故池。应严格按照</w:t>
            </w:r>
            <w:r>
              <w:rPr>
                <w:rFonts w:ascii="Times New Roman" w:hAnsi="Times New Roman" w:hint="eastAsia"/>
                <w:color w:val="auto"/>
                <w:kern w:val="0"/>
                <w:lang w:bidi="ar"/>
              </w:rPr>
              <w:t>GB50016-2014</w:t>
            </w:r>
            <w:r>
              <w:rPr>
                <w:rFonts w:ascii="Times New Roman" w:hAnsi="Times New Roman" w:hint="eastAsia"/>
                <w:color w:val="auto"/>
                <w:kern w:val="0"/>
                <w:lang w:bidi="ar"/>
              </w:rPr>
              <w:t>（</w:t>
            </w:r>
            <w:r>
              <w:rPr>
                <w:rFonts w:ascii="Times New Roman" w:hAnsi="Times New Roman" w:hint="eastAsia"/>
                <w:color w:val="auto"/>
                <w:kern w:val="0"/>
                <w:lang w:bidi="ar"/>
              </w:rPr>
              <w:t>2018</w:t>
            </w:r>
            <w:r>
              <w:rPr>
                <w:rFonts w:ascii="Times New Roman" w:hAnsi="Times New Roman" w:hint="eastAsia"/>
                <w:color w:val="auto"/>
                <w:kern w:val="0"/>
                <w:lang w:bidi="ar"/>
              </w:rPr>
              <w:t>年版）</w:t>
            </w:r>
            <w:r>
              <w:rPr>
                <w:rFonts w:ascii="Times New Roman" w:hAnsi="Times New Roman"/>
                <w:color w:val="auto"/>
                <w:kern w:val="0"/>
                <w:lang w:bidi="ar"/>
              </w:rPr>
              <w:t>等标准规范执行。将危险废物分类分区存放。危险废物标签和储存设施参照《危险废物贮存污染控制标准》</w:t>
            </w:r>
            <w:r>
              <w:rPr>
                <w:rFonts w:ascii="Times New Roman" w:hAnsi="Times New Roman" w:hint="eastAsia"/>
                <w:color w:val="auto"/>
                <w:kern w:val="0"/>
                <w:lang w:bidi="ar"/>
              </w:rPr>
              <w:t>（</w:t>
            </w:r>
            <w:r>
              <w:rPr>
                <w:rFonts w:ascii="Times New Roman" w:hAnsi="Times New Roman"/>
                <w:color w:val="auto"/>
                <w:kern w:val="0"/>
                <w:lang w:bidi="ar"/>
              </w:rPr>
              <w:t>GB18597-20</w:t>
            </w:r>
            <w:r>
              <w:rPr>
                <w:rFonts w:ascii="Times New Roman" w:hAnsi="Times New Roman" w:hint="eastAsia"/>
                <w:color w:val="auto"/>
                <w:kern w:val="0"/>
                <w:lang w:bidi="ar"/>
              </w:rPr>
              <w:t>23</w:t>
            </w:r>
            <w:r>
              <w:rPr>
                <w:rFonts w:ascii="Times New Roman" w:hAnsi="Times New Roman" w:hint="eastAsia"/>
                <w:color w:val="auto"/>
                <w:kern w:val="0"/>
                <w:lang w:bidi="ar"/>
              </w:rPr>
              <w:t>）</w:t>
            </w:r>
            <w:r>
              <w:rPr>
                <w:rFonts w:ascii="Times New Roman" w:hAnsi="Times New Roman"/>
                <w:color w:val="auto"/>
                <w:kern w:val="0"/>
                <w:lang w:bidi="ar"/>
              </w:rPr>
              <w:t>的有关规定进行。</w:t>
            </w:r>
          </w:p>
          <w:p w14:paraId="60F7F344"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②</w:t>
            </w:r>
            <w:r>
              <w:rPr>
                <w:rFonts w:ascii="Times New Roman" w:hAnsi="Times New Roman"/>
                <w:color w:val="auto"/>
                <w:kern w:val="0"/>
                <w:lang w:bidi="ar"/>
              </w:rPr>
              <w:t>项目区管理人员，必须经过专业知识培训，熟悉贮存物品的特性、事故处理办法和防护知识，持证上岗，同时，必须配备有关的个人防护用品。</w:t>
            </w:r>
          </w:p>
          <w:p w14:paraId="233C68EC"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③</w:t>
            </w:r>
            <w:r>
              <w:rPr>
                <w:rFonts w:ascii="Times New Roman" w:hAnsi="Times New Roman"/>
                <w:color w:val="auto"/>
                <w:kern w:val="0"/>
                <w:lang w:bidi="ar"/>
              </w:rPr>
              <w:t>盛装危险废物的容器上必须粘贴相应危险废物标志。危险废物贮存设施都必须按规定设置警示标志，项目区消防设施、用电设施、防雷防静电设施等必须符合国家规定的安全要求，必须有专人</w:t>
            </w:r>
            <w:r>
              <w:rPr>
                <w:rFonts w:ascii="Times New Roman" w:hAnsi="Times New Roman"/>
                <w:color w:val="auto"/>
                <w:kern w:val="0"/>
                <w:lang w:bidi="ar"/>
              </w:rPr>
              <w:t>24</w:t>
            </w:r>
            <w:r>
              <w:rPr>
                <w:rFonts w:ascii="Times New Roman" w:hAnsi="Times New Roman"/>
                <w:color w:val="auto"/>
                <w:kern w:val="0"/>
                <w:lang w:bidi="ar"/>
              </w:rPr>
              <w:t>小时看管。</w:t>
            </w:r>
          </w:p>
          <w:p w14:paraId="5F91EAD1" w14:textId="7F784E95"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④</w:t>
            </w:r>
            <w:r>
              <w:rPr>
                <w:rFonts w:ascii="Times New Roman" w:hAnsi="Times New Roman"/>
                <w:color w:val="auto"/>
                <w:kern w:val="0"/>
                <w:lang w:bidi="ar"/>
              </w:rPr>
              <w:t>如实记载每批危险废物的名称、来源、数量、特性和包装容器的类别、入库日期、存放库位、废物出库日期及接收单位名称。该记录在危险废物转运后应继续保留</w:t>
            </w:r>
            <w:r w:rsidR="002F2799">
              <w:rPr>
                <w:rFonts w:ascii="Times New Roman" w:hAnsi="Times New Roman" w:hint="eastAsia"/>
                <w:color w:val="auto"/>
                <w:kern w:val="0"/>
                <w:lang w:bidi="ar"/>
              </w:rPr>
              <w:t>1</w:t>
            </w:r>
            <w:r w:rsidR="002F2799">
              <w:rPr>
                <w:rFonts w:ascii="Times New Roman" w:hAnsi="Times New Roman"/>
                <w:color w:val="auto"/>
                <w:kern w:val="0"/>
                <w:lang w:bidi="ar"/>
              </w:rPr>
              <w:t>0</w:t>
            </w:r>
            <w:r>
              <w:rPr>
                <w:rFonts w:ascii="Times New Roman" w:hAnsi="Times New Roman"/>
                <w:color w:val="auto"/>
                <w:kern w:val="0"/>
                <w:lang w:bidi="ar"/>
              </w:rPr>
              <w:t>年。出入库必须检查验收登记，贮存期间定期养护，控制好</w:t>
            </w:r>
            <w:r>
              <w:rPr>
                <w:rFonts w:ascii="Times New Roman" w:hAnsi="Times New Roman" w:hint="eastAsia"/>
                <w:color w:val="auto"/>
                <w:kern w:val="0"/>
                <w:lang w:bidi="ar"/>
              </w:rPr>
              <w:t>危险废物贮存库</w:t>
            </w:r>
            <w:r>
              <w:rPr>
                <w:rFonts w:ascii="Times New Roman" w:hAnsi="Times New Roman"/>
                <w:color w:val="auto"/>
                <w:kern w:val="0"/>
                <w:lang w:bidi="ar"/>
              </w:rPr>
              <w:t>的温度和湿度；装卸、搬运时应轻装轻卸，注意自我防护。定期对所贮存的危险废物容器及贮存设施进行检查，发现破损，及时采取措施清理更换。</w:t>
            </w:r>
          </w:p>
          <w:p w14:paraId="7BEA3FE5"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⑤</w:t>
            </w:r>
            <w:r>
              <w:rPr>
                <w:rFonts w:ascii="Times New Roman" w:hAnsi="Times New Roman"/>
                <w:color w:val="auto"/>
                <w:kern w:val="0"/>
                <w:lang w:bidi="ar"/>
              </w:rPr>
              <w:t>要严格遵守有关贮存的安全规定，具体包括《仓库防火安全管理规则》、《建筑设计防火规范》等。</w:t>
            </w:r>
          </w:p>
          <w:p w14:paraId="64A22A94"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⑥危险废物贮存库</w:t>
            </w:r>
            <w:r>
              <w:rPr>
                <w:rFonts w:ascii="Times New Roman" w:hAnsi="Times New Roman"/>
                <w:color w:val="auto"/>
                <w:kern w:val="0"/>
                <w:lang w:bidi="ar"/>
              </w:rPr>
              <w:t>内配备足够数量的消防设备、干粉灭火器和灭火药剂等，值班人员应经过培训，除了具有一般消防知识之外，还应熟悉危险废物的种类、特性、贮存地点、事故的处理程序及方法。力争将火灾、爆炸患消灭在萌芽状态。</w:t>
            </w:r>
          </w:p>
          <w:p w14:paraId="3C48494E"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lastRenderedPageBreak/>
              <w:t>⑦</w:t>
            </w:r>
            <w:r>
              <w:rPr>
                <w:rFonts w:ascii="Times New Roman" w:hAnsi="Times New Roman"/>
                <w:color w:val="auto"/>
                <w:kern w:val="0"/>
                <w:lang w:bidi="ar"/>
              </w:rPr>
              <w:t>设置通风窗，并配备强制通风装置如电风扇等。日常可使用通风窗通风，大风大雨时需关闭通风窗，使用风扇强制通风。夏季温度过高时也应使用风扇强制通风。</w:t>
            </w:r>
          </w:p>
          <w:p w14:paraId="3C311180"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⑧危险废物贮存库</w:t>
            </w:r>
            <w:r>
              <w:rPr>
                <w:rFonts w:ascii="Times New Roman" w:hAnsi="Times New Roman"/>
                <w:color w:val="auto"/>
                <w:kern w:val="0"/>
                <w:lang w:bidi="ar"/>
              </w:rPr>
              <w:t>内灯具必需为冷光源，防爆灯具。</w:t>
            </w:r>
          </w:p>
          <w:p w14:paraId="41791F03" w14:textId="7B338CEF"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⑨</w:t>
            </w:r>
            <w:r>
              <w:rPr>
                <w:rFonts w:ascii="Times New Roman" w:hAnsi="Times New Roman"/>
                <w:color w:val="auto"/>
                <w:kern w:val="0"/>
                <w:lang w:bidi="ar"/>
              </w:rPr>
              <w:t>安全防范措施与监测措施：贮存设施都必须按规定设置警示标志。贮存设施周围设置围墙或其它防护棚栏。项目厂区内温度、湿度应严格控制，发现变化及时检查储存状况。按国家污染源管理要求对贮存设施进行监测。贮存设施应定期进行检查，发现破损，应及时采取措施清理更换。贮存场地应配备通讯设备、照明设施、安全视察窗口、安全防护服装及工具，并设有应急防护设施。值班人员应掌握危险废物发生火灾的扑救常识，学会使用灭火器材，项目区内设置导流槽和事故池。</w:t>
            </w:r>
          </w:p>
          <w:p w14:paraId="5EA782D1"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hint="eastAsia"/>
                <w:color w:val="auto"/>
                <w:kern w:val="0"/>
                <w:lang w:bidi="ar"/>
              </w:rPr>
              <w:t>2</w:t>
            </w:r>
            <w:r>
              <w:rPr>
                <w:rFonts w:ascii="Times New Roman" w:hAnsi="Times New Roman" w:hint="eastAsia"/>
                <w:color w:val="auto"/>
                <w:kern w:val="0"/>
                <w:lang w:bidi="ar"/>
              </w:rPr>
              <w:t>）</w:t>
            </w:r>
            <w:r>
              <w:rPr>
                <w:rFonts w:ascii="Times New Roman" w:hAnsi="Times New Roman"/>
                <w:color w:val="auto"/>
                <w:kern w:val="0"/>
                <w:lang w:bidi="ar"/>
              </w:rPr>
              <w:t>危险废物</w:t>
            </w:r>
            <w:r>
              <w:rPr>
                <w:rFonts w:ascii="Times New Roman" w:hAnsi="Times New Roman" w:hint="eastAsia"/>
                <w:color w:val="auto"/>
                <w:kern w:val="0"/>
                <w:lang w:bidi="ar"/>
              </w:rPr>
              <w:t>贮存</w:t>
            </w:r>
            <w:r>
              <w:rPr>
                <w:rFonts w:ascii="Times New Roman" w:hAnsi="Times New Roman"/>
                <w:color w:val="auto"/>
                <w:kern w:val="0"/>
                <w:lang w:bidi="ar"/>
              </w:rPr>
              <w:t>设施的关闭</w:t>
            </w:r>
          </w:p>
          <w:p w14:paraId="5B5265C3"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①</w:t>
            </w:r>
            <w:r>
              <w:rPr>
                <w:rFonts w:ascii="Times New Roman" w:hAnsi="Times New Roman"/>
                <w:color w:val="auto"/>
                <w:kern w:val="0"/>
                <w:lang w:bidi="ar"/>
              </w:rPr>
              <w:t>危险废物</w:t>
            </w:r>
            <w:r>
              <w:rPr>
                <w:rFonts w:ascii="Times New Roman" w:hAnsi="Times New Roman" w:hint="eastAsia"/>
                <w:color w:val="auto"/>
                <w:kern w:val="0"/>
                <w:lang w:bidi="ar"/>
              </w:rPr>
              <w:t>贮存</w:t>
            </w:r>
            <w:r>
              <w:rPr>
                <w:rFonts w:ascii="Times New Roman" w:hAnsi="Times New Roman"/>
                <w:color w:val="auto"/>
                <w:kern w:val="0"/>
                <w:lang w:bidi="ar"/>
              </w:rPr>
              <w:t>设施的经营者在关闭</w:t>
            </w:r>
            <w:r>
              <w:rPr>
                <w:rFonts w:ascii="Times New Roman" w:hAnsi="Times New Roman" w:hint="eastAsia"/>
                <w:color w:val="auto"/>
                <w:kern w:val="0"/>
                <w:lang w:bidi="ar"/>
              </w:rPr>
              <w:t>贮存</w:t>
            </w:r>
            <w:r>
              <w:rPr>
                <w:rFonts w:ascii="Times New Roman" w:hAnsi="Times New Roman"/>
                <w:color w:val="auto"/>
                <w:kern w:val="0"/>
                <w:lang w:bidi="ar"/>
              </w:rPr>
              <w:t>设施前应提交关闭计划书，经批准后方可执行。</w:t>
            </w:r>
          </w:p>
          <w:p w14:paraId="0316E1E1"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②</w:t>
            </w:r>
            <w:r>
              <w:rPr>
                <w:rFonts w:ascii="Times New Roman" w:hAnsi="Times New Roman"/>
                <w:color w:val="auto"/>
                <w:kern w:val="0"/>
                <w:lang w:bidi="ar"/>
              </w:rPr>
              <w:t>危险废物</w:t>
            </w:r>
            <w:r>
              <w:rPr>
                <w:rFonts w:ascii="Times New Roman" w:hAnsi="Times New Roman" w:hint="eastAsia"/>
                <w:color w:val="auto"/>
                <w:kern w:val="0"/>
                <w:lang w:bidi="ar"/>
              </w:rPr>
              <w:t>贮存</w:t>
            </w:r>
            <w:r>
              <w:rPr>
                <w:rFonts w:ascii="Times New Roman" w:hAnsi="Times New Roman"/>
                <w:color w:val="auto"/>
                <w:kern w:val="0"/>
                <w:lang w:bidi="ar"/>
              </w:rPr>
              <w:t>设施经营者必须采取措施消除污染。</w:t>
            </w:r>
          </w:p>
          <w:p w14:paraId="1FE427C4" w14:textId="13A176CB"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③</w:t>
            </w:r>
            <w:r>
              <w:rPr>
                <w:rFonts w:ascii="Times New Roman" w:hAnsi="Times New Roman"/>
                <w:color w:val="auto"/>
                <w:kern w:val="0"/>
                <w:lang w:bidi="ar"/>
              </w:rPr>
              <w:t>无法消除污染的设备、土壤等按危险废物处理，并运至正在运营的危险废物处理处置场或其他</w:t>
            </w:r>
            <w:r>
              <w:rPr>
                <w:rFonts w:ascii="Times New Roman" w:hAnsi="Times New Roman" w:hint="eastAsia"/>
                <w:color w:val="auto"/>
                <w:kern w:val="0"/>
                <w:lang w:bidi="ar"/>
              </w:rPr>
              <w:t>贮存</w:t>
            </w:r>
            <w:r>
              <w:rPr>
                <w:rFonts w:ascii="Times New Roman" w:hAnsi="Times New Roman"/>
                <w:color w:val="auto"/>
                <w:kern w:val="0"/>
                <w:lang w:bidi="ar"/>
              </w:rPr>
              <w:t>设施中。</w:t>
            </w:r>
          </w:p>
          <w:p w14:paraId="0ED6586F"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④</w:t>
            </w:r>
            <w:r>
              <w:rPr>
                <w:rFonts w:ascii="Times New Roman" w:hAnsi="Times New Roman"/>
                <w:color w:val="auto"/>
                <w:kern w:val="0"/>
                <w:lang w:bidi="ar"/>
              </w:rPr>
              <w:t>监测部门的监测结果表明已不存在污染时，方可摘下警示标志，撤离留守人员。</w:t>
            </w:r>
          </w:p>
          <w:p w14:paraId="500B56B7" w14:textId="77777777" w:rsidR="003C4F46" w:rsidRDefault="004B6A81">
            <w:pPr>
              <w:ind w:firstLine="480"/>
              <w:rPr>
                <w:lang w:bidi="ar"/>
              </w:rPr>
            </w:pPr>
            <w:r>
              <w:rPr>
                <w:rFonts w:hint="eastAsia"/>
                <w:lang w:bidi="ar"/>
              </w:rPr>
              <w:t>（</w:t>
            </w:r>
            <w:r>
              <w:rPr>
                <w:rFonts w:hint="eastAsia"/>
                <w:lang w:bidi="ar"/>
              </w:rPr>
              <w:t>3</w:t>
            </w:r>
            <w:r>
              <w:rPr>
                <w:rFonts w:hint="eastAsia"/>
                <w:lang w:bidi="ar"/>
              </w:rPr>
              <w:t>）不相容危废混存风险防控措施</w:t>
            </w:r>
          </w:p>
          <w:p w14:paraId="5E0A93C1" w14:textId="278AD55C" w:rsidR="003C4F46" w:rsidRDefault="004B6A81">
            <w:pPr>
              <w:ind w:firstLine="480"/>
              <w:rPr>
                <w:lang w:bidi="ar"/>
              </w:rPr>
            </w:pPr>
            <w:r>
              <w:rPr>
                <w:rFonts w:hint="eastAsia"/>
                <w:lang w:bidi="ar"/>
              </w:rPr>
              <w:t>1#</w:t>
            </w:r>
            <w:r>
              <w:rPr>
                <w:rFonts w:hint="eastAsia"/>
                <w:lang w:bidi="ar"/>
              </w:rPr>
              <w:t>贮存库按危废类别设置独立分区，各分区之间采用实体隔墙进行物理隔离，确保不相容废物不接触、不混合；不相容废物布置于相距较远的分区，液态分区与固态分区相对独立布置；危废入场前须进行特性鉴别和分类，按相容性分析结果分配至对应分区；所有危废采用符合标准的专用密封容器盛装，禁止将不相容危废在同一容器内混装；每个贮存分区设置分区标志，标明废物类别、名称、危险特性及禁忌事项；配备针对不相容废物意外接触的应急物资（应急中和剂、吸附材料、防护装备等），制定专项应急处置程序。</w:t>
            </w:r>
          </w:p>
          <w:p w14:paraId="56D334D2"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color w:val="auto"/>
                <w:kern w:val="0"/>
                <w:lang w:bidi="ar"/>
              </w:rPr>
              <w:t>4</w:t>
            </w:r>
            <w:r>
              <w:rPr>
                <w:rFonts w:ascii="Times New Roman" w:hAnsi="Times New Roman" w:hint="eastAsia"/>
                <w:color w:val="auto"/>
                <w:kern w:val="0"/>
                <w:lang w:bidi="ar"/>
              </w:rPr>
              <w:t>）定期开展安全检查，安全检查要有安全检查表，对检查的隐患经整理，同部门主管核实后，发整改通知书，部门要在一个工作日内完成整改。</w:t>
            </w:r>
          </w:p>
          <w:p w14:paraId="7F9E30BB"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lastRenderedPageBreak/>
              <w:t>（</w:t>
            </w:r>
            <w:r>
              <w:rPr>
                <w:rFonts w:ascii="Times New Roman" w:hAnsi="Times New Roman"/>
                <w:color w:val="auto"/>
                <w:kern w:val="0"/>
                <w:lang w:bidi="ar"/>
              </w:rPr>
              <w:t>5</w:t>
            </w:r>
            <w:r>
              <w:rPr>
                <w:rFonts w:ascii="Times New Roman" w:hAnsi="Times New Roman" w:hint="eastAsia"/>
                <w:color w:val="auto"/>
                <w:kern w:val="0"/>
                <w:lang w:bidi="ar"/>
              </w:rPr>
              <w:t>）仓库安全管理规定：仓库安全管理必须贯彻“预防为主”，实行“谁主管谁负责”的原则；仓库的建筑设计要符合国家建筑设计防火规范的有关规定，并经公安消防监督机构审核；仓库保管员应当熟悉贮存物品的分类、性质、保管业务知识和防火安全制度，掌握消防器材的操作使用和维修保养方法做好本职工作；仓库物品应分类，严格按照“五距”（灯距、堆距、行距、柱距、墙距）的要求堆放，不得混存；应当按照国家有关消防法规规定，配备足够的消防器材，保证随时好用，确保安全；仓库应当设置明显的防火标志。危险废物贮存库内严禁使用明火，不准住人。</w:t>
            </w:r>
          </w:p>
          <w:p w14:paraId="72C06AF8"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w:t>
            </w:r>
            <w:r>
              <w:rPr>
                <w:rFonts w:ascii="Times New Roman" w:hAnsi="Times New Roman"/>
                <w:color w:val="auto"/>
                <w:kern w:val="0"/>
                <w:lang w:bidi="ar"/>
              </w:rPr>
              <w:t>6</w:t>
            </w:r>
            <w:r>
              <w:rPr>
                <w:rFonts w:ascii="Times New Roman" w:hAnsi="Times New Roman" w:hint="eastAsia"/>
                <w:color w:val="auto"/>
                <w:kern w:val="0"/>
                <w:lang w:bidi="ar"/>
              </w:rPr>
              <w:t>）培训制度</w:t>
            </w:r>
          </w:p>
          <w:p w14:paraId="5AD4A1CE" w14:textId="77777777" w:rsidR="003C4F46" w:rsidRDefault="004B6A81">
            <w:pPr>
              <w:pStyle w:val="Default"/>
              <w:spacing w:line="360" w:lineRule="auto"/>
              <w:ind w:firstLineChars="200" w:firstLine="480"/>
              <w:rPr>
                <w:rFonts w:ascii="Times New Roman" w:hAnsi="Times New Roman"/>
                <w:color w:val="auto"/>
                <w:kern w:val="0"/>
                <w:lang w:bidi="ar"/>
              </w:rPr>
            </w:pPr>
            <w:r>
              <w:rPr>
                <w:rFonts w:ascii="Times New Roman" w:hAnsi="Times New Roman" w:hint="eastAsia"/>
                <w:color w:val="auto"/>
                <w:kern w:val="0"/>
                <w:lang w:bidi="ar"/>
              </w:rPr>
              <w:t>新进员工必须进行三级安全培训，经考核合格后，方可上岗作业。培训内容主要包括：公司安全规章制度、生产的特点及基本要求、消防基础知识、劳动卫生知识、危化品知识等。</w:t>
            </w:r>
          </w:p>
          <w:p w14:paraId="48A022C1" w14:textId="77777777" w:rsidR="003C4F46" w:rsidRDefault="004B6A81">
            <w:pPr>
              <w:ind w:firstLineChars="0" w:firstLine="0"/>
              <w:rPr>
                <w:b/>
                <w:bCs/>
              </w:rPr>
            </w:pPr>
            <w:r>
              <w:rPr>
                <w:b/>
                <w:bCs/>
              </w:rPr>
              <w:t>4.8</w:t>
            </w:r>
            <w:r>
              <w:rPr>
                <w:rFonts w:hint="eastAsia"/>
                <w:b/>
                <w:bCs/>
              </w:rPr>
              <w:t>排污许可管理</w:t>
            </w:r>
          </w:p>
          <w:p w14:paraId="42621B75" w14:textId="77777777" w:rsidR="003C4F46" w:rsidRDefault="004B6A81">
            <w:pPr>
              <w:ind w:firstLine="480"/>
            </w:pPr>
            <w:r>
              <w:rPr>
                <w:rFonts w:hint="eastAsia"/>
              </w:rPr>
              <w:t>目前，厂区现有工程已按要求取得排污许可证，编号：</w:t>
            </w:r>
            <w:r>
              <w:rPr>
                <w:rFonts w:hint="eastAsia"/>
              </w:rPr>
              <w:t>91652822673430240L001V</w:t>
            </w:r>
            <w:r>
              <w:rPr>
                <w:rFonts w:hint="eastAsia"/>
              </w:rPr>
              <w:t>，有效期为</w:t>
            </w:r>
            <w:r>
              <w:rPr>
                <w:rFonts w:hint="eastAsia"/>
              </w:rPr>
              <w:t>2026</w:t>
            </w:r>
            <w:r>
              <w:rPr>
                <w:rFonts w:hint="eastAsia"/>
              </w:rPr>
              <w:t>年</w:t>
            </w:r>
            <w:r>
              <w:rPr>
                <w:rFonts w:hint="eastAsia"/>
              </w:rPr>
              <w:t>6</w:t>
            </w:r>
            <w:r>
              <w:rPr>
                <w:rFonts w:hint="eastAsia"/>
              </w:rPr>
              <w:t>月</w:t>
            </w:r>
            <w:r>
              <w:rPr>
                <w:rFonts w:hint="eastAsia"/>
              </w:rPr>
              <w:t>3</w:t>
            </w:r>
            <w:r>
              <w:rPr>
                <w:rFonts w:hint="eastAsia"/>
              </w:rPr>
              <w:t>日至</w:t>
            </w:r>
            <w:r>
              <w:rPr>
                <w:rFonts w:hint="eastAsia"/>
              </w:rPr>
              <w:t>2031</w:t>
            </w:r>
            <w:r>
              <w:rPr>
                <w:rFonts w:hint="eastAsia"/>
              </w:rPr>
              <w:t>年</w:t>
            </w:r>
            <w:r>
              <w:rPr>
                <w:rFonts w:hint="eastAsia"/>
              </w:rPr>
              <w:t>6</w:t>
            </w:r>
            <w:r>
              <w:rPr>
                <w:rFonts w:hint="eastAsia"/>
              </w:rPr>
              <w:t>月</w:t>
            </w:r>
            <w:r>
              <w:rPr>
                <w:rFonts w:hint="eastAsia"/>
              </w:rPr>
              <w:t>2</w:t>
            </w:r>
            <w:r>
              <w:rPr>
                <w:rFonts w:hint="eastAsia"/>
              </w:rPr>
              <w:t>日，属于重点管理。根据《排污许可管理条例》第十五条规定，本项目应在取得环评批复后、投入运行前，及时向原发证机关申请变更排污许可证，将本项目新增的废气排放口、污染物种类、许可排放浓度及速率、执行标准等信息纳入许可证管理，未完成变更前不得投入运行。</w:t>
            </w:r>
          </w:p>
          <w:p w14:paraId="48C42D12" w14:textId="77777777" w:rsidR="003C4F46" w:rsidRDefault="004B6A81">
            <w:pPr>
              <w:ind w:firstLineChars="0" w:firstLine="0"/>
              <w:rPr>
                <w:b/>
                <w:bCs/>
              </w:rPr>
            </w:pPr>
            <w:r>
              <w:rPr>
                <w:b/>
                <w:bCs/>
              </w:rPr>
              <w:t>4.8.1</w:t>
            </w:r>
            <w:r>
              <w:rPr>
                <w:rFonts w:hint="eastAsia"/>
                <w:b/>
                <w:bCs/>
              </w:rPr>
              <w:t>排污口规范化设置</w:t>
            </w:r>
          </w:p>
          <w:p w14:paraId="2901F604" w14:textId="77777777" w:rsidR="003C4F46" w:rsidRDefault="004B6A81">
            <w:pPr>
              <w:ind w:firstLine="480"/>
              <w:rPr>
                <w:szCs w:val="24"/>
              </w:rPr>
            </w:pPr>
            <w:r>
              <w:rPr>
                <w:rFonts w:hint="eastAsia"/>
              </w:rPr>
              <w:t>污染源排污口的规</w:t>
            </w:r>
            <w:r>
              <w:rPr>
                <w:rFonts w:cs="Times New Roman" w:hint="eastAsia"/>
              </w:rPr>
              <w:t>范化整治，是加强企业环境管理的重要举措，也是实施污染物总量控制管理</w:t>
            </w:r>
            <w:r>
              <w:rPr>
                <w:rFonts w:hint="eastAsia"/>
                <w:szCs w:val="24"/>
              </w:rPr>
              <w:t>的基础工作。排污口规范化对于加强污染源管理，现场监督检查，促进企业落实污染治理措施，实现环境管理的科学化、定量化都具有很大的现实意义。</w:t>
            </w:r>
          </w:p>
          <w:p w14:paraId="4B47AF33" w14:textId="77777777" w:rsidR="003C4F46" w:rsidRDefault="004B6A81">
            <w:pPr>
              <w:pStyle w:val="a3"/>
              <w:ind w:firstLine="480"/>
              <w:rPr>
                <w:rFonts w:ascii="Times New Roman" w:hAnsi="Times New Roman"/>
                <w:sz w:val="24"/>
                <w:szCs w:val="24"/>
              </w:rPr>
            </w:pPr>
            <w:r>
              <w:rPr>
                <w:rFonts w:ascii="Times New Roman" w:hAnsi="Times New Roman" w:hint="eastAsia"/>
                <w:sz w:val="24"/>
                <w:szCs w:val="24"/>
              </w:rPr>
              <w:t>排污口是企业排放污染物进入环境的通道，强化排污口的管理是实施污染物总量控制的基础工作之一，也是环境管理逐步实现污染物排放科学化、定量化的重要手段。</w:t>
            </w:r>
          </w:p>
          <w:p w14:paraId="181916C4" w14:textId="77777777" w:rsidR="003C4F46" w:rsidRDefault="004B6A81">
            <w:pPr>
              <w:pStyle w:val="a3"/>
              <w:ind w:firstLineChars="0" w:firstLine="0"/>
              <w:rPr>
                <w:rFonts w:ascii="Times New Roman" w:hAnsi="Times New Roman"/>
                <w:sz w:val="24"/>
                <w:szCs w:val="24"/>
              </w:rPr>
            </w:pPr>
            <w:r>
              <w:rPr>
                <w:rFonts w:ascii="Times New Roman" w:hAnsi="Times New Roman" w:hint="eastAsia"/>
                <w:b/>
                <w:bCs/>
                <w:sz w:val="24"/>
                <w:szCs w:val="24"/>
              </w:rPr>
              <w:t>1</w:t>
            </w:r>
            <w:r>
              <w:rPr>
                <w:rFonts w:ascii="Times New Roman" w:hAnsi="Times New Roman" w:hint="eastAsia"/>
                <w:b/>
                <w:bCs/>
                <w:sz w:val="24"/>
                <w:szCs w:val="24"/>
              </w:rPr>
              <w:t>、排污口规范化管理的基本原则</w:t>
            </w:r>
          </w:p>
          <w:p w14:paraId="158B0B83" w14:textId="77777777" w:rsidR="003C4F46" w:rsidRDefault="004B6A81">
            <w:pPr>
              <w:ind w:firstLine="480"/>
            </w:pPr>
            <w:r>
              <w:rPr>
                <w:rFonts w:hint="eastAsia"/>
                <w:szCs w:val="24"/>
              </w:rPr>
              <w:lastRenderedPageBreak/>
              <w:t>（</w:t>
            </w:r>
            <w:r>
              <w:rPr>
                <w:rFonts w:hint="eastAsia"/>
              </w:rPr>
              <w:t>1</w:t>
            </w:r>
            <w:r>
              <w:rPr>
                <w:rFonts w:hint="eastAsia"/>
              </w:rPr>
              <w:t>）向环境排放污染物的排污口必须规范化；</w:t>
            </w:r>
          </w:p>
          <w:p w14:paraId="12455DCF" w14:textId="77777777" w:rsidR="003C4F46" w:rsidRDefault="004B6A81">
            <w:pPr>
              <w:ind w:firstLine="480"/>
            </w:pPr>
            <w:r>
              <w:rPr>
                <w:rFonts w:hint="eastAsia"/>
              </w:rPr>
              <w:t>（</w:t>
            </w:r>
            <w:r>
              <w:rPr>
                <w:rFonts w:hint="eastAsia"/>
              </w:rPr>
              <w:t>2</w:t>
            </w:r>
            <w:r>
              <w:rPr>
                <w:rFonts w:hint="eastAsia"/>
              </w:rPr>
              <w:t>）排污口应便于采样与计量监测，便于日常现场监督检查。</w:t>
            </w:r>
          </w:p>
          <w:p w14:paraId="0A2C910A" w14:textId="77777777" w:rsidR="003C4F46" w:rsidRDefault="004B6A81">
            <w:pPr>
              <w:ind w:firstLineChars="0" w:firstLine="0"/>
              <w:rPr>
                <w:b/>
                <w:bCs/>
              </w:rPr>
            </w:pPr>
            <w:r>
              <w:rPr>
                <w:rFonts w:hint="eastAsia"/>
                <w:b/>
                <w:bCs/>
              </w:rPr>
              <w:t>2</w:t>
            </w:r>
            <w:r>
              <w:rPr>
                <w:rFonts w:hint="eastAsia"/>
                <w:b/>
                <w:bCs/>
              </w:rPr>
              <w:t>、排污口设置的技术要求</w:t>
            </w:r>
          </w:p>
          <w:p w14:paraId="6AC4E101" w14:textId="77777777" w:rsidR="003C4F46" w:rsidRDefault="004B6A81">
            <w:pPr>
              <w:ind w:firstLine="480"/>
            </w:pPr>
            <w:r>
              <w:rPr>
                <w:rFonts w:hint="eastAsia"/>
              </w:rPr>
              <w:t>（</w:t>
            </w:r>
            <w:r>
              <w:rPr>
                <w:rFonts w:hint="eastAsia"/>
              </w:rPr>
              <w:t>1</w:t>
            </w:r>
            <w:r>
              <w:rPr>
                <w:rFonts w:hint="eastAsia"/>
              </w:rPr>
              <w:t>）排污口的位置必须合理确定，按《排污口规范化整治技术要求（试行）》（环监〔</w:t>
            </w:r>
            <w:r>
              <w:rPr>
                <w:rFonts w:hint="eastAsia"/>
              </w:rPr>
              <w:t>1996</w:t>
            </w:r>
            <w:r>
              <w:rPr>
                <w:rFonts w:hint="eastAsia"/>
              </w:rPr>
              <w:t>〕</w:t>
            </w:r>
            <w:r>
              <w:rPr>
                <w:rFonts w:hint="eastAsia"/>
              </w:rPr>
              <w:t>470</w:t>
            </w:r>
            <w:r>
              <w:rPr>
                <w:rFonts w:hint="eastAsia"/>
              </w:rPr>
              <w:t>号）文件、“污染源监测技术规范”中的相关规定要求进行规范化管理。</w:t>
            </w:r>
          </w:p>
          <w:p w14:paraId="1DF8E24B" w14:textId="77777777" w:rsidR="003C4F46" w:rsidRDefault="004B6A81">
            <w:pPr>
              <w:ind w:firstLine="480"/>
            </w:pPr>
            <w:r>
              <w:rPr>
                <w:rFonts w:hint="eastAsia"/>
              </w:rPr>
              <w:t>（</w:t>
            </w:r>
            <w:r>
              <w:rPr>
                <w:rFonts w:hint="eastAsia"/>
              </w:rPr>
              <w:t>2</w:t>
            </w:r>
            <w:r>
              <w:rPr>
                <w:rFonts w:hint="eastAsia"/>
              </w:rPr>
              <w:t>）废气排放口要求在废气处理设施的进气口、排气筒排气口均应设置便于采样、监测的采样口和监测平台，采样口直径不小于</w:t>
            </w:r>
            <w:r>
              <w:rPr>
                <w:rFonts w:hint="eastAsia"/>
              </w:rPr>
              <w:t>40mm</w:t>
            </w:r>
            <w:r>
              <w:rPr>
                <w:rFonts w:hint="eastAsia"/>
              </w:rPr>
              <w:t>。设置规范的、便于测量流量、流速的测速段。</w:t>
            </w:r>
          </w:p>
          <w:p w14:paraId="700E25B2" w14:textId="77777777" w:rsidR="003C4F46" w:rsidRDefault="004B6A81">
            <w:pPr>
              <w:ind w:firstLine="480"/>
            </w:pPr>
            <w:r>
              <w:rPr>
                <w:rFonts w:hint="eastAsia"/>
              </w:rPr>
              <w:t>（</w:t>
            </w:r>
            <w:r>
              <w:t>3</w:t>
            </w:r>
            <w:r>
              <w:rPr>
                <w:rFonts w:hint="eastAsia"/>
              </w:rPr>
              <w:t>）固体废物暂存场要求一般工业固废必须设置专用堆放场所，有防扬散、防流失、防渗漏等措施，设置环境保护图形标志和警示标志。</w:t>
            </w:r>
          </w:p>
          <w:p w14:paraId="69C8FE52" w14:textId="77777777" w:rsidR="003C4F46" w:rsidRDefault="004B6A81">
            <w:pPr>
              <w:ind w:firstLineChars="0" w:firstLine="0"/>
              <w:rPr>
                <w:b/>
                <w:bCs/>
              </w:rPr>
            </w:pPr>
            <w:r>
              <w:rPr>
                <w:rFonts w:hint="eastAsia"/>
                <w:b/>
                <w:bCs/>
              </w:rPr>
              <w:t>3</w:t>
            </w:r>
            <w:r>
              <w:rPr>
                <w:rFonts w:hint="eastAsia"/>
                <w:b/>
                <w:bCs/>
              </w:rPr>
              <w:t>、排污口立标管理要求</w:t>
            </w:r>
          </w:p>
          <w:p w14:paraId="5ED175EA" w14:textId="77777777" w:rsidR="003C4F46" w:rsidRDefault="004B6A81">
            <w:pPr>
              <w:ind w:firstLine="480"/>
              <w:rPr>
                <w:szCs w:val="24"/>
              </w:rPr>
            </w:pPr>
            <w:r>
              <w:rPr>
                <w:rFonts w:hint="eastAsia"/>
              </w:rPr>
              <w:t>污染物排放口应按《环境保护图形标志》（</w:t>
            </w:r>
            <w:r>
              <w:rPr>
                <w:rFonts w:hint="eastAsia"/>
              </w:rPr>
              <w:t>GB15562.1-1995</w:t>
            </w:r>
            <w:r>
              <w:rPr>
                <w:rFonts w:hint="eastAsia"/>
              </w:rPr>
              <w:t>）与《环境保护图形标志</w:t>
            </w:r>
            <w:r>
              <w:rPr>
                <w:rFonts w:hint="eastAsia"/>
              </w:rPr>
              <w:t>--</w:t>
            </w:r>
            <w:r>
              <w:rPr>
                <w:rFonts w:hint="eastAsia"/>
              </w:rPr>
              <w:t>固体废物贮存（处置）场》（</w:t>
            </w:r>
            <w:r>
              <w:rPr>
                <w:rFonts w:hint="eastAsia"/>
              </w:rPr>
              <w:t>GB15562.2-1995</w:t>
            </w:r>
            <w:r>
              <w:rPr>
                <w:rFonts w:hint="eastAsia"/>
              </w:rPr>
              <w:t>）修改单的规定，设置生态环境部统一制作的环境保护图形标志牌；环保图形标志牌应设置在靠近采样点的醒目处，标志牌设置高度为其上缘距地面</w:t>
            </w:r>
            <w:r>
              <w:rPr>
                <w:rFonts w:hint="eastAsia"/>
              </w:rPr>
              <w:t>2m</w:t>
            </w:r>
            <w:r>
              <w:rPr>
                <w:rFonts w:hint="eastAsia"/>
              </w:rPr>
              <w:t>。根据项目的工艺特征和污染物排放情况，本项目废气、噪声、固废排污口标识见下表所示。</w:t>
            </w:r>
          </w:p>
          <w:p w14:paraId="24A581F4" w14:textId="509AB06B" w:rsidR="003C4F46" w:rsidRDefault="004B6A81">
            <w:pPr>
              <w:pStyle w:val="a3"/>
              <w:spacing w:line="240" w:lineRule="auto"/>
              <w:ind w:firstLine="422"/>
              <w:jc w:val="center"/>
              <w:rPr>
                <w:rFonts w:ascii="Times New Roman" w:hAnsi="Times New Roman"/>
                <w:b/>
                <w:bCs/>
                <w:sz w:val="21"/>
                <w:szCs w:val="21"/>
              </w:rPr>
            </w:pPr>
            <w:r>
              <w:rPr>
                <w:rFonts w:ascii="Times New Roman" w:hAnsi="Times New Roman"/>
                <w:b/>
                <w:bCs/>
                <w:sz w:val="21"/>
                <w:szCs w:val="21"/>
              </w:rPr>
              <w:t>表</w:t>
            </w:r>
            <w:r>
              <w:rPr>
                <w:rFonts w:ascii="Times New Roman" w:hAnsi="Times New Roman"/>
                <w:b/>
                <w:bCs/>
                <w:sz w:val="21"/>
                <w:szCs w:val="21"/>
              </w:rPr>
              <w:t>4-</w:t>
            </w:r>
            <w:r w:rsidR="004148F3">
              <w:rPr>
                <w:rFonts w:ascii="Times New Roman" w:hAnsi="Times New Roman"/>
                <w:b/>
                <w:bCs/>
                <w:sz w:val="21"/>
                <w:szCs w:val="21"/>
              </w:rPr>
              <w:t>1</w:t>
            </w:r>
            <w:r w:rsidR="00201FF2">
              <w:rPr>
                <w:rFonts w:ascii="Times New Roman" w:hAnsi="Times New Roman"/>
                <w:b/>
                <w:bCs/>
                <w:sz w:val="21"/>
                <w:szCs w:val="21"/>
              </w:rPr>
              <w:t>7</w:t>
            </w:r>
            <w:r>
              <w:rPr>
                <w:rFonts w:ascii="Times New Roman" w:hAnsi="Times New Roman"/>
                <w:b/>
                <w:bCs/>
                <w:sz w:val="21"/>
                <w:szCs w:val="21"/>
              </w:rPr>
              <w:t xml:space="preserve">  </w:t>
            </w:r>
            <w:r>
              <w:rPr>
                <w:rFonts w:ascii="Times New Roman" w:hAnsi="Times New Roman" w:hint="eastAsia"/>
                <w:b/>
                <w:bCs/>
                <w:sz w:val="21"/>
                <w:szCs w:val="21"/>
              </w:rPr>
              <w:t>环境保护图形符号一览表</w:t>
            </w:r>
          </w:p>
          <w:tbl>
            <w:tblPr>
              <w:tblStyle w:val="aff"/>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19"/>
              <w:gridCol w:w="1311"/>
              <w:gridCol w:w="1600"/>
              <w:gridCol w:w="1745"/>
              <w:gridCol w:w="1016"/>
              <w:gridCol w:w="2130"/>
            </w:tblGrid>
            <w:tr w:rsidR="003C4F46" w14:paraId="53D6E825" w14:textId="77777777">
              <w:tc>
                <w:tcPr>
                  <w:tcW w:w="422" w:type="pct"/>
                  <w:vAlign w:val="center"/>
                </w:tcPr>
                <w:p w14:paraId="7C772F59"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序号</w:t>
                  </w:r>
                </w:p>
              </w:tc>
              <w:tc>
                <w:tcPr>
                  <w:tcW w:w="769" w:type="pct"/>
                  <w:vAlign w:val="center"/>
                </w:tcPr>
                <w:p w14:paraId="03607501"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标志名称</w:t>
                  </w:r>
                </w:p>
              </w:tc>
              <w:tc>
                <w:tcPr>
                  <w:tcW w:w="939" w:type="pct"/>
                  <w:vAlign w:val="center"/>
                </w:tcPr>
                <w:p w14:paraId="26754AA8"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提示图形符号</w:t>
                  </w:r>
                </w:p>
              </w:tc>
              <w:tc>
                <w:tcPr>
                  <w:tcW w:w="1024" w:type="pct"/>
                  <w:vAlign w:val="center"/>
                </w:tcPr>
                <w:p w14:paraId="7CBDD7B5"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警告图形符号</w:t>
                  </w:r>
                </w:p>
              </w:tc>
              <w:tc>
                <w:tcPr>
                  <w:tcW w:w="596" w:type="pct"/>
                  <w:vAlign w:val="center"/>
                </w:tcPr>
                <w:p w14:paraId="1A09424D"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功能</w:t>
                  </w:r>
                </w:p>
                <w:p w14:paraId="70414E13"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说明</w:t>
                  </w:r>
                </w:p>
              </w:tc>
              <w:tc>
                <w:tcPr>
                  <w:tcW w:w="1250" w:type="pct"/>
                  <w:vAlign w:val="center"/>
                </w:tcPr>
                <w:p w14:paraId="145D2165"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要求</w:t>
                  </w:r>
                </w:p>
              </w:tc>
            </w:tr>
            <w:tr w:rsidR="003C4F46" w14:paraId="64FA74F1" w14:textId="77777777">
              <w:tc>
                <w:tcPr>
                  <w:tcW w:w="422" w:type="pct"/>
                  <w:vAlign w:val="center"/>
                </w:tcPr>
                <w:p w14:paraId="7694C614"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1</w:t>
                  </w:r>
                </w:p>
              </w:tc>
              <w:tc>
                <w:tcPr>
                  <w:tcW w:w="769" w:type="pct"/>
                  <w:vAlign w:val="center"/>
                </w:tcPr>
                <w:p w14:paraId="447FEA05"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废气排放</w:t>
                  </w:r>
                </w:p>
                <w:p w14:paraId="7A41AC49"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口</w:t>
                  </w:r>
                </w:p>
              </w:tc>
              <w:tc>
                <w:tcPr>
                  <w:tcW w:w="939" w:type="pct"/>
                  <w:vAlign w:val="center"/>
                </w:tcPr>
                <w:p w14:paraId="447B70FE" w14:textId="77777777" w:rsidR="003C4F46" w:rsidRDefault="004B6A81">
                  <w:pPr>
                    <w:pStyle w:val="a3"/>
                    <w:spacing w:line="240" w:lineRule="auto"/>
                    <w:ind w:firstLineChars="0" w:firstLine="0"/>
                    <w:jc w:val="center"/>
                    <w:rPr>
                      <w:rFonts w:ascii="Times New Roman" w:hAnsi="Times New Roman"/>
                      <w:sz w:val="21"/>
                      <w:szCs w:val="21"/>
                    </w:rPr>
                  </w:pPr>
                  <w:r>
                    <w:rPr>
                      <w:noProof/>
                    </w:rPr>
                    <w:drawing>
                      <wp:inline distT="0" distB="0" distL="0" distR="0" wp14:anchorId="0C9565F4" wp14:editId="5A74EBC0">
                        <wp:extent cx="790575" cy="790575"/>
                        <wp:effectExtent l="0" t="0" r="9525" b="9525"/>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pic:cNvPicPr>
                                  <a:picLocks noChangeAspect="1"/>
                                </pic:cNvPicPr>
                              </pic:nvPicPr>
                              <pic:blipFill>
                                <a:blip r:embed="rId32"/>
                                <a:stretch>
                                  <a:fillRect/>
                                </a:stretch>
                              </pic:blipFill>
                              <pic:spPr>
                                <a:xfrm>
                                  <a:off x="0" y="0"/>
                                  <a:ext cx="790575" cy="790575"/>
                                </a:xfrm>
                                <a:prstGeom prst="rect">
                                  <a:avLst/>
                                </a:prstGeom>
                              </pic:spPr>
                            </pic:pic>
                          </a:graphicData>
                        </a:graphic>
                      </wp:inline>
                    </w:drawing>
                  </w:r>
                </w:p>
              </w:tc>
              <w:tc>
                <w:tcPr>
                  <w:tcW w:w="1024" w:type="pct"/>
                  <w:vAlign w:val="center"/>
                </w:tcPr>
                <w:p w14:paraId="4EAA9F82" w14:textId="77777777" w:rsidR="003C4F46" w:rsidRDefault="004B6A81">
                  <w:pPr>
                    <w:pStyle w:val="a3"/>
                    <w:spacing w:line="240" w:lineRule="auto"/>
                    <w:ind w:firstLineChars="0" w:firstLine="0"/>
                    <w:jc w:val="center"/>
                    <w:rPr>
                      <w:rFonts w:ascii="Times New Roman" w:hAnsi="Times New Roman"/>
                      <w:sz w:val="21"/>
                      <w:szCs w:val="21"/>
                    </w:rPr>
                  </w:pPr>
                  <w:r>
                    <w:rPr>
                      <w:noProof/>
                    </w:rPr>
                    <w:drawing>
                      <wp:inline distT="0" distB="0" distL="0" distR="0" wp14:anchorId="528501BC" wp14:editId="53A07318">
                        <wp:extent cx="819150" cy="781050"/>
                        <wp:effectExtent l="0" t="0" r="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pic:cNvPicPr>
                                  <a:picLocks noChangeAspect="1"/>
                                </pic:cNvPicPr>
                              </pic:nvPicPr>
                              <pic:blipFill>
                                <a:blip r:embed="rId33"/>
                                <a:stretch>
                                  <a:fillRect/>
                                </a:stretch>
                              </pic:blipFill>
                              <pic:spPr>
                                <a:xfrm>
                                  <a:off x="0" y="0"/>
                                  <a:ext cx="819150" cy="781050"/>
                                </a:xfrm>
                                <a:prstGeom prst="rect">
                                  <a:avLst/>
                                </a:prstGeom>
                              </pic:spPr>
                            </pic:pic>
                          </a:graphicData>
                        </a:graphic>
                      </wp:inline>
                    </w:drawing>
                  </w:r>
                </w:p>
              </w:tc>
              <w:tc>
                <w:tcPr>
                  <w:tcW w:w="596" w:type="pct"/>
                  <w:vAlign w:val="center"/>
                </w:tcPr>
                <w:p w14:paraId="02B612E6"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表示废气向大气环境排放</w:t>
                  </w:r>
                </w:p>
              </w:tc>
              <w:tc>
                <w:tcPr>
                  <w:tcW w:w="1250" w:type="pct"/>
                  <w:vAlign w:val="center"/>
                </w:tcPr>
                <w:p w14:paraId="1DFFBEC6"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排气筒按《固定污染源废气排放口监测点位设置技术规范》（</w:t>
                  </w:r>
                  <w:r>
                    <w:rPr>
                      <w:rFonts w:ascii="Times New Roman" w:hAnsi="Times New Roman" w:hint="eastAsia"/>
                      <w:sz w:val="21"/>
                      <w:szCs w:val="21"/>
                    </w:rPr>
                    <w:t>T/CAEPI46-2022</w:t>
                  </w:r>
                  <w:r>
                    <w:rPr>
                      <w:rFonts w:ascii="Times New Roman" w:hAnsi="Times New Roman" w:hint="eastAsia"/>
                      <w:sz w:val="21"/>
                      <w:szCs w:val="21"/>
                    </w:rPr>
                    <w:t>）设置监测孔、监测平台、监测梯架及其保</w:t>
                  </w:r>
                </w:p>
                <w:p w14:paraId="774674C4"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障性、辅助性设施等。不监测时用管帽、盖板等封闭，不得封死，便于在监测时开启使用，并在废气污染源处设置废气排放口标志。</w:t>
                  </w:r>
                </w:p>
              </w:tc>
            </w:tr>
            <w:tr w:rsidR="003C4F46" w14:paraId="4FE71594" w14:textId="77777777">
              <w:tc>
                <w:tcPr>
                  <w:tcW w:w="422" w:type="pct"/>
                  <w:vAlign w:val="center"/>
                </w:tcPr>
                <w:p w14:paraId="7765378F"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lastRenderedPageBreak/>
                    <w:t>2</w:t>
                  </w:r>
                </w:p>
              </w:tc>
              <w:tc>
                <w:tcPr>
                  <w:tcW w:w="769" w:type="pct"/>
                  <w:vAlign w:val="center"/>
                </w:tcPr>
                <w:p w14:paraId="01116C61"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噪声排放</w:t>
                  </w:r>
                </w:p>
                <w:p w14:paraId="1477696E"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源</w:t>
                  </w:r>
                </w:p>
              </w:tc>
              <w:tc>
                <w:tcPr>
                  <w:tcW w:w="939" w:type="pct"/>
                  <w:vAlign w:val="center"/>
                </w:tcPr>
                <w:p w14:paraId="44147089" w14:textId="77777777" w:rsidR="003C4F46" w:rsidRDefault="004B6A81">
                  <w:pPr>
                    <w:pStyle w:val="a3"/>
                    <w:spacing w:line="240" w:lineRule="auto"/>
                    <w:ind w:firstLineChars="0" w:firstLine="0"/>
                    <w:jc w:val="center"/>
                    <w:rPr>
                      <w:rFonts w:ascii="Times New Roman" w:hAnsi="Times New Roman"/>
                      <w:sz w:val="21"/>
                      <w:szCs w:val="21"/>
                    </w:rPr>
                  </w:pPr>
                  <w:r>
                    <w:rPr>
                      <w:noProof/>
                    </w:rPr>
                    <w:drawing>
                      <wp:inline distT="0" distB="0" distL="0" distR="0" wp14:anchorId="4D6C4BD7" wp14:editId="4EA65511">
                        <wp:extent cx="847725" cy="810260"/>
                        <wp:effectExtent l="0" t="0" r="9525" b="889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pic:cNvPicPr>
                                  <a:picLocks noChangeAspect="1"/>
                                </pic:cNvPicPr>
                              </pic:nvPicPr>
                              <pic:blipFill>
                                <a:blip r:embed="rId34"/>
                                <a:stretch>
                                  <a:fillRect/>
                                </a:stretch>
                              </pic:blipFill>
                              <pic:spPr>
                                <a:xfrm>
                                  <a:off x="0" y="0"/>
                                  <a:ext cx="858086" cy="820777"/>
                                </a:xfrm>
                                <a:prstGeom prst="rect">
                                  <a:avLst/>
                                </a:prstGeom>
                              </pic:spPr>
                            </pic:pic>
                          </a:graphicData>
                        </a:graphic>
                      </wp:inline>
                    </w:drawing>
                  </w:r>
                </w:p>
              </w:tc>
              <w:tc>
                <w:tcPr>
                  <w:tcW w:w="1024" w:type="pct"/>
                  <w:vAlign w:val="center"/>
                </w:tcPr>
                <w:p w14:paraId="5F2E195D" w14:textId="77777777" w:rsidR="003C4F46" w:rsidRDefault="004B6A81">
                  <w:pPr>
                    <w:pStyle w:val="a3"/>
                    <w:spacing w:line="240" w:lineRule="auto"/>
                    <w:ind w:firstLineChars="0" w:firstLine="0"/>
                    <w:jc w:val="center"/>
                    <w:rPr>
                      <w:rFonts w:ascii="Times New Roman" w:hAnsi="Times New Roman"/>
                      <w:sz w:val="21"/>
                      <w:szCs w:val="21"/>
                    </w:rPr>
                  </w:pPr>
                  <w:r>
                    <w:rPr>
                      <w:noProof/>
                    </w:rPr>
                    <w:drawing>
                      <wp:inline distT="0" distB="0" distL="0" distR="0" wp14:anchorId="5E1A3E79" wp14:editId="2FDB84DF">
                        <wp:extent cx="787400" cy="638175"/>
                        <wp:effectExtent l="0" t="0" r="12700" b="9525"/>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pic:cNvPicPr>
                                  <a:picLocks noChangeAspect="1"/>
                                </pic:cNvPicPr>
                              </pic:nvPicPr>
                              <pic:blipFill>
                                <a:blip r:embed="rId35"/>
                                <a:stretch>
                                  <a:fillRect/>
                                </a:stretch>
                              </pic:blipFill>
                              <pic:spPr>
                                <a:xfrm rot="10800000" flipV="1">
                                  <a:off x="0" y="0"/>
                                  <a:ext cx="799383" cy="647827"/>
                                </a:xfrm>
                                <a:prstGeom prst="rect">
                                  <a:avLst/>
                                </a:prstGeom>
                              </pic:spPr>
                            </pic:pic>
                          </a:graphicData>
                        </a:graphic>
                      </wp:inline>
                    </w:drawing>
                  </w:r>
                </w:p>
              </w:tc>
              <w:tc>
                <w:tcPr>
                  <w:tcW w:w="596" w:type="pct"/>
                  <w:vAlign w:val="center"/>
                </w:tcPr>
                <w:p w14:paraId="068FE200"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表示噪声向外环境排放</w:t>
                  </w:r>
                </w:p>
              </w:tc>
              <w:tc>
                <w:tcPr>
                  <w:tcW w:w="1250" w:type="pct"/>
                  <w:vAlign w:val="center"/>
                </w:tcPr>
                <w:p w14:paraId="58DDCBFA"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w:t>
                  </w:r>
                </w:p>
              </w:tc>
            </w:tr>
          </w:tbl>
          <w:p w14:paraId="6F33ADD9" w14:textId="0E0625BB" w:rsidR="003C4F46" w:rsidRDefault="004B6A81">
            <w:pPr>
              <w:pStyle w:val="a3"/>
              <w:spacing w:before="240" w:line="240" w:lineRule="auto"/>
              <w:ind w:firstLine="422"/>
              <w:jc w:val="center"/>
              <w:rPr>
                <w:rFonts w:ascii="Times New Roman" w:hAnsi="Times New Roman"/>
                <w:b/>
                <w:bCs/>
                <w:sz w:val="21"/>
                <w:szCs w:val="21"/>
              </w:rPr>
            </w:pPr>
            <w:r>
              <w:rPr>
                <w:rFonts w:ascii="Times New Roman" w:hAnsi="Times New Roman"/>
                <w:b/>
                <w:bCs/>
                <w:sz w:val="21"/>
                <w:szCs w:val="21"/>
              </w:rPr>
              <w:t>表</w:t>
            </w:r>
            <w:r>
              <w:rPr>
                <w:rFonts w:ascii="Times New Roman" w:hAnsi="Times New Roman" w:hint="eastAsia"/>
                <w:b/>
                <w:bCs/>
                <w:sz w:val="21"/>
                <w:szCs w:val="21"/>
              </w:rPr>
              <w:t>4</w:t>
            </w:r>
            <w:r>
              <w:rPr>
                <w:rFonts w:ascii="Times New Roman" w:hAnsi="Times New Roman"/>
                <w:b/>
                <w:bCs/>
                <w:sz w:val="21"/>
                <w:szCs w:val="21"/>
              </w:rPr>
              <w:t>-</w:t>
            </w:r>
            <w:r w:rsidR="004148F3">
              <w:rPr>
                <w:rFonts w:ascii="Times New Roman" w:hAnsi="Times New Roman"/>
                <w:b/>
                <w:bCs/>
                <w:sz w:val="21"/>
                <w:szCs w:val="21"/>
              </w:rPr>
              <w:t>1</w:t>
            </w:r>
            <w:r w:rsidR="00201FF2">
              <w:rPr>
                <w:rFonts w:ascii="Times New Roman" w:hAnsi="Times New Roman"/>
                <w:b/>
                <w:bCs/>
                <w:sz w:val="21"/>
                <w:szCs w:val="21"/>
              </w:rPr>
              <w:t>8</w:t>
            </w:r>
            <w:r>
              <w:rPr>
                <w:rFonts w:ascii="Times New Roman" w:hAnsi="Times New Roman"/>
                <w:b/>
                <w:bCs/>
                <w:sz w:val="21"/>
                <w:szCs w:val="21"/>
              </w:rPr>
              <w:t xml:space="preserve">  </w:t>
            </w:r>
            <w:r>
              <w:rPr>
                <w:rFonts w:ascii="Times New Roman" w:hAnsi="Times New Roman" w:hint="eastAsia"/>
                <w:b/>
                <w:bCs/>
                <w:sz w:val="21"/>
                <w:szCs w:val="21"/>
              </w:rPr>
              <w:t>环境保护图形标志的形状及颜色</w:t>
            </w:r>
          </w:p>
          <w:tbl>
            <w:tblPr>
              <w:tblStyle w:val="aff"/>
              <w:tblW w:w="4998"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9"/>
              <w:gridCol w:w="2129"/>
              <w:gridCol w:w="2130"/>
              <w:gridCol w:w="2130"/>
            </w:tblGrid>
            <w:tr w:rsidR="003C4F46" w14:paraId="00512BF5" w14:textId="77777777">
              <w:tc>
                <w:tcPr>
                  <w:tcW w:w="1250" w:type="pct"/>
                  <w:vAlign w:val="center"/>
                </w:tcPr>
                <w:p w14:paraId="2CA14AEE"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标志名称</w:t>
                  </w:r>
                </w:p>
              </w:tc>
              <w:tc>
                <w:tcPr>
                  <w:tcW w:w="1250" w:type="pct"/>
                  <w:vAlign w:val="center"/>
                </w:tcPr>
                <w:p w14:paraId="42C451EB"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形状</w:t>
                  </w:r>
                </w:p>
              </w:tc>
              <w:tc>
                <w:tcPr>
                  <w:tcW w:w="1250" w:type="pct"/>
                  <w:vAlign w:val="center"/>
                </w:tcPr>
                <w:p w14:paraId="00878CD3"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背景颜色</w:t>
                  </w:r>
                </w:p>
              </w:tc>
              <w:tc>
                <w:tcPr>
                  <w:tcW w:w="1250" w:type="pct"/>
                  <w:vAlign w:val="center"/>
                </w:tcPr>
                <w:p w14:paraId="6B323611"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图形颜色</w:t>
                  </w:r>
                </w:p>
              </w:tc>
            </w:tr>
            <w:tr w:rsidR="003C4F46" w14:paraId="5481E3AC" w14:textId="77777777">
              <w:tc>
                <w:tcPr>
                  <w:tcW w:w="1250" w:type="pct"/>
                  <w:vAlign w:val="center"/>
                </w:tcPr>
                <w:p w14:paraId="451005BC"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警告标志</w:t>
                  </w:r>
                </w:p>
              </w:tc>
              <w:tc>
                <w:tcPr>
                  <w:tcW w:w="1250" w:type="pct"/>
                  <w:vAlign w:val="center"/>
                </w:tcPr>
                <w:p w14:paraId="12B8CBD4"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三角形边框</w:t>
                  </w:r>
                </w:p>
              </w:tc>
              <w:tc>
                <w:tcPr>
                  <w:tcW w:w="1250" w:type="pct"/>
                  <w:vAlign w:val="center"/>
                </w:tcPr>
                <w:p w14:paraId="56702D4D"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黄色</w:t>
                  </w:r>
                </w:p>
              </w:tc>
              <w:tc>
                <w:tcPr>
                  <w:tcW w:w="1250" w:type="pct"/>
                  <w:vAlign w:val="center"/>
                </w:tcPr>
                <w:p w14:paraId="2886C009"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黑色</w:t>
                  </w:r>
                </w:p>
              </w:tc>
            </w:tr>
            <w:tr w:rsidR="003C4F46" w14:paraId="1EF0BF34" w14:textId="77777777">
              <w:tc>
                <w:tcPr>
                  <w:tcW w:w="1250" w:type="pct"/>
                  <w:vAlign w:val="center"/>
                </w:tcPr>
                <w:p w14:paraId="1608257D"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提示标志</w:t>
                  </w:r>
                </w:p>
              </w:tc>
              <w:tc>
                <w:tcPr>
                  <w:tcW w:w="1250" w:type="pct"/>
                  <w:vAlign w:val="center"/>
                </w:tcPr>
                <w:p w14:paraId="5192E461"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正方形边框</w:t>
                  </w:r>
                </w:p>
              </w:tc>
              <w:tc>
                <w:tcPr>
                  <w:tcW w:w="1250" w:type="pct"/>
                  <w:vAlign w:val="center"/>
                </w:tcPr>
                <w:p w14:paraId="0B505161"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绿色</w:t>
                  </w:r>
                </w:p>
              </w:tc>
              <w:tc>
                <w:tcPr>
                  <w:tcW w:w="1250" w:type="pct"/>
                  <w:vAlign w:val="center"/>
                </w:tcPr>
                <w:p w14:paraId="234EBE8C" w14:textId="77777777" w:rsidR="003C4F46" w:rsidRDefault="004B6A81">
                  <w:pPr>
                    <w:pStyle w:val="a3"/>
                    <w:spacing w:line="240" w:lineRule="auto"/>
                    <w:ind w:firstLineChars="0" w:firstLine="0"/>
                    <w:jc w:val="center"/>
                    <w:rPr>
                      <w:rFonts w:ascii="Times New Roman" w:hAnsi="Times New Roman"/>
                      <w:sz w:val="21"/>
                      <w:szCs w:val="21"/>
                    </w:rPr>
                  </w:pPr>
                  <w:r>
                    <w:rPr>
                      <w:rFonts w:ascii="Times New Roman" w:hAnsi="Times New Roman" w:hint="eastAsia"/>
                      <w:sz w:val="21"/>
                      <w:szCs w:val="21"/>
                    </w:rPr>
                    <w:t>白色</w:t>
                  </w:r>
                </w:p>
              </w:tc>
            </w:tr>
          </w:tbl>
          <w:p w14:paraId="14E3E62A" w14:textId="77777777" w:rsidR="003C4F46" w:rsidRDefault="004B6A81">
            <w:pPr>
              <w:ind w:firstLineChars="0" w:firstLine="0"/>
              <w:rPr>
                <w:b/>
                <w:bCs/>
              </w:rPr>
            </w:pPr>
            <w:r>
              <w:rPr>
                <w:rFonts w:hint="eastAsia"/>
                <w:b/>
                <w:bCs/>
              </w:rPr>
              <w:t>4</w:t>
            </w:r>
            <w:r>
              <w:rPr>
                <w:rFonts w:hint="eastAsia"/>
                <w:b/>
                <w:bCs/>
              </w:rPr>
              <w:t>、排污口建档管理要求</w:t>
            </w:r>
          </w:p>
          <w:p w14:paraId="06019C8C" w14:textId="77777777" w:rsidR="003C4F46" w:rsidRDefault="004B6A81">
            <w:pPr>
              <w:ind w:firstLine="480"/>
            </w:pPr>
            <w:r>
              <w:rPr>
                <w:rFonts w:hint="eastAsia"/>
              </w:rPr>
              <w:t>（</w:t>
            </w:r>
            <w:r>
              <w:rPr>
                <w:rFonts w:hint="eastAsia"/>
              </w:rPr>
              <w:t>1</w:t>
            </w:r>
            <w:r>
              <w:rPr>
                <w:rFonts w:hint="eastAsia"/>
              </w:rPr>
              <w:t>）应使用《中华人民共和国规范化排污口标志登记证》，并按要求填写有关内容；</w:t>
            </w:r>
          </w:p>
          <w:p w14:paraId="06DF5EAF" w14:textId="77777777" w:rsidR="003C4F46" w:rsidRDefault="004B6A81">
            <w:pPr>
              <w:ind w:firstLine="480"/>
            </w:pPr>
            <w:r>
              <w:rPr>
                <w:rFonts w:hint="eastAsia"/>
              </w:rPr>
              <w:t>（</w:t>
            </w:r>
            <w:r>
              <w:rPr>
                <w:rFonts w:hint="eastAsia"/>
              </w:rPr>
              <w:t>2</w:t>
            </w:r>
            <w:r>
              <w:rPr>
                <w:rFonts w:hint="eastAsia"/>
              </w:rPr>
              <w:t>）建设单位应将有关排污口的情况如：排污口的性质、编号、排污口的位置；主要排放的污染物种类、数量、浓度、排放规律、排放去向；污染治理设施的运行情况等进行建档管理，并报送生态环境主管部门备案。</w:t>
            </w:r>
          </w:p>
          <w:p w14:paraId="42401F6A" w14:textId="77777777" w:rsidR="003C4F46" w:rsidRDefault="004B6A81">
            <w:pPr>
              <w:pStyle w:val="2"/>
              <w:rPr>
                <w:rFonts w:cs="Times New Roman"/>
              </w:rPr>
            </w:pPr>
            <w:r>
              <w:rPr>
                <w:rFonts w:cs="Times New Roman"/>
              </w:rPr>
              <w:t>4.9</w:t>
            </w:r>
            <w:r>
              <w:rPr>
                <w:rFonts w:cs="Times New Roman"/>
              </w:rPr>
              <w:t>环境保护计划</w:t>
            </w:r>
          </w:p>
          <w:p w14:paraId="3101F60F" w14:textId="27F99AB5" w:rsidR="003C4F46" w:rsidRDefault="004B6A81">
            <w:pPr>
              <w:ind w:firstLine="480"/>
              <w:rPr>
                <w:rFonts w:cs="Times New Roman"/>
                <w:highlight w:val="yellow"/>
              </w:rPr>
            </w:pPr>
            <w:r>
              <w:rPr>
                <w:rFonts w:cs="Times New Roman" w:hint="eastAsia"/>
              </w:rPr>
              <w:t>根据《</w:t>
            </w:r>
            <w:r>
              <w:t>排污许可证申请与核发技术规范</w:t>
            </w:r>
            <w:r>
              <w:t xml:space="preserve"> </w:t>
            </w:r>
            <w:r>
              <w:t>工业固体废物和危险废物治理》（</w:t>
            </w:r>
            <w:r>
              <w:t>HJ1033-2019</w:t>
            </w:r>
            <w:r>
              <w:t>）</w:t>
            </w:r>
            <w:r>
              <w:rPr>
                <w:rFonts w:cs="Times New Roman" w:hint="eastAsia"/>
              </w:rPr>
              <w:t>和《排污单位自行监测技术指南</w:t>
            </w:r>
            <w:r>
              <w:rPr>
                <w:rFonts w:cs="Times New Roman" w:hint="eastAsia"/>
              </w:rPr>
              <w:t xml:space="preserve"> </w:t>
            </w:r>
            <w:r>
              <w:rPr>
                <w:rFonts w:cs="Times New Roman" w:hint="eastAsia"/>
              </w:rPr>
              <w:t>总则》（</w:t>
            </w:r>
            <w:r>
              <w:rPr>
                <w:rFonts w:cs="Times New Roman" w:hint="eastAsia"/>
              </w:rPr>
              <w:t>HJ819-2017</w:t>
            </w:r>
            <w:r>
              <w:rPr>
                <w:rFonts w:cs="Times New Roman" w:hint="eastAsia"/>
              </w:rPr>
              <w:t>）等文件要求，本项目将开展排污单位自行监测工作，具体监测计划详见表</w:t>
            </w:r>
            <w:r>
              <w:rPr>
                <w:rFonts w:cs="Times New Roman" w:hint="eastAsia"/>
              </w:rPr>
              <w:t>4-</w:t>
            </w:r>
            <w:r w:rsidR="00201FF2">
              <w:rPr>
                <w:rFonts w:cs="Times New Roman"/>
              </w:rPr>
              <w:t>19</w:t>
            </w:r>
            <w:r>
              <w:rPr>
                <w:rFonts w:cs="Times New Roman"/>
              </w:rPr>
              <w:t>。</w:t>
            </w:r>
          </w:p>
          <w:p w14:paraId="33495B0B" w14:textId="58156631" w:rsidR="003C4F46" w:rsidRDefault="004B6A81">
            <w:pPr>
              <w:pStyle w:val="afff1"/>
              <w:rPr>
                <w:rFonts w:ascii="Times New Roman" w:hAnsi="Times New Roman" w:cs="Times New Roman"/>
                <w:sz w:val="21"/>
                <w:szCs w:val="21"/>
              </w:rPr>
            </w:pPr>
            <w:r>
              <w:rPr>
                <w:rFonts w:ascii="Times New Roman" w:hAnsi="Times New Roman" w:cs="Times New Roman"/>
                <w:sz w:val="21"/>
                <w:szCs w:val="21"/>
              </w:rPr>
              <w:t>表</w:t>
            </w:r>
            <w:r>
              <w:rPr>
                <w:rFonts w:ascii="Times New Roman" w:hAnsi="Times New Roman" w:cs="Times New Roman"/>
                <w:sz w:val="21"/>
                <w:szCs w:val="21"/>
              </w:rPr>
              <w:t>4-</w:t>
            </w:r>
            <w:r w:rsidR="00201FF2">
              <w:rPr>
                <w:rFonts w:ascii="Times New Roman" w:hAnsi="Times New Roman" w:cs="Times New Roman"/>
                <w:sz w:val="21"/>
                <w:szCs w:val="21"/>
              </w:rPr>
              <w:t>19</w:t>
            </w:r>
            <w:r>
              <w:rPr>
                <w:rFonts w:ascii="Times New Roman" w:hAnsi="Times New Roman" w:cs="Times New Roman"/>
                <w:sz w:val="21"/>
                <w:szCs w:val="21"/>
              </w:rPr>
              <w:t xml:space="preserve">  </w:t>
            </w:r>
            <w:r>
              <w:rPr>
                <w:rFonts w:ascii="Times New Roman" w:hAnsi="Times New Roman" w:cs="Times New Roman"/>
                <w:sz w:val="21"/>
                <w:szCs w:val="21"/>
              </w:rPr>
              <w:t>环境监测计划</w:t>
            </w:r>
          </w:p>
          <w:tbl>
            <w:tblPr>
              <w:tblW w:w="492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72"/>
              <w:gridCol w:w="1707"/>
              <w:gridCol w:w="1124"/>
              <w:gridCol w:w="1216"/>
              <w:gridCol w:w="3267"/>
            </w:tblGrid>
            <w:tr w:rsidR="003C4F46" w14:paraId="0ECED43F" w14:textId="77777777">
              <w:trPr>
                <w:trHeight w:val="282"/>
                <w:jc w:val="center"/>
              </w:trPr>
              <w:tc>
                <w:tcPr>
                  <w:tcW w:w="639" w:type="pct"/>
                  <w:vAlign w:val="center"/>
                </w:tcPr>
                <w:p w14:paraId="20367450" w14:textId="77777777" w:rsidR="003C4F46" w:rsidRDefault="004B6A81">
                  <w:pPr>
                    <w:pStyle w:val="afff2"/>
                    <w:rPr>
                      <w:rFonts w:cs="Times New Roman"/>
                    </w:rPr>
                  </w:pPr>
                  <w:r>
                    <w:rPr>
                      <w:rFonts w:cs="Times New Roman"/>
                    </w:rPr>
                    <w:t>环境因素</w:t>
                  </w:r>
                </w:p>
              </w:tc>
              <w:tc>
                <w:tcPr>
                  <w:tcW w:w="1018" w:type="pct"/>
                  <w:vAlign w:val="center"/>
                </w:tcPr>
                <w:p w14:paraId="6418E732" w14:textId="77777777" w:rsidR="003C4F46" w:rsidRDefault="004B6A81">
                  <w:pPr>
                    <w:pStyle w:val="afff2"/>
                    <w:rPr>
                      <w:rFonts w:cs="Times New Roman"/>
                    </w:rPr>
                  </w:pPr>
                  <w:r>
                    <w:rPr>
                      <w:rFonts w:cs="Times New Roman"/>
                    </w:rPr>
                    <w:t>监测项目</w:t>
                  </w:r>
                </w:p>
              </w:tc>
              <w:tc>
                <w:tcPr>
                  <w:tcW w:w="670" w:type="pct"/>
                  <w:vAlign w:val="center"/>
                </w:tcPr>
                <w:p w14:paraId="2A6A439B" w14:textId="77777777" w:rsidR="003C4F46" w:rsidRDefault="004B6A81">
                  <w:pPr>
                    <w:pStyle w:val="afff2"/>
                    <w:rPr>
                      <w:rFonts w:cs="Times New Roman"/>
                    </w:rPr>
                  </w:pPr>
                  <w:r>
                    <w:rPr>
                      <w:rFonts w:cs="Times New Roman"/>
                    </w:rPr>
                    <w:t>监测点位</w:t>
                  </w:r>
                </w:p>
              </w:tc>
              <w:tc>
                <w:tcPr>
                  <w:tcW w:w="725" w:type="pct"/>
                  <w:vAlign w:val="center"/>
                </w:tcPr>
                <w:p w14:paraId="49B04E00" w14:textId="77777777" w:rsidR="003C4F46" w:rsidRDefault="004B6A81">
                  <w:pPr>
                    <w:pStyle w:val="afff2"/>
                    <w:rPr>
                      <w:rFonts w:cs="Times New Roman"/>
                    </w:rPr>
                  </w:pPr>
                  <w:r>
                    <w:rPr>
                      <w:rFonts w:cs="Times New Roman"/>
                    </w:rPr>
                    <w:t>监测频率</w:t>
                  </w:r>
                </w:p>
              </w:tc>
              <w:tc>
                <w:tcPr>
                  <w:tcW w:w="1948" w:type="pct"/>
                  <w:vAlign w:val="center"/>
                </w:tcPr>
                <w:p w14:paraId="0BAD34CA" w14:textId="77777777" w:rsidR="003C4F46" w:rsidRDefault="004B6A81">
                  <w:pPr>
                    <w:pStyle w:val="afff2"/>
                    <w:rPr>
                      <w:rFonts w:cs="Times New Roman"/>
                    </w:rPr>
                  </w:pPr>
                  <w:r>
                    <w:rPr>
                      <w:rFonts w:cs="Times New Roman"/>
                    </w:rPr>
                    <w:t>排放标准</w:t>
                  </w:r>
                </w:p>
              </w:tc>
            </w:tr>
            <w:tr w:rsidR="003C4F46" w14:paraId="757307F7" w14:textId="77777777">
              <w:trPr>
                <w:trHeight w:val="358"/>
                <w:jc w:val="center"/>
              </w:trPr>
              <w:tc>
                <w:tcPr>
                  <w:tcW w:w="639" w:type="pct"/>
                  <w:vMerge w:val="restart"/>
                  <w:vAlign w:val="center"/>
                </w:tcPr>
                <w:p w14:paraId="2FB12478" w14:textId="77777777" w:rsidR="003C4F46" w:rsidRDefault="004B6A81">
                  <w:pPr>
                    <w:pStyle w:val="afff2"/>
                    <w:rPr>
                      <w:rFonts w:cs="Times New Roman"/>
                    </w:rPr>
                  </w:pPr>
                  <w:r>
                    <w:rPr>
                      <w:rFonts w:cs="Times New Roman"/>
                    </w:rPr>
                    <w:t>有组织废气</w:t>
                  </w:r>
                </w:p>
              </w:tc>
              <w:tc>
                <w:tcPr>
                  <w:tcW w:w="1018" w:type="pct"/>
                  <w:vAlign w:val="center"/>
                </w:tcPr>
                <w:p w14:paraId="39D0D02F" w14:textId="77777777" w:rsidR="003C4F46" w:rsidRDefault="004B6A81">
                  <w:pPr>
                    <w:pStyle w:val="afff2"/>
                    <w:rPr>
                      <w:rFonts w:cs="Times New Roman"/>
                    </w:rPr>
                  </w:pPr>
                  <w:r>
                    <w:rPr>
                      <w:rFonts w:cs="Times New Roman" w:hint="eastAsia"/>
                    </w:rPr>
                    <w:t>非甲烷总烃</w:t>
                  </w:r>
                </w:p>
              </w:tc>
              <w:tc>
                <w:tcPr>
                  <w:tcW w:w="670" w:type="pct"/>
                  <w:vMerge w:val="restart"/>
                  <w:vAlign w:val="center"/>
                </w:tcPr>
                <w:p w14:paraId="1ACF6495" w14:textId="77777777" w:rsidR="003C4F46" w:rsidRDefault="004B6A81">
                  <w:pPr>
                    <w:pStyle w:val="afff2"/>
                    <w:rPr>
                      <w:rFonts w:cs="Times New Roman"/>
                    </w:rPr>
                  </w:pPr>
                  <w:r>
                    <w:rPr>
                      <w:rFonts w:cs="Times New Roman" w:hint="eastAsia"/>
                    </w:rPr>
                    <w:t>DA005</w:t>
                  </w:r>
                </w:p>
              </w:tc>
              <w:tc>
                <w:tcPr>
                  <w:tcW w:w="725" w:type="pct"/>
                  <w:vMerge w:val="restart"/>
                  <w:vAlign w:val="center"/>
                </w:tcPr>
                <w:p w14:paraId="215262E0" w14:textId="77777777" w:rsidR="003C4F46" w:rsidRDefault="004B6A81">
                  <w:pPr>
                    <w:pStyle w:val="afff2"/>
                    <w:rPr>
                      <w:rFonts w:cs="Times New Roman"/>
                    </w:rPr>
                  </w:pPr>
                  <w:r>
                    <w:rPr>
                      <w:rFonts w:cs="Times New Roman" w:hint="eastAsia"/>
                    </w:rPr>
                    <w:t>一次</w:t>
                  </w:r>
                  <w:r>
                    <w:rPr>
                      <w:rFonts w:cs="Times New Roman" w:hint="eastAsia"/>
                    </w:rPr>
                    <w:t>/</w:t>
                  </w:r>
                  <w:r>
                    <w:rPr>
                      <w:rFonts w:cs="Times New Roman" w:hint="eastAsia"/>
                    </w:rPr>
                    <w:t>年</w:t>
                  </w:r>
                </w:p>
              </w:tc>
              <w:tc>
                <w:tcPr>
                  <w:tcW w:w="1948" w:type="pct"/>
                  <w:vMerge w:val="restart"/>
                  <w:vAlign w:val="center"/>
                </w:tcPr>
                <w:p w14:paraId="70A7EE6F" w14:textId="77777777" w:rsidR="003C4F46" w:rsidRDefault="004B6A81">
                  <w:pPr>
                    <w:pStyle w:val="afff2"/>
                    <w:jc w:val="both"/>
                    <w:rPr>
                      <w:rFonts w:cs="Times New Roman"/>
                    </w:rPr>
                  </w:pPr>
                  <w:r>
                    <w:rPr>
                      <w:rFonts w:cs="Times New Roman" w:hint="eastAsia"/>
                      <w:color w:val="000000" w:themeColor="text1"/>
                    </w:rPr>
                    <w:t>《大气污染物综合排放标准》（</w:t>
                  </w:r>
                  <w:r>
                    <w:rPr>
                      <w:rFonts w:cs="Times New Roman" w:hint="eastAsia"/>
                      <w:color w:val="000000" w:themeColor="text1"/>
                    </w:rPr>
                    <w:t>GB16297-1996</w:t>
                  </w:r>
                  <w:r>
                    <w:rPr>
                      <w:rFonts w:cs="Times New Roman" w:hint="eastAsia"/>
                      <w:color w:val="000000" w:themeColor="text1"/>
                    </w:rPr>
                    <w:t>）中表</w:t>
                  </w:r>
                  <w:r>
                    <w:rPr>
                      <w:rFonts w:cs="Times New Roman" w:hint="eastAsia"/>
                      <w:color w:val="000000" w:themeColor="text1"/>
                    </w:rPr>
                    <w:t>2</w:t>
                  </w:r>
                  <w:r>
                    <w:rPr>
                      <w:rFonts w:cs="Times New Roman" w:hint="eastAsia"/>
                      <w:color w:val="000000" w:themeColor="text1"/>
                    </w:rPr>
                    <w:t>的排放限值</w:t>
                  </w:r>
                </w:p>
              </w:tc>
            </w:tr>
            <w:tr w:rsidR="003C4F46" w14:paraId="50A4987A" w14:textId="77777777">
              <w:trPr>
                <w:trHeight w:val="191"/>
                <w:jc w:val="center"/>
              </w:trPr>
              <w:tc>
                <w:tcPr>
                  <w:tcW w:w="639" w:type="pct"/>
                  <w:vMerge/>
                  <w:vAlign w:val="center"/>
                </w:tcPr>
                <w:p w14:paraId="59058172" w14:textId="77777777" w:rsidR="003C4F46" w:rsidRDefault="003C4F46">
                  <w:pPr>
                    <w:pStyle w:val="afff2"/>
                    <w:rPr>
                      <w:rFonts w:cs="Times New Roman"/>
                    </w:rPr>
                  </w:pPr>
                </w:p>
              </w:tc>
              <w:tc>
                <w:tcPr>
                  <w:tcW w:w="1018" w:type="pct"/>
                  <w:vAlign w:val="center"/>
                </w:tcPr>
                <w:p w14:paraId="4343CFDA" w14:textId="77777777" w:rsidR="003C4F46" w:rsidRDefault="004B6A81">
                  <w:pPr>
                    <w:pStyle w:val="afff2"/>
                    <w:rPr>
                      <w:rFonts w:cs="Times New Roman"/>
                    </w:rPr>
                  </w:pPr>
                  <w:r>
                    <w:rPr>
                      <w:rFonts w:cs="Times New Roman" w:hint="eastAsia"/>
                      <w:color w:val="000000"/>
                    </w:rPr>
                    <w:t>硫酸雾</w:t>
                  </w:r>
                </w:p>
              </w:tc>
              <w:tc>
                <w:tcPr>
                  <w:tcW w:w="670" w:type="pct"/>
                  <w:vMerge/>
                  <w:vAlign w:val="center"/>
                </w:tcPr>
                <w:p w14:paraId="1B89A514" w14:textId="77777777" w:rsidR="003C4F46" w:rsidRDefault="003C4F46">
                  <w:pPr>
                    <w:pStyle w:val="afff2"/>
                    <w:rPr>
                      <w:rFonts w:cs="Times New Roman"/>
                    </w:rPr>
                  </w:pPr>
                </w:p>
              </w:tc>
              <w:tc>
                <w:tcPr>
                  <w:tcW w:w="725" w:type="pct"/>
                  <w:vMerge/>
                  <w:vAlign w:val="center"/>
                </w:tcPr>
                <w:p w14:paraId="0A8EC3AA" w14:textId="77777777" w:rsidR="003C4F46" w:rsidRDefault="003C4F46">
                  <w:pPr>
                    <w:pStyle w:val="afff2"/>
                    <w:rPr>
                      <w:rFonts w:cs="Times New Roman"/>
                    </w:rPr>
                  </w:pPr>
                </w:p>
              </w:tc>
              <w:tc>
                <w:tcPr>
                  <w:tcW w:w="1948" w:type="pct"/>
                  <w:vMerge/>
                  <w:vAlign w:val="center"/>
                </w:tcPr>
                <w:p w14:paraId="21F50A9B" w14:textId="77777777" w:rsidR="003C4F46" w:rsidRDefault="003C4F46">
                  <w:pPr>
                    <w:pStyle w:val="afff2"/>
                    <w:jc w:val="both"/>
                    <w:rPr>
                      <w:rFonts w:cs="Times New Roman"/>
                      <w:color w:val="000000" w:themeColor="text1"/>
                    </w:rPr>
                  </w:pPr>
                </w:p>
              </w:tc>
            </w:tr>
            <w:tr w:rsidR="003C4F46" w14:paraId="658C74CA" w14:textId="77777777">
              <w:trPr>
                <w:trHeight w:val="667"/>
                <w:jc w:val="center"/>
              </w:trPr>
              <w:tc>
                <w:tcPr>
                  <w:tcW w:w="639" w:type="pct"/>
                  <w:vMerge w:val="restart"/>
                  <w:vAlign w:val="center"/>
                </w:tcPr>
                <w:p w14:paraId="557A54B0" w14:textId="77777777" w:rsidR="003C4F46" w:rsidRDefault="004B6A81">
                  <w:pPr>
                    <w:pStyle w:val="afff2"/>
                    <w:rPr>
                      <w:rFonts w:cs="Times New Roman"/>
                    </w:rPr>
                  </w:pPr>
                  <w:r>
                    <w:rPr>
                      <w:rFonts w:cs="Times New Roman" w:hint="eastAsia"/>
                    </w:rPr>
                    <w:t>无组织</w:t>
                  </w:r>
                  <w:r>
                    <w:rPr>
                      <w:rFonts w:cs="Times New Roman"/>
                    </w:rPr>
                    <w:t>废气</w:t>
                  </w:r>
                </w:p>
              </w:tc>
              <w:tc>
                <w:tcPr>
                  <w:tcW w:w="1018" w:type="pct"/>
                  <w:vAlign w:val="center"/>
                </w:tcPr>
                <w:p w14:paraId="510FD202" w14:textId="77777777" w:rsidR="003C4F46" w:rsidRDefault="004B6A81">
                  <w:pPr>
                    <w:pStyle w:val="afff2"/>
                    <w:rPr>
                      <w:rFonts w:cs="Times New Roman"/>
                    </w:rPr>
                  </w:pPr>
                  <w:r>
                    <w:rPr>
                      <w:rFonts w:cs="Times New Roman" w:hint="eastAsia"/>
                    </w:rPr>
                    <w:t>非甲烷总烃、</w:t>
                  </w:r>
                  <w:r>
                    <w:rPr>
                      <w:rFonts w:cs="Times New Roman" w:hint="eastAsia"/>
                      <w:color w:val="000000"/>
                    </w:rPr>
                    <w:t>硫酸雾</w:t>
                  </w:r>
                </w:p>
              </w:tc>
              <w:tc>
                <w:tcPr>
                  <w:tcW w:w="670" w:type="pct"/>
                  <w:vAlign w:val="center"/>
                </w:tcPr>
                <w:p w14:paraId="66F86A0B" w14:textId="77777777" w:rsidR="003C4F46" w:rsidRDefault="004B6A81">
                  <w:pPr>
                    <w:pStyle w:val="afff2"/>
                    <w:rPr>
                      <w:rFonts w:cs="Times New Roman"/>
                    </w:rPr>
                  </w:pPr>
                  <w:r>
                    <w:rPr>
                      <w:rFonts w:cs="Times New Roman"/>
                    </w:rPr>
                    <w:t>厂界</w:t>
                  </w:r>
                </w:p>
              </w:tc>
              <w:tc>
                <w:tcPr>
                  <w:tcW w:w="725" w:type="pct"/>
                  <w:vAlign w:val="center"/>
                </w:tcPr>
                <w:p w14:paraId="63092799" w14:textId="77777777" w:rsidR="003C4F46" w:rsidRDefault="004B6A81">
                  <w:pPr>
                    <w:pStyle w:val="afff2"/>
                    <w:rPr>
                      <w:rFonts w:cs="Times New Roman"/>
                    </w:rPr>
                  </w:pPr>
                  <w:r>
                    <w:rPr>
                      <w:rFonts w:cs="Times New Roman"/>
                    </w:rPr>
                    <w:t>1</w:t>
                  </w:r>
                  <w:r>
                    <w:rPr>
                      <w:rFonts w:cs="Times New Roman"/>
                    </w:rPr>
                    <w:t>次</w:t>
                  </w:r>
                  <w:r>
                    <w:rPr>
                      <w:rFonts w:cs="Times New Roman"/>
                    </w:rPr>
                    <w:t>/</w:t>
                  </w:r>
                  <w:r>
                    <w:rPr>
                      <w:rFonts w:cs="Times New Roman"/>
                    </w:rPr>
                    <w:t>年</w:t>
                  </w:r>
                </w:p>
              </w:tc>
              <w:tc>
                <w:tcPr>
                  <w:tcW w:w="1948" w:type="pct"/>
                  <w:vAlign w:val="center"/>
                </w:tcPr>
                <w:p w14:paraId="7140FF3B" w14:textId="77777777" w:rsidR="003C4F46" w:rsidRDefault="004B6A81">
                  <w:pPr>
                    <w:pStyle w:val="afff2"/>
                    <w:jc w:val="both"/>
                    <w:rPr>
                      <w:color w:val="000000" w:themeColor="text1"/>
                    </w:rPr>
                  </w:pPr>
                  <w:r>
                    <w:rPr>
                      <w:rFonts w:hint="eastAsia"/>
                      <w:color w:val="000000"/>
                    </w:rPr>
                    <w:t>《大气污染物综合排放标准》（</w:t>
                  </w:r>
                  <w:r>
                    <w:rPr>
                      <w:rFonts w:hint="eastAsia"/>
                      <w:color w:val="000000"/>
                    </w:rPr>
                    <w:t>GB16297-1996</w:t>
                  </w:r>
                  <w:r>
                    <w:rPr>
                      <w:rFonts w:hint="eastAsia"/>
                      <w:color w:val="000000"/>
                    </w:rPr>
                    <w:t>）表</w:t>
                  </w:r>
                  <w:r>
                    <w:rPr>
                      <w:rFonts w:hint="eastAsia"/>
                      <w:color w:val="000000"/>
                    </w:rPr>
                    <w:t>2</w:t>
                  </w:r>
                  <w:r>
                    <w:rPr>
                      <w:rFonts w:hint="eastAsia"/>
                      <w:color w:val="000000"/>
                    </w:rPr>
                    <w:t>中的</w:t>
                  </w:r>
                  <w:r>
                    <w:rPr>
                      <w:rFonts w:ascii="SourceHanSansCN-Regular" w:hAnsi="SourceHanSansCN-Regular"/>
                      <w:color w:val="000000"/>
                    </w:rPr>
                    <w:t>无组织排放监控点浓度限值</w:t>
                  </w:r>
                  <w:r>
                    <w:rPr>
                      <w:rFonts w:hint="eastAsia"/>
                      <w:color w:val="000000"/>
                    </w:rPr>
                    <w:t>要求</w:t>
                  </w:r>
                </w:p>
              </w:tc>
            </w:tr>
            <w:tr w:rsidR="003C4F46" w14:paraId="1CF2291A" w14:textId="77777777">
              <w:trPr>
                <w:trHeight w:val="282"/>
                <w:jc w:val="center"/>
              </w:trPr>
              <w:tc>
                <w:tcPr>
                  <w:tcW w:w="639" w:type="pct"/>
                  <w:vMerge/>
                  <w:vAlign w:val="center"/>
                </w:tcPr>
                <w:p w14:paraId="58695B0C" w14:textId="77777777" w:rsidR="003C4F46" w:rsidRDefault="003C4F46">
                  <w:pPr>
                    <w:pStyle w:val="afff2"/>
                    <w:rPr>
                      <w:rFonts w:cs="Times New Roman"/>
                    </w:rPr>
                  </w:pPr>
                </w:p>
              </w:tc>
              <w:tc>
                <w:tcPr>
                  <w:tcW w:w="1018" w:type="pct"/>
                  <w:vAlign w:val="center"/>
                </w:tcPr>
                <w:p w14:paraId="5CD6CA40" w14:textId="77777777" w:rsidR="003C4F46" w:rsidRDefault="004B6A81">
                  <w:pPr>
                    <w:pStyle w:val="afff2"/>
                    <w:rPr>
                      <w:rFonts w:cs="Times New Roman"/>
                    </w:rPr>
                  </w:pPr>
                  <w:r>
                    <w:rPr>
                      <w:rFonts w:cs="Times New Roman" w:hint="eastAsia"/>
                    </w:rPr>
                    <w:t>非甲烷总烃</w:t>
                  </w:r>
                </w:p>
              </w:tc>
              <w:tc>
                <w:tcPr>
                  <w:tcW w:w="670" w:type="pct"/>
                  <w:vAlign w:val="center"/>
                </w:tcPr>
                <w:p w14:paraId="3719F2DC" w14:textId="77777777" w:rsidR="003C4F46" w:rsidRDefault="004B6A81">
                  <w:pPr>
                    <w:pStyle w:val="afff2"/>
                    <w:rPr>
                      <w:rFonts w:cs="Times New Roman"/>
                    </w:rPr>
                  </w:pPr>
                  <w:r>
                    <w:rPr>
                      <w:rFonts w:cs="Times New Roman" w:hint="eastAsia"/>
                    </w:rPr>
                    <w:t>厂区内</w:t>
                  </w:r>
                </w:p>
              </w:tc>
              <w:tc>
                <w:tcPr>
                  <w:tcW w:w="725" w:type="pct"/>
                  <w:vAlign w:val="center"/>
                </w:tcPr>
                <w:p w14:paraId="7986B431" w14:textId="77777777" w:rsidR="003C4F46" w:rsidRDefault="004B6A81">
                  <w:pPr>
                    <w:pStyle w:val="afff2"/>
                    <w:rPr>
                      <w:rFonts w:cs="Times New Roman"/>
                    </w:rPr>
                  </w:pPr>
                  <w:r>
                    <w:rPr>
                      <w:rFonts w:cs="Times New Roman"/>
                    </w:rPr>
                    <w:t>1</w:t>
                  </w:r>
                  <w:r>
                    <w:rPr>
                      <w:rFonts w:cs="Times New Roman"/>
                    </w:rPr>
                    <w:t>次</w:t>
                  </w:r>
                  <w:r>
                    <w:rPr>
                      <w:rFonts w:cs="Times New Roman"/>
                    </w:rPr>
                    <w:t>/</w:t>
                  </w:r>
                  <w:r>
                    <w:rPr>
                      <w:rFonts w:cs="Times New Roman"/>
                    </w:rPr>
                    <w:t>年</w:t>
                  </w:r>
                </w:p>
              </w:tc>
              <w:tc>
                <w:tcPr>
                  <w:tcW w:w="1948" w:type="pct"/>
                  <w:vAlign w:val="center"/>
                </w:tcPr>
                <w:p w14:paraId="3FBBA693" w14:textId="77777777" w:rsidR="003C4F46" w:rsidRDefault="004B6A81">
                  <w:pPr>
                    <w:pStyle w:val="afff2"/>
                    <w:jc w:val="both"/>
                    <w:rPr>
                      <w:color w:val="000000"/>
                    </w:rPr>
                  </w:pPr>
                  <w:r>
                    <w:rPr>
                      <w:rFonts w:cs="Times New Roman"/>
                    </w:rPr>
                    <w:t>《挥发性有机物无组织排放控制标准》（</w:t>
                  </w:r>
                  <w:r>
                    <w:rPr>
                      <w:rFonts w:cs="Times New Roman"/>
                    </w:rPr>
                    <w:t>GB 37822—2019</w:t>
                  </w:r>
                  <w:r>
                    <w:rPr>
                      <w:rFonts w:cs="Times New Roman"/>
                    </w:rPr>
                    <w:t>）</w:t>
                  </w:r>
                </w:p>
              </w:tc>
            </w:tr>
            <w:tr w:rsidR="003C4F46" w14:paraId="28F94C6B" w14:textId="77777777">
              <w:trPr>
                <w:trHeight w:val="64"/>
                <w:jc w:val="center"/>
              </w:trPr>
              <w:tc>
                <w:tcPr>
                  <w:tcW w:w="639" w:type="pct"/>
                  <w:vAlign w:val="center"/>
                </w:tcPr>
                <w:p w14:paraId="111F79CE" w14:textId="77777777" w:rsidR="003C4F46" w:rsidRDefault="004B6A81">
                  <w:pPr>
                    <w:pStyle w:val="afff2"/>
                    <w:rPr>
                      <w:rFonts w:cs="Times New Roman"/>
                    </w:rPr>
                  </w:pPr>
                  <w:r>
                    <w:rPr>
                      <w:rFonts w:cs="Times New Roman"/>
                    </w:rPr>
                    <w:t>噪声</w:t>
                  </w:r>
                </w:p>
              </w:tc>
              <w:tc>
                <w:tcPr>
                  <w:tcW w:w="1018" w:type="pct"/>
                  <w:vAlign w:val="center"/>
                </w:tcPr>
                <w:p w14:paraId="7F907F84" w14:textId="77777777" w:rsidR="003C4F46" w:rsidRDefault="004B6A81">
                  <w:pPr>
                    <w:pStyle w:val="afff2"/>
                    <w:rPr>
                      <w:rFonts w:cs="Times New Roman"/>
                    </w:rPr>
                  </w:pPr>
                  <w:r>
                    <w:rPr>
                      <w:rFonts w:cs="Times New Roman"/>
                    </w:rPr>
                    <w:t>等效连续</w:t>
                  </w:r>
                  <w:r>
                    <w:rPr>
                      <w:rFonts w:cs="Times New Roman"/>
                    </w:rPr>
                    <w:t>A</w:t>
                  </w:r>
                  <w:r>
                    <w:rPr>
                      <w:rFonts w:cs="Times New Roman"/>
                    </w:rPr>
                    <w:t>声级</w:t>
                  </w:r>
                  <w:proofErr w:type="spellStart"/>
                  <w:r>
                    <w:rPr>
                      <w:rFonts w:cs="Times New Roman"/>
                    </w:rPr>
                    <w:t>Leq</w:t>
                  </w:r>
                  <w:proofErr w:type="spellEnd"/>
                  <w:r>
                    <w:rPr>
                      <w:rFonts w:cs="Times New Roman"/>
                    </w:rPr>
                    <w:t>（</w:t>
                  </w:r>
                  <w:r>
                    <w:rPr>
                      <w:rFonts w:cs="Times New Roman"/>
                    </w:rPr>
                    <w:t>A</w:t>
                  </w:r>
                  <w:r>
                    <w:rPr>
                      <w:rFonts w:cs="Times New Roman"/>
                    </w:rPr>
                    <w:t>）</w:t>
                  </w:r>
                </w:p>
              </w:tc>
              <w:tc>
                <w:tcPr>
                  <w:tcW w:w="670" w:type="pct"/>
                  <w:vAlign w:val="center"/>
                </w:tcPr>
                <w:p w14:paraId="6578E72F" w14:textId="77777777" w:rsidR="003C4F46" w:rsidRDefault="004B6A81">
                  <w:pPr>
                    <w:pStyle w:val="afff2"/>
                    <w:rPr>
                      <w:rFonts w:cs="Times New Roman"/>
                    </w:rPr>
                  </w:pPr>
                  <w:r>
                    <w:rPr>
                      <w:rFonts w:cs="Times New Roman"/>
                    </w:rPr>
                    <w:t>厂界四周</w:t>
                  </w:r>
                  <w:r>
                    <w:rPr>
                      <w:rFonts w:cs="Times New Roman"/>
                    </w:rPr>
                    <w:t>1m</w:t>
                  </w:r>
                  <w:r>
                    <w:rPr>
                      <w:rFonts w:cs="Times New Roman"/>
                    </w:rPr>
                    <w:t>处</w:t>
                  </w:r>
                </w:p>
              </w:tc>
              <w:tc>
                <w:tcPr>
                  <w:tcW w:w="725" w:type="pct"/>
                  <w:vAlign w:val="center"/>
                </w:tcPr>
                <w:p w14:paraId="6A49D634" w14:textId="77777777" w:rsidR="003C4F46" w:rsidRDefault="004B6A81">
                  <w:pPr>
                    <w:pStyle w:val="afff2"/>
                    <w:rPr>
                      <w:rFonts w:cs="Times New Roman"/>
                    </w:rPr>
                  </w:pPr>
                  <w:r>
                    <w:rPr>
                      <w:rFonts w:cs="Times New Roman"/>
                    </w:rPr>
                    <w:t>1</w:t>
                  </w:r>
                  <w:r>
                    <w:rPr>
                      <w:rFonts w:cs="Times New Roman"/>
                    </w:rPr>
                    <w:t>次</w:t>
                  </w:r>
                  <w:r>
                    <w:rPr>
                      <w:rFonts w:cs="Times New Roman"/>
                    </w:rPr>
                    <w:t>/</w:t>
                  </w:r>
                  <w:r>
                    <w:rPr>
                      <w:rFonts w:cs="Times New Roman"/>
                    </w:rPr>
                    <w:t>季度</w:t>
                  </w:r>
                </w:p>
              </w:tc>
              <w:tc>
                <w:tcPr>
                  <w:tcW w:w="1948" w:type="pct"/>
                  <w:vAlign w:val="center"/>
                </w:tcPr>
                <w:p w14:paraId="2DAB8AD1" w14:textId="77777777" w:rsidR="003C4F46" w:rsidRDefault="004B6A81">
                  <w:pPr>
                    <w:pStyle w:val="afff2"/>
                    <w:rPr>
                      <w:rFonts w:cs="Times New Roman"/>
                    </w:rPr>
                  </w:pPr>
                  <w:r>
                    <w:rPr>
                      <w:rFonts w:cs="Times New Roman"/>
                    </w:rPr>
                    <w:t>《工业企业厂界环境噪声排放标准》（</w:t>
                  </w:r>
                  <w:r>
                    <w:rPr>
                      <w:rFonts w:cs="Times New Roman"/>
                    </w:rPr>
                    <w:t>GB12348-2008</w:t>
                  </w:r>
                  <w:r>
                    <w:rPr>
                      <w:rFonts w:cs="Times New Roman"/>
                    </w:rPr>
                    <w:t>）</w:t>
                  </w:r>
                  <w:r>
                    <w:rPr>
                      <w:rFonts w:cs="Times New Roman"/>
                    </w:rPr>
                    <w:t>3</w:t>
                  </w:r>
                  <w:r>
                    <w:rPr>
                      <w:rFonts w:cs="Times New Roman"/>
                    </w:rPr>
                    <w:t>类标准</w:t>
                  </w:r>
                </w:p>
              </w:tc>
            </w:tr>
            <w:tr w:rsidR="003C4F46" w14:paraId="2E0B6D8D" w14:textId="77777777">
              <w:trPr>
                <w:trHeight w:val="64"/>
                <w:jc w:val="center"/>
              </w:trPr>
              <w:tc>
                <w:tcPr>
                  <w:tcW w:w="639" w:type="pct"/>
                  <w:vAlign w:val="center"/>
                </w:tcPr>
                <w:p w14:paraId="7EF56C33" w14:textId="77777777" w:rsidR="003C4F46" w:rsidRDefault="004B6A81">
                  <w:pPr>
                    <w:pStyle w:val="afff2"/>
                    <w:rPr>
                      <w:rFonts w:cs="Times New Roman"/>
                    </w:rPr>
                  </w:pPr>
                  <w:r>
                    <w:rPr>
                      <w:rFonts w:cs="Times New Roman"/>
                    </w:rPr>
                    <w:t>地下水</w:t>
                  </w:r>
                </w:p>
              </w:tc>
              <w:tc>
                <w:tcPr>
                  <w:tcW w:w="1018" w:type="pct"/>
                  <w:vAlign w:val="center"/>
                </w:tcPr>
                <w:p w14:paraId="2844DDBC" w14:textId="3B613EEB" w:rsidR="003C4F46" w:rsidRDefault="004B6A81">
                  <w:pPr>
                    <w:pStyle w:val="afff2"/>
                    <w:jc w:val="both"/>
                    <w:rPr>
                      <w:rFonts w:cs="Times New Roman"/>
                    </w:rPr>
                  </w:pPr>
                  <w:r>
                    <w:rPr>
                      <w:rFonts w:cs="Times New Roman"/>
                      <w:kern w:val="0"/>
                    </w:rPr>
                    <w:t>pH</w:t>
                  </w:r>
                  <w:r>
                    <w:rPr>
                      <w:rFonts w:cs="Times New Roman"/>
                      <w:kern w:val="0"/>
                    </w:rPr>
                    <w:t>值、总硬度、硫酸盐、氯化物、锌、铁、锰、铜、挥发酚、</w:t>
                  </w:r>
                  <w:r w:rsidR="007258DB" w:rsidRPr="007258DB">
                    <w:rPr>
                      <w:rFonts w:cs="Times New Roman" w:hint="eastAsia"/>
                      <w:kern w:val="0"/>
                    </w:rPr>
                    <w:t>耗氧量</w:t>
                  </w:r>
                  <w:r>
                    <w:rPr>
                      <w:rFonts w:cs="Times New Roman"/>
                      <w:kern w:val="0"/>
                    </w:rPr>
                    <w:t>、硝酸盐氮、亚硝酸盐氮、氨氮、氟化物、氰化物、硒、砷、镉、六价铬、铅、汞、</w:t>
                  </w:r>
                  <w:r>
                    <w:rPr>
                      <w:rFonts w:cs="Times New Roman" w:hint="eastAsia"/>
                      <w:kern w:val="0"/>
                    </w:rPr>
                    <w:t>阴离子表面活性剂</w:t>
                  </w:r>
                  <w:r>
                    <w:rPr>
                      <w:rFonts w:cs="Times New Roman"/>
                      <w:kern w:val="0"/>
                    </w:rPr>
                    <w:t>、</w:t>
                  </w:r>
                  <w:r>
                    <w:rPr>
                      <w:rFonts w:cs="Times New Roman"/>
                      <w:kern w:val="0"/>
                    </w:rPr>
                    <w:lastRenderedPageBreak/>
                    <w:t>总大肠杆菌</w:t>
                  </w:r>
                </w:p>
              </w:tc>
              <w:tc>
                <w:tcPr>
                  <w:tcW w:w="670" w:type="pct"/>
                  <w:vAlign w:val="center"/>
                </w:tcPr>
                <w:p w14:paraId="74FB3CDA" w14:textId="77777777" w:rsidR="003C4F46" w:rsidRDefault="004B6A81">
                  <w:pPr>
                    <w:pStyle w:val="afff2"/>
                    <w:rPr>
                      <w:rFonts w:cs="Times New Roman"/>
                    </w:rPr>
                  </w:pPr>
                  <w:r>
                    <w:rPr>
                      <w:rFonts w:cs="Times New Roman" w:hint="eastAsia"/>
                    </w:rPr>
                    <w:lastRenderedPageBreak/>
                    <w:t>地下水监测井</w:t>
                  </w:r>
                </w:p>
              </w:tc>
              <w:tc>
                <w:tcPr>
                  <w:tcW w:w="1216" w:type="dxa"/>
                  <w:vAlign w:val="center"/>
                </w:tcPr>
                <w:p w14:paraId="655A62F1" w14:textId="7C62F64E" w:rsidR="003C4F46" w:rsidRDefault="004B6A81">
                  <w:pPr>
                    <w:pStyle w:val="aff4"/>
                    <w:rPr>
                      <w:rFonts w:cs="Times New Roman"/>
                    </w:rPr>
                  </w:pPr>
                  <w:r>
                    <w:rPr>
                      <w:rFonts w:cs="Times New Roman"/>
                      <w:szCs w:val="21"/>
                    </w:rPr>
                    <w:t>1</w:t>
                  </w:r>
                  <w:r>
                    <w:rPr>
                      <w:rFonts w:cs="Times New Roman"/>
                      <w:szCs w:val="21"/>
                    </w:rPr>
                    <w:t>次</w:t>
                  </w:r>
                  <w:r>
                    <w:rPr>
                      <w:rFonts w:cs="Times New Roman"/>
                      <w:szCs w:val="21"/>
                    </w:rPr>
                    <w:t>/</w:t>
                  </w:r>
                  <w:r>
                    <w:rPr>
                      <w:rFonts w:cs="Times New Roman"/>
                      <w:szCs w:val="21"/>
                    </w:rPr>
                    <w:t>年</w:t>
                  </w:r>
                </w:p>
              </w:tc>
              <w:tc>
                <w:tcPr>
                  <w:tcW w:w="3267" w:type="dxa"/>
                  <w:vAlign w:val="center"/>
                </w:tcPr>
                <w:p w14:paraId="5792992E" w14:textId="77777777" w:rsidR="003C4F46" w:rsidRDefault="004B6A81">
                  <w:pPr>
                    <w:pStyle w:val="aff4"/>
                    <w:rPr>
                      <w:rFonts w:cs="Times New Roman"/>
                    </w:rPr>
                  </w:pPr>
                  <w:r>
                    <w:rPr>
                      <w:rFonts w:cs="Times New Roman"/>
                      <w:szCs w:val="21"/>
                    </w:rPr>
                    <w:t>《地下水质量标准》（</w:t>
                  </w:r>
                  <w:r>
                    <w:rPr>
                      <w:rFonts w:cs="Times New Roman"/>
                      <w:szCs w:val="21"/>
                    </w:rPr>
                    <w:t>GB/T14848-2017</w:t>
                  </w:r>
                  <w:r>
                    <w:rPr>
                      <w:rFonts w:cs="Times New Roman"/>
                      <w:szCs w:val="21"/>
                    </w:rPr>
                    <w:t>）</w:t>
                  </w:r>
                  <w:r>
                    <w:rPr>
                      <w:rFonts w:cs="Times New Roman"/>
                      <w:szCs w:val="21"/>
                    </w:rPr>
                    <w:t>Ⅲ</w:t>
                  </w:r>
                  <w:r>
                    <w:rPr>
                      <w:rFonts w:cs="Times New Roman"/>
                      <w:szCs w:val="21"/>
                    </w:rPr>
                    <w:t>类标准</w:t>
                  </w:r>
                </w:p>
              </w:tc>
            </w:tr>
            <w:tr w:rsidR="003C4F46" w14:paraId="7832369C" w14:textId="77777777">
              <w:trPr>
                <w:trHeight w:val="64"/>
                <w:jc w:val="center"/>
              </w:trPr>
              <w:tc>
                <w:tcPr>
                  <w:tcW w:w="639" w:type="pct"/>
                  <w:vAlign w:val="center"/>
                </w:tcPr>
                <w:p w14:paraId="07768D06" w14:textId="77777777" w:rsidR="003C4F46" w:rsidRDefault="004B6A81">
                  <w:pPr>
                    <w:pStyle w:val="afff2"/>
                    <w:rPr>
                      <w:rFonts w:cs="Times New Roman"/>
                    </w:rPr>
                  </w:pPr>
                  <w:r>
                    <w:rPr>
                      <w:rFonts w:cs="Times New Roman" w:hint="eastAsia"/>
                    </w:rPr>
                    <w:t>土壤</w:t>
                  </w:r>
                </w:p>
              </w:tc>
              <w:tc>
                <w:tcPr>
                  <w:tcW w:w="1018" w:type="pct"/>
                  <w:vAlign w:val="center"/>
                </w:tcPr>
                <w:p w14:paraId="6A0CC7A4" w14:textId="1C407C4E" w:rsidR="003C4F46" w:rsidRDefault="004B6A81">
                  <w:pPr>
                    <w:pStyle w:val="afff2"/>
                    <w:rPr>
                      <w:rFonts w:cs="Times New Roman"/>
                    </w:rPr>
                  </w:pPr>
                  <w:r>
                    <w:rPr>
                      <w:rFonts w:cs="Times New Roman" w:hint="eastAsia"/>
                    </w:rPr>
                    <w:t>砷、总镍、总汞、六价铬、总铜、石油烃等</w:t>
                  </w:r>
                </w:p>
              </w:tc>
              <w:tc>
                <w:tcPr>
                  <w:tcW w:w="670" w:type="pct"/>
                  <w:vAlign w:val="center"/>
                </w:tcPr>
                <w:p w14:paraId="0753BBB8" w14:textId="77777777" w:rsidR="003C4F46" w:rsidRDefault="004B6A81">
                  <w:pPr>
                    <w:pStyle w:val="afff2"/>
                    <w:rPr>
                      <w:rFonts w:cs="Times New Roman"/>
                    </w:rPr>
                  </w:pPr>
                  <w:r>
                    <w:rPr>
                      <w:rFonts w:cs="Times New Roman" w:hint="eastAsia"/>
                    </w:rPr>
                    <w:t>设置</w:t>
                  </w:r>
                  <w:r>
                    <w:rPr>
                      <w:rFonts w:cs="Times New Roman" w:hint="eastAsia"/>
                    </w:rPr>
                    <w:t>3</w:t>
                  </w:r>
                  <w:r>
                    <w:rPr>
                      <w:rFonts w:cs="Times New Roman" w:hint="eastAsia"/>
                    </w:rPr>
                    <w:t>个表层样</w:t>
                  </w:r>
                </w:p>
              </w:tc>
              <w:tc>
                <w:tcPr>
                  <w:tcW w:w="1216" w:type="dxa"/>
                  <w:vAlign w:val="center"/>
                </w:tcPr>
                <w:p w14:paraId="32552CDB" w14:textId="77777777" w:rsidR="003C4F46" w:rsidRDefault="004B6A81">
                  <w:pPr>
                    <w:pStyle w:val="aff4"/>
                    <w:rPr>
                      <w:rFonts w:cs="Times New Roman"/>
                    </w:rPr>
                  </w:pPr>
                  <w:r>
                    <w:rPr>
                      <w:rFonts w:cs="Times New Roman"/>
                      <w:szCs w:val="21"/>
                    </w:rPr>
                    <w:t>1</w:t>
                  </w:r>
                  <w:r>
                    <w:rPr>
                      <w:rFonts w:cs="Times New Roman"/>
                      <w:szCs w:val="21"/>
                    </w:rPr>
                    <w:t>次</w:t>
                  </w:r>
                  <w:r>
                    <w:rPr>
                      <w:rFonts w:cs="Times New Roman"/>
                      <w:szCs w:val="21"/>
                    </w:rPr>
                    <w:t>/3</w:t>
                  </w:r>
                  <w:r>
                    <w:rPr>
                      <w:rFonts w:cs="Times New Roman"/>
                      <w:szCs w:val="21"/>
                    </w:rPr>
                    <w:t>年</w:t>
                  </w:r>
                </w:p>
              </w:tc>
              <w:tc>
                <w:tcPr>
                  <w:tcW w:w="3267" w:type="dxa"/>
                  <w:vAlign w:val="center"/>
                </w:tcPr>
                <w:p w14:paraId="08A68B14" w14:textId="5CB17F7F" w:rsidR="003C4F46" w:rsidRDefault="00CC02CD">
                  <w:pPr>
                    <w:pStyle w:val="aff4"/>
                    <w:rPr>
                      <w:rFonts w:cs="Times New Roman"/>
                    </w:rPr>
                  </w:pPr>
                  <w:r>
                    <w:rPr>
                      <w:rFonts w:cs="Times New Roman" w:hint="eastAsia"/>
                      <w:szCs w:val="21"/>
                    </w:rPr>
                    <w:t>《</w:t>
                  </w:r>
                  <w:r w:rsidR="004B6A81">
                    <w:rPr>
                      <w:rFonts w:cs="Times New Roman"/>
                      <w:szCs w:val="21"/>
                    </w:rPr>
                    <w:t>土壤环境质量建设用地土壤污染风险管控标准（试行）</w:t>
                  </w:r>
                  <w:r>
                    <w:rPr>
                      <w:rFonts w:cs="Times New Roman" w:hint="eastAsia"/>
                      <w:szCs w:val="21"/>
                    </w:rPr>
                    <w:t>》</w:t>
                  </w:r>
                  <w:r w:rsidR="004B6A81">
                    <w:rPr>
                      <w:rFonts w:cs="Times New Roman"/>
                      <w:szCs w:val="21"/>
                    </w:rPr>
                    <w:t>（</w:t>
                  </w:r>
                  <w:r w:rsidR="004B6A81">
                    <w:rPr>
                      <w:rFonts w:cs="Times New Roman"/>
                      <w:szCs w:val="21"/>
                    </w:rPr>
                    <w:t>GB36600-2018</w:t>
                  </w:r>
                  <w:r w:rsidR="004B6A81">
                    <w:rPr>
                      <w:rFonts w:cs="Times New Roman"/>
                      <w:szCs w:val="21"/>
                    </w:rPr>
                    <w:t>）</w:t>
                  </w:r>
                </w:p>
              </w:tc>
            </w:tr>
          </w:tbl>
          <w:p w14:paraId="3965EF4A" w14:textId="77777777" w:rsidR="003C4F46" w:rsidRDefault="004B6A81">
            <w:pPr>
              <w:pStyle w:val="2"/>
              <w:rPr>
                <w:color w:val="000000" w:themeColor="text1"/>
              </w:rPr>
            </w:pPr>
            <w:r>
              <w:rPr>
                <w:rFonts w:hint="eastAsia"/>
                <w:color w:val="000000" w:themeColor="text1"/>
              </w:rPr>
              <w:t>4</w:t>
            </w:r>
            <w:r>
              <w:rPr>
                <w:color w:val="000000" w:themeColor="text1"/>
              </w:rPr>
              <w:t>.10</w:t>
            </w:r>
            <w:r>
              <w:rPr>
                <w:rFonts w:hint="eastAsia"/>
                <w:color w:val="000000" w:themeColor="text1"/>
              </w:rPr>
              <w:t>环保投资</w:t>
            </w:r>
          </w:p>
          <w:p w14:paraId="1699C406" w14:textId="77539780" w:rsidR="003C4F46" w:rsidRDefault="004B6A81">
            <w:pPr>
              <w:ind w:firstLine="480"/>
              <w:rPr>
                <w:color w:val="000000" w:themeColor="text1"/>
              </w:rPr>
            </w:pPr>
            <w:r>
              <w:rPr>
                <w:rFonts w:hint="eastAsia"/>
                <w:color w:val="000000" w:themeColor="text1"/>
              </w:rPr>
              <w:t>本项目总投资</w:t>
            </w:r>
            <w:r>
              <w:rPr>
                <w:rFonts w:cs="Times New Roman"/>
                <w:color w:val="000000" w:themeColor="text1"/>
                <w:szCs w:val="24"/>
              </w:rPr>
              <w:t>500</w:t>
            </w:r>
            <w:r>
              <w:rPr>
                <w:rFonts w:hint="eastAsia"/>
                <w:color w:val="000000" w:themeColor="text1"/>
              </w:rPr>
              <w:t>万元，其中环保投资</w:t>
            </w:r>
            <w:r>
              <w:rPr>
                <w:rFonts w:hint="eastAsia"/>
                <w:color w:val="000000" w:themeColor="text1"/>
              </w:rPr>
              <w:t>34</w:t>
            </w:r>
            <w:r>
              <w:rPr>
                <w:rFonts w:hint="eastAsia"/>
                <w:color w:val="000000" w:themeColor="text1"/>
              </w:rPr>
              <w:t>万元，占总投资</w:t>
            </w:r>
            <w:r>
              <w:rPr>
                <w:rFonts w:cs="Times New Roman" w:hint="eastAsia"/>
                <w:color w:val="000000" w:themeColor="text1"/>
                <w:szCs w:val="24"/>
              </w:rPr>
              <w:t>6.8</w:t>
            </w:r>
            <w:r>
              <w:rPr>
                <w:color w:val="000000" w:themeColor="text1"/>
              </w:rPr>
              <w:t>%</w:t>
            </w:r>
            <w:r>
              <w:rPr>
                <w:rFonts w:hint="eastAsia"/>
                <w:color w:val="000000" w:themeColor="text1"/>
              </w:rPr>
              <w:t>。环保投资估算一览表见表</w:t>
            </w:r>
            <w:r>
              <w:rPr>
                <w:color w:val="000000" w:themeColor="text1"/>
              </w:rPr>
              <w:t>4-2</w:t>
            </w:r>
            <w:r w:rsidR="00201FF2">
              <w:rPr>
                <w:color w:val="000000" w:themeColor="text1"/>
              </w:rPr>
              <w:t>0</w:t>
            </w:r>
            <w:r>
              <w:rPr>
                <w:rFonts w:hint="eastAsia"/>
                <w:color w:val="000000" w:themeColor="text1"/>
              </w:rPr>
              <w:t>。</w:t>
            </w:r>
          </w:p>
          <w:p w14:paraId="2401E15D" w14:textId="4ADD862D" w:rsidR="003C4F46" w:rsidRDefault="004B6A81">
            <w:pPr>
              <w:pStyle w:val="aff6"/>
              <w:spacing w:before="163"/>
              <w:rPr>
                <w:color w:val="000000" w:themeColor="text1"/>
              </w:rPr>
            </w:pPr>
            <w:r>
              <w:rPr>
                <w:rFonts w:hint="eastAsia"/>
                <w:color w:val="000000" w:themeColor="text1"/>
              </w:rPr>
              <w:t>表</w:t>
            </w:r>
            <w:r>
              <w:rPr>
                <w:rFonts w:hint="eastAsia"/>
                <w:color w:val="000000" w:themeColor="text1"/>
              </w:rPr>
              <w:t>4</w:t>
            </w:r>
            <w:r>
              <w:rPr>
                <w:color w:val="000000" w:themeColor="text1"/>
              </w:rPr>
              <w:t>-2</w:t>
            </w:r>
            <w:r w:rsidR="00201FF2">
              <w:rPr>
                <w:color w:val="000000" w:themeColor="text1"/>
              </w:rPr>
              <w:t>0</w:t>
            </w:r>
            <w:r>
              <w:rPr>
                <w:rFonts w:hint="eastAsia"/>
                <w:color w:val="000000" w:themeColor="text1"/>
              </w:rPr>
              <w:t xml:space="preserve"> </w:t>
            </w:r>
            <w:r>
              <w:rPr>
                <w:color w:val="000000" w:themeColor="text1"/>
              </w:rPr>
              <w:t xml:space="preserve"> </w:t>
            </w:r>
            <w:r>
              <w:rPr>
                <w:rFonts w:hint="eastAsia"/>
                <w:color w:val="000000" w:themeColor="text1"/>
              </w:rPr>
              <w:t>环保投资一览表</w:t>
            </w:r>
          </w:p>
          <w:tbl>
            <w:tblPr>
              <w:tblStyle w:val="aff"/>
              <w:tblW w:w="4998"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63"/>
              <w:gridCol w:w="1179"/>
              <w:gridCol w:w="5407"/>
              <w:gridCol w:w="1269"/>
            </w:tblGrid>
            <w:tr w:rsidR="003C4F46" w14:paraId="3FF8702A" w14:textId="77777777">
              <w:tc>
                <w:tcPr>
                  <w:tcW w:w="389" w:type="pct"/>
                  <w:tcBorders>
                    <w:tl2br w:val="nil"/>
                    <w:tr2bl w:val="nil"/>
                  </w:tcBorders>
                  <w:vAlign w:val="center"/>
                </w:tcPr>
                <w:p w14:paraId="772F75B0" w14:textId="77777777" w:rsidR="003C4F46" w:rsidRDefault="004B6A81">
                  <w:pPr>
                    <w:spacing w:line="240" w:lineRule="auto"/>
                    <w:ind w:firstLineChars="0" w:firstLine="0"/>
                    <w:jc w:val="center"/>
                    <w:textAlignment w:val="auto"/>
                    <w:rPr>
                      <w:color w:val="000000" w:themeColor="text1"/>
                      <w:szCs w:val="21"/>
                    </w:rPr>
                  </w:pPr>
                  <w:r>
                    <w:rPr>
                      <w:b/>
                      <w:bCs/>
                      <w:kern w:val="0"/>
                      <w:sz w:val="21"/>
                      <w:szCs w:val="21"/>
                    </w:rPr>
                    <w:t>时段</w:t>
                  </w:r>
                </w:p>
              </w:tc>
              <w:tc>
                <w:tcPr>
                  <w:tcW w:w="692" w:type="pct"/>
                  <w:tcBorders>
                    <w:tl2br w:val="nil"/>
                    <w:tr2bl w:val="nil"/>
                  </w:tcBorders>
                  <w:vAlign w:val="center"/>
                </w:tcPr>
                <w:p w14:paraId="72C2D706" w14:textId="77777777" w:rsidR="003C4F46" w:rsidRDefault="004B6A81">
                  <w:pPr>
                    <w:spacing w:line="240" w:lineRule="auto"/>
                    <w:ind w:firstLineChars="0" w:firstLine="0"/>
                    <w:jc w:val="center"/>
                    <w:textAlignment w:val="auto"/>
                    <w:rPr>
                      <w:b/>
                      <w:bCs/>
                      <w:kern w:val="0"/>
                      <w:sz w:val="21"/>
                      <w:szCs w:val="21"/>
                    </w:rPr>
                  </w:pPr>
                  <w:r>
                    <w:rPr>
                      <w:rFonts w:hint="eastAsia"/>
                      <w:b/>
                      <w:bCs/>
                      <w:kern w:val="0"/>
                      <w:sz w:val="21"/>
                      <w:szCs w:val="21"/>
                    </w:rPr>
                    <w:t>项目</w:t>
                  </w:r>
                </w:p>
              </w:tc>
              <w:tc>
                <w:tcPr>
                  <w:tcW w:w="3172" w:type="pct"/>
                  <w:tcBorders>
                    <w:tl2br w:val="nil"/>
                    <w:tr2bl w:val="nil"/>
                  </w:tcBorders>
                  <w:vAlign w:val="center"/>
                </w:tcPr>
                <w:p w14:paraId="37BFE536" w14:textId="77777777" w:rsidR="003C4F46" w:rsidRDefault="004B6A81">
                  <w:pPr>
                    <w:spacing w:line="240" w:lineRule="auto"/>
                    <w:ind w:firstLineChars="0" w:firstLine="0"/>
                    <w:jc w:val="center"/>
                    <w:textAlignment w:val="auto"/>
                    <w:rPr>
                      <w:color w:val="000000" w:themeColor="text1"/>
                      <w:szCs w:val="21"/>
                    </w:rPr>
                  </w:pPr>
                  <w:r>
                    <w:rPr>
                      <w:b/>
                      <w:bCs/>
                      <w:kern w:val="0"/>
                      <w:sz w:val="21"/>
                      <w:szCs w:val="21"/>
                    </w:rPr>
                    <w:t>环保措施</w:t>
                  </w:r>
                </w:p>
              </w:tc>
              <w:tc>
                <w:tcPr>
                  <w:tcW w:w="745" w:type="pct"/>
                  <w:tcBorders>
                    <w:tl2br w:val="nil"/>
                    <w:tr2bl w:val="nil"/>
                  </w:tcBorders>
                  <w:vAlign w:val="center"/>
                </w:tcPr>
                <w:p w14:paraId="57C90EF9" w14:textId="77777777" w:rsidR="003C4F46" w:rsidRDefault="004B6A81">
                  <w:pPr>
                    <w:spacing w:line="240" w:lineRule="auto"/>
                    <w:ind w:firstLineChars="0" w:firstLine="0"/>
                    <w:jc w:val="center"/>
                    <w:textAlignment w:val="auto"/>
                    <w:rPr>
                      <w:b/>
                      <w:bCs/>
                      <w:kern w:val="0"/>
                      <w:sz w:val="21"/>
                      <w:szCs w:val="21"/>
                    </w:rPr>
                  </w:pPr>
                  <w:r>
                    <w:rPr>
                      <w:b/>
                      <w:bCs/>
                      <w:kern w:val="0"/>
                      <w:sz w:val="21"/>
                      <w:szCs w:val="21"/>
                    </w:rPr>
                    <w:t>投资</w:t>
                  </w:r>
                </w:p>
                <w:p w14:paraId="575055CD" w14:textId="77777777" w:rsidR="003C4F46" w:rsidRDefault="004B6A81">
                  <w:pPr>
                    <w:spacing w:line="240" w:lineRule="auto"/>
                    <w:ind w:firstLineChars="0" w:firstLine="0"/>
                    <w:jc w:val="center"/>
                    <w:textAlignment w:val="auto"/>
                    <w:rPr>
                      <w:color w:val="000000" w:themeColor="text1"/>
                      <w:szCs w:val="21"/>
                    </w:rPr>
                  </w:pPr>
                  <w:r>
                    <w:rPr>
                      <w:b/>
                      <w:bCs/>
                      <w:kern w:val="0"/>
                      <w:sz w:val="21"/>
                      <w:szCs w:val="21"/>
                    </w:rPr>
                    <w:t>（万元）</w:t>
                  </w:r>
                </w:p>
              </w:tc>
            </w:tr>
            <w:tr w:rsidR="003C4F46" w14:paraId="5AAC3BD0" w14:textId="77777777">
              <w:tc>
                <w:tcPr>
                  <w:tcW w:w="389" w:type="pct"/>
                  <w:vMerge w:val="restart"/>
                  <w:tcBorders>
                    <w:tl2br w:val="nil"/>
                    <w:tr2bl w:val="nil"/>
                  </w:tcBorders>
                  <w:vAlign w:val="center"/>
                </w:tcPr>
                <w:p w14:paraId="38F3DB2B" w14:textId="77777777" w:rsidR="003C4F46" w:rsidRDefault="004B6A81">
                  <w:pPr>
                    <w:pStyle w:val="aff4"/>
                    <w:rPr>
                      <w:color w:val="000000" w:themeColor="text1"/>
                      <w:szCs w:val="21"/>
                    </w:rPr>
                  </w:pPr>
                  <w:r>
                    <w:rPr>
                      <w:rFonts w:hint="eastAsia"/>
                      <w:kern w:val="0"/>
                      <w:szCs w:val="21"/>
                    </w:rPr>
                    <w:t>施工期</w:t>
                  </w:r>
                </w:p>
              </w:tc>
              <w:tc>
                <w:tcPr>
                  <w:tcW w:w="692" w:type="pct"/>
                  <w:tcBorders>
                    <w:tl2br w:val="nil"/>
                    <w:tr2bl w:val="nil"/>
                  </w:tcBorders>
                  <w:vAlign w:val="center"/>
                </w:tcPr>
                <w:p w14:paraId="7E2BC746"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废气</w:t>
                  </w:r>
                  <w:r>
                    <w:rPr>
                      <w:rFonts w:cs="Times New Roman"/>
                      <w:sz w:val="21"/>
                      <w:szCs w:val="21"/>
                    </w:rPr>
                    <w:t>治理</w:t>
                  </w:r>
                </w:p>
              </w:tc>
              <w:tc>
                <w:tcPr>
                  <w:tcW w:w="3172" w:type="pct"/>
                  <w:tcBorders>
                    <w:tl2br w:val="nil"/>
                    <w:tr2bl w:val="nil"/>
                  </w:tcBorders>
                  <w:vAlign w:val="center"/>
                </w:tcPr>
                <w:p w14:paraId="7088D3A5"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施工围挡、施工原料运输车辆篷布遮盖</w:t>
                  </w:r>
                </w:p>
              </w:tc>
              <w:tc>
                <w:tcPr>
                  <w:tcW w:w="745" w:type="pct"/>
                  <w:tcBorders>
                    <w:tl2br w:val="nil"/>
                    <w:tr2bl w:val="nil"/>
                  </w:tcBorders>
                  <w:vAlign w:val="center"/>
                </w:tcPr>
                <w:p w14:paraId="4C2C4DA9"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1.0</w:t>
                  </w:r>
                </w:p>
              </w:tc>
            </w:tr>
            <w:tr w:rsidR="003C4F46" w14:paraId="66A2AF9B" w14:textId="77777777">
              <w:tc>
                <w:tcPr>
                  <w:tcW w:w="389" w:type="pct"/>
                  <w:vMerge/>
                  <w:tcBorders>
                    <w:tl2br w:val="nil"/>
                    <w:tr2bl w:val="nil"/>
                  </w:tcBorders>
                  <w:vAlign w:val="center"/>
                </w:tcPr>
                <w:p w14:paraId="1C7F783A" w14:textId="77777777" w:rsidR="003C4F46" w:rsidRDefault="003C4F46">
                  <w:pPr>
                    <w:pStyle w:val="aff4"/>
                    <w:rPr>
                      <w:color w:val="000000" w:themeColor="text1"/>
                      <w:szCs w:val="21"/>
                    </w:rPr>
                  </w:pPr>
                </w:p>
              </w:tc>
              <w:tc>
                <w:tcPr>
                  <w:tcW w:w="692" w:type="pct"/>
                  <w:tcBorders>
                    <w:tl2br w:val="nil"/>
                    <w:tr2bl w:val="nil"/>
                  </w:tcBorders>
                  <w:vAlign w:val="center"/>
                </w:tcPr>
                <w:p w14:paraId="6133FE7E"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废水</w:t>
                  </w:r>
                  <w:r>
                    <w:rPr>
                      <w:rFonts w:cs="Times New Roman"/>
                      <w:sz w:val="21"/>
                      <w:szCs w:val="21"/>
                    </w:rPr>
                    <w:t>治理</w:t>
                  </w:r>
                </w:p>
              </w:tc>
              <w:tc>
                <w:tcPr>
                  <w:tcW w:w="3172" w:type="pct"/>
                  <w:tcBorders>
                    <w:tl2br w:val="nil"/>
                    <w:tr2bl w:val="nil"/>
                  </w:tcBorders>
                  <w:vAlign w:val="center"/>
                </w:tcPr>
                <w:p w14:paraId="22B7152C"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w:t>
                  </w:r>
                </w:p>
              </w:tc>
              <w:tc>
                <w:tcPr>
                  <w:tcW w:w="745" w:type="pct"/>
                  <w:tcBorders>
                    <w:tl2br w:val="nil"/>
                    <w:tr2bl w:val="nil"/>
                  </w:tcBorders>
                  <w:vAlign w:val="center"/>
                </w:tcPr>
                <w:p w14:paraId="64B3F3F3" w14:textId="77777777" w:rsidR="003C4F46" w:rsidRDefault="004B6A81">
                  <w:pPr>
                    <w:spacing w:line="240" w:lineRule="auto"/>
                    <w:ind w:firstLineChars="0" w:firstLine="0"/>
                    <w:jc w:val="center"/>
                    <w:textAlignment w:val="auto"/>
                    <w:rPr>
                      <w:color w:val="000000" w:themeColor="text1"/>
                      <w:szCs w:val="21"/>
                    </w:rPr>
                  </w:pPr>
                  <w:r>
                    <w:rPr>
                      <w:kern w:val="0"/>
                      <w:sz w:val="21"/>
                      <w:szCs w:val="21"/>
                    </w:rPr>
                    <w:t>/</w:t>
                  </w:r>
                </w:p>
              </w:tc>
            </w:tr>
            <w:tr w:rsidR="003C4F46" w14:paraId="26EE0F37" w14:textId="77777777">
              <w:tc>
                <w:tcPr>
                  <w:tcW w:w="389" w:type="pct"/>
                  <w:vMerge/>
                  <w:tcBorders>
                    <w:tl2br w:val="nil"/>
                    <w:tr2bl w:val="nil"/>
                  </w:tcBorders>
                  <w:vAlign w:val="center"/>
                </w:tcPr>
                <w:p w14:paraId="0A37B098" w14:textId="77777777" w:rsidR="003C4F46" w:rsidRDefault="003C4F46">
                  <w:pPr>
                    <w:pStyle w:val="aff4"/>
                    <w:rPr>
                      <w:color w:val="000000" w:themeColor="text1"/>
                      <w:szCs w:val="21"/>
                    </w:rPr>
                  </w:pPr>
                </w:p>
              </w:tc>
              <w:tc>
                <w:tcPr>
                  <w:tcW w:w="692" w:type="pct"/>
                  <w:tcBorders>
                    <w:tl2br w:val="nil"/>
                    <w:tr2bl w:val="nil"/>
                  </w:tcBorders>
                  <w:vAlign w:val="center"/>
                </w:tcPr>
                <w:p w14:paraId="157E5E2F"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噪声</w:t>
                  </w:r>
                  <w:r>
                    <w:rPr>
                      <w:rFonts w:cs="Times New Roman"/>
                      <w:sz w:val="21"/>
                      <w:szCs w:val="21"/>
                    </w:rPr>
                    <w:t>治理</w:t>
                  </w:r>
                </w:p>
              </w:tc>
              <w:tc>
                <w:tcPr>
                  <w:tcW w:w="3172" w:type="pct"/>
                  <w:tcBorders>
                    <w:tl2br w:val="nil"/>
                    <w:tr2bl w:val="nil"/>
                  </w:tcBorders>
                  <w:vAlign w:val="center"/>
                </w:tcPr>
                <w:p w14:paraId="2BEFF5EF"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施工设备降噪，进出车辆减速</w:t>
                  </w:r>
                </w:p>
              </w:tc>
              <w:tc>
                <w:tcPr>
                  <w:tcW w:w="745" w:type="pct"/>
                  <w:tcBorders>
                    <w:tl2br w:val="nil"/>
                    <w:tr2bl w:val="nil"/>
                  </w:tcBorders>
                  <w:vAlign w:val="center"/>
                </w:tcPr>
                <w:p w14:paraId="2FBAA8E4"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1.0</w:t>
                  </w:r>
                </w:p>
              </w:tc>
            </w:tr>
            <w:tr w:rsidR="003C4F46" w14:paraId="5DDA2635" w14:textId="77777777">
              <w:tc>
                <w:tcPr>
                  <w:tcW w:w="389" w:type="pct"/>
                  <w:vMerge/>
                  <w:tcBorders>
                    <w:tl2br w:val="nil"/>
                    <w:tr2bl w:val="nil"/>
                  </w:tcBorders>
                  <w:vAlign w:val="center"/>
                </w:tcPr>
                <w:p w14:paraId="15CA8966" w14:textId="77777777" w:rsidR="003C4F46" w:rsidRDefault="003C4F46">
                  <w:pPr>
                    <w:pStyle w:val="aff4"/>
                    <w:rPr>
                      <w:color w:val="000000" w:themeColor="text1"/>
                      <w:szCs w:val="21"/>
                    </w:rPr>
                  </w:pPr>
                </w:p>
              </w:tc>
              <w:tc>
                <w:tcPr>
                  <w:tcW w:w="692" w:type="pct"/>
                  <w:tcBorders>
                    <w:tl2br w:val="nil"/>
                    <w:tr2bl w:val="nil"/>
                  </w:tcBorders>
                  <w:vAlign w:val="center"/>
                </w:tcPr>
                <w:p w14:paraId="1605CE6C" w14:textId="77777777" w:rsidR="003C4F46" w:rsidRDefault="004B6A81">
                  <w:pPr>
                    <w:spacing w:line="240" w:lineRule="auto"/>
                    <w:ind w:firstLineChars="0" w:firstLine="0"/>
                    <w:jc w:val="center"/>
                    <w:textAlignment w:val="auto"/>
                    <w:rPr>
                      <w:color w:val="000000" w:themeColor="text1"/>
                      <w:szCs w:val="21"/>
                    </w:rPr>
                  </w:pPr>
                  <w:r>
                    <w:rPr>
                      <w:kern w:val="0"/>
                      <w:sz w:val="21"/>
                      <w:szCs w:val="21"/>
                    </w:rPr>
                    <w:t>固体废物</w:t>
                  </w:r>
                </w:p>
              </w:tc>
              <w:tc>
                <w:tcPr>
                  <w:tcW w:w="3172" w:type="pct"/>
                  <w:tcBorders>
                    <w:tl2br w:val="nil"/>
                    <w:tr2bl w:val="nil"/>
                  </w:tcBorders>
                  <w:vAlign w:val="center"/>
                </w:tcPr>
                <w:p w14:paraId="77CCB9D5"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建筑垃圾、生活垃圾清运</w:t>
                  </w:r>
                </w:p>
              </w:tc>
              <w:tc>
                <w:tcPr>
                  <w:tcW w:w="745" w:type="pct"/>
                  <w:tcBorders>
                    <w:tl2br w:val="nil"/>
                    <w:tr2bl w:val="nil"/>
                  </w:tcBorders>
                  <w:vAlign w:val="center"/>
                </w:tcPr>
                <w:p w14:paraId="04020DDA" w14:textId="77777777" w:rsidR="003C4F46" w:rsidRDefault="004B6A81">
                  <w:pPr>
                    <w:spacing w:line="240" w:lineRule="auto"/>
                    <w:ind w:firstLineChars="0" w:firstLine="0"/>
                    <w:jc w:val="center"/>
                    <w:textAlignment w:val="auto"/>
                    <w:rPr>
                      <w:color w:val="000000" w:themeColor="text1"/>
                      <w:szCs w:val="21"/>
                    </w:rPr>
                  </w:pPr>
                  <w:r>
                    <w:rPr>
                      <w:rFonts w:hint="eastAsia"/>
                      <w:kern w:val="0"/>
                      <w:sz w:val="21"/>
                      <w:szCs w:val="21"/>
                    </w:rPr>
                    <w:t>1.0</w:t>
                  </w:r>
                </w:p>
              </w:tc>
            </w:tr>
            <w:tr w:rsidR="003C4F46" w14:paraId="0A0CE318" w14:textId="77777777">
              <w:trPr>
                <w:trHeight w:val="618"/>
              </w:trPr>
              <w:tc>
                <w:tcPr>
                  <w:tcW w:w="389" w:type="pct"/>
                  <w:vMerge w:val="restart"/>
                  <w:tcBorders>
                    <w:tl2br w:val="nil"/>
                    <w:tr2bl w:val="nil"/>
                  </w:tcBorders>
                  <w:vAlign w:val="center"/>
                </w:tcPr>
                <w:p w14:paraId="14F89A12" w14:textId="77777777" w:rsidR="003C4F46" w:rsidRDefault="004B6A81">
                  <w:pPr>
                    <w:pStyle w:val="aff4"/>
                    <w:rPr>
                      <w:color w:val="000000" w:themeColor="text1"/>
                      <w:szCs w:val="21"/>
                    </w:rPr>
                  </w:pPr>
                  <w:r>
                    <w:rPr>
                      <w:rFonts w:hint="eastAsia"/>
                      <w:color w:val="000000" w:themeColor="text1"/>
                      <w:szCs w:val="21"/>
                    </w:rPr>
                    <w:t>运营期</w:t>
                  </w:r>
                </w:p>
              </w:tc>
              <w:tc>
                <w:tcPr>
                  <w:tcW w:w="692" w:type="pct"/>
                  <w:vMerge w:val="restart"/>
                  <w:tcBorders>
                    <w:tl2br w:val="nil"/>
                    <w:tr2bl w:val="nil"/>
                  </w:tcBorders>
                  <w:vAlign w:val="center"/>
                </w:tcPr>
                <w:p w14:paraId="203B5DB6" w14:textId="77777777" w:rsidR="003C4F46" w:rsidRDefault="004B6A81">
                  <w:pPr>
                    <w:pStyle w:val="aff4"/>
                    <w:rPr>
                      <w:kern w:val="0"/>
                      <w:szCs w:val="21"/>
                    </w:rPr>
                  </w:pPr>
                  <w:r>
                    <w:rPr>
                      <w:rFonts w:hint="eastAsia"/>
                      <w:kern w:val="0"/>
                      <w:szCs w:val="21"/>
                    </w:rPr>
                    <w:t>废气治理</w:t>
                  </w:r>
                </w:p>
              </w:tc>
              <w:tc>
                <w:tcPr>
                  <w:tcW w:w="3172" w:type="pct"/>
                  <w:tcBorders>
                    <w:tl2br w:val="nil"/>
                    <w:tr2bl w:val="nil"/>
                  </w:tcBorders>
                  <w:vAlign w:val="center"/>
                </w:tcPr>
                <w:p w14:paraId="2086D94C" w14:textId="26DBC472" w:rsidR="003C4F46" w:rsidRDefault="004B6A81">
                  <w:pPr>
                    <w:adjustRightInd w:val="0"/>
                    <w:snapToGrid w:val="0"/>
                    <w:spacing w:line="240" w:lineRule="auto"/>
                    <w:ind w:firstLineChars="0" w:firstLine="0"/>
                    <w:contextualSpacing/>
                    <w:textAlignment w:val="auto"/>
                    <w:rPr>
                      <w:rFonts w:cs="Times New Roman"/>
                      <w:sz w:val="21"/>
                      <w:szCs w:val="21"/>
                    </w:rPr>
                  </w:pPr>
                  <w:r>
                    <w:rPr>
                      <w:rFonts w:cs="Times New Roman" w:hint="eastAsia"/>
                      <w:sz w:val="21"/>
                      <w:szCs w:val="21"/>
                    </w:rPr>
                    <w:t>危险废物采用密封容器盛装，贮存</w:t>
                  </w:r>
                  <w:r w:rsidR="00AD32F2">
                    <w:rPr>
                      <w:rFonts w:cs="Times New Roman" w:hint="eastAsia"/>
                      <w:sz w:val="21"/>
                      <w:szCs w:val="21"/>
                    </w:rPr>
                    <w:t>库</w:t>
                  </w:r>
                  <w:r>
                    <w:rPr>
                      <w:rFonts w:cs="Times New Roman" w:hint="eastAsia"/>
                      <w:sz w:val="21"/>
                      <w:szCs w:val="21"/>
                    </w:rPr>
                    <w:t>废气经负压收集后，先经新建的碱液喷淋塔预处理去除硫酸雾，再依托轮台塔中石油化工有限公司现有二级活性炭吸附装置处理，尾气通过</w:t>
                  </w:r>
                  <w:r>
                    <w:rPr>
                      <w:rFonts w:cs="Times New Roman" w:hint="eastAsia"/>
                      <w:sz w:val="21"/>
                      <w:szCs w:val="21"/>
                    </w:rPr>
                    <w:t>15m</w:t>
                  </w:r>
                  <w:r>
                    <w:rPr>
                      <w:rFonts w:cs="Times New Roman" w:hint="eastAsia"/>
                      <w:sz w:val="21"/>
                      <w:szCs w:val="21"/>
                    </w:rPr>
                    <w:t>高排气筒（</w:t>
                  </w:r>
                  <w:r>
                    <w:rPr>
                      <w:rFonts w:cs="Times New Roman" w:hint="eastAsia"/>
                      <w:sz w:val="21"/>
                      <w:szCs w:val="21"/>
                    </w:rPr>
                    <w:t>DA005</w:t>
                  </w:r>
                  <w:r>
                    <w:rPr>
                      <w:rFonts w:cs="Times New Roman" w:hint="eastAsia"/>
                      <w:sz w:val="21"/>
                      <w:szCs w:val="21"/>
                    </w:rPr>
                    <w:t>）排放</w:t>
                  </w:r>
                </w:p>
              </w:tc>
              <w:tc>
                <w:tcPr>
                  <w:tcW w:w="745" w:type="pct"/>
                  <w:tcBorders>
                    <w:tl2br w:val="nil"/>
                    <w:tr2bl w:val="nil"/>
                  </w:tcBorders>
                  <w:vAlign w:val="center"/>
                </w:tcPr>
                <w:p w14:paraId="704B0BB4" w14:textId="77777777" w:rsidR="003C4F46" w:rsidRDefault="004B6A81">
                  <w:pPr>
                    <w:pStyle w:val="aff4"/>
                    <w:rPr>
                      <w:color w:val="000000" w:themeColor="text1"/>
                      <w:szCs w:val="21"/>
                    </w:rPr>
                  </w:pPr>
                  <w:r>
                    <w:rPr>
                      <w:rFonts w:hint="eastAsia"/>
                      <w:color w:val="000000" w:themeColor="text1"/>
                      <w:szCs w:val="21"/>
                    </w:rPr>
                    <w:t>3.0</w:t>
                  </w:r>
                </w:p>
              </w:tc>
            </w:tr>
            <w:tr w:rsidR="003C4F46" w14:paraId="1698B794" w14:textId="77777777">
              <w:trPr>
                <w:trHeight w:val="90"/>
              </w:trPr>
              <w:tc>
                <w:tcPr>
                  <w:tcW w:w="389" w:type="pct"/>
                  <w:vMerge/>
                  <w:tcBorders>
                    <w:tl2br w:val="nil"/>
                    <w:tr2bl w:val="nil"/>
                  </w:tcBorders>
                  <w:vAlign w:val="center"/>
                </w:tcPr>
                <w:p w14:paraId="2B70B602" w14:textId="77777777" w:rsidR="003C4F46" w:rsidRDefault="003C4F46">
                  <w:pPr>
                    <w:pStyle w:val="aff4"/>
                    <w:rPr>
                      <w:color w:val="000000" w:themeColor="text1"/>
                      <w:szCs w:val="21"/>
                    </w:rPr>
                  </w:pPr>
                </w:p>
              </w:tc>
              <w:tc>
                <w:tcPr>
                  <w:tcW w:w="692" w:type="pct"/>
                  <w:vMerge/>
                  <w:tcBorders>
                    <w:tl2br w:val="nil"/>
                    <w:tr2bl w:val="nil"/>
                  </w:tcBorders>
                  <w:vAlign w:val="center"/>
                </w:tcPr>
                <w:p w14:paraId="1E033D9A" w14:textId="77777777" w:rsidR="003C4F46" w:rsidRDefault="003C4F46">
                  <w:pPr>
                    <w:pStyle w:val="aff4"/>
                    <w:rPr>
                      <w:kern w:val="0"/>
                      <w:szCs w:val="21"/>
                    </w:rPr>
                  </w:pPr>
                </w:p>
              </w:tc>
              <w:tc>
                <w:tcPr>
                  <w:tcW w:w="3172" w:type="pct"/>
                  <w:tcBorders>
                    <w:tl2br w:val="nil"/>
                    <w:tr2bl w:val="nil"/>
                  </w:tcBorders>
                  <w:vAlign w:val="center"/>
                </w:tcPr>
                <w:p w14:paraId="7D5EEC5F" w14:textId="77777777" w:rsidR="003C4F46" w:rsidRDefault="004B6A81">
                  <w:pPr>
                    <w:adjustRightInd w:val="0"/>
                    <w:snapToGrid w:val="0"/>
                    <w:spacing w:line="240" w:lineRule="auto"/>
                    <w:ind w:firstLineChars="0" w:firstLine="0"/>
                    <w:contextualSpacing/>
                    <w:textAlignment w:val="auto"/>
                    <w:rPr>
                      <w:rFonts w:cs="Times New Roman"/>
                      <w:sz w:val="21"/>
                      <w:szCs w:val="21"/>
                    </w:rPr>
                  </w:pPr>
                  <w:r>
                    <w:rPr>
                      <w:rFonts w:cs="Times New Roman" w:hint="eastAsia"/>
                      <w:color w:val="000000" w:themeColor="text1"/>
                      <w:sz w:val="21"/>
                      <w:szCs w:val="21"/>
                    </w:rPr>
                    <w:t>储罐外壁涂刷白色防腐涂料。同时，为减少油气排放，储罐设置呼吸阀挡板，采用气相连通系统，并采取浸没式装车和密闭装车方式</w:t>
                  </w:r>
                </w:p>
              </w:tc>
              <w:tc>
                <w:tcPr>
                  <w:tcW w:w="745" w:type="pct"/>
                  <w:tcBorders>
                    <w:tl2br w:val="nil"/>
                    <w:tr2bl w:val="nil"/>
                  </w:tcBorders>
                  <w:vAlign w:val="center"/>
                </w:tcPr>
                <w:p w14:paraId="3D9EF7E4" w14:textId="77777777" w:rsidR="003C4F46" w:rsidRDefault="004B6A81">
                  <w:pPr>
                    <w:pStyle w:val="aff4"/>
                    <w:rPr>
                      <w:color w:val="000000" w:themeColor="text1"/>
                      <w:szCs w:val="21"/>
                    </w:rPr>
                  </w:pPr>
                  <w:r>
                    <w:rPr>
                      <w:color w:val="000000" w:themeColor="text1"/>
                      <w:szCs w:val="21"/>
                    </w:rPr>
                    <w:t>1.0</w:t>
                  </w:r>
                </w:p>
              </w:tc>
            </w:tr>
            <w:tr w:rsidR="003C4F46" w14:paraId="09E32A50" w14:textId="77777777">
              <w:trPr>
                <w:trHeight w:val="334"/>
              </w:trPr>
              <w:tc>
                <w:tcPr>
                  <w:tcW w:w="389" w:type="pct"/>
                  <w:vMerge/>
                  <w:tcBorders>
                    <w:tl2br w:val="nil"/>
                    <w:tr2bl w:val="nil"/>
                  </w:tcBorders>
                  <w:vAlign w:val="center"/>
                </w:tcPr>
                <w:p w14:paraId="7BC762C2" w14:textId="77777777" w:rsidR="003C4F46" w:rsidRDefault="003C4F46">
                  <w:pPr>
                    <w:pStyle w:val="aff4"/>
                    <w:rPr>
                      <w:color w:val="000000" w:themeColor="text1"/>
                      <w:szCs w:val="21"/>
                    </w:rPr>
                  </w:pPr>
                </w:p>
              </w:tc>
              <w:tc>
                <w:tcPr>
                  <w:tcW w:w="692" w:type="pct"/>
                  <w:tcBorders>
                    <w:tl2br w:val="nil"/>
                    <w:tr2bl w:val="nil"/>
                  </w:tcBorders>
                  <w:vAlign w:val="center"/>
                </w:tcPr>
                <w:p w14:paraId="2B249CF2" w14:textId="77777777" w:rsidR="003C4F46" w:rsidRDefault="004B6A81">
                  <w:pPr>
                    <w:pStyle w:val="aff4"/>
                    <w:rPr>
                      <w:color w:val="000000" w:themeColor="text1"/>
                      <w:szCs w:val="21"/>
                    </w:rPr>
                  </w:pPr>
                  <w:r>
                    <w:rPr>
                      <w:rFonts w:hint="eastAsia"/>
                      <w:kern w:val="0"/>
                      <w:szCs w:val="21"/>
                    </w:rPr>
                    <w:t>噪声</w:t>
                  </w:r>
                  <w:r>
                    <w:rPr>
                      <w:rFonts w:cs="Times New Roman"/>
                      <w:szCs w:val="21"/>
                    </w:rPr>
                    <w:t>治理</w:t>
                  </w:r>
                </w:p>
              </w:tc>
              <w:tc>
                <w:tcPr>
                  <w:tcW w:w="3172" w:type="pct"/>
                  <w:tcBorders>
                    <w:tl2br w:val="nil"/>
                    <w:tr2bl w:val="nil"/>
                  </w:tcBorders>
                  <w:vAlign w:val="center"/>
                </w:tcPr>
                <w:p w14:paraId="36A5BC1E" w14:textId="77777777" w:rsidR="003C4F46" w:rsidRDefault="004B6A81">
                  <w:pPr>
                    <w:pStyle w:val="aff4"/>
                    <w:jc w:val="both"/>
                    <w:rPr>
                      <w:color w:val="000000" w:themeColor="text1"/>
                      <w:szCs w:val="21"/>
                    </w:rPr>
                  </w:pPr>
                  <w:r>
                    <w:rPr>
                      <w:rFonts w:cs="Times New Roman" w:hint="eastAsia"/>
                      <w:color w:val="000000" w:themeColor="text1"/>
                      <w:szCs w:val="21"/>
                    </w:rPr>
                    <w:t>设备噪声主要采用隔音、减振、合理布局等降噪措施</w:t>
                  </w:r>
                </w:p>
              </w:tc>
              <w:tc>
                <w:tcPr>
                  <w:tcW w:w="745" w:type="pct"/>
                  <w:tcBorders>
                    <w:tl2br w:val="nil"/>
                    <w:tr2bl w:val="nil"/>
                  </w:tcBorders>
                  <w:vAlign w:val="center"/>
                </w:tcPr>
                <w:p w14:paraId="0F2E9A53" w14:textId="77777777" w:rsidR="003C4F46" w:rsidRDefault="004B6A81">
                  <w:pPr>
                    <w:pStyle w:val="aff4"/>
                    <w:rPr>
                      <w:color w:val="000000" w:themeColor="text1"/>
                      <w:szCs w:val="21"/>
                    </w:rPr>
                  </w:pPr>
                  <w:r>
                    <w:rPr>
                      <w:color w:val="000000" w:themeColor="text1"/>
                      <w:szCs w:val="21"/>
                    </w:rPr>
                    <w:t>1.0</w:t>
                  </w:r>
                </w:p>
              </w:tc>
            </w:tr>
            <w:tr w:rsidR="003C4F46" w14:paraId="5970A2FE" w14:textId="77777777">
              <w:tc>
                <w:tcPr>
                  <w:tcW w:w="389" w:type="pct"/>
                  <w:vMerge/>
                  <w:tcBorders>
                    <w:tl2br w:val="nil"/>
                    <w:tr2bl w:val="nil"/>
                  </w:tcBorders>
                  <w:vAlign w:val="center"/>
                </w:tcPr>
                <w:p w14:paraId="6ADAEF77" w14:textId="77777777" w:rsidR="003C4F46" w:rsidRDefault="003C4F46">
                  <w:pPr>
                    <w:pStyle w:val="aff4"/>
                    <w:rPr>
                      <w:color w:val="000000" w:themeColor="text1"/>
                      <w:szCs w:val="21"/>
                    </w:rPr>
                  </w:pPr>
                </w:p>
              </w:tc>
              <w:tc>
                <w:tcPr>
                  <w:tcW w:w="692" w:type="pct"/>
                  <w:vMerge w:val="restart"/>
                  <w:tcBorders>
                    <w:tl2br w:val="nil"/>
                    <w:tr2bl w:val="nil"/>
                  </w:tcBorders>
                  <w:vAlign w:val="center"/>
                </w:tcPr>
                <w:p w14:paraId="6C218F1B" w14:textId="77777777" w:rsidR="003C4F46" w:rsidRDefault="004B6A81">
                  <w:pPr>
                    <w:pStyle w:val="aff4"/>
                    <w:rPr>
                      <w:rFonts w:ascii="宋体" w:hAnsi="宋体" w:cs="宋体"/>
                      <w:szCs w:val="21"/>
                    </w:rPr>
                  </w:pPr>
                  <w:r>
                    <w:rPr>
                      <w:rFonts w:ascii="宋体" w:hAnsi="宋体" w:cs="宋体" w:hint="eastAsia"/>
                      <w:szCs w:val="21"/>
                    </w:rPr>
                    <w:t>固体废物</w:t>
                  </w:r>
                </w:p>
              </w:tc>
              <w:tc>
                <w:tcPr>
                  <w:tcW w:w="3172" w:type="pct"/>
                  <w:tcBorders>
                    <w:tl2br w:val="nil"/>
                    <w:tr2bl w:val="nil"/>
                  </w:tcBorders>
                  <w:vAlign w:val="center"/>
                </w:tcPr>
                <w:p w14:paraId="5E7BE7C8" w14:textId="77777777" w:rsidR="003C4F46" w:rsidRDefault="004B6A81">
                  <w:pPr>
                    <w:pStyle w:val="aff4"/>
                    <w:jc w:val="both"/>
                    <w:rPr>
                      <w:color w:val="000000" w:themeColor="text1"/>
                      <w:szCs w:val="21"/>
                    </w:rPr>
                  </w:pPr>
                  <w:r>
                    <w:rPr>
                      <w:rFonts w:cs="Times New Roman" w:hint="eastAsia"/>
                      <w:color w:val="000000"/>
                    </w:rPr>
                    <w:t>生活垃圾集中收集至垃圾箱后由环卫部门统一清运</w:t>
                  </w:r>
                </w:p>
              </w:tc>
              <w:tc>
                <w:tcPr>
                  <w:tcW w:w="745" w:type="pct"/>
                  <w:tcBorders>
                    <w:tl2br w:val="nil"/>
                    <w:tr2bl w:val="nil"/>
                  </w:tcBorders>
                  <w:vAlign w:val="center"/>
                </w:tcPr>
                <w:p w14:paraId="5277CFED" w14:textId="77777777" w:rsidR="003C4F46" w:rsidRDefault="004B6A81">
                  <w:pPr>
                    <w:pStyle w:val="aff4"/>
                    <w:rPr>
                      <w:color w:val="000000" w:themeColor="text1"/>
                      <w:szCs w:val="21"/>
                    </w:rPr>
                  </w:pPr>
                  <w:r>
                    <w:rPr>
                      <w:color w:val="000000" w:themeColor="text1"/>
                      <w:szCs w:val="21"/>
                    </w:rPr>
                    <w:t>0.5</w:t>
                  </w:r>
                </w:p>
              </w:tc>
            </w:tr>
            <w:tr w:rsidR="003C4F46" w14:paraId="70675FA4" w14:textId="77777777">
              <w:tc>
                <w:tcPr>
                  <w:tcW w:w="389" w:type="pct"/>
                  <w:vMerge/>
                  <w:tcBorders>
                    <w:tl2br w:val="nil"/>
                    <w:tr2bl w:val="nil"/>
                  </w:tcBorders>
                  <w:vAlign w:val="center"/>
                </w:tcPr>
                <w:p w14:paraId="5129D9B1" w14:textId="77777777" w:rsidR="003C4F46" w:rsidRDefault="003C4F46">
                  <w:pPr>
                    <w:pStyle w:val="aff4"/>
                    <w:rPr>
                      <w:color w:val="000000" w:themeColor="text1"/>
                      <w:szCs w:val="21"/>
                    </w:rPr>
                  </w:pPr>
                </w:p>
              </w:tc>
              <w:tc>
                <w:tcPr>
                  <w:tcW w:w="692" w:type="pct"/>
                  <w:vMerge/>
                  <w:tcBorders>
                    <w:tl2br w:val="nil"/>
                    <w:tr2bl w:val="nil"/>
                  </w:tcBorders>
                  <w:vAlign w:val="center"/>
                </w:tcPr>
                <w:p w14:paraId="4D9138F6" w14:textId="77777777" w:rsidR="003C4F46" w:rsidRDefault="003C4F46">
                  <w:pPr>
                    <w:pStyle w:val="aff4"/>
                    <w:rPr>
                      <w:rFonts w:ascii="宋体" w:hAnsi="宋体" w:cs="宋体"/>
                      <w:szCs w:val="21"/>
                    </w:rPr>
                  </w:pPr>
                </w:p>
              </w:tc>
              <w:tc>
                <w:tcPr>
                  <w:tcW w:w="3172" w:type="pct"/>
                  <w:tcBorders>
                    <w:tl2br w:val="nil"/>
                    <w:tr2bl w:val="nil"/>
                  </w:tcBorders>
                  <w:vAlign w:val="center"/>
                </w:tcPr>
                <w:p w14:paraId="57431127" w14:textId="77777777" w:rsidR="003C4F46" w:rsidRDefault="004B6A81">
                  <w:pPr>
                    <w:pStyle w:val="aff4"/>
                    <w:jc w:val="both"/>
                    <w:rPr>
                      <w:rFonts w:cs="Times New Roman"/>
                      <w:color w:val="000000"/>
                    </w:rPr>
                  </w:pPr>
                  <w:r>
                    <w:rPr>
                      <w:rFonts w:cs="Times New Roman" w:hint="eastAsia"/>
                      <w:color w:val="000000" w:themeColor="text1"/>
                      <w:szCs w:val="21"/>
                    </w:rPr>
                    <w:t>项目产生的危险废物与本项目其他危废一同暂时贮存、委托处置</w:t>
                  </w:r>
                </w:p>
              </w:tc>
              <w:tc>
                <w:tcPr>
                  <w:tcW w:w="745" w:type="pct"/>
                  <w:tcBorders>
                    <w:tl2br w:val="nil"/>
                    <w:tr2bl w:val="nil"/>
                  </w:tcBorders>
                  <w:vAlign w:val="center"/>
                </w:tcPr>
                <w:p w14:paraId="42F5F290" w14:textId="77777777" w:rsidR="003C4F46" w:rsidRDefault="004B6A81">
                  <w:pPr>
                    <w:pStyle w:val="aff4"/>
                    <w:rPr>
                      <w:color w:val="000000" w:themeColor="text1"/>
                      <w:szCs w:val="21"/>
                    </w:rPr>
                  </w:pPr>
                  <w:r>
                    <w:rPr>
                      <w:color w:val="000000" w:themeColor="text1"/>
                      <w:szCs w:val="21"/>
                    </w:rPr>
                    <w:t>1</w:t>
                  </w:r>
                  <w:r>
                    <w:rPr>
                      <w:rFonts w:hint="eastAsia"/>
                      <w:color w:val="000000" w:themeColor="text1"/>
                      <w:szCs w:val="21"/>
                    </w:rPr>
                    <w:t>.5</w:t>
                  </w:r>
                </w:p>
              </w:tc>
            </w:tr>
            <w:tr w:rsidR="003C4F46" w14:paraId="71D7B7E6" w14:textId="77777777">
              <w:tc>
                <w:tcPr>
                  <w:tcW w:w="389" w:type="pct"/>
                  <w:vMerge/>
                  <w:tcBorders>
                    <w:tl2br w:val="nil"/>
                    <w:tr2bl w:val="nil"/>
                  </w:tcBorders>
                  <w:vAlign w:val="center"/>
                </w:tcPr>
                <w:p w14:paraId="48CD14E8" w14:textId="77777777" w:rsidR="003C4F46" w:rsidRDefault="003C4F46">
                  <w:pPr>
                    <w:pStyle w:val="aff4"/>
                    <w:rPr>
                      <w:color w:val="000000" w:themeColor="text1"/>
                      <w:szCs w:val="21"/>
                    </w:rPr>
                  </w:pPr>
                </w:p>
              </w:tc>
              <w:tc>
                <w:tcPr>
                  <w:tcW w:w="692" w:type="pct"/>
                  <w:tcBorders>
                    <w:tl2br w:val="nil"/>
                    <w:tr2bl w:val="nil"/>
                  </w:tcBorders>
                  <w:vAlign w:val="center"/>
                </w:tcPr>
                <w:p w14:paraId="7EA7EBB5" w14:textId="77777777" w:rsidR="003C4F46" w:rsidRDefault="004B6A81">
                  <w:pPr>
                    <w:pStyle w:val="aff4"/>
                    <w:rPr>
                      <w:color w:val="000000" w:themeColor="text1"/>
                      <w:szCs w:val="21"/>
                    </w:rPr>
                  </w:pPr>
                  <w:r>
                    <w:rPr>
                      <w:rFonts w:cs="Times New Roman" w:hint="eastAsia"/>
                      <w:color w:val="000000"/>
                      <w:szCs w:val="21"/>
                    </w:rPr>
                    <w:t>环境风险措施</w:t>
                  </w:r>
                </w:p>
              </w:tc>
              <w:tc>
                <w:tcPr>
                  <w:tcW w:w="3172" w:type="pct"/>
                  <w:tcBorders>
                    <w:tl2br w:val="nil"/>
                    <w:tr2bl w:val="nil"/>
                  </w:tcBorders>
                  <w:vAlign w:val="center"/>
                </w:tcPr>
                <w:p w14:paraId="0B0A8062" w14:textId="77777777" w:rsidR="003C4F46" w:rsidRDefault="004B6A81">
                  <w:pPr>
                    <w:pStyle w:val="aff4"/>
                    <w:jc w:val="both"/>
                    <w:rPr>
                      <w:rFonts w:cs="Times New Roman"/>
                      <w:b/>
                      <w:bCs/>
                      <w:color w:val="000000"/>
                    </w:rPr>
                  </w:pPr>
                  <w:r>
                    <w:rPr>
                      <w:rFonts w:cs="Times New Roman" w:hint="eastAsia"/>
                      <w:color w:val="000000"/>
                      <w:szCs w:val="21"/>
                    </w:rPr>
                    <w:t>修订突发环境事件应急预案并重新备案</w:t>
                  </w:r>
                  <w:r>
                    <w:rPr>
                      <w:rFonts w:cs="Times New Roman"/>
                      <w:color w:val="000000"/>
                      <w:szCs w:val="21"/>
                    </w:rPr>
                    <w:t>，组建事故应急救援组织体系，风险防范中所提及的各类防范措施均设置到位</w:t>
                  </w:r>
                  <w:r>
                    <w:rPr>
                      <w:rFonts w:cs="Times New Roman" w:hint="eastAsia"/>
                      <w:color w:val="000000"/>
                      <w:szCs w:val="21"/>
                    </w:rPr>
                    <w:t>；配备应急物资（消防物资、个人防护、围堵物资、医疗物资、通讯物资等）</w:t>
                  </w:r>
                </w:p>
              </w:tc>
              <w:tc>
                <w:tcPr>
                  <w:tcW w:w="745" w:type="pct"/>
                  <w:tcBorders>
                    <w:tl2br w:val="nil"/>
                    <w:tr2bl w:val="nil"/>
                  </w:tcBorders>
                  <w:vAlign w:val="center"/>
                </w:tcPr>
                <w:p w14:paraId="2CEBEC5F" w14:textId="77777777" w:rsidR="003C4F46" w:rsidRDefault="004B6A81">
                  <w:pPr>
                    <w:pStyle w:val="aff4"/>
                    <w:rPr>
                      <w:color w:val="000000" w:themeColor="text1"/>
                      <w:szCs w:val="21"/>
                    </w:rPr>
                  </w:pPr>
                  <w:r>
                    <w:rPr>
                      <w:color w:val="000000" w:themeColor="text1"/>
                      <w:szCs w:val="21"/>
                    </w:rPr>
                    <w:t>10.0</w:t>
                  </w:r>
                </w:p>
              </w:tc>
            </w:tr>
            <w:tr w:rsidR="003C4F46" w14:paraId="30604272" w14:textId="77777777">
              <w:tc>
                <w:tcPr>
                  <w:tcW w:w="389" w:type="pct"/>
                  <w:vMerge/>
                  <w:tcBorders>
                    <w:tl2br w:val="nil"/>
                    <w:tr2bl w:val="nil"/>
                  </w:tcBorders>
                  <w:vAlign w:val="center"/>
                </w:tcPr>
                <w:p w14:paraId="7BB6E604" w14:textId="77777777" w:rsidR="003C4F46" w:rsidRDefault="003C4F46">
                  <w:pPr>
                    <w:pStyle w:val="aff4"/>
                    <w:rPr>
                      <w:color w:val="000000" w:themeColor="text1"/>
                      <w:szCs w:val="21"/>
                    </w:rPr>
                  </w:pPr>
                </w:p>
              </w:tc>
              <w:tc>
                <w:tcPr>
                  <w:tcW w:w="692" w:type="pct"/>
                  <w:tcBorders>
                    <w:tl2br w:val="nil"/>
                    <w:tr2bl w:val="nil"/>
                  </w:tcBorders>
                  <w:vAlign w:val="center"/>
                </w:tcPr>
                <w:p w14:paraId="32A32436" w14:textId="77777777" w:rsidR="003C4F46" w:rsidRDefault="004B6A81">
                  <w:pPr>
                    <w:pStyle w:val="aff4"/>
                    <w:rPr>
                      <w:rFonts w:cs="Times New Roman"/>
                      <w:color w:val="000000"/>
                      <w:szCs w:val="21"/>
                    </w:rPr>
                  </w:pPr>
                  <w:r>
                    <w:rPr>
                      <w:rFonts w:cs="Times New Roman" w:hint="eastAsia"/>
                      <w:color w:val="000000"/>
                      <w:szCs w:val="21"/>
                    </w:rPr>
                    <w:t>环境管理</w:t>
                  </w:r>
                </w:p>
              </w:tc>
              <w:tc>
                <w:tcPr>
                  <w:tcW w:w="3172" w:type="pct"/>
                  <w:tcBorders>
                    <w:tl2br w:val="nil"/>
                    <w:tr2bl w:val="nil"/>
                  </w:tcBorders>
                  <w:vAlign w:val="center"/>
                </w:tcPr>
                <w:p w14:paraId="37B0EFBA" w14:textId="77777777" w:rsidR="003C4F46" w:rsidRDefault="004B6A81">
                  <w:pPr>
                    <w:pStyle w:val="aff4"/>
                    <w:jc w:val="both"/>
                    <w:rPr>
                      <w:rFonts w:cs="Times New Roman"/>
                      <w:color w:val="000000"/>
                      <w:szCs w:val="21"/>
                    </w:rPr>
                  </w:pPr>
                  <w:r>
                    <w:rPr>
                      <w:rFonts w:cs="Times New Roman" w:hint="eastAsia"/>
                      <w:color w:val="000000"/>
                      <w:szCs w:val="21"/>
                    </w:rPr>
                    <w:t>设置危险废物标识标志、分区标志；建立危险废物转运台账、环保设施运行台账；视频监控系统（出入口、设施内部、运输通道等关键位置，联网自治区危废监控平台）</w:t>
                  </w:r>
                </w:p>
              </w:tc>
              <w:tc>
                <w:tcPr>
                  <w:tcW w:w="745" w:type="pct"/>
                  <w:tcBorders>
                    <w:tl2br w:val="nil"/>
                    <w:tr2bl w:val="nil"/>
                  </w:tcBorders>
                  <w:vAlign w:val="center"/>
                </w:tcPr>
                <w:p w14:paraId="19E990AF" w14:textId="77777777" w:rsidR="003C4F46" w:rsidRDefault="004B6A81">
                  <w:pPr>
                    <w:pStyle w:val="aff4"/>
                    <w:rPr>
                      <w:color w:val="000000" w:themeColor="text1"/>
                      <w:szCs w:val="21"/>
                    </w:rPr>
                  </w:pPr>
                  <w:r>
                    <w:rPr>
                      <w:rFonts w:hint="eastAsia"/>
                      <w:color w:val="000000" w:themeColor="text1"/>
                      <w:szCs w:val="21"/>
                    </w:rPr>
                    <w:t>10.0</w:t>
                  </w:r>
                </w:p>
              </w:tc>
            </w:tr>
            <w:tr w:rsidR="003C4F46" w14:paraId="6A294131" w14:textId="77777777">
              <w:tc>
                <w:tcPr>
                  <w:tcW w:w="389" w:type="pct"/>
                  <w:vMerge/>
                  <w:tcBorders>
                    <w:tl2br w:val="nil"/>
                    <w:tr2bl w:val="nil"/>
                  </w:tcBorders>
                  <w:vAlign w:val="center"/>
                </w:tcPr>
                <w:p w14:paraId="77E1E414" w14:textId="77777777" w:rsidR="003C4F46" w:rsidRDefault="003C4F46">
                  <w:pPr>
                    <w:pStyle w:val="aff4"/>
                    <w:rPr>
                      <w:color w:val="000000" w:themeColor="text1"/>
                      <w:szCs w:val="21"/>
                    </w:rPr>
                  </w:pPr>
                </w:p>
              </w:tc>
              <w:tc>
                <w:tcPr>
                  <w:tcW w:w="692" w:type="pct"/>
                  <w:tcBorders>
                    <w:tl2br w:val="nil"/>
                    <w:tr2bl w:val="nil"/>
                  </w:tcBorders>
                  <w:vAlign w:val="center"/>
                </w:tcPr>
                <w:p w14:paraId="2FF7DD36" w14:textId="77777777" w:rsidR="003C4F46" w:rsidRDefault="004B6A81">
                  <w:pPr>
                    <w:pStyle w:val="aff4"/>
                    <w:rPr>
                      <w:rFonts w:cs="Times New Roman"/>
                      <w:color w:val="000000"/>
                      <w:szCs w:val="21"/>
                    </w:rPr>
                  </w:pPr>
                  <w:r>
                    <w:rPr>
                      <w:rFonts w:cs="Times New Roman" w:hint="eastAsia"/>
                      <w:color w:val="000000"/>
                      <w:szCs w:val="21"/>
                    </w:rPr>
                    <w:t>环境监测</w:t>
                  </w:r>
                </w:p>
              </w:tc>
              <w:tc>
                <w:tcPr>
                  <w:tcW w:w="3172" w:type="pct"/>
                  <w:tcBorders>
                    <w:tl2br w:val="nil"/>
                    <w:tr2bl w:val="nil"/>
                  </w:tcBorders>
                  <w:vAlign w:val="center"/>
                </w:tcPr>
                <w:p w14:paraId="52EE2387" w14:textId="77777777" w:rsidR="003C4F46" w:rsidRDefault="004B6A81">
                  <w:pPr>
                    <w:pStyle w:val="aff4"/>
                    <w:rPr>
                      <w:rFonts w:cs="Times New Roman"/>
                      <w:color w:val="000000"/>
                      <w:szCs w:val="21"/>
                    </w:rPr>
                  </w:pPr>
                  <w:r>
                    <w:rPr>
                      <w:rFonts w:cs="Times New Roman" w:hint="eastAsia"/>
                      <w:color w:val="000000"/>
                      <w:szCs w:val="21"/>
                    </w:rPr>
                    <w:t>定期进行监测</w:t>
                  </w:r>
                </w:p>
              </w:tc>
              <w:tc>
                <w:tcPr>
                  <w:tcW w:w="745" w:type="pct"/>
                  <w:tcBorders>
                    <w:tl2br w:val="nil"/>
                    <w:tr2bl w:val="nil"/>
                  </w:tcBorders>
                  <w:vAlign w:val="center"/>
                </w:tcPr>
                <w:p w14:paraId="14D5D3C1" w14:textId="77777777" w:rsidR="003C4F46" w:rsidRDefault="004B6A81">
                  <w:pPr>
                    <w:pStyle w:val="aff4"/>
                    <w:rPr>
                      <w:color w:val="000000" w:themeColor="text1"/>
                      <w:szCs w:val="21"/>
                    </w:rPr>
                  </w:pPr>
                  <w:r>
                    <w:rPr>
                      <w:color w:val="000000" w:themeColor="text1"/>
                      <w:szCs w:val="21"/>
                    </w:rPr>
                    <w:t>3.0</w:t>
                  </w:r>
                </w:p>
              </w:tc>
            </w:tr>
            <w:tr w:rsidR="003C4F46" w14:paraId="6A48619B" w14:textId="77777777">
              <w:tc>
                <w:tcPr>
                  <w:tcW w:w="389" w:type="pct"/>
                  <w:vMerge/>
                  <w:tcBorders>
                    <w:tl2br w:val="nil"/>
                    <w:tr2bl w:val="nil"/>
                  </w:tcBorders>
                  <w:vAlign w:val="center"/>
                </w:tcPr>
                <w:p w14:paraId="4BB6E9D7" w14:textId="77777777" w:rsidR="003C4F46" w:rsidRDefault="003C4F46">
                  <w:pPr>
                    <w:pStyle w:val="aff4"/>
                    <w:rPr>
                      <w:color w:val="000000" w:themeColor="text1"/>
                      <w:szCs w:val="21"/>
                    </w:rPr>
                  </w:pPr>
                </w:p>
              </w:tc>
              <w:tc>
                <w:tcPr>
                  <w:tcW w:w="692" w:type="pct"/>
                  <w:tcBorders>
                    <w:tl2br w:val="nil"/>
                    <w:tr2bl w:val="nil"/>
                  </w:tcBorders>
                  <w:vAlign w:val="center"/>
                </w:tcPr>
                <w:p w14:paraId="4335AC4E" w14:textId="77777777" w:rsidR="003C4F46" w:rsidRDefault="004B6A81">
                  <w:pPr>
                    <w:pStyle w:val="aff4"/>
                    <w:rPr>
                      <w:rFonts w:cs="Times New Roman"/>
                      <w:color w:val="000000"/>
                      <w:szCs w:val="21"/>
                    </w:rPr>
                  </w:pPr>
                  <w:r>
                    <w:rPr>
                      <w:rFonts w:cs="Times New Roman" w:hint="eastAsia"/>
                      <w:color w:val="000000"/>
                      <w:szCs w:val="21"/>
                    </w:rPr>
                    <w:t>其他</w:t>
                  </w:r>
                </w:p>
              </w:tc>
              <w:tc>
                <w:tcPr>
                  <w:tcW w:w="3172" w:type="pct"/>
                  <w:tcBorders>
                    <w:tl2br w:val="nil"/>
                    <w:tr2bl w:val="nil"/>
                  </w:tcBorders>
                  <w:vAlign w:val="center"/>
                </w:tcPr>
                <w:p w14:paraId="7D2005F2" w14:textId="77777777" w:rsidR="003C4F46" w:rsidRDefault="004B6A81">
                  <w:pPr>
                    <w:pStyle w:val="aff4"/>
                    <w:rPr>
                      <w:rFonts w:cs="Times New Roman"/>
                      <w:color w:val="000000"/>
                      <w:szCs w:val="21"/>
                    </w:rPr>
                  </w:pPr>
                  <w:r>
                    <w:rPr>
                      <w:rFonts w:cs="Times New Roman" w:hint="eastAsia"/>
                      <w:color w:val="000000"/>
                      <w:szCs w:val="21"/>
                    </w:rPr>
                    <w:t>厂区绿化及其他环保</w:t>
                  </w:r>
                  <w:r>
                    <w:rPr>
                      <w:rFonts w:cs="Times New Roman" w:hint="eastAsia"/>
                      <w:szCs w:val="21"/>
                    </w:rPr>
                    <w:t>费用等</w:t>
                  </w:r>
                </w:p>
              </w:tc>
              <w:tc>
                <w:tcPr>
                  <w:tcW w:w="745" w:type="pct"/>
                  <w:tcBorders>
                    <w:tl2br w:val="nil"/>
                    <w:tr2bl w:val="nil"/>
                  </w:tcBorders>
                  <w:vAlign w:val="center"/>
                </w:tcPr>
                <w:p w14:paraId="50911E68" w14:textId="77777777" w:rsidR="003C4F46" w:rsidRDefault="004B6A81">
                  <w:pPr>
                    <w:pStyle w:val="aff4"/>
                    <w:rPr>
                      <w:color w:val="000000" w:themeColor="text1"/>
                      <w:szCs w:val="21"/>
                    </w:rPr>
                  </w:pPr>
                  <w:r>
                    <w:rPr>
                      <w:rFonts w:hint="eastAsia"/>
                      <w:color w:val="000000" w:themeColor="text1"/>
                      <w:szCs w:val="21"/>
                    </w:rPr>
                    <w:t>1</w:t>
                  </w:r>
                  <w:r>
                    <w:rPr>
                      <w:color w:val="000000" w:themeColor="text1"/>
                      <w:szCs w:val="21"/>
                    </w:rPr>
                    <w:t>.0</w:t>
                  </w:r>
                </w:p>
              </w:tc>
            </w:tr>
            <w:tr w:rsidR="003C4F46" w14:paraId="023A403A" w14:textId="77777777">
              <w:tc>
                <w:tcPr>
                  <w:tcW w:w="4254" w:type="pct"/>
                  <w:gridSpan w:val="3"/>
                  <w:tcBorders>
                    <w:tl2br w:val="nil"/>
                    <w:tr2bl w:val="nil"/>
                  </w:tcBorders>
                  <w:vAlign w:val="center"/>
                </w:tcPr>
                <w:p w14:paraId="75D571BD" w14:textId="77777777" w:rsidR="003C4F46" w:rsidRDefault="004B6A81">
                  <w:pPr>
                    <w:pStyle w:val="aff4"/>
                    <w:rPr>
                      <w:rFonts w:ascii="宋体" w:hAnsiTheme="minorHAnsi" w:cs="宋体"/>
                      <w:color w:val="000000" w:themeColor="text1"/>
                      <w:kern w:val="0"/>
                      <w:szCs w:val="21"/>
                    </w:rPr>
                  </w:pPr>
                  <w:r>
                    <w:rPr>
                      <w:rFonts w:ascii="宋体" w:hAnsiTheme="minorHAnsi" w:cs="宋体" w:hint="eastAsia"/>
                      <w:color w:val="000000" w:themeColor="text1"/>
                      <w:kern w:val="0"/>
                      <w:szCs w:val="21"/>
                    </w:rPr>
                    <w:t>合计</w:t>
                  </w:r>
                </w:p>
              </w:tc>
              <w:tc>
                <w:tcPr>
                  <w:tcW w:w="745" w:type="pct"/>
                  <w:tcBorders>
                    <w:tl2br w:val="nil"/>
                    <w:tr2bl w:val="nil"/>
                  </w:tcBorders>
                  <w:vAlign w:val="center"/>
                </w:tcPr>
                <w:p w14:paraId="18795839" w14:textId="77777777" w:rsidR="003C4F46" w:rsidRDefault="004B6A81">
                  <w:pPr>
                    <w:pStyle w:val="aff4"/>
                    <w:rPr>
                      <w:color w:val="000000" w:themeColor="text1"/>
                      <w:szCs w:val="21"/>
                    </w:rPr>
                  </w:pPr>
                  <w:r>
                    <w:rPr>
                      <w:rFonts w:hint="eastAsia"/>
                      <w:color w:val="000000" w:themeColor="text1"/>
                      <w:szCs w:val="21"/>
                    </w:rPr>
                    <w:t>34</w:t>
                  </w:r>
                </w:p>
              </w:tc>
            </w:tr>
          </w:tbl>
          <w:p w14:paraId="0FBEA96B" w14:textId="77777777" w:rsidR="003C4F46" w:rsidRDefault="003C4F46">
            <w:pPr>
              <w:ind w:firstLineChars="0" w:firstLine="0"/>
            </w:pPr>
          </w:p>
        </w:tc>
      </w:tr>
    </w:tbl>
    <w:p w14:paraId="725414B0" w14:textId="77777777" w:rsidR="003C4F46" w:rsidRDefault="003C4F46">
      <w:pPr>
        <w:pStyle w:val="1"/>
        <w:rPr>
          <w:snapToGrid w:val="0"/>
          <w:color w:val="000000" w:themeColor="text1"/>
        </w:rPr>
        <w:sectPr w:rsidR="003C4F46">
          <w:pgSz w:w="11906" w:h="16838"/>
          <w:pgMar w:top="1418" w:right="1418" w:bottom="1418" w:left="1418" w:header="851" w:footer="992" w:gutter="0"/>
          <w:cols w:space="425"/>
          <w:docGrid w:type="lines" w:linePitch="326"/>
        </w:sectPr>
      </w:pPr>
    </w:p>
    <w:p w14:paraId="1EAAA7D0" w14:textId="77777777" w:rsidR="003C4F46" w:rsidRDefault="004B6A81">
      <w:pPr>
        <w:pStyle w:val="1"/>
        <w:rPr>
          <w:snapToGrid w:val="0"/>
          <w:color w:val="000000" w:themeColor="text1"/>
        </w:rPr>
      </w:pPr>
      <w:r>
        <w:rPr>
          <w:rFonts w:hint="eastAsia"/>
          <w:snapToGrid w:val="0"/>
          <w:color w:val="000000" w:themeColor="text1"/>
        </w:rPr>
        <w:lastRenderedPageBreak/>
        <w:t>五、</w:t>
      </w:r>
      <w:bookmarkStart w:id="30" w:name="_Hlk54167917"/>
      <w:r>
        <w:rPr>
          <w:rFonts w:hint="eastAsia"/>
          <w:snapToGrid w:val="0"/>
          <w:color w:val="000000" w:themeColor="text1"/>
        </w:rPr>
        <w:t>环境保护措施监督检查清单</w:t>
      </w:r>
      <w:bookmarkEnd w:id="30"/>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04"/>
        <w:gridCol w:w="1510"/>
        <w:gridCol w:w="1011"/>
        <w:gridCol w:w="2962"/>
        <w:gridCol w:w="2253"/>
      </w:tblGrid>
      <w:tr w:rsidR="003C4F46" w14:paraId="3A96D997" w14:textId="77777777" w:rsidTr="00C926EE">
        <w:trPr>
          <w:trHeight w:val="425"/>
          <w:jc w:val="center"/>
        </w:trPr>
        <w:tc>
          <w:tcPr>
            <w:tcW w:w="722" w:type="pct"/>
            <w:tcBorders>
              <w:tl2br w:val="single" w:sz="12" w:space="0" w:color="auto"/>
            </w:tcBorders>
          </w:tcPr>
          <w:p w14:paraId="13F4A46A" w14:textId="77777777" w:rsidR="003C4F46" w:rsidRDefault="004B6A81">
            <w:pPr>
              <w:adjustRightInd w:val="0"/>
              <w:snapToGrid w:val="0"/>
              <w:spacing w:line="240" w:lineRule="auto"/>
              <w:ind w:firstLineChars="300" w:firstLine="632"/>
              <w:textAlignment w:val="auto"/>
              <w:rPr>
                <w:rFonts w:cs="Times New Roman"/>
                <w:b/>
                <w:bCs/>
                <w:color w:val="000000" w:themeColor="text1"/>
                <w:sz w:val="21"/>
                <w:szCs w:val="21"/>
              </w:rPr>
            </w:pPr>
            <w:r>
              <w:rPr>
                <w:rFonts w:cs="Times New Roman"/>
                <w:b/>
                <w:bCs/>
                <w:color w:val="000000" w:themeColor="text1"/>
                <w:sz w:val="21"/>
                <w:szCs w:val="21"/>
              </w:rPr>
              <w:t>内容</w:t>
            </w:r>
          </w:p>
          <w:p w14:paraId="2B5445C9" w14:textId="77777777" w:rsidR="003C4F46" w:rsidRDefault="004B6A81">
            <w:pPr>
              <w:adjustRightInd w:val="0"/>
              <w:snapToGrid w:val="0"/>
              <w:spacing w:line="240" w:lineRule="auto"/>
              <w:ind w:firstLineChars="0" w:firstLine="0"/>
              <w:textAlignment w:val="auto"/>
              <w:rPr>
                <w:rFonts w:cs="Times New Roman"/>
                <w:b/>
                <w:bCs/>
                <w:color w:val="000000" w:themeColor="text1"/>
                <w:sz w:val="21"/>
                <w:szCs w:val="21"/>
              </w:rPr>
            </w:pPr>
            <w:r>
              <w:rPr>
                <w:rFonts w:cs="Times New Roman"/>
                <w:b/>
                <w:bCs/>
                <w:color w:val="000000" w:themeColor="text1"/>
                <w:sz w:val="21"/>
                <w:szCs w:val="21"/>
              </w:rPr>
              <w:t>要素</w:t>
            </w:r>
          </w:p>
        </w:tc>
        <w:tc>
          <w:tcPr>
            <w:tcW w:w="835" w:type="pct"/>
            <w:vAlign w:val="center"/>
          </w:tcPr>
          <w:p w14:paraId="5B05EA3D"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排放口</w:t>
            </w:r>
            <w:r>
              <w:rPr>
                <w:rFonts w:cs="Times New Roman" w:hint="eastAsia"/>
                <w:b/>
                <w:bCs/>
                <w:color w:val="000000" w:themeColor="text1"/>
                <w:sz w:val="21"/>
                <w:szCs w:val="21"/>
              </w:rPr>
              <w:t>（</w:t>
            </w:r>
            <w:r>
              <w:rPr>
                <w:rFonts w:cs="Times New Roman"/>
                <w:b/>
                <w:bCs/>
                <w:color w:val="000000" w:themeColor="text1"/>
                <w:sz w:val="21"/>
                <w:szCs w:val="21"/>
              </w:rPr>
              <w:t>编号、名称</w:t>
            </w:r>
            <w:r>
              <w:rPr>
                <w:rFonts w:cs="Times New Roman" w:hint="eastAsia"/>
                <w:b/>
                <w:bCs/>
                <w:color w:val="000000" w:themeColor="text1"/>
                <w:sz w:val="21"/>
                <w:szCs w:val="21"/>
              </w:rPr>
              <w:t>）</w:t>
            </w:r>
            <w:r>
              <w:rPr>
                <w:rFonts w:cs="Times New Roman"/>
                <w:b/>
                <w:bCs/>
                <w:color w:val="000000" w:themeColor="text1"/>
                <w:sz w:val="21"/>
                <w:szCs w:val="21"/>
              </w:rPr>
              <w:t>/</w:t>
            </w:r>
            <w:r>
              <w:rPr>
                <w:rFonts w:cs="Times New Roman"/>
                <w:b/>
                <w:bCs/>
                <w:color w:val="000000" w:themeColor="text1"/>
                <w:sz w:val="21"/>
                <w:szCs w:val="21"/>
              </w:rPr>
              <w:t>污染源</w:t>
            </w:r>
          </w:p>
        </w:tc>
        <w:tc>
          <w:tcPr>
            <w:tcW w:w="559" w:type="pct"/>
            <w:vAlign w:val="center"/>
          </w:tcPr>
          <w:p w14:paraId="0CF8052C"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污染物项目</w:t>
            </w:r>
          </w:p>
        </w:tc>
        <w:tc>
          <w:tcPr>
            <w:tcW w:w="1638" w:type="pct"/>
            <w:vAlign w:val="center"/>
          </w:tcPr>
          <w:p w14:paraId="21EB28C0"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环境保护措施</w:t>
            </w:r>
          </w:p>
        </w:tc>
        <w:tc>
          <w:tcPr>
            <w:tcW w:w="1247" w:type="pct"/>
            <w:vAlign w:val="center"/>
          </w:tcPr>
          <w:p w14:paraId="55871754"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执行标准</w:t>
            </w:r>
          </w:p>
        </w:tc>
      </w:tr>
      <w:tr w:rsidR="003C4F46" w14:paraId="70E6E9C6" w14:textId="77777777" w:rsidTr="00C926EE">
        <w:trPr>
          <w:trHeight w:val="957"/>
          <w:jc w:val="center"/>
        </w:trPr>
        <w:tc>
          <w:tcPr>
            <w:tcW w:w="722" w:type="pct"/>
            <w:vMerge w:val="restart"/>
            <w:vAlign w:val="center"/>
          </w:tcPr>
          <w:p w14:paraId="48265B29" w14:textId="77777777" w:rsidR="003C4F46" w:rsidRDefault="004B6A81">
            <w:pPr>
              <w:adjustRightInd w:val="0"/>
              <w:snapToGrid w:val="0"/>
              <w:spacing w:line="240" w:lineRule="auto"/>
              <w:ind w:firstLineChars="0" w:firstLine="0"/>
              <w:jc w:val="center"/>
              <w:rPr>
                <w:rFonts w:cs="Times New Roman"/>
                <w:b/>
                <w:bCs/>
                <w:color w:val="000000" w:themeColor="text1"/>
                <w:sz w:val="21"/>
                <w:szCs w:val="21"/>
              </w:rPr>
            </w:pPr>
            <w:r>
              <w:rPr>
                <w:rFonts w:cs="Times New Roman"/>
                <w:b/>
                <w:bCs/>
                <w:color w:val="000000" w:themeColor="text1"/>
                <w:sz w:val="21"/>
                <w:szCs w:val="21"/>
              </w:rPr>
              <w:t>大气环境</w:t>
            </w:r>
          </w:p>
        </w:tc>
        <w:tc>
          <w:tcPr>
            <w:tcW w:w="835" w:type="pct"/>
            <w:vAlign w:val="center"/>
          </w:tcPr>
          <w:p w14:paraId="0283FD8E" w14:textId="77777777" w:rsidR="003C4F46" w:rsidRDefault="004B6A81">
            <w:pPr>
              <w:adjustRightInd w:val="0"/>
              <w:snapToGrid w:val="0"/>
              <w:spacing w:line="240" w:lineRule="auto"/>
              <w:ind w:firstLineChars="0" w:firstLine="0"/>
              <w:jc w:val="center"/>
              <w:textAlignment w:val="auto"/>
              <w:rPr>
                <w:color w:val="000000"/>
                <w:sz w:val="21"/>
                <w:szCs w:val="21"/>
              </w:rPr>
            </w:pPr>
            <w:r>
              <w:rPr>
                <w:rFonts w:hint="eastAsia"/>
                <w:color w:val="000000"/>
                <w:sz w:val="21"/>
                <w:szCs w:val="21"/>
              </w:rPr>
              <w:t>有组织废气</w:t>
            </w:r>
            <w:r>
              <w:rPr>
                <w:rFonts w:hint="eastAsia"/>
                <w:color w:val="000000"/>
                <w:sz w:val="21"/>
                <w:szCs w:val="21"/>
              </w:rPr>
              <w:t>DA005</w:t>
            </w:r>
          </w:p>
        </w:tc>
        <w:tc>
          <w:tcPr>
            <w:tcW w:w="559" w:type="pct"/>
            <w:vAlign w:val="center"/>
          </w:tcPr>
          <w:p w14:paraId="1CA2D2E8" w14:textId="77777777" w:rsidR="003C4F46" w:rsidRDefault="004B6A81">
            <w:pPr>
              <w:adjustRightInd w:val="0"/>
              <w:snapToGrid w:val="0"/>
              <w:spacing w:line="240" w:lineRule="auto"/>
              <w:ind w:firstLineChars="0" w:firstLine="0"/>
              <w:textAlignment w:val="auto"/>
              <w:rPr>
                <w:color w:val="000000"/>
                <w:sz w:val="21"/>
                <w:szCs w:val="21"/>
              </w:rPr>
            </w:pPr>
            <w:r>
              <w:rPr>
                <w:rFonts w:hint="eastAsia"/>
                <w:color w:val="000000"/>
                <w:sz w:val="21"/>
                <w:szCs w:val="21"/>
              </w:rPr>
              <w:t>硫酸雾、非甲烷总烃</w:t>
            </w:r>
          </w:p>
        </w:tc>
        <w:tc>
          <w:tcPr>
            <w:tcW w:w="1638" w:type="pct"/>
            <w:vAlign w:val="center"/>
          </w:tcPr>
          <w:p w14:paraId="2D81C91B" w14:textId="41B1A045" w:rsidR="003C4F46" w:rsidRDefault="00AD32F2">
            <w:pPr>
              <w:adjustRightInd w:val="0"/>
              <w:snapToGrid w:val="0"/>
              <w:spacing w:line="240" w:lineRule="auto"/>
              <w:ind w:firstLineChars="0" w:firstLine="0"/>
              <w:contextualSpacing/>
              <w:textAlignment w:val="auto"/>
              <w:rPr>
                <w:rFonts w:cs="Times New Roman"/>
                <w:color w:val="000000" w:themeColor="text1"/>
                <w:sz w:val="21"/>
                <w:szCs w:val="21"/>
              </w:rPr>
            </w:pPr>
            <w:r w:rsidRPr="00AD32F2">
              <w:rPr>
                <w:rFonts w:cs="Times New Roman" w:hint="eastAsia"/>
                <w:color w:val="000000" w:themeColor="text1"/>
                <w:sz w:val="21"/>
                <w:szCs w:val="21"/>
              </w:rPr>
              <w:t>危险废物采用密封容器盛装，贮存库废气经负压收集后，先经新建的碱液喷淋塔预处理去除硫酸雾，再依托轮台塔中石油化工有限公司现有二级活性炭吸附装置处理，尾气通过</w:t>
            </w:r>
            <w:r w:rsidRPr="00AD32F2">
              <w:rPr>
                <w:rFonts w:cs="Times New Roman" w:hint="eastAsia"/>
                <w:color w:val="000000" w:themeColor="text1"/>
                <w:sz w:val="21"/>
                <w:szCs w:val="21"/>
              </w:rPr>
              <w:t>15m</w:t>
            </w:r>
            <w:r w:rsidRPr="00AD32F2">
              <w:rPr>
                <w:rFonts w:cs="Times New Roman" w:hint="eastAsia"/>
                <w:color w:val="000000" w:themeColor="text1"/>
                <w:sz w:val="21"/>
                <w:szCs w:val="21"/>
              </w:rPr>
              <w:t>高排气筒（</w:t>
            </w:r>
            <w:r w:rsidRPr="00AD32F2">
              <w:rPr>
                <w:rFonts w:cs="Times New Roman" w:hint="eastAsia"/>
                <w:color w:val="000000" w:themeColor="text1"/>
                <w:sz w:val="21"/>
                <w:szCs w:val="21"/>
              </w:rPr>
              <w:t>DA005</w:t>
            </w:r>
            <w:r w:rsidRPr="00AD32F2">
              <w:rPr>
                <w:rFonts w:cs="Times New Roman" w:hint="eastAsia"/>
                <w:color w:val="000000" w:themeColor="text1"/>
                <w:sz w:val="21"/>
                <w:szCs w:val="21"/>
              </w:rPr>
              <w:t>）排放</w:t>
            </w:r>
          </w:p>
        </w:tc>
        <w:tc>
          <w:tcPr>
            <w:tcW w:w="1247" w:type="pct"/>
            <w:vAlign w:val="center"/>
          </w:tcPr>
          <w:p w14:paraId="670CCB7A" w14:textId="77777777" w:rsidR="003C4F46" w:rsidRDefault="004B6A81">
            <w:pPr>
              <w:adjustRightInd w:val="0"/>
              <w:snapToGrid w:val="0"/>
              <w:spacing w:line="240" w:lineRule="auto"/>
              <w:ind w:firstLineChars="0" w:firstLine="0"/>
              <w:textAlignment w:val="auto"/>
              <w:rPr>
                <w:rFonts w:cs="Times New Roman"/>
                <w:color w:val="000000" w:themeColor="text1"/>
                <w:sz w:val="21"/>
                <w:szCs w:val="21"/>
              </w:rPr>
            </w:pPr>
            <w:r>
              <w:rPr>
                <w:rFonts w:cs="Times New Roman" w:hint="eastAsia"/>
                <w:color w:val="000000" w:themeColor="text1"/>
                <w:sz w:val="21"/>
                <w:szCs w:val="21"/>
              </w:rPr>
              <w:t>《大气污染物综合排放标准》（</w:t>
            </w:r>
            <w:r>
              <w:rPr>
                <w:rFonts w:cs="Times New Roman" w:hint="eastAsia"/>
                <w:color w:val="000000" w:themeColor="text1"/>
                <w:sz w:val="21"/>
                <w:szCs w:val="21"/>
              </w:rPr>
              <w:t>GB16297-1996</w:t>
            </w:r>
            <w:r>
              <w:rPr>
                <w:rFonts w:cs="Times New Roman" w:hint="eastAsia"/>
                <w:color w:val="000000" w:themeColor="text1"/>
                <w:sz w:val="21"/>
                <w:szCs w:val="21"/>
              </w:rPr>
              <w:t>）中表</w:t>
            </w:r>
            <w:r>
              <w:rPr>
                <w:rFonts w:cs="Times New Roman" w:hint="eastAsia"/>
                <w:color w:val="000000" w:themeColor="text1"/>
                <w:sz w:val="21"/>
                <w:szCs w:val="21"/>
              </w:rPr>
              <w:t>2</w:t>
            </w:r>
            <w:r>
              <w:rPr>
                <w:rFonts w:cs="Times New Roman" w:hint="eastAsia"/>
                <w:color w:val="000000" w:themeColor="text1"/>
                <w:sz w:val="21"/>
                <w:szCs w:val="21"/>
              </w:rPr>
              <w:t>的排放限值</w:t>
            </w:r>
          </w:p>
        </w:tc>
      </w:tr>
      <w:tr w:rsidR="003C4F46" w14:paraId="40907E62" w14:textId="77777777" w:rsidTr="00C926EE">
        <w:trPr>
          <w:trHeight w:val="957"/>
          <w:jc w:val="center"/>
        </w:trPr>
        <w:tc>
          <w:tcPr>
            <w:tcW w:w="722" w:type="pct"/>
            <w:vMerge/>
            <w:vAlign w:val="center"/>
          </w:tcPr>
          <w:p w14:paraId="65A344B1" w14:textId="77777777" w:rsidR="003C4F46" w:rsidRDefault="003C4F46">
            <w:pPr>
              <w:adjustRightInd w:val="0"/>
              <w:snapToGrid w:val="0"/>
              <w:spacing w:line="240" w:lineRule="auto"/>
              <w:ind w:firstLineChars="0" w:firstLine="0"/>
              <w:jc w:val="center"/>
              <w:textAlignment w:val="auto"/>
              <w:rPr>
                <w:rFonts w:cs="Times New Roman"/>
                <w:b/>
                <w:bCs/>
                <w:color w:val="000000" w:themeColor="text1"/>
                <w:sz w:val="21"/>
                <w:szCs w:val="21"/>
              </w:rPr>
            </w:pPr>
          </w:p>
        </w:tc>
        <w:tc>
          <w:tcPr>
            <w:tcW w:w="835" w:type="pct"/>
            <w:vMerge w:val="restart"/>
            <w:vAlign w:val="center"/>
          </w:tcPr>
          <w:p w14:paraId="438F2C91" w14:textId="77777777" w:rsidR="003C4F46" w:rsidRDefault="004B6A81">
            <w:pPr>
              <w:adjustRightInd w:val="0"/>
              <w:snapToGrid w:val="0"/>
              <w:spacing w:line="240" w:lineRule="auto"/>
              <w:ind w:firstLineChars="0" w:firstLine="0"/>
              <w:jc w:val="center"/>
              <w:textAlignment w:val="auto"/>
              <w:rPr>
                <w:color w:val="000000"/>
                <w:sz w:val="21"/>
                <w:szCs w:val="21"/>
              </w:rPr>
            </w:pPr>
            <w:r>
              <w:rPr>
                <w:rFonts w:hint="eastAsia"/>
                <w:color w:val="000000"/>
                <w:sz w:val="21"/>
                <w:szCs w:val="21"/>
              </w:rPr>
              <w:t>无组织废气</w:t>
            </w:r>
          </w:p>
        </w:tc>
        <w:tc>
          <w:tcPr>
            <w:tcW w:w="559" w:type="pct"/>
            <w:vAlign w:val="center"/>
          </w:tcPr>
          <w:p w14:paraId="66AD9096" w14:textId="77777777" w:rsidR="003C4F46" w:rsidRDefault="004B6A81">
            <w:pPr>
              <w:adjustRightInd w:val="0"/>
              <w:snapToGrid w:val="0"/>
              <w:spacing w:line="240" w:lineRule="auto"/>
              <w:ind w:firstLineChars="0" w:firstLine="0"/>
              <w:jc w:val="center"/>
              <w:textAlignment w:val="auto"/>
              <w:rPr>
                <w:color w:val="000000"/>
                <w:sz w:val="21"/>
                <w:szCs w:val="21"/>
              </w:rPr>
            </w:pPr>
            <w:r>
              <w:rPr>
                <w:rFonts w:hint="eastAsia"/>
                <w:color w:val="000000"/>
                <w:sz w:val="21"/>
                <w:szCs w:val="21"/>
              </w:rPr>
              <w:t>非甲烷总烃</w:t>
            </w:r>
          </w:p>
        </w:tc>
        <w:tc>
          <w:tcPr>
            <w:tcW w:w="1638" w:type="pct"/>
            <w:vAlign w:val="center"/>
          </w:tcPr>
          <w:p w14:paraId="2B90C97F" w14:textId="77777777" w:rsidR="003C4F46" w:rsidRDefault="004B6A81">
            <w:pPr>
              <w:adjustRightInd w:val="0"/>
              <w:snapToGrid w:val="0"/>
              <w:spacing w:line="240" w:lineRule="auto"/>
              <w:ind w:firstLineChars="0" w:firstLine="0"/>
              <w:contextualSpacing/>
              <w:textAlignment w:val="auto"/>
              <w:rPr>
                <w:rFonts w:cs="Times New Roman"/>
                <w:color w:val="000000" w:themeColor="text1"/>
                <w:sz w:val="21"/>
                <w:szCs w:val="21"/>
              </w:rPr>
            </w:pPr>
            <w:r>
              <w:rPr>
                <w:rFonts w:cs="Times New Roman" w:hint="eastAsia"/>
                <w:color w:val="000000" w:themeColor="text1"/>
                <w:sz w:val="21"/>
                <w:szCs w:val="21"/>
              </w:rPr>
              <w:t>为降低罐内温差变化，储罐外壁涂刷白色防腐涂料。同时，为减少油气排放，储罐设置呼吸阀挡板，采用气相连通系统，并采取浸没式装车和密闭装车方式</w:t>
            </w:r>
          </w:p>
        </w:tc>
        <w:tc>
          <w:tcPr>
            <w:tcW w:w="1247" w:type="pct"/>
            <w:vAlign w:val="center"/>
          </w:tcPr>
          <w:p w14:paraId="6C8EE267" w14:textId="77777777" w:rsidR="003C4F46" w:rsidRDefault="004B6A81">
            <w:pPr>
              <w:adjustRightInd w:val="0"/>
              <w:snapToGrid w:val="0"/>
              <w:spacing w:line="240" w:lineRule="auto"/>
              <w:ind w:firstLineChars="0" w:firstLine="0"/>
              <w:textAlignment w:val="auto"/>
              <w:rPr>
                <w:rFonts w:cs="Times New Roman"/>
                <w:color w:val="000000" w:themeColor="text1"/>
                <w:sz w:val="21"/>
                <w:szCs w:val="21"/>
              </w:rPr>
            </w:pPr>
            <w:r>
              <w:rPr>
                <w:rFonts w:cs="Times New Roman" w:hint="eastAsia"/>
                <w:color w:val="000000" w:themeColor="text1"/>
                <w:sz w:val="21"/>
                <w:szCs w:val="21"/>
              </w:rPr>
              <w:t>《大气污染物综合排放标准》（</w:t>
            </w:r>
            <w:r>
              <w:rPr>
                <w:rFonts w:cs="Times New Roman" w:hint="eastAsia"/>
                <w:color w:val="000000" w:themeColor="text1"/>
                <w:sz w:val="21"/>
                <w:szCs w:val="21"/>
              </w:rPr>
              <w:t>GB16297-1996</w:t>
            </w:r>
            <w:r>
              <w:rPr>
                <w:rFonts w:cs="Times New Roman" w:hint="eastAsia"/>
                <w:color w:val="000000" w:themeColor="text1"/>
                <w:sz w:val="21"/>
                <w:szCs w:val="21"/>
              </w:rPr>
              <w:t>）表</w:t>
            </w:r>
            <w:r>
              <w:rPr>
                <w:rFonts w:cs="Times New Roman" w:hint="eastAsia"/>
                <w:color w:val="000000" w:themeColor="text1"/>
                <w:sz w:val="21"/>
                <w:szCs w:val="21"/>
              </w:rPr>
              <w:t>2</w:t>
            </w:r>
            <w:r>
              <w:rPr>
                <w:rFonts w:cs="Times New Roman" w:hint="eastAsia"/>
                <w:color w:val="000000" w:themeColor="text1"/>
                <w:sz w:val="21"/>
                <w:szCs w:val="21"/>
              </w:rPr>
              <w:t>中的无组织排放监控点浓度限值要求</w:t>
            </w:r>
          </w:p>
        </w:tc>
      </w:tr>
      <w:tr w:rsidR="003C4F46" w14:paraId="060B50F3" w14:textId="77777777" w:rsidTr="00C926EE">
        <w:trPr>
          <w:trHeight w:val="957"/>
          <w:jc w:val="center"/>
        </w:trPr>
        <w:tc>
          <w:tcPr>
            <w:tcW w:w="722" w:type="pct"/>
            <w:vMerge/>
            <w:vAlign w:val="center"/>
          </w:tcPr>
          <w:p w14:paraId="024D3DE9" w14:textId="77777777" w:rsidR="003C4F46" w:rsidRDefault="003C4F46">
            <w:pPr>
              <w:adjustRightInd w:val="0"/>
              <w:snapToGrid w:val="0"/>
              <w:spacing w:line="240" w:lineRule="auto"/>
              <w:ind w:firstLineChars="0" w:firstLine="0"/>
              <w:jc w:val="center"/>
              <w:textAlignment w:val="auto"/>
              <w:rPr>
                <w:rFonts w:cs="Times New Roman"/>
                <w:b/>
                <w:bCs/>
                <w:color w:val="000000" w:themeColor="text1"/>
                <w:sz w:val="21"/>
                <w:szCs w:val="21"/>
              </w:rPr>
            </w:pPr>
          </w:p>
        </w:tc>
        <w:tc>
          <w:tcPr>
            <w:tcW w:w="835" w:type="pct"/>
            <w:vMerge/>
            <w:vAlign w:val="center"/>
          </w:tcPr>
          <w:p w14:paraId="684CD1FC" w14:textId="77777777" w:rsidR="003C4F46" w:rsidRDefault="003C4F46">
            <w:pPr>
              <w:adjustRightInd w:val="0"/>
              <w:snapToGrid w:val="0"/>
              <w:spacing w:line="240" w:lineRule="auto"/>
              <w:ind w:firstLineChars="0" w:firstLine="0"/>
              <w:jc w:val="center"/>
              <w:textAlignment w:val="auto"/>
              <w:rPr>
                <w:color w:val="000000"/>
                <w:sz w:val="21"/>
                <w:szCs w:val="21"/>
              </w:rPr>
            </w:pPr>
          </w:p>
        </w:tc>
        <w:tc>
          <w:tcPr>
            <w:tcW w:w="559" w:type="pct"/>
            <w:vAlign w:val="center"/>
          </w:tcPr>
          <w:p w14:paraId="66208F2F" w14:textId="77777777" w:rsidR="003C4F46" w:rsidRDefault="004B6A81">
            <w:pPr>
              <w:adjustRightInd w:val="0"/>
              <w:snapToGrid w:val="0"/>
              <w:spacing w:line="240" w:lineRule="auto"/>
              <w:ind w:firstLineChars="0" w:firstLine="0"/>
              <w:jc w:val="center"/>
              <w:textAlignment w:val="auto"/>
              <w:rPr>
                <w:color w:val="000000"/>
                <w:sz w:val="21"/>
                <w:szCs w:val="21"/>
              </w:rPr>
            </w:pPr>
            <w:r>
              <w:rPr>
                <w:rFonts w:hint="eastAsia"/>
                <w:color w:val="000000"/>
                <w:sz w:val="21"/>
                <w:szCs w:val="21"/>
              </w:rPr>
              <w:t>厂区内非甲烷总烃</w:t>
            </w:r>
          </w:p>
        </w:tc>
        <w:tc>
          <w:tcPr>
            <w:tcW w:w="1638" w:type="pct"/>
            <w:vAlign w:val="center"/>
          </w:tcPr>
          <w:p w14:paraId="0A21D85E" w14:textId="77777777" w:rsidR="003C4F46" w:rsidRDefault="004B6A81">
            <w:pPr>
              <w:adjustRightInd w:val="0"/>
              <w:snapToGrid w:val="0"/>
              <w:spacing w:line="240" w:lineRule="auto"/>
              <w:ind w:firstLineChars="0" w:firstLine="0"/>
              <w:contextualSpacing/>
              <w:jc w:val="center"/>
              <w:textAlignment w:val="auto"/>
              <w:rPr>
                <w:rFonts w:cs="Times New Roman"/>
                <w:color w:val="000000" w:themeColor="text1"/>
                <w:sz w:val="21"/>
                <w:szCs w:val="21"/>
              </w:rPr>
            </w:pPr>
            <w:r>
              <w:rPr>
                <w:rFonts w:cs="Times New Roman" w:hint="eastAsia"/>
                <w:color w:val="000000" w:themeColor="text1"/>
                <w:sz w:val="21"/>
                <w:szCs w:val="21"/>
              </w:rPr>
              <w:t>/</w:t>
            </w:r>
          </w:p>
        </w:tc>
        <w:tc>
          <w:tcPr>
            <w:tcW w:w="1247" w:type="pct"/>
            <w:vAlign w:val="center"/>
          </w:tcPr>
          <w:p w14:paraId="4F763CE7" w14:textId="77777777" w:rsidR="003C4F46" w:rsidRDefault="004B6A81">
            <w:pPr>
              <w:adjustRightInd w:val="0"/>
              <w:snapToGrid w:val="0"/>
              <w:spacing w:line="240" w:lineRule="auto"/>
              <w:ind w:firstLineChars="0" w:firstLine="0"/>
              <w:textAlignment w:val="auto"/>
              <w:rPr>
                <w:rFonts w:cs="Times New Roman"/>
                <w:color w:val="000000" w:themeColor="text1"/>
                <w:sz w:val="21"/>
                <w:szCs w:val="21"/>
              </w:rPr>
            </w:pPr>
            <w:r>
              <w:rPr>
                <w:rFonts w:cs="Times New Roman"/>
                <w:color w:val="000000" w:themeColor="text1"/>
                <w:sz w:val="21"/>
                <w:szCs w:val="21"/>
              </w:rPr>
              <w:t>《挥发性有机物无组织排放控制标准》（</w:t>
            </w:r>
            <w:r>
              <w:rPr>
                <w:rFonts w:cs="Times New Roman"/>
                <w:color w:val="000000" w:themeColor="text1"/>
                <w:sz w:val="21"/>
                <w:szCs w:val="21"/>
              </w:rPr>
              <w:t>GB37822-2019</w:t>
            </w:r>
            <w:r>
              <w:rPr>
                <w:rFonts w:cs="Times New Roman"/>
                <w:color w:val="000000" w:themeColor="text1"/>
                <w:sz w:val="21"/>
                <w:szCs w:val="21"/>
              </w:rPr>
              <w:t>）中附录</w:t>
            </w:r>
            <w:r>
              <w:rPr>
                <w:rFonts w:cs="Times New Roman"/>
                <w:color w:val="000000" w:themeColor="text1"/>
                <w:sz w:val="21"/>
                <w:szCs w:val="21"/>
              </w:rPr>
              <w:t>A.1</w:t>
            </w:r>
            <w:r>
              <w:rPr>
                <w:rFonts w:cs="Times New Roman"/>
                <w:color w:val="000000" w:themeColor="text1"/>
                <w:sz w:val="21"/>
                <w:szCs w:val="21"/>
              </w:rPr>
              <w:t>厂区内</w:t>
            </w:r>
            <w:r>
              <w:rPr>
                <w:rFonts w:cs="Times New Roman"/>
                <w:color w:val="000000" w:themeColor="text1"/>
                <w:sz w:val="21"/>
                <w:szCs w:val="21"/>
              </w:rPr>
              <w:t>VOCs</w:t>
            </w:r>
            <w:r>
              <w:rPr>
                <w:rFonts w:cs="Times New Roman"/>
                <w:color w:val="000000" w:themeColor="text1"/>
                <w:sz w:val="21"/>
                <w:szCs w:val="21"/>
              </w:rPr>
              <w:t>无组织排放限值</w:t>
            </w:r>
          </w:p>
        </w:tc>
      </w:tr>
      <w:tr w:rsidR="00C926EE" w14:paraId="5754B194" w14:textId="77777777" w:rsidTr="00C926EE">
        <w:trPr>
          <w:trHeight w:val="90"/>
          <w:jc w:val="center"/>
        </w:trPr>
        <w:tc>
          <w:tcPr>
            <w:tcW w:w="722" w:type="pct"/>
            <w:vMerge w:val="restart"/>
            <w:vAlign w:val="center"/>
          </w:tcPr>
          <w:p w14:paraId="7B2D2462" w14:textId="77777777" w:rsidR="00C926EE" w:rsidRDefault="00C926EE">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地表水环境</w:t>
            </w:r>
          </w:p>
        </w:tc>
        <w:tc>
          <w:tcPr>
            <w:tcW w:w="835" w:type="pct"/>
            <w:vAlign w:val="center"/>
          </w:tcPr>
          <w:p w14:paraId="0DD9C6F4" w14:textId="2592667C" w:rsidR="00C926EE" w:rsidRDefault="00C926EE">
            <w:pPr>
              <w:adjustRightInd w:val="0"/>
              <w:snapToGrid w:val="0"/>
              <w:spacing w:line="240" w:lineRule="auto"/>
              <w:ind w:firstLineChars="0" w:firstLine="0"/>
              <w:jc w:val="center"/>
              <w:textAlignment w:val="auto"/>
              <w:rPr>
                <w:rFonts w:cs="Times New Roman"/>
                <w:color w:val="000000" w:themeColor="text1"/>
                <w:sz w:val="21"/>
                <w:szCs w:val="21"/>
              </w:rPr>
            </w:pPr>
            <w:r w:rsidRPr="00C926EE">
              <w:rPr>
                <w:rFonts w:cs="Times New Roman" w:hint="eastAsia"/>
                <w:color w:val="000000" w:themeColor="text1"/>
                <w:sz w:val="21"/>
                <w:szCs w:val="21"/>
              </w:rPr>
              <w:t>喷淋废液</w:t>
            </w:r>
          </w:p>
        </w:tc>
        <w:tc>
          <w:tcPr>
            <w:tcW w:w="559" w:type="pct"/>
            <w:vAlign w:val="center"/>
          </w:tcPr>
          <w:p w14:paraId="76B24226" w14:textId="2342C1E5" w:rsidR="00C926EE" w:rsidRDefault="00C926EE">
            <w:pPr>
              <w:adjustRightInd w:val="0"/>
              <w:snapToGrid w:val="0"/>
              <w:spacing w:line="240" w:lineRule="auto"/>
              <w:ind w:firstLineChars="0" w:firstLine="0"/>
              <w:jc w:val="center"/>
              <w:textAlignment w:val="auto"/>
              <w:rPr>
                <w:rFonts w:cs="Times New Roman"/>
                <w:color w:val="000000" w:themeColor="text1"/>
                <w:sz w:val="21"/>
                <w:szCs w:val="21"/>
              </w:rPr>
            </w:pPr>
            <w:r w:rsidRPr="00C926EE">
              <w:rPr>
                <w:rFonts w:cs="Times New Roman" w:hint="eastAsia"/>
                <w:color w:val="000000" w:themeColor="text1"/>
                <w:sz w:val="21"/>
                <w:szCs w:val="21"/>
              </w:rPr>
              <w:t>pH</w:t>
            </w:r>
            <w:r w:rsidRPr="00C926EE">
              <w:rPr>
                <w:rFonts w:cs="Times New Roman" w:hint="eastAsia"/>
                <w:color w:val="000000" w:themeColor="text1"/>
                <w:sz w:val="21"/>
                <w:szCs w:val="21"/>
              </w:rPr>
              <w:t>、</w:t>
            </w:r>
            <w:r w:rsidRPr="00C926EE">
              <w:rPr>
                <w:rFonts w:cs="Times New Roman" w:hint="eastAsia"/>
                <w:color w:val="000000" w:themeColor="text1"/>
                <w:sz w:val="21"/>
                <w:szCs w:val="21"/>
              </w:rPr>
              <w:t>SS</w:t>
            </w:r>
            <w:r w:rsidRPr="00C926EE">
              <w:rPr>
                <w:rFonts w:cs="Times New Roman" w:hint="eastAsia"/>
                <w:color w:val="000000" w:themeColor="text1"/>
                <w:sz w:val="21"/>
                <w:szCs w:val="21"/>
              </w:rPr>
              <w:t>、</w:t>
            </w:r>
            <w:r w:rsidRPr="00C926EE">
              <w:rPr>
                <w:rFonts w:cs="Times New Roman" w:hint="eastAsia"/>
                <w:color w:val="000000" w:themeColor="text1"/>
                <w:sz w:val="21"/>
                <w:szCs w:val="21"/>
              </w:rPr>
              <w:t>COD</w:t>
            </w:r>
            <w:r w:rsidRPr="00C926EE">
              <w:rPr>
                <w:rFonts w:cs="Times New Roman" w:hint="eastAsia"/>
                <w:color w:val="000000" w:themeColor="text1"/>
                <w:sz w:val="21"/>
                <w:szCs w:val="21"/>
              </w:rPr>
              <w:t>、硫酸盐</w:t>
            </w:r>
          </w:p>
        </w:tc>
        <w:tc>
          <w:tcPr>
            <w:tcW w:w="1638" w:type="pct"/>
            <w:vAlign w:val="center"/>
          </w:tcPr>
          <w:p w14:paraId="2FA09EE5" w14:textId="587FB2C9" w:rsidR="00C926EE" w:rsidRDefault="00C926EE">
            <w:pPr>
              <w:spacing w:line="240" w:lineRule="auto"/>
              <w:ind w:firstLineChars="0" w:firstLine="0"/>
              <w:contextualSpacing/>
              <w:rPr>
                <w:rFonts w:cs="Times New Roman"/>
                <w:color w:val="000000" w:themeColor="text1"/>
                <w:sz w:val="21"/>
                <w:szCs w:val="21"/>
              </w:rPr>
            </w:pPr>
            <w:r w:rsidRPr="00C926EE">
              <w:rPr>
                <w:rFonts w:cs="Times New Roman" w:hint="eastAsia"/>
                <w:color w:val="000000" w:themeColor="text1"/>
                <w:sz w:val="21"/>
                <w:szCs w:val="21"/>
              </w:rPr>
              <w:t>碱液喷淋塔中的喷淋废液经中和后循环使用，反应饱和后定期排放至厂区现有污水处理站处理，达标后排入轮台县拉依苏化工区污水处理厂进一步处理</w:t>
            </w:r>
          </w:p>
        </w:tc>
        <w:tc>
          <w:tcPr>
            <w:tcW w:w="1247" w:type="pct"/>
            <w:vAlign w:val="center"/>
          </w:tcPr>
          <w:p w14:paraId="3FFC9108" w14:textId="04047928" w:rsidR="00C926EE" w:rsidRDefault="00C926EE">
            <w:pPr>
              <w:adjustRightInd w:val="0"/>
              <w:snapToGrid w:val="0"/>
              <w:spacing w:line="240" w:lineRule="auto"/>
              <w:ind w:firstLineChars="0" w:firstLine="0"/>
              <w:textAlignment w:val="auto"/>
              <w:rPr>
                <w:rFonts w:cs="Times New Roman"/>
                <w:color w:val="000000" w:themeColor="text1"/>
                <w:sz w:val="21"/>
                <w:szCs w:val="21"/>
              </w:rPr>
            </w:pPr>
            <w:r w:rsidRPr="00C926EE">
              <w:rPr>
                <w:rFonts w:cs="Times New Roman" w:hint="eastAsia"/>
                <w:color w:val="000000" w:themeColor="text1"/>
                <w:sz w:val="21"/>
                <w:szCs w:val="21"/>
              </w:rPr>
              <w:t>《石油炼制工业污染物排放标准》表</w:t>
            </w:r>
            <w:r w:rsidRPr="00C926EE">
              <w:rPr>
                <w:rFonts w:cs="Times New Roman" w:hint="eastAsia"/>
                <w:color w:val="000000" w:themeColor="text1"/>
                <w:sz w:val="21"/>
                <w:szCs w:val="21"/>
              </w:rPr>
              <w:t>1</w:t>
            </w:r>
            <w:r w:rsidRPr="00C926EE">
              <w:rPr>
                <w:rFonts w:cs="Times New Roman" w:hint="eastAsia"/>
                <w:color w:val="000000" w:themeColor="text1"/>
                <w:sz w:val="21"/>
                <w:szCs w:val="21"/>
              </w:rPr>
              <w:t>间接排放限值</w:t>
            </w:r>
          </w:p>
        </w:tc>
      </w:tr>
      <w:tr w:rsidR="00C926EE" w14:paraId="3260CCEC" w14:textId="77777777" w:rsidTr="00C926EE">
        <w:trPr>
          <w:trHeight w:val="464"/>
          <w:jc w:val="center"/>
        </w:trPr>
        <w:tc>
          <w:tcPr>
            <w:tcW w:w="722" w:type="pct"/>
            <w:vMerge/>
            <w:vAlign w:val="center"/>
          </w:tcPr>
          <w:p w14:paraId="59216030" w14:textId="77777777" w:rsidR="00C926EE" w:rsidRDefault="00C926EE">
            <w:pPr>
              <w:adjustRightInd w:val="0"/>
              <w:snapToGrid w:val="0"/>
              <w:spacing w:line="240" w:lineRule="auto"/>
              <w:ind w:firstLineChars="0" w:firstLine="0"/>
              <w:jc w:val="center"/>
              <w:textAlignment w:val="auto"/>
              <w:rPr>
                <w:rFonts w:cs="Times New Roman"/>
                <w:b/>
                <w:bCs/>
                <w:color w:val="000000" w:themeColor="text1"/>
                <w:sz w:val="21"/>
                <w:szCs w:val="21"/>
              </w:rPr>
            </w:pPr>
          </w:p>
        </w:tc>
        <w:tc>
          <w:tcPr>
            <w:tcW w:w="835" w:type="pct"/>
            <w:vAlign w:val="center"/>
          </w:tcPr>
          <w:p w14:paraId="7073F983" w14:textId="278C18A1" w:rsidR="00C926EE" w:rsidRDefault="00C926EE">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color w:val="000000"/>
                <w:sz w:val="21"/>
              </w:rPr>
              <w:t>生活污水</w:t>
            </w:r>
          </w:p>
        </w:tc>
        <w:tc>
          <w:tcPr>
            <w:tcW w:w="559" w:type="pct"/>
            <w:vAlign w:val="center"/>
          </w:tcPr>
          <w:p w14:paraId="2C37FBE5" w14:textId="2E12D359" w:rsidR="00C926EE" w:rsidRDefault="00C926EE">
            <w:pPr>
              <w:adjustRightInd w:val="0"/>
              <w:snapToGrid w:val="0"/>
              <w:spacing w:line="240" w:lineRule="auto"/>
              <w:ind w:firstLineChars="0" w:firstLine="0"/>
              <w:jc w:val="center"/>
              <w:textAlignment w:val="auto"/>
              <w:rPr>
                <w:rFonts w:cs="Times New Roman"/>
                <w:color w:val="000000" w:themeColor="text1"/>
                <w:sz w:val="21"/>
                <w:szCs w:val="21"/>
              </w:rPr>
            </w:pPr>
            <w:proofErr w:type="spellStart"/>
            <w:r>
              <w:rPr>
                <w:rFonts w:cs="Times New Roman"/>
                <w:color w:val="000000"/>
                <w:sz w:val="21"/>
              </w:rPr>
              <w:t>COD</w:t>
            </w:r>
            <w:r>
              <w:rPr>
                <w:rFonts w:cs="Times New Roman"/>
                <w:color w:val="000000"/>
                <w:sz w:val="21"/>
                <w:vertAlign w:val="subscript"/>
              </w:rPr>
              <w:t>Cr</w:t>
            </w:r>
            <w:proofErr w:type="spellEnd"/>
            <w:r>
              <w:rPr>
                <w:rFonts w:cs="Times New Roman"/>
                <w:color w:val="000000"/>
                <w:sz w:val="21"/>
              </w:rPr>
              <w:t>、</w:t>
            </w:r>
            <w:r>
              <w:rPr>
                <w:rFonts w:cs="Times New Roman"/>
                <w:color w:val="000000"/>
                <w:sz w:val="21"/>
              </w:rPr>
              <w:t>BOD</w:t>
            </w:r>
            <w:r>
              <w:rPr>
                <w:rFonts w:cs="Times New Roman"/>
                <w:color w:val="000000"/>
                <w:sz w:val="21"/>
                <w:vertAlign w:val="subscript"/>
              </w:rPr>
              <w:t>5</w:t>
            </w:r>
            <w:r>
              <w:rPr>
                <w:rFonts w:cs="Times New Roman"/>
                <w:color w:val="000000"/>
                <w:sz w:val="21"/>
              </w:rPr>
              <w:t>、</w:t>
            </w:r>
            <w:r>
              <w:rPr>
                <w:rFonts w:cs="Times New Roman"/>
                <w:color w:val="000000"/>
                <w:sz w:val="21"/>
              </w:rPr>
              <w:t>SS</w:t>
            </w:r>
            <w:r>
              <w:rPr>
                <w:rFonts w:cs="Times New Roman"/>
                <w:color w:val="000000"/>
                <w:sz w:val="21"/>
              </w:rPr>
              <w:t>、氨氮</w:t>
            </w:r>
          </w:p>
        </w:tc>
        <w:tc>
          <w:tcPr>
            <w:tcW w:w="1638" w:type="pct"/>
            <w:vAlign w:val="center"/>
          </w:tcPr>
          <w:p w14:paraId="7AC749D8" w14:textId="55939F5A" w:rsidR="00C926EE" w:rsidRDefault="00C926EE" w:rsidP="00C926EE">
            <w:pPr>
              <w:adjustRightInd w:val="0"/>
              <w:snapToGrid w:val="0"/>
              <w:spacing w:line="240" w:lineRule="auto"/>
              <w:ind w:firstLineChars="0" w:firstLine="0"/>
              <w:textAlignment w:val="auto"/>
              <w:rPr>
                <w:rFonts w:cs="Times New Roman"/>
                <w:color w:val="000000" w:themeColor="text1"/>
                <w:sz w:val="21"/>
                <w:szCs w:val="21"/>
              </w:rPr>
            </w:pPr>
            <w:r w:rsidRPr="00C926EE">
              <w:rPr>
                <w:rFonts w:cs="Times New Roman" w:hint="eastAsia"/>
                <w:color w:val="000000" w:themeColor="text1"/>
                <w:sz w:val="21"/>
                <w:szCs w:val="21"/>
              </w:rPr>
              <w:t>生活污水排入园区管网，由园区污水处理</w:t>
            </w:r>
            <w:r w:rsidR="008806ED">
              <w:rPr>
                <w:rFonts w:cs="Times New Roman" w:hint="eastAsia"/>
                <w:color w:val="000000" w:themeColor="text1"/>
                <w:sz w:val="21"/>
                <w:szCs w:val="21"/>
              </w:rPr>
              <w:t>厂</w:t>
            </w:r>
            <w:r w:rsidRPr="00C926EE">
              <w:rPr>
                <w:rFonts w:cs="Times New Roman" w:hint="eastAsia"/>
                <w:color w:val="000000" w:themeColor="text1"/>
                <w:sz w:val="21"/>
                <w:szCs w:val="21"/>
              </w:rPr>
              <w:t>处理；事故冲洗废水作为危险废物交有资质单位处置，不外排处理；事故冲洗废水作为危险废物交有资质单位处置，不外排</w:t>
            </w:r>
          </w:p>
        </w:tc>
        <w:tc>
          <w:tcPr>
            <w:tcW w:w="1247" w:type="pct"/>
            <w:vAlign w:val="center"/>
          </w:tcPr>
          <w:p w14:paraId="4A68D283" w14:textId="3F8CF560" w:rsidR="00C926EE" w:rsidRPr="00C926EE" w:rsidRDefault="00C926EE">
            <w:pPr>
              <w:adjustRightInd w:val="0"/>
              <w:snapToGrid w:val="0"/>
              <w:spacing w:line="240" w:lineRule="auto"/>
              <w:ind w:firstLineChars="0" w:firstLine="0"/>
              <w:textAlignment w:val="auto"/>
              <w:rPr>
                <w:rFonts w:cs="Times New Roman"/>
                <w:color w:val="000000" w:themeColor="text1"/>
                <w:sz w:val="21"/>
                <w:szCs w:val="21"/>
              </w:rPr>
            </w:pPr>
            <w:r>
              <w:rPr>
                <w:rFonts w:cs="Times New Roman" w:hint="eastAsia"/>
                <w:color w:val="000000"/>
                <w:sz w:val="21"/>
              </w:rPr>
              <w:t>《污水综合排放标准》（</w:t>
            </w:r>
            <w:r>
              <w:rPr>
                <w:rFonts w:cs="Times New Roman" w:hint="eastAsia"/>
                <w:color w:val="000000"/>
                <w:sz w:val="21"/>
              </w:rPr>
              <w:t>GB8978-1996</w:t>
            </w:r>
            <w:r>
              <w:rPr>
                <w:rFonts w:cs="Times New Roman" w:hint="eastAsia"/>
                <w:color w:val="000000"/>
                <w:sz w:val="21"/>
              </w:rPr>
              <w:t>）三级排放标准</w:t>
            </w:r>
          </w:p>
        </w:tc>
      </w:tr>
      <w:tr w:rsidR="003C4F46" w14:paraId="56698B10" w14:textId="77777777" w:rsidTr="00C926EE">
        <w:trPr>
          <w:trHeight w:val="464"/>
          <w:jc w:val="center"/>
        </w:trPr>
        <w:tc>
          <w:tcPr>
            <w:tcW w:w="722" w:type="pct"/>
            <w:vAlign w:val="center"/>
          </w:tcPr>
          <w:p w14:paraId="672D5427"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声环境</w:t>
            </w:r>
          </w:p>
        </w:tc>
        <w:tc>
          <w:tcPr>
            <w:tcW w:w="835" w:type="pct"/>
            <w:vAlign w:val="center"/>
          </w:tcPr>
          <w:p w14:paraId="510250C1"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设备噪声</w:t>
            </w:r>
          </w:p>
        </w:tc>
        <w:tc>
          <w:tcPr>
            <w:tcW w:w="559" w:type="pct"/>
            <w:vAlign w:val="center"/>
          </w:tcPr>
          <w:p w14:paraId="60E0EE3A"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噪声</w:t>
            </w:r>
          </w:p>
        </w:tc>
        <w:tc>
          <w:tcPr>
            <w:tcW w:w="1638" w:type="pct"/>
            <w:vAlign w:val="center"/>
          </w:tcPr>
          <w:p w14:paraId="3020196A"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设备噪声主要采用隔音、减振、合理布局等降噪措施</w:t>
            </w:r>
          </w:p>
        </w:tc>
        <w:tc>
          <w:tcPr>
            <w:tcW w:w="1247" w:type="pct"/>
            <w:vAlign w:val="center"/>
          </w:tcPr>
          <w:p w14:paraId="5A7BB207" w14:textId="77777777" w:rsidR="003C4F46" w:rsidRDefault="004B6A81">
            <w:pPr>
              <w:adjustRightInd w:val="0"/>
              <w:snapToGrid w:val="0"/>
              <w:spacing w:line="240" w:lineRule="auto"/>
              <w:ind w:firstLineChars="0" w:firstLine="0"/>
              <w:textAlignment w:val="auto"/>
              <w:rPr>
                <w:rFonts w:cs="Times New Roman"/>
                <w:color w:val="000000" w:themeColor="text1"/>
                <w:sz w:val="21"/>
                <w:szCs w:val="21"/>
              </w:rPr>
            </w:pPr>
            <w:r>
              <w:rPr>
                <w:rFonts w:cs="Times New Roman" w:hint="eastAsia"/>
                <w:color w:val="000000" w:themeColor="text1"/>
                <w:sz w:val="21"/>
                <w:szCs w:val="21"/>
              </w:rPr>
              <w:t>《工业企业厂界环境噪声排放标准》（</w:t>
            </w:r>
            <w:r>
              <w:rPr>
                <w:rFonts w:cs="Times New Roman"/>
                <w:color w:val="000000" w:themeColor="text1"/>
                <w:sz w:val="21"/>
                <w:szCs w:val="21"/>
              </w:rPr>
              <w:t>GB12348</w:t>
            </w:r>
            <w:r>
              <w:rPr>
                <w:rFonts w:cs="Times New Roman" w:hint="eastAsia"/>
                <w:color w:val="000000" w:themeColor="text1"/>
                <w:sz w:val="21"/>
                <w:szCs w:val="21"/>
              </w:rPr>
              <w:t>-</w:t>
            </w:r>
            <w:r>
              <w:rPr>
                <w:rFonts w:cs="Times New Roman"/>
                <w:color w:val="000000" w:themeColor="text1"/>
                <w:sz w:val="21"/>
                <w:szCs w:val="21"/>
              </w:rPr>
              <w:t>2008</w:t>
            </w:r>
            <w:r>
              <w:rPr>
                <w:rFonts w:cs="Times New Roman" w:hint="eastAsia"/>
                <w:color w:val="000000" w:themeColor="text1"/>
                <w:sz w:val="21"/>
                <w:szCs w:val="21"/>
              </w:rPr>
              <w:t>）</w:t>
            </w:r>
            <w:r>
              <w:rPr>
                <w:rFonts w:cs="Times New Roman"/>
                <w:color w:val="000000" w:themeColor="text1"/>
                <w:sz w:val="21"/>
                <w:szCs w:val="21"/>
              </w:rPr>
              <w:t>3</w:t>
            </w:r>
            <w:r>
              <w:rPr>
                <w:rFonts w:cs="Times New Roman" w:hint="eastAsia"/>
                <w:color w:val="000000" w:themeColor="text1"/>
                <w:sz w:val="21"/>
                <w:szCs w:val="21"/>
              </w:rPr>
              <w:t>类标准</w:t>
            </w:r>
          </w:p>
        </w:tc>
      </w:tr>
      <w:tr w:rsidR="003C4F46" w14:paraId="599A76D9" w14:textId="77777777" w:rsidTr="00C926EE">
        <w:trPr>
          <w:trHeight w:val="340"/>
          <w:jc w:val="center"/>
        </w:trPr>
        <w:tc>
          <w:tcPr>
            <w:tcW w:w="722" w:type="pct"/>
            <w:vAlign w:val="center"/>
          </w:tcPr>
          <w:p w14:paraId="2A08BA75"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电磁辐射</w:t>
            </w:r>
          </w:p>
        </w:tc>
        <w:tc>
          <w:tcPr>
            <w:tcW w:w="835" w:type="pct"/>
            <w:vAlign w:val="center"/>
          </w:tcPr>
          <w:p w14:paraId="2BE5E595"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w:t>
            </w:r>
          </w:p>
        </w:tc>
        <w:tc>
          <w:tcPr>
            <w:tcW w:w="559" w:type="pct"/>
            <w:vAlign w:val="center"/>
          </w:tcPr>
          <w:p w14:paraId="2DA55F1F"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w:t>
            </w:r>
          </w:p>
        </w:tc>
        <w:tc>
          <w:tcPr>
            <w:tcW w:w="1638" w:type="pct"/>
            <w:vAlign w:val="center"/>
          </w:tcPr>
          <w:p w14:paraId="3C3EE182"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w:t>
            </w:r>
          </w:p>
        </w:tc>
        <w:tc>
          <w:tcPr>
            <w:tcW w:w="1247" w:type="pct"/>
            <w:vAlign w:val="center"/>
          </w:tcPr>
          <w:p w14:paraId="535E0960"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hint="eastAsia"/>
                <w:color w:val="000000" w:themeColor="text1"/>
                <w:sz w:val="21"/>
                <w:szCs w:val="21"/>
              </w:rPr>
              <w:t>/</w:t>
            </w:r>
          </w:p>
        </w:tc>
      </w:tr>
      <w:tr w:rsidR="003C4F46" w14:paraId="6B244EC5" w14:textId="77777777" w:rsidTr="00C926EE">
        <w:trPr>
          <w:trHeight w:val="340"/>
          <w:jc w:val="center"/>
        </w:trPr>
        <w:tc>
          <w:tcPr>
            <w:tcW w:w="722" w:type="pct"/>
            <w:vAlign w:val="center"/>
          </w:tcPr>
          <w:p w14:paraId="15CE4DE8"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固体废物</w:t>
            </w:r>
          </w:p>
        </w:tc>
        <w:tc>
          <w:tcPr>
            <w:tcW w:w="4278" w:type="pct"/>
            <w:gridSpan w:val="4"/>
            <w:vAlign w:val="center"/>
          </w:tcPr>
          <w:p w14:paraId="268F866A" w14:textId="14390CFA" w:rsidR="003C4F46" w:rsidRDefault="004B6A81">
            <w:pPr>
              <w:pStyle w:val="affc"/>
              <w:spacing w:line="240" w:lineRule="auto"/>
              <w:ind w:firstLineChars="0" w:firstLine="0"/>
              <w:rPr>
                <w:color w:val="000000" w:themeColor="text1"/>
                <w:sz w:val="21"/>
                <w:szCs w:val="21"/>
              </w:rPr>
            </w:pPr>
            <w:r>
              <w:rPr>
                <w:sz w:val="21"/>
                <w:szCs w:val="21"/>
              </w:rPr>
              <w:t>生活垃圾经垃圾桶收集后由当地环卫部门定期清运</w:t>
            </w:r>
            <w:r>
              <w:rPr>
                <w:rFonts w:hint="eastAsia"/>
                <w:sz w:val="21"/>
                <w:szCs w:val="21"/>
              </w:rPr>
              <w:t>；</w:t>
            </w:r>
            <w:r>
              <w:rPr>
                <w:rFonts w:hint="eastAsia"/>
                <w:color w:val="000000" w:themeColor="text1"/>
                <w:sz w:val="21"/>
                <w:szCs w:val="21"/>
              </w:rPr>
              <w:t>项目产生的危险废物与本项目其他</w:t>
            </w:r>
            <w:r w:rsidR="00391B5D">
              <w:rPr>
                <w:rFonts w:hint="eastAsia"/>
                <w:color w:val="000000" w:themeColor="text1"/>
                <w:sz w:val="21"/>
                <w:szCs w:val="21"/>
              </w:rPr>
              <w:t>危险废物</w:t>
            </w:r>
            <w:r>
              <w:rPr>
                <w:rFonts w:hint="eastAsia"/>
                <w:color w:val="000000" w:themeColor="text1"/>
                <w:sz w:val="21"/>
                <w:szCs w:val="21"/>
              </w:rPr>
              <w:t>一同暂时贮存、委托处置</w:t>
            </w:r>
            <w:r w:rsidR="00391B5D">
              <w:rPr>
                <w:rFonts w:hint="eastAsia"/>
                <w:color w:val="000000" w:themeColor="text1"/>
                <w:sz w:val="21"/>
                <w:szCs w:val="21"/>
              </w:rPr>
              <w:t>。</w:t>
            </w:r>
          </w:p>
        </w:tc>
      </w:tr>
      <w:tr w:rsidR="003C4F46" w14:paraId="76A64C89" w14:textId="77777777" w:rsidTr="00C926EE">
        <w:trPr>
          <w:trHeight w:val="668"/>
          <w:jc w:val="center"/>
        </w:trPr>
        <w:tc>
          <w:tcPr>
            <w:tcW w:w="722" w:type="pct"/>
            <w:vAlign w:val="center"/>
          </w:tcPr>
          <w:p w14:paraId="6AEED998"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土壤及地下水污染防治措施</w:t>
            </w:r>
          </w:p>
        </w:tc>
        <w:tc>
          <w:tcPr>
            <w:tcW w:w="4278" w:type="pct"/>
            <w:gridSpan w:val="4"/>
            <w:vAlign w:val="center"/>
          </w:tcPr>
          <w:p w14:paraId="681E8A23" w14:textId="6BB37FA0" w:rsidR="003C4F46" w:rsidRDefault="004B6A81">
            <w:pPr>
              <w:adjustRightInd w:val="0"/>
              <w:snapToGrid w:val="0"/>
              <w:spacing w:line="240" w:lineRule="auto"/>
              <w:ind w:firstLineChars="0" w:firstLine="0"/>
              <w:textAlignment w:val="auto"/>
              <w:rPr>
                <w:rFonts w:cs="Times New Roman"/>
                <w:color w:val="000000" w:themeColor="text1"/>
                <w:sz w:val="21"/>
                <w:szCs w:val="21"/>
              </w:rPr>
            </w:pPr>
            <w:r>
              <w:rPr>
                <w:rFonts w:cs="Times New Roman" w:hint="eastAsia"/>
                <w:sz w:val="21"/>
                <w:szCs w:val="21"/>
              </w:rPr>
              <w:t>采取地面防渗等措施，可以有效保证污染物不会流失进入土壤、地下水环境，防止污染物污染土壤、地下水</w:t>
            </w:r>
            <w:r w:rsidR="00391B5D">
              <w:rPr>
                <w:rFonts w:cs="Times New Roman" w:hint="eastAsia"/>
                <w:sz w:val="21"/>
                <w:szCs w:val="21"/>
              </w:rPr>
              <w:t>。</w:t>
            </w:r>
          </w:p>
        </w:tc>
      </w:tr>
      <w:tr w:rsidR="003C4F46" w14:paraId="07C640C8" w14:textId="77777777" w:rsidTr="00C926EE">
        <w:trPr>
          <w:trHeight w:val="116"/>
          <w:jc w:val="center"/>
        </w:trPr>
        <w:tc>
          <w:tcPr>
            <w:tcW w:w="722" w:type="pct"/>
            <w:vAlign w:val="center"/>
          </w:tcPr>
          <w:p w14:paraId="64D30C38"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z w:val="21"/>
                <w:szCs w:val="21"/>
              </w:rPr>
            </w:pPr>
            <w:r>
              <w:rPr>
                <w:rFonts w:cs="Times New Roman"/>
                <w:b/>
                <w:bCs/>
                <w:color w:val="000000" w:themeColor="text1"/>
                <w:sz w:val="21"/>
                <w:szCs w:val="21"/>
              </w:rPr>
              <w:t>生态保护措施</w:t>
            </w:r>
          </w:p>
        </w:tc>
        <w:tc>
          <w:tcPr>
            <w:tcW w:w="4278" w:type="pct"/>
            <w:gridSpan w:val="4"/>
            <w:vAlign w:val="center"/>
          </w:tcPr>
          <w:p w14:paraId="0F88A247" w14:textId="77777777" w:rsidR="003C4F46" w:rsidRDefault="004B6A81">
            <w:pPr>
              <w:adjustRightInd w:val="0"/>
              <w:snapToGrid w:val="0"/>
              <w:spacing w:line="240" w:lineRule="auto"/>
              <w:ind w:firstLineChars="0" w:firstLine="0"/>
              <w:jc w:val="center"/>
              <w:textAlignment w:val="auto"/>
              <w:rPr>
                <w:rFonts w:cs="Times New Roman"/>
                <w:color w:val="000000" w:themeColor="text1"/>
                <w:sz w:val="21"/>
                <w:szCs w:val="21"/>
              </w:rPr>
            </w:pPr>
            <w:r>
              <w:rPr>
                <w:rFonts w:cs="Times New Roman"/>
                <w:sz w:val="21"/>
                <w:szCs w:val="21"/>
              </w:rPr>
              <w:t>厂区绿化</w:t>
            </w:r>
          </w:p>
        </w:tc>
      </w:tr>
      <w:tr w:rsidR="003C4F46" w14:paraId="56237069" w14:textId="77777777" w:rsidTr="00C926EE">
        <w:trPr>
          <w:trHeight w:val="674"/>
          <w:jc w:val="center"/>
        </w:trPr>
        <w:tc>
          <w:tcPr>
            <w:tcW w:w="722" w:type="pct"/>
            <w:vAlign w:val="center"/>
          </w:tcPr>
          <w:p w14:paraId="5BAFFAF7"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pacing w:val="-8"/>
                <w:sz w:val="21"/>
                <w:szCs w:val="21"/>
              </w:rPr>
            </w:pPr>
            <w:r>
              <w:rPr>
                <w:rFonts w:cs="Times New Roman"/>
                <w:b/>
                <w:bCs/>
                <w:color w:val="000000" w:themeColor="text1"/>
                <w:spacing w:val="-8"/>
                <w:sz w:val="21"/>
                <w:szCs w:val="21"/>
              </w:rPr>
              <w:lastRenderedPageBreak/>
              <w:t>环境风险</w:t>
            </w:r>
          </w:p>
          <w:p w14:paraId="093BCC6C"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pacing w:val="-8"/>
                <w:sz w:val="21"/>
                <w:szCs w:val="21"/>
              </w:rPr>
            </w:pPr>
            <w:r>
              <w:rPr>
                <w:rFonts w:cs="Times New Roman"/>
                <w:b/>
                <w:bCs/>
                <w:color w:val="000000" w:themeColor="text1"/>
                <w:spacing w:val="-8"/>
                <w:sz w:val="21"/>
                <w:szCs w:val="21"/>
              </w:rPr>
              <w:t>防范措施</w:t>
            </w:r>
          </w:p>
        </w:tc>
        <w:tc>
          <w:tcPr>
            <w:tcW w:w="4278" w:type="pct"/>
            <w:gridSpan w:val="4"/>
            <w:vAlign w:val="center"/>
          </w:tcPr>
          <w:p w14:paraId="561DF3EB" w14:textId="77777777" w:rsidR="003C4F46" w:rsidRDefault="004B6A81">
            <w:pPr>
              <w:adjustRightInd w:val="0"/>
              <w:snapToGrid w:val="0"/>
              <w:spacing w:line="240" w:lineRule="auto"/>
              <w:ind w:firstLineChars="0" w:firstLine="0"/>
              <w:textAlignment w:val="auto"/>
              <w:rPr>
                <w:rFonts w:cs="Times New Roman"/>
                <w:color w:val="000000" w:themeColor="text1"/>
                <w:sz w:val="21"/>
                <w:szCs w:val="21"/>
              </w:rPr>
            </w:pPr>
            <w:r>
              <w:rPr>
                <w:rFonts w:cs="Times New Roman" w:hint="eastAsia"/>
                <w:color w:val="000000" w:themeColor="text1"/>
                <w:sz w:val="21"/>
                <w:szCs w:val="21"/>
              </w:rPr>
              <w:t>建设单位通过加强管理、制定风险应急管理制度，并严格落实评价所提出的各项综合风险防范措施后，可将事故发生的概率降至最低。同时，采取有效的风险应急预案，可使事故的环境影响控制在可接受范围内。本项目建成投入运行前，须完成突发环境事件应急预案的修订及重新备案。</w:t>
            </w:r>
          </w:p>
        </w:tc>
      </w:tr>
      <w:tr w:rsidR="003C4F46" w14:paraId="5BF03EC2" w14:textId="77777777" w:rsidTr="00C926EE">
        <w:trPr>
          <w:trHeight w:val="55"/>
          <w:jc w:val="center"/>
        </w:trPr>
        <w:tc>
          <w:tcPr>
            <w:tcW w:w="722" w:type="pct"/>
            <w:vAlign w:val="center"/>
          </w:tcPr>
          <w:p w14:paraId="289C5785"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pacing w:val="-8"/>
                <w:sz w:val="21"/>
                <w:szCs w:val="21"/>
              </w:rPr>
            </w:pPr>
            <w:r>
              <w:rPr>
                <w:rFonts w:cs="Times New Roman"/>
                <w:b/>
                <w:bCs/>
                <w:color w:val="000000" w:themeColor="text1"/>
                <w:spacing w:val="-8"/>
                <w:sz w:val="21"/>
                <w:szCs w:val="21"/>
              </w:rPr>
              <w:t>其他环境</w:t>
            </w:r>
          </w:p>
          <w:p w14:paraId="10D647F6" w14:textId="77777777" w:rsidR="003C4F46" w:rsidRDefault="004B6A81">
            <w:pPr>
              <w:adjustRightInd w:val="0"/>
              <w:snapToGrid w:val="0"/>
              <w:spacing w:line="240" w:lineRule="auto"/>
              <w:ind w:firstLineChars="0" w:firstLine="0"/>
              <w:jc w:val="center"/>
              <w:textAlignment w:val="auto"/>
              <w:rPr>
                <w:rFonts w:cs="Times New Roman"/>
                <w:b/>
                <w:bCs/>
                <w:color w:val="000000" w:themeColor="text1"/>
                <w:spacing w:val="-8"/>
                <w:sz w:val="21"/>
                <w:szCs w:val="21"/>
              </w:rPr>
            </w:pPr>
            <w:r>
              <w:rPr>
                <w:rFonts w:cs="Times New Roman"/>
                <w:b/>
                <w:bCs/>
                <w:color w:val="000000" w:themeColor="text1"/>
                <w:spacing w:val="-8"/>
                <w:sz w:val="21"/>
                <w:szCs w:val="21"/>
              </w:rPr>
              <w:t>管理要求</w:t>
            </w:r>
          </w:p>
        </w:tc>
        <w:tc>
          <w:tcPr>
            <w:tcW w:w="4278" w:type="pct"/>
            <w:gridSpan w:val="4"/>
            <w:vAlign w:val="center"/>
          </w:tcPr>
          <w:p w14:paraId="07935627"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sz w:val="21"/>
                <w:szCs w:val="21"/>
              </w:rPr>
              <w:t>一、</w:t>
            </w:r>
            <w:r>
              <w:rPr>
                <w:rFonts w:cs="Times New Roman" w:hint="eastAsia"/>
                <w:sz w:val="21"/>
                <w:szCs w:val="21"/>
              </w:rPr>
              <w:t>环境管理机构和职责</w:t>
            </w:r>
          </w:p>
          <w:p w14:paraId="3A5CC8F8" w14:textId="77777777" w:rsidR="003C4F46" w:rsidRDefault="004B6A81">
            <w:pPr>
              <w:adjustRightInd w:val="0"/>
              <w:snapToGrid w:val="0"/>
              <w:spacing w:line="240" w:lineRule="auto"/>
              <w:ind w:firstLine="420"/>
              <w:textAlignment w:val="auto"/>
              <w:rPr>
                <w:rFonts w:cs="Times New Roman"/>
                <w:sz w:val="21"/>
                <w:szCs w:val="21"/>
              </w:rPr>
            </w:pPr>
            <w:r>
              <w:rPr>
                <w:rFonts w:cs="Times New Roman" w:hint="eastAsia"/>
                <w:sz w:val="21"/>
                <w:szCs w:val="21"/>
              </w:rPr>
              <w:t>根据国家有关环境保护法规的要求和本项目生产的实际需要，该企业须配备专职环保管理人员</w:t>
            </w:r>
            <w:r>
              <w:rPr>
                <w:rFonts w:cs="Times New Roman"/>
                <w:sz w:val="21"/>
                <w:szCs w:val="21"/>
              </w:rPr>
              <w:t>。环保管理人员应由熟悉企业排污状况、具备一定清洁生产知识、责任心强和组织协调能力强的人员担任，以利于监督管理，负责全厂的环境保护管理工作，发现问题能及时解决并向上级环保主管部门报告</w:t>
            </w:r>
            <w:r>
              <w:rPr>
                <w:rFonts w:cs="Times New Roman" w:hint="eastAsia"/>
                <w:sz w:val="21"/>
                <w:szCs w:val="21"/>
              </w:rPr>
              <w:t>。</w:t>
            </w:r>
          </w:p>
          <w:p w14:paraId="1496B1C8"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二、环境管理内容</w:t>
            </w:r>
          </w:p>
          <w:p w14:paraId="742EF768" w14:textId="77777777" w:rsidR="003C4F46" w:rsidRDefault="004B6A81">
            <w:pPr>
              <w:adjustRightInd w:val="0"/>
              <w:snapToGrid w:val="0"/>
              <w:spacing w:line="240" w:lineRule="auto"/>
              <w:ind w:firstLine="420"/>
              <w:jc w:val="left"/>
              <w:textAlignment w:val="auto"/>
              <w:rPr>
                <w:rFonts w:cs="Times New Roman"/>
                <w:sz w:val="21"/>
                <w:szCs w:val="21"/>
              </w:rPr>
            </w:pPr>
            <w:r>
              <w:rPr>
                <w:rFonts w:cs="Times New Roman"/>
                <w:sz w:val="21"/>
                <w:szCs w:val="21"/>
              </w:rPr>
              <w:t>（</w:t>
            </w:r>
            <w:r>
              <w:rPr>
                <w:rFonts w:cs="Times New Roman"/>
                <w:sz w:val="21"/>
                <w:szCs w:val="21"/>
              </w:rPr>
              <w:t>1</w:t>
            </w:r>
            <w:r>
              <w:rPr>
                <w:rFonts w:cs="Times New Roman"/>
                <w:sz w:val="21"/>
                <w:szCs w:val="21"/>
              </w:rPr>
              <w:t>）</w:t>
            </w:r>
            <w:r>
              <w:rPr>
                <w:rFonts w:cs="Times New Roman" w:hint="eastAsia"/>
                <w:sz w:val="21"/>
                <w:szCs w:val="21"/>
              </w:rPr>
              <w:t>设置</w:t>
            </w:r>
            <w:r>
              <w:rPr>
                <w:rFonts w:cs="Times New Roman"/>
                <w:sz w:val="21"/>
                <w:szCs w:val="21"/>
              </w:rPr>
              <w:t>环境保护职责管理条例</w:t>
            </w:r>
            <w:r>
              <w:rPr>
                <w:rFonts w:cs="Times New Roman" w:hint="eastAsia"/>
                <w:sz w:val="21"/>
                <w:szCs w:val="21"/>
              </w:rPr>
              <w:t>、</w:t>
            </w:r>
            <w:r>
              <w:rPr>
                <w:rFonts w:cs="Times New Roman"/>
                <w:sz w:val="21"/>
                <w:szCs w:val="21"/>
              </w:rPr>
              <w:t>废气排放管理制度</w:t>
            </w:r>
            <w:r>
              <w:rPr>
                <w:rFonts w:cs="Times New Roman" w:hint="eastAsia"/>
                <w:sz w:val="21"/>
                <w:szCs w:val="21"/>
              </w:rPr>
              <w:t>、</w:t>
            </w:r>
            <w:r>
              <w:rPr>
                <w:rFonts w:cs="Times New Roman"/>
                <w:sz w:val="21"/>
                <w:szCs w:val="21"/>
              </w:rPr>
              <w:t>固废的管理与处置制度</w:t>
            </w:r>
            <w:r>
              <w:rPr>
                <w:rFonts w:cs="Times New Roman" w:hint="eastAsia"/>
                <w:sz w:val="21"/>
                <w:szCs w:val="21"/>
              </w:rPr>
              <w:t>等环境管理制度；</w:t>
            </w:r>
          </w:p>
          <w:p w14:paraId="48D641FF" w14:textId="77777777" w:rsidR="003C4F46" w:rsidRDefault="004B6A81">
            <w:pPr>
              <w:adjustRightInd w:val="0"/>
              <w:snapToGrid w:val="0"/>
              <w:spacing w:line="240" w:lineRule="auto"/>
              <w:ind w:firstLine="420"/>
              <w:textAlignment w:val="auto"/>
              <w:rPr>
                <w:rFonts w:cs="Times New Roman"/>
                <w:sz w:val="21"/>
                <w:szCs w:val="21"/>
              </w:rPr>
            </w:pPr>
            <w:r>
              <w:rPr>
                <w:rFonts w:cs="Times New Roman"/>
                <w:sz w:val="21"/>
                <w:szCs w:val="21"/>
              </w:rPr>
              <w:t>（</w:t>
            </w:r>
            <w:r>
              <w:rPr>
                <w:rFonts w:cs="Times New Roman"/>
                <w:sz w:val="21"/>
                <w:szCs w:val="21"/>
              </w:rPr>
              <w:t>2</w:t>
            </w:r>
            <w:r>
              <w:rPr>
                <w:rFonts w:cs="Times New Roman"/>
                <w:sz w:val="21"/>
                <w:szCs w:val="21"/>
              </w:rPr>
              <w:t>）</w:t>
            </w:r>
            <w:r>
              <w:rPr>
                <w:rFonts w:cs="Times New Roman" w:hint="eastAsia"/>
                <w:sz w:val="21"/>
                <w:szCs w:val="21"/>
              </w:rPr>
              <w:t>督促和协助企业建立健全环境管理体系和管理人员；</w:t>
            </w:r>
          </w:p>
          <w:p w14:paraId="5EAEBF28" w14:textId="77777777" w:rsidR="003C4F46" w:rsidRDefault="004B6A81">
            <w:pPr>
              <w:adjustRightInd w:val="0"/>
              <w:snapToGrid w:val="0"/>
              <w:spacing w:line="240" w:lineRule="auto"/>
              <w:ind w:firstLine="420"/>
              <w:textAlignment w:val="auto"/>
              <w:rPr>
                <w:rFonts w:cs="Times New Roman"/>
                <w:sz w:val="21"/>
                <w:szCs w:val="21"/>
              </w:rPr>
            </w:pPr>
            <w:r>
              <w:rPr>
                <w:rFonts w:cs="Times New Roman"/>
                <w:sz w:val="21"/>
                <w:szCs w:val="21"/>
              </w:rPr>
              <w:t>（</w:t>
            </w:r>
            <w:r>
              <w:rPr>
                <w:rFonts w:cs="Times New Roman"/>
                <w:sz w:val="21"/>
                <w:szCs w:val="21"/>
              </w:rPr>
              <w:t>3</w:t>
            </w:r>
            <w:r>
              <w:rPr>
                <w:rFonts w:cs="Times New Roman"/>
                <w:sz w:val="21"/>
                <w:szCs w:val="21"/>
              </w:rPr>
              <w:t>）</w:t>
            </w:r>
            <w:r>
              <w:rPr>
                <w:rFonts w:cs="Times New Roman" w:hint="eastAsia"/>
                <w:sz w:val="21"/>
                <w:szCs w:val="21"/>
              </w:rPr>
              <w:t>宣传国家、自治区、自治州有关环境保护方面的法律、法规和政策；</w:t>
            </w:r>
          </w:p>
          <w:p w14:paraId="70E85478" w14:textId="77777777" w:rsidR="003C4F46" w:rsidRDefault="004B6A81">
            <w:pPr>
              <w:adjustRightInd w:val="0"/>
              <w:snapToGrid w:val="0"/>
              <w:spacing w:line="240" w:lineRule="auto"/>
              <w:ind w:firstLine="420"/>
              <w:textAlignment w:val="auto"/>
              <w:rPr>
                <w:rFonts w:cs="Times New Roman"/>
                <w:sz w:val="21"/>
                <w:szCs w:val="21"/>
              </w:rPr>
            </w:pPr>
            <w:r>
              <w:rPr>
                <w:rFonts w:cs="Times New Roman" w:hint="eastAsia"/>
                <w:sz w:val="21"/>
                <w:szCs w:val="21"/>
              </w:rPr>
              <w:t>（</w:t>
            </w:r>
            <w:r>
              <w:rPr>
                <w:rFonts w:cs="Times New Roman" w:hint="eastAsia"/>
                <w:sz w:val="21"/>
                <w:szCs w:val="21"/>
              </w:rPr>
              <w:t>4</w:t>
            </w:r>
            <w:r>
              <w:rPr>
                <w:rFonts w:cs="Times New Roman" w:hint="eastAsia"/>
                <w:sz w:val="21"/>
                <w:szCs w:val="21"/>
              </w:rPr>
              <w:t>）实施“三同时”验收和污染物达标排放的监督管理；</w:t>
            </w:r>
          </w:p>
          <w:p w14:paraId="1BFD71DD" w14:textId="77777777" w:rsidR="003C4F46" w:rsidRDefault="004B6A81">
            <w:pPr>
              <w:adjustRightInd w:val="0"/>
              <w:snapToGrid w:val="0"/>
              <w:spacing w:line="240" w:lineRule="auto"/>
              <w:ind w:firstLine="420"/>
              <w:textAlignment w:val="auto"/>
              <w:rPr>
                <w:rFonts w:cs="Times New Roman"/>
                <w:sz w:val="21"/>
                <w:szCs w:val="21"/>
              </w:rPr>
            </w:pPr>
            <w:r>
              <w:rPr>
                <w:rFonts w:cs="Times New Roman" w:hint="eastAsia"/>
                <w:sz w:val="21"/>
                <w:szCs w:val="21"/>
              </w:rPr>
              <w:t>（</w:t>
            </w:r>
            <w:r>
              <w:rPr>
                <w:rFonts w:cs="Times New Roman" w:hint="eastAsia"/>
                <w:sz w:val="21"/>
                <w:szCs w:val="21"/>
              </w:rPr>
              <w:t>5</w:t>
            </w:r>
            <w:r>
              <w:rPr>
                <w:rFonts w:cs="Times New Roman" w:hint="eastAsia"/>
                <w:sz w:val="21"/>
                <w:szCs w:val="21"/>
              </w:rPr>
              <w:t>）检查环保设施的运行状况和是否达标排放。</w:t>
            </w:r>
          </w:p>
          <w:p w14:paraId="6505DEE9" w14:textId="77777777" w:rsidR="003C4F46" w:rsidRDefault="004B6A81">
            <w:pPr>
              <w:adjustRightInd w:val="0"/>
              <w:snapToGrid w:val="0"/>
              <w:spacing w:line="240" w:lineRule="auto"/>
              <w:ind w:firstLineChars="0" w:firstLine="0"/>
              <w:textAlignment w:val="auto"/>
              <w:rPr>
                <w:rFonts w:cs="Times New Roman"/>
                <w:sz w:val="21"/>
                <w:szCs w:val="21"/>
              </w:rPr>
            </w:pPr>
            <w:r>
              <w:rPr>
                <w:rFonts w:cs="Times New Roman" w:hint="eastAsia"/>
                <w:sz w:val="21"/>
                <w:szCs w:val="21"/>
              </w:rPr>
              <w:t>三</w:t>
            </w:r>
            <w:r>
              <w:rPr>
                <w:rFonts w:cs="Times New Roman"/>
                <w:sz w:val="21"/>
                <w:szCs w:val="21"/>
              </w:rPr>
              <w:t>、</w:t>
            </w:r>
            <w:r>
              <w:rPr>
                <w:rFonts w:cs="Times New Roman" w:hint="eastAsia"/>
                <w:sz w:val="21"/>
                <w:szCs w:val="21"/>
              </w:rPr>
              <w:t>排污口规范化</w:t>
            </w:r>
          </w:p>
          <w:p w14:paraId="2D457041" w14:textId="65E7E813" w:rsidR="003C4F46" w:rsidRDefault="0007540F">
            <w:pPr>
              <w:adjustRightInd w:val="0"/>
              <w:snapToGrid w:val="0"/>
              <w:spacing w:line="240" w:lineRule="auto"/>
              <w:ind w:firstLine="420"/>
              <w:textAlignment w:val="auto"/>
              <w:rPr>
                <w:rFonts w:cs="Times New Roman"/>
                <w:sz w:val="21"/>
                <w:szCs w:val="21"/>
              </w:rPr>
            </w:pPr>
            <w:r w:rsidRPr="0007540F">
              <w:rPr>
                <w:rFonts w:cs="Times New Roman" w:hint="eastAsia"/>
                <w:sz w:val="21"/>
                <w:szCs w:val="21"/>
              </w:rPr>
              <w:t>根据国家标准《环境保护图形标志—排放口（源）》和《排污口规范化整治技术要求（试行）》的有关要求，本项目所有排放口以及噪声、固体废物等污染源，必须按照“便于计量监测、便于日常现场监督检查”的原则和规范化要求，设置相应的环境保护图形标志牌</w:t>
            </w:r>
            <w:r w:rsidR="004B6A81">
              <w:rPr>
                <w:rFonts w:cs="Times New Roman" w:hint="eastAsia"/>
                <w:sz w:val="21"/>
                <w:szCs w:val="21"/>
              </w:rPr>
              <w:t>。</w:t>
            </w:r>
          </w:p>
        </w:tc>
      </w:tr>
    </w:tbl>
    <w:p w14:paraId="2AA48DD1" w14:textId="77777777" w:rsidR="003C4F46" w:rsidRDefault="003C4F46">
      <w:pPr>
        <w:pStyle w:val="1"/>
        <w:rPr>
          <w:snapToGrid w:val="0"/>
          <w:color w:val="000000" w:themeColor="text1"/>
        </w:rPr>
        <w:sectPr w:rsidR="003C4F46">
          <w:pgSz w:w="11906" w:h="16838"/>
          <w:pgMar w:top="1418" w:right="1418" w:bottom="1418" w:left="1418" w:header="851" w:footer="992" w:gutter="0"/>
          <w:cols w:space="425"/>
          <w:docGrid w:type="lines" w:linePitch="326"/>
        </w:sectPr>
      </w:pPr>
    </w:p>
    <w:p w14:paraId="05E14FA4" w14:textId="77777777" w:rsidR="003C4F46" w:rsidRDefault="004B6A81">
      <w:pPr>
        <w:pStyle w:val="1"/>
        <w:rPr>
          <w:snapToGrid w:val="0"/>
          <w:color w:val="000000" w:themeColor="text1"/>
        </w:rPr>
      </w:pPr>
      <w:r>
        <w:rPr>
          <w:rFonts w:hint="eastAsia"/>
          <w:snapToGrid w:val="0"/>
          <w:color w:val="000000" w:themeColor="text1"/>
        </w:rPr>
        <w:lastRenderedPageBreak/>
        <w:t>六、结论</w:t>
      </w:r>
    </w:p>
    <w:tbl>
      <w:tblPr>
        <w:tblStyle w:val="aff"/>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40"/>
      </w:tblGrid>
      <w:tr w:rsidR="003C4F46" w14:paraId="7B11563C" w14:textId="77777777">
        <w:tc>
          <w:tcPr>
            <w:tcW w:w="9060" w:type="dxa"/>
          </w:tcPr>
          <w:p w14:paraId="2FB8E959" w14:textId="5F11C6F6" w:rsidR="003C4F46" w:rsidRDefault="00391B5D">
            <w:pPr>
              <w:ind w:firstLine="480"/>
              <w:rPr>
                <w:color w:val="000000" w:themeColor="text1"/>
              </w:rPr>
            </w:pPr>
            <w:bookmarkStart w:id="31" w:name="_Hlk97246050"/>
            <w:r w:rsidRPr="00391B5D">
              <w:rPr>
                <w:rFonts w:hint="eastAsia"/>
                <w:color w:val="000000" w:themeColor="text1"/>
              </w:rPr>
              <w:t>本项目符合国家产业政策及相关规划要求，选址合理，符合《新疆维吾尔自治区小微企业危险废物收集试点工作方案》的相关要求，企业将在取得环评批复后，按规定程序申请试点单位资格，面向巴州范围内小微企业及各类社会源收集危险废物。全项目共涉及</w:t>
            </w:r>
            <w:r w:rsidRPr="00391B5D">
              <w:rPr>
                <w:rFonts w:hint="eastAsia"/>
                <w:color w:val="000000" w:themeColor="text1"/>
              </w:rPr>
              <w:t>12</w:t>
            </w:r>
            <w:r w:rsidRPr="00391B5D">
              <w:rPr>
                <w:rFonts w:hint="eastAsia"/>
                <w:color w:val="000000" w:themeColor="text1"/>
              </w:rPr>
              <w:t>类危险废物，其中</w:t>
            </w:r>
            <w:r w:rsidRPr="00391B5D">
              <w:rPr>
                <w:rFonts w:hint="eastAsia"/>
                <w:color w:val="000000" w:themeColor="text1"/>
              </w:rPr>
              <w:t>1#</w:t>
            </w:r>
            <w:r w:rsidRPr="00391B5D">
              <w:rPr>
                <w:rFonts w:hint="eastAsia"/>
                <w:color w:val="000000" w:themeColor="text1"/>
              </w:rPr>
              <w:t>贮存库贮存</w:t>
            </w:r>
            <w:r w:rsidRPr="00391B5D">
              <w:rPr>
                <w:rFonts w:hint="eastAsia"/>
                <w:color w:val="000000" w:themeColor="text1"/>
              </w:rPr>
              <w:t>10</w:t>
            </w:r>
            <w:r w:rsidRPr="00391B5D">
              <w:rPr>
                <w:rFonts w:hint="eastAsia"/>
                <w:color w:val="000000" w:themeColor="text1"/>
              </w:rPr>
              <w:t>类，罐区贮存</w:t>
            </w:r>
            <w:r w:rsidRPr="00391B5D">
              <w:rPr>
                <w:rFonts w:hint="eastAsia"/>
                <w:color w:val="000000" w:themeColor="text1"/>
              </w:rPr>
              <w:t>HW08</w:t>
            </w:r>
            <w:r w:rsidRPr="00391B5D">
              <w:rPr>
                <w:rFonts w:hint="eastAsia"/>
                <w:color w:val="000000" w:themeColor="text1"/>
              </w:rPr>
              <w:t>、</w:t>
            </w:r>
            <w:r w:rsidRPr="00391B5D">
              <w:rPr>
                <w:rFonts w:hint="eastAsia"/>
                <w:color w:val="000000" w:themeColor="text1"/>
              </w:rPr>
              <w:t>HW09</w:t>
            </w:r>
            <w:r w:rsidRPr="00391B5D">
              <w:rPr>
                <w:rFonts w:hint="eastAsia"/>
                <w:color w:val="000000" w:themeColor="text1"/>
              </w:rPr>
              <w:t>两类；年收集量</w:t>
            </w:r>
            <w:r w:rsidRPr="00391B5D">
              <w:rPr>
                <w:rFonts w:hint="eastAsia"/>
                <w:color w:val="000000" w:themeColor="text1"/>
              </w:rPr>
              <w:t>5000t/a</w:t>
            </w:r>
            <w:r w:rsidR="003E47EA" w:rsidRPr="003E47EA">
              <w:rPr>
                <w:rFonts w:hint="eastAsia"/>
                <w:color w:val="000000" w:themeColor="text1"/>
              </w:rPr>
              <w:t>，最大贮存量</w:t>
            </w:r>
            <w:r w:rsidR="003E47EA" w:rsidRPr="003E47EA">
              <w:rPr>
                <w:rFonts w:hint="eastAsia"/>
                <w:color w:val="000000" w:themeColor="text1"/>
              </w:rPr>
              <w:t>2011t</w:t>
            </w:r>
            <w:r w:rsidR="004B6A81">
              <w:rPr>
                <w:rFonts w:hint="eastAsia"/>
                <w:color w:val="000000" w:themeColor="text1"/>
              </w:rPr>
              <w:t>。</w:t>
            </w:r>
          </w:p>
          <w:p w14:paraId="63DCB998" w14:textId="5F2C3972" w:rsidR="003C4F46" w:rsidRDefault="004B6A81">
            <w:pPr>
              <w:ind w:firstLine="480"/>
              <w:rPr>
                <w:color w:val="000000" w:themeColor="text1"/>
              </w:rPr>
            </w:pPr>
            <w:r>
              <w:rPr>
                <w:rFonts w:hint="eastAsia"/>
                <w:color w:val="000000" w:themeColor="text1"/>
              </w:rPr>
              <w:t>在投入运行前，须完成排污许可证变更及突发环境事件应急预案修订备案；运营期间须严格落实危险废物相容性、分区隔离贮存、最长贮存期限不超过半年、最大贮存量不超过</w:t>
            </w:r>
            <w:r w:rsidR="00AD32F2">
              <w:rPr>
                <w:color w:val="000000" w:themeColor="text1"/>
              </w:rPr>
              <w:t>2011</w:t>
            </w:r>
            <w:r>
              <w:rPr>
                <w:rFonts w:hint="eastAsia"/>
                <w:color w:val="000000" w:themeColor="text1"/>
              </w:rPr>
              <w:t>吨等管控要求；严格执行环保设施与主体工程“三同时”制度，建成后及时完成竣工环保验收。</w:t>
            </w:r>
          </w:p>
          <w:p w14:paraId="25C8FA40" w14:textId="77777777" w:rsidR="003C4F46" w:rsidRDefault="004B6A81">
            <w:pPr>
              <w:ind w:firstLine="480"/>
              <w:rPr>
                <w:color w:val="000000" w:themeColor="text1"/>
              </w:rPr>
            </w:pPr>
            <w:r>
              <w:rPr>
                <w:rFonts w:hint="eastAsia"/>
                <w:color w:val="000000" w:themeColor="text1"/>
              </w:rPr>
              <w:t>在落实上述要求及本报告提出的各项污染防治措施前提下，各项污染物能够实现达标排放，环境风险可控，从环境保护角度分析，本项目环境影响可行。</w:t>
            </w:r>
          </w:p>
          <w:bookmarkEnd w:id="31"/>
          <w:p w14:paraId="2A3530A9" w14:textId="77777777" w:rsidR="003C4F46" w:rsidRDefault="003C4F46">
            <w:pPr>
              <w:ind w:firstLineChars="0" w:firstLine="0"/>
              <w:rPr>
                <w:color w:val="000000" w:themeColor="text1"/>
              </w:rPr>
            </w:pPr>
          </w:p>
          <w:p w14:paraId="55987AD7" w14:textId="77777777" w:rsidR="003C4F46" w:rsidRDefault="003C4F46">
            <w:pPr>
              <w:ind w:firstLineChars="0" w:firstLine="0"/>
              <w:rPr>
                <w:color w:val="000000" w:themeColor="text1"/>
              </w:rPr>
            </w:pPr>
          </w:p>
          <w:p w14:paraId="55AD73D4" w14:textId="77777777" w:rsidR="003C4F46" w:rsidRDefault="003C4F46">
            <w:pPr>
              <w:ind w:firstLineChars="0" w:firstLine="0"/>
              <w:rPr>
                <w:color w:val="000000" w:themeColor="text1"/>
              </w:rPr>
            </w:pPr>
          </w:p>
          <w:p w14:paraId="7A41712A" w14:textId="77777777" w:rsidR="003C4F46" w:rsidRDefault="003C4F46">
            <w:pPr>
              <w:ind w:firstLineChars="0" w:firstLine="0"/>
              <w:rPr>
                <w:color w:val="000000" w:themeColor="text1"/>
              </w:rPr>
            </w:pPr>
          </w:p>
          <w:p w14:paraId="3B9F60B4" w14:textId="77777777" w:rsidR="003C4F46" w:rsidRDefault="003C4F46">
            <w:pPr>
              <w:ind w:firstLineChars="0" w:firstLine="0"/>
              <w:rPr>
                <w:color w:val="000000" w:themeColor="text1"/>
              </w:rPr>
            </w:pPr>
          </w:p>
          <w:p w14:paraId="6C4DAA63" w14:textId="77777777" w:rsidR="003C4F46" w:rsidRDefault="003C4F46">
            <w:pPr>
              <w:ind w:firstLineChars="0" w:firstLine="0"/>
              <w:rPr>
                <w:color w:val="000000" w:themeColor="text1"/>
              </w:rPr>
            </w:pPr>
          </w:p>
          <w:p w14:paraId="7A8E7F5D" w14:textId="77777777" w:rsidR="003C4F46" w:rsidRDefault="003C4F46">
            <w:pPr>
              <w:ind w:firstLineChars="0" w:firstLine="0"/>
              <w:rPr>
                <w:color w:val="000000" w:themeColor="text1"/>
              </w:rPr>
            </w:pPr>
          </w:p>
          <w:p w14:paraId="47B9061A" w14:textId="77777777" w:rsidR="003C4F46" w:rsidRDefault="003C4F46">
            <w:pPr>
              <w:ind w:firstLineChars="0" w:firstLine="0"/>
              <w:rPr>
                <w:color w:val="000000" w:themeColor="text1"/>
              </w:rPr>
            </w:pPr>
          </w:p>
          <w:p w14:paraId="202BDBE7" w14:textId="77777777" w:rsidR="003C4F46" w:rsidRDefault="003C4F46">
            <w:pPr>
              <w:ind w:firstLineChars="0" w:firstLine="0"/>
              <w:rPr>
                <w:color w:val="000000" w:themeColor="text1"/>
              </w:rPr>
            </w:pPr>
          </w:p>
          <w:p w14:paraId="4D9FF932" w14:textId="77777777" w:rsidR="003C4F46" w:rsidRDefault="003C4F46">
            <w:pPr>
              <w:ind w:firstLineChars="0" w:firstLine="0"/>
              <w:rPr>
                <w:color w:val="000000" w:themeColor="text1"/>
              </w:rPr>
            </w:pPr>
          </w:p>
          <w:p w14:paraId="0D27C98F" w14:textId="77777777" w:rsidR="003C4F46" w:rsidRDefault="003C4F46">
            <w:pPr>
              <w:ind w:firstLineChars="0" w:firstLine="0"/>
              <w:rPr>
                <w:color w:val="000000" w:themeColor="text1"/>
              </w:rPr>
            </w:pPr>
          </w:p>
          <w:p w14:paraId="4A6C36FC" w14:textId="77777777" w:rsidR="003C4F46" w:rsidRDefault="003C4F46">
            <w:pPr>
              <w:ind w:firstLineChars="0" w:firstLine="0"/>
              <w:rPr>
                <w:color w:val="000000" w:themeColor="text1"/>
              </w:rPr>
            </w:pPr>
          </w:p>
          <w:p w14:paraId="348638B1" w14:textId="77777777" w:rsidR="003C4F46" w:rsidRDefault="003C4F46">
            <w:pPr>
              <w:ind w:firstLineChars="0" w:firstLine="0"/>
              <w:rPr>
                <w:color w:val="000000" w:themeColor="text1"/>
              </w:rPr>
            </w:pPr>
          </w:p>
          <w:p w14:paraId="5B0F753C" w14:textId="77777777" w:rsidR="003C4F46" w:rsidRDefault="003C4F46">
            <w:pPr>
              <w:ind w:firstLineChars="0" w:firstLine="0"/>
              <w:rPr>
                <w:color w:val="000000" w:themeColor="text1"/>
              </w:rPr>
            </w:pPr>
          </w:p>
        </w:tc>
      </w:tr>
    </w:tbl>
    <w:p w14:paraId="63263B06" w14:textId="77777777" w:rsidR="003C4F46" w:rsidRDefault="003C4F46">
      <w:pPr>
        <w:ind w:firstLineChars="0" w:firstLine="0"/>
        <w:rPr>
          <w:color w:val="000000" w:themeColor="text1"/>
        </w:rPr>
        <w:sectPr w:rsidR="003C4F46">
          <w:pgSz w:w="11906" w:h="16838"/>
          <w:pgMar w:top="1418" w:right="1418" w:bottom="1418" w:left="1418" w:header="851" w:footer="992" w:gutter="0"/>
          <w:cols w:space="425"/>
          <w:docGrid w:type="lines" w:linePitch="326"/>
        </w:sectPr>
      </w:pPr>
    </w:p>
    <w:p w14:paraId="4CB33F81" w14:textId="77777777" w:rsidR="003C4F46" w:rsidRDefault="004B6A81">
      <w:pPr>
        <w:ind w:firstLineChars="0" w:firstLine="0"/>
        <w:rPr>
          <w:b/>
          <w:bCs/>
          <w:snapToGrid w:val="0"/>
          <w:color w:val="000000" w:themeColor="text1"/>
        </w:rPr>
      </w:pPr>
      <w:r>
        <w:rPr>
          <w:rFonts w:hint="eastAsia"/>
          <w:b/>
          <w:bCs/>
          <w:snapToGrid w:val="0"/>
          <w:color w:val="000000" w:themeColor="text1"/>
        </w:rPr>
        <w:lastRenderedPageBreak/>
        <w:t>附表</w:t>
      </w:r>
    </w:p>
    <w:p w14:paraId="1398080A" w14:textId="77777777" w:rsidR="003C4F46" w:rsidRDefault="004B6A81" w:rsidP="00391B5D">
      <w:pPr>
        <w:pStyle w:val="1"/>
        <w:spacing w:before="0" w:after="0"/>
        <w:jc w:val="center"/>
        <w:rPr>
          <w:snapToGrid w:val="0"/>
          <w:color w:val="000000" w:themeColor="text1"/>
        </w:rPr>
      </w:pPr>
      <w:r w:rsidRPr="00AD32F2">
        <w:rPr>
          <w:rFonts w:hint="eastAsia"/>
          <w:snapToGrid w:val="0"/>
          <w:color w:val="000000" w:themeColor="text1"/>
        </w:rPr>
        <w:t>建设项目污染物排放量汇总表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22"/>
        <w:gridCol w:w="1727"/>
        <w:gridCol w:w="1523"/>
        <w:gridCol w:w="1378"/>
        <w:gridCol w:w="1657"/>
        <w:gridCol w:w="1523"/>
        <w:gridCol w:w="1660"/>
        <w:gridCol w:w="1660"/>
        <w:gridCol w:w="1322"/>
      </w:tblGrid>
      <w:tr w:rsidR="003C4F46" w14:paraId="6C6AC8FA" w14:textId="77777777">
        <w:trPr>
          <w:trHeight w:val="1162"/>
        </w:trPr>
        <w:tc>
          <w:tcPr>
            <w:tcW w:w="545" w:type="pct"/>
            <w:tcBorders>
              <w:tl2br w:val="single" w:sz="12" w:space="0" w:color="auto"/>
            </w:tcBorders>
            <w:tcMar>
              <w:left w:w="28" w:type="dxa"/>
              <w:right w:w="28" w:type="dxa"/>
            </w:tcMar>
            <w:vAlign w:val="center"/>
          </w:tcPr>
          <w:p w14:paraId="4A7928BF" w14:textId="77777777" w:rsidR="003C4F46" w:rsidRDefault="004B6A81">
            <w:pPr>
              <w:pStyle w:val="aff4"/>
              <w:rPr>
                <w:rFonts w:cs="Times New Roman"/>
                <w:snapToGrid w:val="0"/>
                <w:color w:val="000000" w:themeColor="text1"/>
              </w:rPr>
            </w:pPr>
            <w:bookmarkStart w:id="32" w:name="_Hlk72769786"/>
            <w:r>
              <w:rPr>
                <w:rFonts w:cs="Times New Roman" w:hint="eastAsia"/>
                <w:snapToGrid w:val="0"/>
                <w:color w:val="000000" w:themeColor="text1"/>
              </w:rPr>
              <w:t xml:space="preserve"> </w:t>
            </w:r>
            <w:r>
              <w:rPr>
                <w:rFonts w:cs="Times New Roman"/>
                <w:snapToGrid w:val="0"/>
                <w:color w:val="000000" w:themeColor="text1"/>
              </w:rPr>
              <w:t xml:space="preserve">       </w:t>
            </w:r>
            <w:r>
              <w:rPr>
                <w:rFonts w:cs="Times New Roman"/>
                <w:snapToGrid w:val="0"/>
                <w:color w:val="000000" w:themeColor="text1"/>
              </w:rPr>
              <w:t>项目</w:t>
            </w:r>
          </w:p>
          <w:p w14:paraId="251CFB4F" w14:textId="77777777" w:rsidR="003C4F46" w:rsidRDefault="004B6A81">
            <w:pPr>
              <w:pStyle w:val="aff4"/>
              <w:jc w:val="both"/>
              <w:rPr>
                <w:rFonts w:cs="Times New Roman"/>
                <w:snapToGrid w:val="0"/>
                <w:color w:val="000000" w:themeColor="text1"/>
              </w:rPr>
            </w:pPr>
            <w:r>
              <w:rPr>
                <w:rFonts w:cs="Times New Roman"/>
                <w:snapToGrid w:val="0"/>
                <w:color w:val="000000" w:themeColor="text1"/>
              </w:rPr>
              <w:t>分类</w:t>
            </w:r>
          </w:p>
        </w:tc>
        <w:tc>
          <w:tcPr>
            <w:tcW w:w="618" w:type="pct"/>
            <w:tcMar>
              <w:left w:w="28" w:type="dxa"/>
              <w:right w:w="28" w:type="dxa"/>
            </w:tcMar>
            <w:vAlign w:val="center"/>
          </w:tcPr>
          <w:p w14:paraId="63E1C9F5" w14:textId="77777777" w:rsidR="003C4F46" w:rsidRDefault="004B6A81">
            <w:pPr>
              <w:pStyle w:val="aff4"/>
              <w:rPr>
                <w:rFonts w:cs="Times New Roman"/>
                <w:snapToGrid w:val="0"/>
                <w:color w:val="000000" w:themeColor="text1"/>
              </w:rPr>
            </w:pPr>
            <w:r>
              <w:rPr>
                <w:rFonts w:cs="Times New Roman"/>
                <w:snapToGrid w:val="0"/>
                <w:color w:val="000000" w:themeColor="text1"/>
              </w:rPr>
              <w:t>污染物名称</w:t>
            </w:r>
          </w:p>
        </w:tc>
        <w:tc>
          <w:tcPr>
            <w:tcW w:w="545" w:type="pct"/>
            <w:tcMar>
              <w:left w:w="28" w:type="dxa"/>
              <w:right w:w="28" w:type="dxa"/>
            </w:tcMar>
            <w:vAlign w:val="center"/>
          </w:tcPr>
          <w:p w14:paraId="680DA80C" w14:textId="77777777" w:rsidR="003C4F46" w:rsidRDefault="004B6A81">
            <w:pPr>
              <w:pStyle w:val="aff4"/>
              <w:rPr>
                <w:rFonts w:cs="Times New Roman"/>
                <w:snapToGrid w:val="0"/>
                <w:color w:val="000000" w:themeColor="text1"/>
              </w:rPr>
            </w:pPr>
            <w:r>
              <w:rPr>
                <w:rFonts w:cs="Times New Roman"/>
                <w:snapToGrid w:val="0"/>
                <w:color w:val="000000" w:themeColor="text1"/>
              </w:rPr>
              <w:t>现有工程</w:t>
            </w:r>
          </w:p>
          <w:p w14:paraId="6EF4D1B6" w14:textId="77777777" w:rsidR="003C4F46" w:rsidRDefault="004B6A81">
            <w:pPr>
              <w:pStyle w:val="aff4"/>
              <w:rPr>
                <w:rFonts w:cs="Times New Roman"/>
                <w:snapToGrid w:val="0"/>
                <w:color w:val="000000" w:themeColor="text1"/>
              </w:rPr>
            </w:pPr>
            <w:r>
              <w:rPr>
                <w:rFonts w:cs="Times New Roman"/>
                <w:snapToGrid w:val="0"/>
                <w:color w:val="000000" w:themeColor="text1"/>
              </w:rPr>
              <w:t>排放量（固体废物产生量）</w:t>
            </w:r>
            <w:r>
              <w:rPr>
                <w:rFonts w:cs="Times New Roman"/>
                <w:snapToGrid w:val="0"/>
                <w:color w:val="000000" w:themeColor="text1"/>
              </w:rPr>
              <w:fldChar w:fldCharType="begin"/>
            </w:r>
            <w:r>
              <w:rPr>
                <w:rFonts w:cs="Times New Roman"/>
                <w:snapToGrid w:val="0"/>
                <w:color w:val="000000" w:themeColor="text1"/>
              </w:rPr>
              <w:instrText xml:space="preserve"> = 1 \* GB3 \* MERGEFORMAT </w:instrText>
            </w:r>
            <w:r>
              <w:rPr>
                <w:rFonts w:cs="Times New Roman"/>
                <w:snapToGrid w:val="0"/>
                <w:color w:val="000000" w:themeColor="text1"/>
              </w:rPr>
              <w:fldChar w:fldCharType="separate"/>
            </w:r>
            <w:r>
              <w:rPr>
                <w:rFonts w:ascii="宋体" w:hAnsi="宋体" w:cs="宋体" w:hint="eastAsia"/>
                <w:color w:val="000000" w:themeColor="text1"/>
              </w:rPr>
              <w:t>①</w:t>
            </w:r>
            <w:r>
              <w:rPr>
                <w:rFonts w:cs="Times New Roman"/>
                <w:snapToGrid w:val="0"/>
                <w:color w:val="000000" w:themeColor="text1"/>
              </w:rPr>
              <w:fldChar w:fldCharType="end"/>
            </w:r>
          </w:p>
        </w:tc>
        <w:tc>
          <w:tcPr>
            <w:tcW w:w="493" w:type="pct"/>
            <w:tcMar>
              <w:left w:w="28" w:type="dxa"/>
              <w:right w:w="28" w:type="dxa"/>
            </w:tcMar>
            <w:vAlign w:val="center"/>
          </w:tcPr>
          <w:p w14:paraId="411E2EE6" w14:textId="77777777" w:rsidR="003C4F46" w:rsidRDefault="004B6A81">
            <w:pPr>
              <w:pStyle w:val="aff4"/>
              <w:rPr>
                <w:rFonts w:cs="Times New Roman"/>
                <w:snapToGrid w:val="0"/>
                <w:color w:val="000000" w:themeColor="text1"/>
              </w:rPr>
            </w:pPr>
            <w:r>
              <w:rPr>
                <w:rFonts w:cs="Times New Roman"/>
                <w:snapToGrid w:val="0"/>
                <w:color w:val="000000" w:themeColor="text1"/>
              </w:rPr>
              <w:t>现有工程</w:t>
            </w:r>
          </w:p>
          <w:p w14:paraId="3DFA0A17" w14:textId="77777777" w:rsidR="003C4F46" w:rsidRDefault="004B6A81">
            <w:pPr>
              <w:pStyle w:val="aff4"/>
              <w:rPr>
                <w:rFonts w:cs="Times New Roman"/>
                <w:snapToGrid w:val="0"/>
                <w:color w:val="000000" w:themeColor="text1"/>
              </w:rPr>
            </w:pPr>
            <w:r>
              <w:rPr>
                <w:rFonts w:cs="Times New Roman"/>
                <w:snapToGrid w:val="0"/>
                <w:color w:val="000000" w:themeColor="text1"/>
              </w:rPr>
              <w:t>许可排放量</w:t>
            </w:r>
          </w:p>
          <w:p w14:paraId="3C61FAB5" w14:textId="77777777" w:rsidR="003C4F46" w:rsidRDefault="004B6A81">
            <w:pPr>
              <w:pStyle w:val="aff4"/>
              <w:rPr>
                <w:rFonts w:cs="Times New Roman"/>
                <w:snapToGrid w:val="0"/>
                <w:color w:val="000000" w:themeColor="text1"/>
              </w:rPr>
            </w:pPr>
            <w:r>
              <w:rPr>
                <w:rFonts w:cs="Times New Roman"/>
                <w:snapToGrid w:val="0"/>
                <w:color w:val="000000" w:themeColor="text1"/>
              </w:rPr>
              <w:fldChar w:fldCharType="begin"/>
            </w:r>
            <w:r>
              <w:rPr>
                <w:rFonts w:cs="Times New Roman"/>
                <w:snapToGrid w:val="0"/>
                <w:color w:val="000000" w:themeColor="text1"/>
              </w:rPr>
              <w:instrText xml:space="preserve"> = 2 \* GB3 \* MERGEFORMAT </w:instrText>
            </w:r>
            <w:r>
              <w:rPr>
                <w:rFonts w:cs="Times New Roman"/>
                <w:snapToGrid w:val="0"/>
                <w:color w:val="000000" w:themeColor="text1"/>
              </w:rPr>
              <w:fldChar w:fldCharType="separate"/>
            </w:r>
            <w:r>
              <w:rPr>
                <w:rFonts w:ascii="宋体" w:hAnsi="宋体" w:cs="宋体" w:hint="eastAsia"/>
                <w:snapToGrid w:val="0"/>
                <w:color w:val="000000" w:themeColor="text1"/>
              </w:rPr>
              <w:t>②</w:t>
            </w:r>
            <w:r>
              <w:rPr>
                <w:rFonts w:cs="Times New Roman"/>
                <w:snapToGrid w:val="0"/>
                <w:color w:val="000000" w:themeColor="text1"/>
              </w:rPr>
              <w:fldChar w:fldCharType="end"/>
            </w:r>
          </w:p>
        </w:tc>
        <w:tc>
          <w:tcPr>
            <w:tcW w:w="593" w:type="pct"/>
            <w:tcMar>
              <w:left w:w="28" w:type="dxa"/>
              <w:right w:w="28" w:type="dxa"/>
            </w:tcMar>
            <w:vAlign w:val="center"/>
          </w:tcPr>
          <w:p w14:paraId="15DBD03E" w14:textId="77777777" w:rsidR="003C4F46" w:rsidRDefault="004B6A81">
            <w:pPr>
              <w:pStyle w:val="aff4"/>
              <w:rPr>
                <w:rFonts w:cs="Times New Roman"/>
                <w:snapToGrid w:val="0"/>
                <w:color w:val="000000" w:themeColor="text1"/>
              </w:rPr>
            </w:pPr>
            <w:r>
              <w:rPr>
                <w:rFonts w:cs="Times New Roman"/>
                <w:snapToGrid w:val="0"/>
                <w:color w:val="000000" w:themeColor="text1"/>
              </w:rPr>
              <w:t>在建工程</w:t>
            </w:r>
          </w:p>
          <w:p w14:paraId="2CD08FE0" w14:textId="77777777" w:rsidR="003C4F46" w:rsidRDefault="004B6A81">
            <w:pPr>
              <w:pStyle w:val="aff4"/>
              <w:rPr>
                <w:rFonts w:cs="Times New Roman"/>
                <w:snapToGrid w:val="0"/>
                <w:color w:val="000000" w:themeColor="text1"/>
              </w:rPr>
            </w:pPr>
            <w:r>
              <w:rPr>
                <w:rFonts w:cs="Times New Roman"/>
                <w:snapToGrid w:val="0"/>
                <w:color w:val="000000" w:themeColor="text1"/>
              </w:rPr>
              <w:t>排放量（固体废物产生量）</w:t>
            </w:r>
            <w:r>
              <w:rPr>
                <w:rFonts w:cs="Times New Roman"/>
                <w:snapToGrid w:val="0"/>
                <w:color w:val="000000" w:themeColor="text1"/>
              </w:rPr>
              <w:fldChar w:fldCharType="begin"/>
            </w:r>
            <w:r>
              <w:rPr>
                <w:rFonts w:cs="Times New Roman"/>
                <w:snapToGrid w:val="0"/>
                <w:color w:val="000000" w:themeColor="text1"/>
              </w:rPr>
              <w:instrText xml:space="preserve"> = 3 \* GB3 \* MERGEFORMAT </w:instrText>
            </w:r>
            <w:r>
              <w:rPr>
                <w:rFonts w:cs="Times New Roman"/>
                <w:snapToGrid w:val="0"/>
                <w:color w:val="000000" w:themeColor="text1"/>
              </w:rPr>
              <w:fldChar w:fldCharType="separate"/>
            </w:r>
            <w:r>
              <w:rPr>
                <w:rFonts w:ascii="宋体" w:hAnsi="宋体" w:cs="宋体" w:hint="eastAsia"/>
                <w:color w:val="000000" w:themeColor="text1"/>
              </w:rPr>
              <w:t>③</w:t>
            </w:r>
            <w:r>
              <w:rPr>
                <w:rFonts w:cs="Times New Roman"/>
                <w:snapToGrid w:val="0"/>
                <w:color w:val="000000" w:themeColor="text1"/>
              </w:rPr>
              <w:fldChar w:fldCharType="end"/>
            </w:r>
          </w:p>
        </w:tc>
        <w:tc>
          <w:tcPr>
            <w:tcW w:w="545" w:type="pct"/>
            <w:tcMar>
              <w:left w:w="28" w:type="dxa"/>
              <w:right w:w="28" w:type="dxa"/>
            </w:tcMar>
            <w:vAlign w:val="center"/>
          </w:tcPr>
          <w:p w14:paraId="582C4470" w14:textId="77777777" w:rsidR="003C4F46" w:rsidRDefault="004B6A81">
            <w:pPr>
              <w:pStyle w:val="aff4"/>
              <w:rPr>
                <w:rFonts w:cs="Times New Roman"/>
                <w:snapToGrid w:val="0"/>
                <w:color w:val="000000" w:themeColor="text1"/>
              </w:rPr>
            </w:pPr>
            <w:r>
              <w:rPr>
                <w:rFonts w:cs="Times New Roman"/>
                <w:snapToGrid w:val="0"/>
                <w:color w:val="000000" w:themeColor="text1"/>
              </w:rPr>
              <w:t>本项目</w:t>
            </w:r>
          </w:p>
          <w:p w14:paraId="354A6224" w14:textId="77777777" w:rsidR="003C4F46" w:rsidRDefault="004B6A81">
            <w:pPr>
              <w:pStyle w:val="aff4"/>
              <w:rPr>
                <w:rFonts w:cs="Times New Roman"/>
                <w:snapToGrid w:val="0"/>
                <w:color w:val="000000" w:themeColor="text1"/>
              </w:rPr>
            </w:pPr>
            <w:r>
              <w:rPr>
                <w:rFonts w:cs="Times New Roman"/>
                <w:snapToGrid w:val="0"/>
                <w:color w:val="000000" w:themeColor="text1"/>
              </w:rPr>
              <w:t>排放量（固体废物产生量）</w:t>
            </w:r>
            <w:r>
              <w:rPr>
                <w:rFonts w:cs="Times New Roman"/>
                <w:snapToGrid w:val="0"/>
                <w:color w:val="000000" w:themeColor="text1"/>
              </w:rPr>
              <w:fldChar w:fldCharType="begin"/>
            </w:r>
            <w:r>
              <w:rPr>
                <w:rFonts w:cs="Times New Roman"/>
                <w:snapToGrid w:val="0"/>
                <w:color w:val="000000" w:themeColor="text1"/>
              </w:rPr>
              <w:instrText xml:space="preserve"> = 4 \* GB3 \* MERGEFORMAT </w:instrText>
            </w:r>
            <w:r>
              <w:rPr>
                <w:rFonts w:cs="Times New Roman"/>
                <w:snapToGrid w:val="0"/>
                <w:color w:val="000000" w:themeColor="text1"/>
              </w:rPr>
              <w:fldChar w:fldCharType="separate"/>
            </w:r>
            <w:r>
              <w:rPr>
                <w:rFonts w:ascii="宋体" w:hAnsi="宋体" w:cs="宋体" w:hint="eastAsia"/>
                <w:color w:val="000000" w:themeColor="text1"/>
              </w:rPr>
              <w:t>④</w:t>
            </w:r>
            <w:r>
              <w:rPr>
                <w:rFonts w:cs="Times New Roman"/>
                <w:snapToGrid w:val="0"/>
                <w:color w:val="000000" w:themeColor="text1"/>
              </w:rPr>
              <w:fldChar w:fldCharType="end"/>
            </w:r>
          </w:p>
        </w:tc>
        <w:tc>
          <w:tcPr>
            <w:tcW w:w="594" w:type="pct"/>
            <w:tcMar>
              <w:left w:w="28" w:type="dxa"/>
              <w:right w:w="28" w:type="dxa"/>
            </w:tcMar>
            <w:vAlign w:val="center"/>
          </w:tcPr>
          <w:p w14:paraId="01A3D6AC" w14:textId="77777777" w:rsidR="003C4F46" w:rsidRDefault="004B6A81">
            <w:pPr>
              <w:pStyle w:val="aff4"/>
              <w:rPr>
                <w:rFonts w:cs="Times New Roman"/>
                <w:snapToGrid w:val="0"/>
                <w:color w:val="000000" w:themeColor="text1"/>
                <w:spacing w:val="-16"/>
              </w:rPr>
            </w:pPr>
            <w:r>
              <w:rPr>
                <w:rFonts w:cs="Times New Roman"/>
                <w:snapToGrid w:val="0"/>
                <w:color w:val="000000" w:themeColor="text1"/>
                <w:spacing w:val="-16"/>
              </w:rPr>
              <w:t>以新带老削减量</w:t>
            </w:r>
          </w:p>
          <w:p w14:paraId="056F44ED" w14:textId="77777777" w:rsidR="003C4F46" w:rsidRDefault="004B6A81">
            <w:pPr>
              <w:pStyle w:val="aff4"/>
              <w:rPr>
                <w:rFonts w:cs="Times New Roman"/>
                <w:snapToGrid w:val="0"/>
                <w:color w:val="000000" w:themeColor="text1"/>
                <w:spacing w:val="-16"/>
              </w:rPr>
            </w:pPr>
            <w:r>
              <w:rPr>
                <w:rFonts w:cs="Times New Roman"/>
                <w:snapToGrid w:val="0"/>
                <w:color w:val="000000" w:themeColor="text1"/>
                <w:spacing w:val="-16"/>
              </w:rPr>
              <w:t>（新建项目不填）</w:t>
            </w:r>
            <w:r>
              <w:rPr>
                <w:rFonts w:cs="Times New Roman"/>
                <w:snapToGrid w:val="0"/>
                <w:color w:val="000000" w:themeColor="text1"/>
                <w:spacing w:val="-16"/>
              </w:rPr>
              <w:fldChar w:fldCharType="begin"/>
            </w:r>
            <w:r>
              <w:rPr>
                <w:rFonts w:cs="Times New Roman"/>
                <w:snapToGrid w:val="0"/>
                <w:color w:val="000000" w:themeColor="text1"/>
                <w:spacing w:val="-16"/>
              </w:rPr>
              <w:instrText xml:space="preserve"> = 5 \* GB3 \* MERGEFORMAT </w:instrText>
            </w:r>
            <w:r>
              <w:rPr>
                <w:rFonts w:cs="Times New Roman"/>
                <w:snapToGrid w:val="0"/>
                <w:color w:val="000000" w:themeColor="text1"/>
                <w:spacing w:val="-16"/>
              </w:rPr>
              <w:fldChar w:fldCharType="separate"/>
            </w:r>
            <w:r>
              <w:rPr>
                <w:rFonts w:ascii="宋体" w:hAnsi="宋体" w:cs="宋体" w:hint="eastAsia"/>
                <w:color w:val="000000" w:themeColor="text1"/>
              </w:rPr>
              <w:t>⑤</w:t>
            </w:r>
            <w:r>
              <w:rPr>
                <w:rFonts w:cs="Times New Roman"/>
                <w:snapToGrid w:val="0"/>
                <w:color w:val="000000" w:themeColor="text1"/>
                <w:spacing w:val="-16"/>
              </w:rPr>
              <w:fldChar w:fldCharType="end"/>
            </w:r>
          </w:p>
        </w:tc>
        <w:tc>
          <w:tcPr>
            <w:tcW w:w="594" w:type="pct"/>
            <w:tcMar>
              <w:left w:w="28" w:type="dxa"/>
              <w:right w:w="28" w:type="dxa"/>
            </w:tcMar>
            <w:vAlign w:val="center"/>
          </w:tcPr>
          <w:p w14:paraId="18B3F3AB" w14:textId="77777777" w:rsidR="003C4F46" w:rsidRDefault="004B6A81">
            <w:pPr>
              <w:pStyle w:val="aff4"/>
              <w:rPr>
                <w:rFonts w:cs="Times New Roman"/>
                <w:snapToGrid w:val="0"/>
                <w:color w:val="000000" w:themeColor="text1"/>
                <w:spacing w:val="-16"/>
              </w:rPr>
            </w:pPr>
            <w:r>
              <w:rPr>
                <w:rFonts w:cs="Times New Roman"/>
                <w:snapToGrid w:val="0"/>
                <w:color w:val="000000" w:themeColor="text1"/>
                <w:spacing w:val="-16"/>
              </w:rPr>
              <w:t>本项目建成后</w:t>
            </w:r>
          </w:p>
          <w:p w14:paraId="4A97B59A" w14:textId="77777777" w:rsidR="003C4F46" w:rsidRDefault="004B6A81">
            <w:pPr>
              <w:pStyle w:val="aff4"/>
              <w:rPr>
                <w:rFonts w:cs="Times New Roman"/>
                <w:snapToGrid w:val="0"/>
                <w:color w:val="000000" w:themeColor="text1"/>
                <w:spacing w:val="-16"/>
              </w:rPr>
            </w:pPr>
            <w:r>
              <w:rPr>
                <w:rFonts w:cs="Times New Roman"/>
                <w:snapToGrid w:val="0"/>
                <w:color w:val="000000" w:themeColor="text1"/>
                <w:spacing w:val="-16"/>
              </w:rPr>
              <w:t>全厂排放量（固体废物产生量）</w:t>
            </w:r>
            <w:r>
              <w:rPr>
                <w:rFonts w:cs="Times New Roman"/>
                <w:snapToGrid w:val="0"/>
                <w:color w:val="000000" w:themeColor="text1"/>
                <w:spacing w:val="-16"/>
              </w:rPr>
              <w:fldChar w:fldCharType="begin"/>
            </w:r>
            <w:r>
              <w:rPr>
                <w:rFonts w:cs="Times New Roman"/>
                <w:snapToGrid w:val="0"/>
                <w:color w:val="000000" w:themeColor="text1"/>
                <w:spacing w:val="-16"/>
              </w:rPr>
              <w:instrText xml:space="preserve"> = 6 \* GB3 \* MERGEFORMAT </w:instrText>
            </w:r>
            <w:r>
              <w:rPr>
                <w:rFonts w:cs="Times New Roman"/>
                <w:snapToGrid w:val="0"/>
                <w:color w:val="000000" w:themeColor="text1"/>
                <w:spacing w:val="-16"/>
              </w:rPr>
              <w:fldChar w:fldCharType="separate"/>
            </w:r>
            <w:r>
              <w:rPr>
                <w:rFonts w:ascii="宋体" w:hAnsi="宋体" w:cs="宋体" w:hint="eastAsia"/>
                <w:color w:val="000000" w:themeColor="text1"/>
              </w:rPr>
              <w:t>⑥</w:t>
            </w:r>
            <w:r>
              <w:rPr>
                <w:rFonts w:cs="Times New Roman"/>
                <w:snapToGrid w:val="0"/>
                <w:color w:val="000000" w:themeColor="text1"/>
                <w:spacing w:val="-16"/>
              </w:rPr>
              <w:fldChar w:fldCharType="end"/>
            </w:r>
          </w:p>
        </w:tc>
        <w:tc>
          <w:tcPr>
            <w:tcW w:w="473" w:type="pct"/>
            <w:tcMar>
              <w:left w:w="28" w:type="dxa"/>
              <w:right w:w="28" w:type="dxa"/>
            </w:tcMar>
            <w:vAlign w:val="center"/>
          </w:tcPr>
          <w:p w14:paraId="391EC4A5" w14:textId="77777777" w:rsidR="003C4F46" w:rsidRDefault="004B6A81">
            <w:pPr>
              <w:pStyle w:val="aff4"/>
              <w:rPr>
                <w:rFonts w:cs="Times New Roman"/>
                <w:snapToGrid w:val="0"/>
                <w:color w:val="000000" w:themeColor="text1"/>
              </w:rPr>
            </w:pPr>
            <w:r>
              <w:rPr>
                <w:rFonts w:cs="Times New Roman"/>
                <w:snapToGrid w:val="0"/>
                <w:color w:val="000000" w:themeColor="text1"/>
              </w:rPr>
              <w:t>变化量</w:t>
            </w:r>
            <w:r>
              <w:rPr>
                <w:rFonts w:cs="Times New Roman"/>
                <w:snapToGrid w:val="0"/>
                <w:color w:val="000000" w:themeColor="text1"/>
              </w:rPr>
              <w:fldChar w:fldCharType="begin"/>
            </w:r>
            <w:r>
              <w:rPr>
                <w:rFonts w:cs="Times New Roman"/>
                <w:snapToGrid w:val="0"/>
                <w:color w:val="000000" w:themeColor="text1"/>
              </w:rPr>
              <w:instrText xml:space="preserve"> = 7 \* GB3 \* MERGEFORMAT </w:instrText>
            </w:r>
            <w:r>
              <w:rPr>
                <w:rFonts w:cs="Times New Roman"/>
                <w:snapToGrid w:val="0"/>
                <w:color w:val="000000" w:themeColor="text1"/>
              </w:rPr>
              <w:fldChar w:fldCharType="separate"/>
            </w:r>
            <w:r>
              <w:rPr>
                <w:rFonts w:ascii="宋体" w:hAnsi="宋体" w:cs="宋体" w:hint="eastAsia"/>
                <w:color w:val="000000" w:themeColor="text1"/>
              </w:rPr>
              <w:t>⑦</w:t>
            </w:r>
            <w:r>
              <w:rPr>
                <w:rFonts w:cs="Times New Roman"/>
                <w:snapToGrid w:val="0"/>
                <w:color w:val="000000" w:themeColor="text1"/>
              </w:rPr>
              <w:fldChar w:fldCharType="end"/>
            </w:r>
          </w:p>
        </w:tc>
      </w:tr>
      <w:tr w:rsidR="003C4F46" w14:paraId="474E4358" w14:textId="77777777">
        <w:trPr>
          <w:trHeight w:val="215"/>
        </w:trPr>
        <w:tc>
          <w:tcPr>
            <w:tcW w:w="545" w:type="pct"/>
            <w:vMerge w:val="restart"/>
            <w:vAlign w:val="center"/>
          </w:tcPr>
          <w:p w14:paraId="57AD1342"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有组织</w:t>
            </w:r>
            <w:r>
              <w:rPr>
                <w:rFonts w:cs="Times New Roman"/>
                <w:snapToGrid w:val="0"/>
                <w:color w:val="000000" w:themeColor="text1"/>
              </w:rPr>
              <w:t>废气</w:t>
            </w:r>
          </w:p>
        </w:tc>
        <w:tc>
          <w:tcPr>
            <w:tcW w:w="618" w:type="pct"/>
            <w:vAlign w:val="center"/>
          </w:tcPr>
          <w:p w14:paraId="25C8AF4F" w14:textId="77777777" w:rsidR="003C4F46" w:rsidRDefault="004B6A81">
            <w:pPr>
              <w:pStyle w:val="aff4"/>
              <w:rPr>
                <w:rFonts w:cs="Times New Roman"/>
                <w:snapToGrid w:val="0"/>
                <w:color w:val="000000" w:themeColor="text1"/>
              </w:rPr>
            </w:pPr>
            <w:r>
              <w:rPr>
                <w:rFonts w:hint="eastAsia"/>
                <w:snapToGrid w:val="0"/>
                <w:color w:val="000000" w:themeColor="text1"/>
              </w:rPr>
              <w:t>非甲烷总烃</w:t>
            </w:r>
          </w:p>
        </w:tc>
        <w:tc>
          <w:tcPr>
            <w:tcW w:w="545" w:type="pct"/>
            <w:vAlign w:val="center"/>
          </w:tcPr>
          <w:p w14:paraId="1EFA257F" w14:textId="4A14C414" w:rsidR="003C4F46" w:rsidRDefault="004B6A81">
            <w:pPr>
              <w:pStyle w:val="aff4"/>
              <w:rPr>
                <w:rFonts w:cs="Times New Roman"/>
                <w:snapToGrid w:val="0"/>
                <w:color w:val="000000" w:themeColor="text1"/>
              </w:rPr>
            </w:pPr>
            <w:r>
              <w:rPr>
                <w:rFonts w:cs="Times New Roman"/>
                <w:color w:val="000000" w:themeColor="text1"/>
                <w:kern w:val="0"/>
                <w:szCs w:val="21"/>
              </w:rPr>
              <w:t>0.5</w:t>
            </w:r>
            <w:r w:rsidR="008619D0">
              <w:rPr>
                <w:rFonts w:cs="Times New Roman"/>
                <w:color w:val="000000" w:themeColor="text1"/>
                <w:kern w:val="0"/>
                <w:szCs w:val="21"/>
              </w:rPr>
              <w:t>5</w:t>
            </w:r>
            <w:r>
              <w:rPr>
                <w:rFonts w:cs="Times New Roman"/>
                <w:szCs w:val="21"/>
              </w:rPr>
              <w:t>t/a</w:t>
            </w:r>
          </w:p>
        </w:tc>
        <w:tc>
          <w:tcPr>
            <w:tcW w:w="493" w:type="pct"/>
            <w:vAlign w:val="center"/>
          </w:tcPr>
          <w:p w14:paraId="7D7D2AA9"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3" w:type="pct"/>
            <w:vAlign w:val="center"/>
          </w:tcPr>
          <w:p w14:paraId="45DA9812"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45" w:type="pct"/>
            <w:vAlign w:val="center"/>
          </w:tcPr>
          <w:p w14:paraId="6E08BBFC" w14:textId="6409432A"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0.9t/a</w:t>
            </w:r>
          </w:p>
        </w:tc>
        <w:tc>
          <w:tcPr>
            <w:tcW w:w="594" w:type="pct"/>
            <w:vAlign w:val="center"/>
          </w:tcPr>
          <w:p w14:paraId="60209D65"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4" w:type="pct"/>
            <w:vAlign w:val="center"/>
          </w:tcPr>
          <w:p w14:paraId="5E43066E" w14:textId="036129A0" w:rsidR="003C4F46" w:rsidRDefault="00063039">
            <w:pPr>
              <w:pStyle w:val="aff4"/>
              <w:rPr>
                <w:rFonts w:cs="Times New Roman"/>
                <w:snapToGrid w:val="0"/>
                <w:color w:val="000000" w:themeColor="text1"/>
              </w:rPr>
            </w:pPr>
            <w:r>
              <w:rPr>
                <w:rFonts w:cs="Times New Roman"/>
                <w:szCs w:val="21"/>
              </w:rPr>
              <w:t>1.4</w:t>
            </w:r>
            <w:r w:rsidR="008619D0">
              <w:rPr>
                <w:rFonts w:cs="Times New Roman"/>
                <w:szCs w:val="21"/>
              </w:rPr>
              <w:t>5</w:t>
            </w:r>
            <w:r w:rsidR="004B6A81">
              <w:rPr>
                <w:rFonts w:cs="Times New Roman"/>
                <w:szCs w:val="21"/>
              </w:rPr>
              <w:t>t/a</w:t>
            </w:r>
          </w:p>
        </w:tc>
        <w:tc>
          <w:tcPr>
            <w:tcW w:w="473" w:type="pct"/>
            <w:vAlign w:val="center"/>
          </w:tcPr>
          <w:p w14:paraId="4C5A8287" w14:textId="07AE338D" w:rsidR="003C4F46" w:rsidRDefault="004B6A81">
            <w:pPr>
              <w:adjustRightInd w:val="0"/>
              <w:snapToGrid w:val="0"/>
              <w:spacing w:line="240" w:lineRule="auto"/>
              <w:ind w:firstLineChars="0" w:firstLine="0"/>
              <w:jc w:val="center"/>
              <w:textAlignment w:val="auto"/>
              <w:rPr>
                <w:rFonts w:cs="Times New Roman"/>
                <w:snapToGrid w:val="0"/>
                <w:color w:val="000000" w:themeColor="text1"/>
              </w:rPr>
            </w:pPr>
            <w:r>
              <w:rPr>
                <w:rFonts w:cs="Times New Roman" w:hint="eastAsia"/>
                <w:sz w:val="21"/>
                <w:szCs w:val="21"/>
              </w:rPr>
              <w:t>+0.9</w:t>
            </w:r>
            <w:r>
              <w:rPr>
                <w:rFonts w:cs="Times New Roman"/>
                <w:sz w:val="21"/>
                <w:szCs w:val="21"/>
              </w:rPr>
              <w:t>t/a</w:t>
            </w:r>
          </w:p>
        </w:tc>
      </w:tr>
      <w:tr w:rsidR="00345B75" w14:paraId="3FEEA096" w14:textId="77777777" w:rsidTr="00345B75">
        <w:trPr>
          <w:trHeight w:val="215"/>
        </w:trPr>
        <w:tc>
          <w:tcPr>
            <w:tcW w:w="545" w:type="pct"/>
            <w:vMerge/>
            <w:vAlign w:val="center"/>
          </w:tcPr>
          <w:p w14:paraId="207A59B1" w14:textId="77777777" w:rsidR="00345B75" w:rsidRDefault="00345B75" w:rsidP="00345B75">
            <w:pPr>
              <w:pStyle w:val="aff4"/>
              <w:rPr>
                <w:rFonts w:cs="Times New Roman"/>
                <w:snapToGrid w:val="0"/>
                <w:color w:val="000000" w:themeColor="text1"/>
              </w:rPr>
            </w:pPr>
          </w:p>
        </w:tc>
        <w:tc>
          <w:tcPr>
            <w:tcW w:w="618" w:type="pct"/>
            <w:vAlign w:val="center"/>
          </w:tcPr>
          <w:p w14:paraId="10CFA329" w14:textId="77777777" w:rsidR="00345B75" w:rsidRDefault="00345B75" w:rsidP="00345B75">
            <w:pPr>
              <w:pStyle w:val="aff4"/>
              <w:rPr>
                <w:snapToGrid w:val="0"/>
                <w:color w:val="000000" w:themeColor="text1"/>
              </w:rPr>
            </w:pPr>
            <w:r>
              <w:rPr>
                <w:rFonts w:hint="eastAsia"/>
                <w:snapToGrid w:val="0"/>
                <w:color w:val="000000" w:themeColor="text1"/>
              </w:rPr>
              <w:t>硫酸雾</w:t>
            </w:r>
          </w:p>
        </w:tc>
        <w:tc>
          <w:tcPr>
            <w:tcW w:w="545" w:type="pct"/>
            <w:vAlign w:val="center"/>
          </w:tcPr>
          <w:p w14:paraId="08B316CB" w14:textId="77777777" w:rsidR="00345B75" w:rsidRDefault="00345B75" w:rsidP="00345B75">
            <w:pPr>
              <w:pStyle w:val="aff4"/>
              <w:rPr>
                <w:rFonts w:cs="Times New Roman"/>
                <w:color w:val="000000" w:themeColor="text1"/>
                <w:kern w:val="0"/>
                <w:szCs w:val="21"/>
              </w:rPr>
            </w:pPr>
            <w:r>
              <w:rPr>
                <w:rFonts w:cs="Times New Roman" w:hint="eastAsia"/>
                <w:color w:val="000000" w:themeColor="text1"/>
                <w:kern w:val="0"/>
                <w:szCs w:val="21"/>
              </w:rPr>
              <w:t>0</w:t>
            </w:r>
          </w:p>
        </w:tc>
        <w:tc>
          <w:tcPr>
            <w:tcW w:w="493" w:type="pct"/>
            <w:vAlign w:val="center"/>
          </w:tcPr>
          <w:p w14:paraId="597E1461" w14:textId="77777777" w:rsidR="00345B75" w:rsidRDefault="00345B75" w:rsidP="00345B75">
            <w:pPr>
              <w:pStyle w:val="aff4"/>
              <w:rPr>
                <w:rFonts w:cs="Times New Roman"/>
                <w:color w:val="000000" w:themeColor="text1"/>
                <w:kern w:val="0"/>
                <w:szCs w:val="21"/>
              </w:rPr>
            </w:pPr>
            <w:r>
              <w:rPr>
                <w:rFonts w:cs="Times New Roman"/>
                <w:color w:val="000000" w:themeColor="text1"/>
                <w:kern w:val="0"/>
                <w:szCs w:val="21"/>
              </w:rPr>
              <w:t>0</w:t>
            </w:r>
          </w:p>
        </w:tc>
        <w:tc>
          <w:tcPr>
            <w:tcW w:w="593" w:type="pct"/>
            <w:vAlign w:val="center"/>
          </w:tcPr>
          <w:p w14:paraId="54E0B4A3" w14:textId="77777777" w:rsidR="00345B75" w:rsidRDefault="00345B75" w:rsidP="00345B75">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4B7EC487" w14:textId="0CF16F5B" w:rsidR="00345B75" w:rsidRDefault="00345B75" w:rsidP="00345B75">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0.0049t/a</w:t>
            </w:r>
          </w:p>
        </w:tc>
        <w:tc>
          <w:tcPr>
            <w:tcW w:w="594" w:type="pct"/>
            <w:vAlign w:val="center"/>
          </w:tcPr>
          <w:p w14:paraId="59465DC9" w14:textId="77777777" w:rsidR="00345B75" w:rsidRDefault="00345B75" w:rsidP="00345B75">
            <w:pPr>
              <w:pStyle w:val="aff4"/>
              <w:rPr>
                <w:rFonts w:cs="Times New Roman"/>
                <w:color w:val="000000" w:themeColor="text1"/>
                <w:kern w:val="0"/>
                <w:szCs w:val="21"/>
              </w:rPr>
            </w:pPr>
            <w:r>
              <w:rPr>
                <w:rFonts w:cs="Times New Roman" w:hint="eastAsia"/>
                <w:color w:val="000000" w:themeColor="text1"/>
                <w:kern w:val="0"/>
                <w:szCs w:val="21"/>
              </w:rPr>
              <w:t>0</w:t>
            </w:r>
          </w:p>
        </w:tc>
        <w:tc>
          <w:tcPr>
            <w:tcW w:w="594" w:type="pct"/>
          </w:tcPr>
          <w:p w14:paraId="7B88D3B0" w14:textId="7F624B63" w:rsidR="00345B75" w:rsidRDefault="00345B75" w:rsidP="00345B75">
            <w:pPr>
              <w:pStyle w:val="aff4"/>
              <w:rPr>
                <w:rFonts w:cs="Times New Roman"/>
                <w:szCs w:val="21"/>
              </w:rPr>
            </w:pPr>
            <w:r w:rsidRPr="004C0714">
              <w:rPr>
                <w:rFonts w:cs="Times New Roman"/>
                <w:szCs w:val="21"/>
              </w:rPr>
              <w:t>0.0049t/a</w:t>
            </w:r>
          </w:p>
        </w:tc>
        <w:tc>
          <w:tcPr>
            <w:tcW w:w="473" w:type="pct"/>
            <w:vAlign w:val="center"/>
          </w:tcPr>
          <w:p w14:paraId="4B2E07D0" w14:textId="6568CA94" w:rsidR="00345B75" w:rsidRDefault="00345B75" w:rsidP="00345B75">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w:t>
            </w:r>
            <w:r w:rsidRPr="004C0714">
              <w:rPr>
                <w:rFonts w:cs="Times New Roman"/>
                <w:sz w:val="21"/>
                <w:szCs w:val="21"/>
              </w:rPr>
              <w:t>0.0049t/a</w:t>
            </w:r>
          </w:p>
        </w:tc>
      </w:tr>
      <w:tr w:rsidR="003C4F46" w14:paraId="7A096368" w14:textId="77777777">
        <w:trPr>
          <w:trHeight w:val="215"/>
        </w:trPr>
        <w:tc>
          <w:tcPr>
            <w:tcW w:w="545" w:type="pct"/>
            <w:vMerge w:val="restart"/>
            <w:vAlign w:val="center"/>
          </w:tcPr>
          <w:p w14:paraId="40937528"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无组织</w:t>
            </w:r>
            <w:r>
              <w:rPr>
                <w:rFonts w:cs="Times New Roman"/>
                <w:snapToGrid w:val="0"/>
                <w:color w:val="000000" w:themeColor="text1"/>
              </w:rPr>
              <w:t>废气</w:t>
            </w:r>
          </w:p>
        </w:tc>
        <w:tc>
          <w:tcPr>
            <w:tcW w:w="618" w:type="pct"/>
            <w:vAlign w:val="center"/>
          </w:tcPr>
          <w:p w14:paraId="74025120" w14:textId="77777777" w:rsidR="003C4F46" w:rsidRDefault="004B6A81">
            <w:pPr>
              <w:pStyle w:val="aff4"/>
              <w:rPr>
                <w:snapToGrid w:val="0"/>
                <w:color w:val="000000" w:themeColor="text1"/>
              </w:rPr>
            </w:pPr>
            <w:r>
              <w:rPr>
                <w:rFonts w:hint="eastAsia"/>
                <w:snapToGrid w:val="0"/>
                <w:color w:val="000000" w:themeColor="text1"/>
              </w:rPr>
              <w:t>非甲烷总烃</w:t>
            </w:r>
          </w:p>
        </w:tc>
        <w:tc>
          <w:tcPr>
            <w:tcW w:w="545" w:type="pct"/>
          </w:tcPr>
          <w:p w14:paraId="17EF316A" w14:textId="3EDB5859" w:rsidR="003C4F46" w:rsidRDefault="008619D0">
            <w:pPr>
              <w:pStyle w:val="aff4"/>
              <w:rPr>
                <w:rFonts w:cs="Times New Roman"/>
                <w:color w:val="000000" w:themeColor="text1"/>
                <w:kern w:val="0"/>
                <w:szCs w:val="21"/>
              </w:rPr>
            </w:pPr>
            <w:r>
              <w:rPr>
                <w:rFonts w:cs="Times New Roman"/>
                <w:color w:val="000000" w:themeColor="text1"/>
                <w:kern w:val="0"/>
                <w:szCs w:val="21"/>
              </w:rPr>
              <w:t>5.53</w:t>
            </w:r>
            <w:r w:rsidR="004B6A81">
              <w:rPr>
                <w:rFonts w:cs="Times New Roman"/>
                <w:szCs w:val="21"/>
              </w:rPr>
              <w:t>t/a</w:t>
            </w:r>
          </w:p>
        </w:tc>
        <w:tc>
          <w:tcPr>
            <w:tcW w:w="493" w:type="pct"/>
          </w:tcPr>
          <w:p w14:paraId="4E475B7D"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3" w:type="pct"/>
          </w:tcPr>
          <w:p w14:paraId="228DBC27"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3277F3AB" w14:textId="4824F538"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0.51</w:t>
            </w:r>
            <w:r w:rsidR="00616AD1">
              <w:rPr>
                <w:rFonts w:cs="Times New Roman"/>
                <w:sz w:val="21"/>
                <w:szCs w:val="21"/>
              </w:rPr>
              <w:t>2</w:t>
            </w:r>
            <w:r>
              <w:rPr>
                <w:rFonts w:cs="Times New Roman"/>
                <w:sz w:val="21"/>
                <w:szCs w:val="21"/>
              </w:rPr>
              <w:t>t/a</w:t>
            </w:r>
          </w:p>
        </w:tc>
        <w:tc>
          <w:tcPr>
            <w:tcW w:w="594" w:type="pct"/>
          </w:tcPr>
          <w:p w14:paraId="3ECBB63F"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4" w:type="pct"/>
            <w:vAlign w:val="center"/>
          </w:tcPr>
          <w:p w14:paraId="281B6189" w14:textId="51550636" w:rsidR="003C4F46" w:rsidRDefault="004B6A81">
            <w:pPr>
              <w:pStyle w:val="aff4"/>
              <w:rPr>
                <w:rFonts w:cs="Times New Roman"/>
                <w:szCs w:val="21"/>
              </w:rPr>
            </w:pPr>
            <w:r>
              <w:rPr>
                <w:rFonts w:cs="Times New Roman"/>
                <w:szCs w:val="21"/>
              </w:rPr>
              <w:t>6.0</w:t>
            </w:r>
            <w:r w:rsidR="008619D0">
              <w:rPr>
                <w:rFonts w:cs="Times New Roman"/>
                <w:szCs w:val="21"/>
              </w:rPr>
              <w:t>4</w:t>
            </w:r>
            <w:r w:rsidR="00616AD1">
              <w:rPr>
                <w:rFonts w:cs="Times New Roman"/>
                <w:szCs w:val="21"/>
              </w:rPr>
              <w:t>2</w:t>
            </w:r>
            <w:r>
              <w:rPr>
                <w:rFonts w:cs="Times New Roman"/>
                <w:szCs w:val="21"/>
              </w:rPr>
              <w:t>t/a</w:t>
            </w:r>
          </w:p>
        </w:tc>
        <w:tc>
          <w:tcPr>
            <w:tcW w:w="473" w:type="pct"/>
            <w:vAlign w:val="center"/>
          </w:tcPr>
          <w:p w14:paraId="3D7985A8" w14:textId="2AC08562" w:rsidR="003C4F46" w:rsidRDefault="004B6A81">
            <w:pPr>
              <w:adjustRightInd w:val="0"/>
              <w:snapToGrid w:val="0"/>
              <w:spacing w:line="240" w:lineRule="auto"/>
              <w:ind w:firstLineChars="0" w:firstLine="0"/>
              <w:jc w:val="center"/>
              <w:textAlignment w:val="auto"/>
              <w:rPr>
                <w:rFonts w:cs="Times New Roman"/>
                <w:szCs w:val="21"/>
              </w:rPr>
            </w:pPr>
            <w:r>
              <w:rPr>
                <w:rFonts w:cs="Times New Roman" w:hint="eastAsia"/>
                <w:sz w:val="21"/>
                <w:szCs w:val="21"/>
              </w:rPr>
              <w:t>+</w:t>
            </w:r>
            <w:r>
              <w:rPr>
                <w:rFonts w:cs="Times New Roman"/>
                <w:sz w:val="21"/>
                <w:szCs w:val="21"/>
              </w:rPr>
              <w:t>0.51</w:t>
            </w:r>
            <w:r w:rsidR="00616AD1">
              <w:rPr>
                <w:rFonts w:cs="Times New Roman"/>
                <w:sz w:val="21"/>
                <w:szCs w:val="21"/>
              </w:rPr>
              <w:t>2</w:t>
            </w:r>
            <w:r>
              <w:rPr>
                <w:rFonts w:cs="Times New Roman"/>
                <w:sz w:val="21"/>
                <w:szCs w:val="21"/>
              </w:rPr>
              <w:t>t/a</w:t>
            </w:r>
          </w:p>
        </w:tc>
      </w:tr>
      <w:tr w:rsidR="003C4F46" w14:paraId="732C8D3F" w14:textId="77777777">
        <w:trPr>
          <w:trHeight w:val="215"/>
        </w:trPr>
        <w:tc>
          <w:tcPr>
            <w:tcW w:w="545" w:type="pct"/>
            <w:vMerge/>
            <w:vAlign w:val="center"/>
          </w:tcPr>
          <w:p w14:paraId="553783C4" w14:textId="77777777" w:rsidR="003C4F46" w:rsidRDefault="003C4F46">
            <w:pPr>
              <w:pStyle w:val="aff4"/>
              <w:rPr>
                <w:rFonts w:cs="Times New Roman"/>
                <w:snapToGrid w:val="0"/>
                <w:color w:val="000000" w:themeColor="text1"/>
              </w:rPr>
            </w:pPr>
          </w:p>
        </w:tc>
        <w:tc>
          <w:tcPr>
            <w:tcW w:w="618" w:type="pct"/>
            <w:vAlign w:val="center"/>
          </w:tcPr>
          <w:p w14:paraId="4DC6E120" w14:textId="77777777" w:rsidR="003C4F46" w:rsidRDefault="004B6A81">
            <w:pPr>
              <w:pStyle w:val="aff4"/>
              <w:rPr>
                <w:snapToGrid w:val="0"/>
                <w:color w:val="000000" w:themeColor="text1"/>
              </w:rPr>
            </w:pPr>
            <w:r>
              <w:rPr>
                <w:rFonts w:hint="eastAsia"/>
                <w:snapToGrid w:val="0"/>
                <w:color w:val="000000" w:themeColor="text1"/>
              </w:rPr>
              <w:t>硫酸雾</w:t>
            </w:r>
          </w:p>
        </w:tc>
        <w:tc>
          <w:tcPr>
            <w:tcW w:w="545" w:type="pct"/>
          </w:tcPr>
          <w:p w14:paraId="61B76A2E" w14:textId="77777777" w:rsidR="003C4F46" w:rsidRDefault="004B6A81">
            <w:pPr>
              <w:pStyle w:val="aff4"/>
              <w:rPr>
                <w:rFonts w:cs="Times New Roman"/>
                <w:color w:val="000000" w:themeColor="text1"/>
                <w:kern w:val="0"/>
                <w:szCs w:val="21"/>
              </w:rPr>
            </w:pPr>
            <w:r>
              <w:rPr>
                <w:rFonts w:cs="Times New Roman" w:hint="eastAsia"/>
                <w:color w:val="000000" w:themeColor="text1"/>
                <w:kern w:val="0"/>
                <w:szCs w:val="21"/>
              </w:rPr>
              <w:t>0</w:t>
            </w:r>
          </w:p>
        </w:tc>
        <w:tc>
          <w:tcPr>
            <w:tcW w:w="493" w:type="pct"/>
          </w:tcPr>
          <w:p w14:paraId="54715395"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3" w:type="pct"/>
          </w:tcPr>
          <w:p w14:paraId="1AA0520C"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137864D0"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hint="eastAsia"/>
                <w:sz w:val="21"/>
                <w:szCs w:val="21"/>
              </w:rPr>
              <w:t>0</w:t>
            </w:r>
            <w:r>
              <w:rPr>
                <w:rFonts w:cs="Times New Roman"/>
                <w:sz w:val="21"/>
                <w:szCs w:val="21"/>
              </w:rPr>
              <w:t>.0054t/a</w:t>
            </w:r>
          </w:p>
        </w:tc>
        <w:tc>
          <w:tcPr>
            <w:tcW w:w="594" w:type="pct"/>
          </w:tcPr>
          <w:p w14:paraId="0CC039DC" w14:textId="77777777" w:rsidR="003C4F46" w:rsidRDefault="004B6A81">
            <w:pPr>
              <w:pStyle w:val="aff4"/>
              <w:rPr>
                <w:rFonts w:cs="Times New Roman"/>
                <w:color w:val="000000" w:themeColor="text1"/>
                <w:kern w:val="0"/>
                <w:szCs w:val="21"/>
              </w:rPr>
            </w:pPr>
            <w:r>
              <w:rPr>
                <w:rFonts w:cs="Times New Roman" w:hint="eastAsia"/>
                <w:color w:val="000000" w:themeColor="text1"/>
                <w:kern w:val="0"/>
                <w:szCs w:val="21"/>
              </w:rPr>
              <w:t>0</w:t>
            </w:r>
          </w:p>
        </w:tc>
        <w:tc>
          <w:tcPr>
            <w:tcW w:w="594" w:type="pct"/>
            <w:vAlign w:val="center"/>
          </w:tcPr>
          <w:p w14:paraId="45786C89" w14:textId="77777777" w:rsidR="003C4F46" w:rsidRDefault="004B6A81">
            <w:pPr>
              <w:pStyle w:val="aff4"/>
              <w:rPr>
                <w:rFonts w:cs="Times New Roman"/>
                <w:szCs w:val="21"/>
              </w:rPr>
            </w:pPr>
            <w:r>
              <w:rPr>
                <w:rFonts w:cs="Times New Roman" w:hint="eastAsia"/>
                <w:szCs w:val="21"/>
              </w:rPr>
              <w:t>0</w:t>
            </w:r>
            <w:r>
              <w:rPr>
                <w:rFonts w:cs="Times New Roman"/>
                <w:szCs w:val="21"/>
              </w:rPr>
              <w:t>.0054t/a</w:t>
            </w:r>
          </w:p>
        </w:tc>
        <w:tc>
          <w:tcPr>
            <w:tcW w:w="473" w:type="pct"/>
            <w:vAlign w:val="center"/>
          </w:tcPr>
          <w:p w14:paraId="37E8A5C7" w14:textId="77777777" w:rsidR="003C4F46" w:rsidRDefault="004B6A81">
            <w:pPr>
              <w:adjustRightInd w:val="0"/>
              <w:snapToGrid w:val="0"/>
              <w:spacing w:line="240" w:lineRule="auto"/>
              <w:ind w:firstLineChars="0" w:firstLine="0"/>
              <w:jc w:val="center"/>
              <w:textAlignment w:val="auto"/>
              <w:rPr>
                <w:rFonts w:cs="Times New Roman"/>
                <w:sz w:val="21"/>
                <w:szCs w:val="21"/>
              </w:rPr>
            </w:pPr>
            <w:r>
              <w:rPr>
                <w:rFonts w:cs="Times New Roman"/>
                <w:sz w:val="21"/>
                <w:szCs w:val="21"/>
              </w:rPr>
              <w:t>+</w:t>
            </w:r>
            <w:r>
              <w:rPr>
                <w:rFonts w:cs="Times New Roman" w:hint="eastAsia"/>
                <w:sz w:val="21"/>
                <w:szCs w:val="21"/>
              </w:rPr>
              <w:t>0</w:t>
            </w:r>
            <w:r>
              <w:rPr>
                <w:rFonts w:cs="Times New Roman"/>
                <w:sz w:val="21"/>
                <w:szCs w:val="21"/>
              </w:rPr>
              <w:t>.0054t/a</w:t>
            </w:r>
          </w:p>
        </w:tc>
      </w:tr>
      <w:tr w:rsidR="003C4F46" w14:paraId="477DF9F2" w14:textId="77777777">
        <w:trPr>
          <w:trHeight w:val="215"/>
        </w:trPr>
        <w:tc>
          <w:tcPr>
            <w:tcW w:w="545" w:type="pct"/>
            <w:vMerge w:val="restart"/>
            <w:vAlign w:val="center"/>
          </w:tcPr>
          <w:p w14:paraId="0F338E72" w14:textId="77777777" w:rsidR="003C4F46" w:rsidRDefault="004B6A81">
            <w:pPr>
              <w:pStyle w:val="aff4"/>
              <w:rPr>
                <w:rFonts w:cs="Times New Roman"/>
                <w:snapToGrid w:val="0"/>
                <w:color w:val="000000" w:themeColor="text1"/>
              </w:rPr>
            </w:pPr>
            <w:r>
              <w:rPr>
                <w:rFonts w:cs="Times New Roman"/>
                <w:snapToGrid w:val="0"/>
                <w:color w:val="000000" w:themeColor="text1"/>
              </w:rPr>
              <w:t>废水</w:t>
            </w:r>
          </w:p>
        </w:tc>
        <w:tc>
          <w:tcPr>
            <w:tcW w:w="618" w:type="pct"/>
            <w:vAlign w:val="center"/>
          </w:tcPr>
          <w:p w14:paraId="47EC55E6" w14:textId="539B071F" w:rsidR="003C4F46" w:rsidRDefault="00D72758">
            <w:pPr>
              <w:pStyle w:val="aff4"/>
              <w:rPr>
                <w:rFonts w:cs="Times New Roman"/>
                <w:snapToGrid w:val="0"/>
                <w:color w:val="000000" w:themeColor="text1"/>
              </w:rPr>
            </w:pPr>
            <w:r>
              <w:rPr>
                <w:rFonts w:cs="Times New Roman" w:hint="eastAsia"/>
                <w:snapToGrid w:val="0"/>
                <w:color w:val="000000" w:themeColor="text1"/>
              </w:rPr>
              <w:t>综合</w:t>
            </w:r>
            <w:r w:rsidR="004B6A81">
              <w:rPr>
                <w:rFonts w:cs="Times New Roman" w:hint="eastAsia"/>
                <w:snapToGrid w:val="0"/>
                <w:color w:val="000000" w:themeColor="text1"/>
              </w:rPr>
              <w:t>废水量</w:t>
            </w:r>
          </w:p>
        </w:tc>
        <w:tc>
          <w:tcPr>
            <w:tcW w:w="545" w:type="pct"/>
            <w:vAlign w:val="center"/>
          </w:tcPr>
          <w:p w14:paraId="50A83205" w14:textId="77777777" w:rsidR="003C4F46" w:rsidRDefault="004B6A81">
            <w:pPr>
              <w:pStyle w:val="aff4"/>
              <w:rPr>
                <w:rFonts w:cs="Times New Roman"/>
                <w:color w:val="000000" w:themeColor="text1"/>
                <w:kern w:val="0"/>
                <w:szCs w:val="21"/>
              </w:rPr>
            </w:pPr>
            <w:r>
              <w:rPr>
                <w:rFonts w:cs="Times New Roman" w:hint="eastAsia"/>
                <w:color w:val="000000" w:themeColor="text1"/>
                <w:kern w:val="0"/>
                <w:szCs w:val="21"/>
              </w:rPr>
              <w:t>72</w:t>
            </w:r>
            <w:r>
              <w:rPr>
                <w:rFonts w:cs="Times New Roman"/>
                <w:color w:val="000000" w:themeColor="text1"/>
                <w:kern w:val="0"/>
                <w:szCs w:val="21"/>
              </w:rPr>
              <w:t>0</w:t>
            </w:r>
            <w:r>
              <w:rPr>
                <w:rFonts w:cs="Times New Roman"/>
                <w:szCs w:val="21"/>
              </w:rPr>
              <w:t>t/a</w:t>
            </w:r>
          </w:p>
        </w:tc>
        <w:tc>
          <w:tcPr>
            <w:tcW w:w="493" w:type="pct"/>
            <w:vAlign w:val="center"/>
          </w:tcPr>
          <w:p w14:paraId="5F93BF02"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3" w:type="pct"/>
            <w:vAlign w:val="center"/>
          </w:tcPr>
          <w:p w14:paraId="42139DB9"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05968E90" w14:textId="27F9419E" w:rsidR="003C4F46" w:rsidRDefault="00017B81">
            <w:pPr>
              <w:pStyle w:val="aff4"/>
              <w:rPr>
                <w:rFonts w:cs="Times New Roman"/>
                <w:szCs w:val="21"/>
              </w:rPr>
            </w:pPr>
            <w:r>
              <w:rPr>
                <w:rFonts w:cs="Times New Roman"/>
                <w:szCs w:val="21"/>
              </w:rPr>
              <w:t>224.4</w:t>
            </w:r>
            <w:r w:rsidR="004B6A81">
              <w:rPr>
                <w:rFonts w:cs="Times New Roman"/>
                <w:szCs w:val="21"/>
              </w:rPr>
              <w:t>t/a</w:t>
            </w:r>
          </w:p>
        </w:tc>
        <w:tc>
          <w:tcPr>
            <w:tcW w:w="594" w:type="pct"/>
            <w:vAlign w:val="center"/>
          </w:tcPr>
          <w:p w14:paraId="7BE7E14E"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4" w:type="pct"/>
            <w:vAlign w:val="center"/>
          </w:tcPr>
          <w:p w14:paraId="09BB79FB" w14:textId="0B584E32" w:rsidR="003C4F46" w:rsidRDefault="00017B81">
            <w:pPr>
              <w:pStyle w:val="aff4"/>
              <w:rPr>
                <w:rFonts w:cs="Times New Roman"/>
                <w:szCs w:val="21"/>
              </w:rPr>
            </w:pPr>
            <w:r>
              <w:rPr>
                <w:rFonts w:cs="Times New Roman"/>
                <w:szCs w:val="21"/>
              </w:rPr>
              <w:t>944.4</w:t>
            </w:r>
            <w:r w:rsidR="004B6A81">
              <w:rPr>
                <w:rFonts w:cs="Times New Roman"/>
                <w:szCs w:val="21"/>
              </w:rPr>
              <w:t>t/a</w:t>
            </w:r>
          </w:p>
        </w:tc>
        <w:tc>
          <w:tcPr>
            <w:tcW w:w="473" w:type="pct"/>
            <w:vAlign w:val="center"/>
          </w:tcPr>
          <w:p w14:paraId="78434369" w14:textId="7ED9E6BE" w:rsidR="003C4F46" w:rsidRDefault="004B6A81">
            <w:pPr>
              <w:pStyle w:val="aff4"/>
              <w:rPr>
                <w:rFonts w:cs="Times New Roman"/>
                <w:snapToGrid w:val="0"/>
                <w:color w:val="000000" w:themeColor="text1"/>
              </w:rPr>
            </w:pPr>
            <w:r>
              <w:rPr>
                <w:rFonts w:cs="Times New Roman"/>
                <w:szCs w:val="21"/>
              </w:rPr>
              <w:t>+</w:t>
            </w:r>
            <w:r w:rsidR="00017B81">
              <w:rPr>
                <w:rFonts w:cs="Times New Roman"/>
                <w:szCs w:val="21"/>
              </w:rPr>
              <w:t>224.4</w:t>
            </w:r>
            <w:r>
              <w:rPr>
                <w:rFonts w:cs="Times New Roman"/>
                <w:szCs w:val="21"/>
              </w:rPr>
              <w:t>t/a</w:t>
            </w:r>
          </w:p>
        </w:tc>
      </w:tr>
      <w:tr w:rsidR="003C4F46" w14:paraId="0E8FD844" w14:textId="77777777">
        <w:trPr>
          <w:trHeight w:val="215"/>
        </w:trPr>
        <w:tc>
          <w:tcPr>
            <w:tcW w:w="545" w:type="pct"/>
            <w:vMerge/>
            <w:vAlign w:val="center"/>
          </w:tcPr>
          <w:p w14:paraId="46EA9AD8" w14:textId="77777777" w:rsidR="003C4F46" w:rsidRDefault="003C4F46">
            <w:pPr>
              <w:pStyle w:val="aff4"/>
              <w:rPr>
                <w:rFonts w:cs="Times New Roman"/>
                <w:snapToGrid w:val="0"/>
                <w:color w:val="000000" w:themeColor="text1"/>
              </w:rPr>
            </w:pPr>
          </w:p>
        </w:tc>
        <w:tc>
          <w:tcPr>
            <w:tcW w:w="618" w:type="pct"/>
            <w:vAlign w:val="center"/>
          </w:tcPr>
          <w:p w14:paraId="314339D2" w14:textId="77777777" w:rsidR="003C4F46" w:rsidRDefault="004B6A81">
            <w:pPr>
              <w:pStyle w:val="aff4"/>
              <w:rPr>
                <w:rFonts w:cs="Times New Roman"/>
                <w:snapToGrid w:val="0"/>
                <w:color w:val="000000" w:themeColor="text1"/>
              </w:rPr>
            </w:pPr>
            <w:r>
              <w:rPr>
                <w:rFonts w:cs="Times New Roman"/>
                <w:color w:val="000000" w:themeColor="text1"/>
                <w:szCs w:val="21"/>
              </w:rPr>
              <w:t>COD</w:t>
            </w:r>
          </w:p>
        </w:tc>
        <w:tc>
          <w:tcPr>
            <w:tcW w:w="545" w:type="pct"/>
            <w:vAlign w:val="center"/>
          </w:tcPr>
          <w:p w14:paraId="7B0DEF99" w14:textId="77777777" w:rsidR="003C4F46" w:rsidRDefault="004B6A81">
            <w:pPr>
              <w:pStyle w:val="aff4"/>
              <w:rPr>
                <w:rFonts w:cs="Times New Roman"/>
                <w:snapToGrid w:val="0"/>
                <w:color w:val="000000" w:themeColor="text1"/>
              </w:rPr>
            </w:pPr>
            <w:r>
              <w:rPr>
                <w:rFonts w:cs="Times New Roman"/>
                <w:color w:val="000000" w:themeColor="text1"/>
                <w:kern w:val="0"/>
                <w:szCs w:val="21"/>
              </w:rPr>
              <w:t>0.259</w:t>
            </w:r>
            <w:r>
              <w:rPr>
                <w:rFonts w:cs="Times New Roman"/>
                <w:szCs w:val="21"/>
              </w:rPr>
              <w:t>t/a</w:t>
            </w:r>
          </w:p>
        </w:tc>
        <w:tc>
          <w:tcPr>
            <w:tcW w:w="493" w:type="pct"/>
            <w:vAlign w:val="center"/>
          </w:tcPr>
          <w:p w14:paraId="60ADB744"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3" w:type="pct"/>
            <w:vAlign w:val="center"/>
          </w:tcPr>
          <w:p w14:paraId="035CA11F"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45" w:type="pct"/>
            <w:vAlign w:val="center"/>
          </w:tcPr>
          <w:p w14:paraId="139DC794" w14:textId="68E7A5B8" w:rsidR="003C4F46" w:rsidRDefault="00017B81">
            <w:pPr>
              <w:pStyle w:val="aff4"/>
              <w:rPr>
                <w:rFonts w:cs="Times New Roman"/>
                <w:snapToGrid w:val="0"/>
                <w:color w:val="000000" w:themeColor="text1"/>
              </w:rPr>
            </w:pPr>
            <w:r>
              <w:rPr>
                <w:rFonts w:cs="Times New Roman"/>
                <w:szCs w:val="21"/>
              </w:rPr>
              <w:t>0.061</w:t>
            </w:r>
            <w:r w:rsidR="004B6A81">
              <w:rPr>
                <w:rFonts w:cs="Times New Roman"/>
                <w:szCs w:val="21"/>
              </w:rPr>
              <w:t>t/a</w:t>
            </w:r>
          </w:p>
        </w:tc>
        <w:tc>
          <w:tcPr>
            <w:tcW w:w="594" w:type="pct"/>
            <w:vAlign w:val="center"/>
          </w:tcPr>
          <w:p w14:paraId="26FE3DC7"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4" w:type="pct"/>
            <w:vAlign w:val="center"/>
          </w:tcPr>
          <w:p w14:paraId="0294B9F0" w14:textId="33422AEB" w:rsidR="003C4F46" w:rsidRDefault="004B6A81">
            <w:pPr>
              <w:pStyle w:val="aff4"/>
              <w:rPr>
                <w:rFonts w:cs="Times New Roman"/>
                <w:snapToGrid w:val="0"/>
                <w:color w:val="000000" w:themeColor="text1"/>
              </w:rPr>
            </w:pPr>
            <w:r>
              <w:rPr>
                <w:rFonts w:cs="Times New Roman" w:hint="eastAsia"/>
                <w:snapToGrid w:val="0"/>
                <w:color w:val="000000" w:themeColor="text1"/>
              </w:rPr>
              <w:t>0</w:t>
            </w:r>
            <w:r>
              <w:rPr>
                <w:rFonts w:cs="Times New Roman"/>
                <w:snapToGrid w:val="0"/>
                <w:color w:val="000000" w:themeColor="text1"/>
              </w:rPr>
              <w:t>.31</w:t>
            </w:r>
            <w:r w:rsidR="00017B81">
              <w:rPr>
                <w:rFonts w:cs="Times New Roman"/>
                <w:snapToGrid w:val="0"/>
                <w:color w:val="000000" w:themeColor="text1"/>
              </w:rPr>
              <w:t>7</w:t>
            </w:r>
            <w:r>
              <w:rPr>
                <w:rFonts w:cs="Times New Roman"/>
                <w:szCs w:val="21"/>
              </w:rPr>
              <w:t>t/a</w:t>
            </w:r>
          </w:p>
        </w:tc>
        <w:tc>
          <w:tcPr>
            <w:tcW w:w="473" w:type="pct"/>
            <w:vAlign w:val="center"/>
          </w:tcPr>
          <w:p w14:paraId="1EADD9F9" w14:textId="18E484F2" w:rsidR="003C4F46" w:rsidRDefault="004B6A81">
            <w:pPr>
              <w:pStyle w:val="aff4"/>
              <w:rPr>
                <w:rFonts w:cs="Times New Roman"/>
                <w:snapToGrid w:val="0"/>
                <w:color w:val="000000" w:themeColor="text1"/>
              </w:rPr>
            </w:pPr>
            <w:r>
              <w:rPr>
                <w:rFonts w:cs="Times New Roman"/>
                <w:szCs w:val="21"/>
              </w:rPr>
              <w:t>+0.0</w:t>
            </w:r>
            <w:r w:rsidR="00017B81">
              <w:rPr>
                <w:rFonts w:cs="Times New Roman"/>
                <w:szCs w:val="21"/>
              </w:rPr>
              <w:t>61</w:t>
            </w:r>
            <w:r>
              <w:rPr>
                <w:rFonts w:cs="Times New Roman"/>
                <w:szCs w:val="21"/>
              </w:rPr>
              <w:t>t/a</w:t>
            </w:r>
          </w:p>
        </w:tc>
      </w:tr>
      <w:tr w:rsidR="003C4F46" w14:paraId="273E36C3" w14:textId="77777777">
        <w:trPr>
          <w:trHeight w:val="215"/>
        </w:trPr>
        <w:tc>
          <w:tcPr>
            <w:tcW w:w="545" w:type="pct"/>
            <w:vMerge/>
            <w:vAlign w:val="center"/>
          </w:tcPr>
          <w:p w14:paraId="3F6852AA" w14:textId="77777777" w:rsidR="003C4F46" w:rsidRDefault="003C4F46">
            <w:pPr>
              <w:pStyle w:val="aff4"/>
              <w:rPr>
                <w:rFonts w:cs="Times New Roman"/>
                <w:snapToGrid w:val="0"/>
                <w:color w:val="000000" w:themeColor="text1"/>
              </w:rPr>
            </w:pPr>
          </w:p>
        </w:tc>
        <w:tc>
          <w:tcPr>
            <w:tcW w:w="618" w:type="pct"/>
            <w:vAlign w:val="center"/>
          </w:tcPr>
          <w:p w14:paraId="203812CF" w14:textId="77777777" w:rsidR="003C4F46" w:rsidRDefault="004B6A81">
            <w:pPr>
              <w:pStyle w:val="aff4"/>
              <w:rPr>
                <w:rFonts w:cs="Times New Roman"/>
                <w:snapToGrid w:val="0"/>
                <w:color w:val="000000" w:themeColor="text1"/>
              </w:rPr>
            </w:pPr>
            <w:r>
              <w:rPr>
                <w:rFonts w:cs="Times New Roman"/>
                <w:color w:val="000000" w:themeColor="text1"/>
                <w:szCs w:val="21"/>
              </w:rPr>
              <w:t>BOD</w:t>
            </w:r>
            <w:r>
              <w:rPr>
                <w:rFonts w:cs="Times New Roman"/>
                <w:color w:val="000000" w:themeColor="text1"/>
                <w:szCs w:val="21"/>
                <w:vertAlign w:val="subscript"/>
              </w:rPr>
              <w:t>5</w:t>
            </w:r>
          </w:p>
        </w:tc>
        <w:tc>
          <w:tcPr>
            <w:tcW w:w="545" w:type="pct"/>
            <w:vAlign w:val="center"/>
          </w:tcPr>
          <w:p w14:paraId="22365AE1" w14:textId="77777777" w:rsidR="003C4F46" w:rsidRDefault="004B6A81">
            <w:pPr>
              <w:pStyle w:val="aff4"/>
              <w:rPr>
                <w:rFonts w:cs="Times New Roman"/>
                <w:snapToGrid w:val="0"/>
                <w:color w:val="000000" w:themeColor="text1"/>
              </w:rPr>
            </w:pPr>
            <w:r>
              <w:rPr>
                <w:rFonts w:cs="Times New Roman"/>
                <w:color w:val="000000" w:themeColor="text1"/>
                <w:kern w:val="0"/>
                <w:szCs w:val="21"/>
              </w:rPr>
              <w:t>0.130</w:t>
            </w:r>
            <w:r>
              <w:rPr>
                <w:rFonts w:cs="Times New Roman"/>
                <w:szCs w:val="21"/>
              </w:rPr>
              <w:t>t/a</w:t>
            </w:r>
          </w:p>
        </w:tc>
        <w:tc>
          <w:tcPr>
            <w:tcW w:w="493" w:type="pct"/>
            <w:vAlign w:val="center"/>
          </w:tcPr>
          <w:p w14:paraId="1A492EC0"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3" w:type="pct"/>
            <w:vAlign w:val="center"/>
          </w:tcPr>
          <w:p w14:paraId="04933A65"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45" w:type="pct"/>
            <w:vAlign w:val="center"/>
          </w:tcPr>
          <w:p w14:paraId="1F33E27A" w14:textId="77777777" w:rsidR="003C4F46" w:rsidRDefault="004B6A81">
            <w:pPr>
              <w:pStyle w:val="aff4"/>
              <w:rPr>
                <w:rFonts w:cs="Times New Roman"/>
                <w:snapToGrid w:val="0"/>
                <w:color w:val="000000" w:themeColor="text1"/>
              </w:rPr>
            </w:pPr>
            <w:r>
              <w:rPr>
                <w:rFonts w:cs="Times New Roman"/>
                <w:szCs w:val="21"/>
              </w:rPr>
              <w:t>0.029t/a</w:t>
            </w:r>
          </w:p>
        </w:tc>
        <w:tc>
          <w:tcPr>
            <w:tcW w:w="594" w:type="pct"/>
            <w:vAlign w:val="center"/>
          </w:tcPr>
          <w:p w14:paraId="24841520"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4" w:type="pct"/>
            <w:vAlign w:val="center"/>
          </w:tcPr>
          <w:p w14:paraId="7A2B25F1"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0</w:t>
            </w:r>
            <w:r>
              <w:rPr>
                <w:rFonts w:cs="Times New Roman"/>
                <w:snapToGrid w:val="0"/>
                <w:color w:val="000000" w:themeColor="text1"/>
              </w:rPr>
              <w:t>.159</w:t>
            </w:r>
            <w:r>
              <w:rPr>
                <w:rFonts w:cs="Times New Roman"/>
                <w:szCs w:val="21"/>
              </w:rPr>
              <w:t>t/a</w:t>
            </w:r>
          </w:p>
        </w:tc>
        <w:tc>
          <w:tcPr>
            <w:tcW w:w="473" w:type="pct"/>
            <w:vAlign w:val="center"/>
          </w:tcPr>
          <w:p w14:paraId="645B8D07" w14:textId="77777777" w:rsidR="003C4F46" w:rsidRDefault="004B6A81">
            <w:pPr>
              <w:pStyle w:val="aff4"/>
              <w:rPr>
                <w:rFonts w:cs="Times New Roman"/>
                <w:snapToGrid w:val="0"/>
                <w:color w:val="000000" w:themeColor="text1"/>
              </w:rPr>
            </w:pPr>
            <w:r>
              <w:rPr>
                <w:rFonts w:cs="Times New Roman"/>
                <w:szCs w:val="21"/>
              </w:rPr>
              <w:t>+0.029t/a</w:t>
            </w:r>
          </w:p>
        </w:tc>
      </w:tr>
      <w:tr w:rsidR="003C4F46" w14:paraId="63ACAA19" w14:textId="77777777">
        <w:trPr>
          <w:trHeight w:val="215"/>
        </w:trPr>
        <w:tc>
          <w:tcPr>
            <w:tcW w:w="545" w:type="pct"/>
            <w:vMerge/>
            <w:vAlign w:val="center"/>
          </w:tcPr>
          <w:p w14:paraId="18C79BED" w14:textId="77777777" w:rsidR="003C4F46" w:rsidRDefault="003C4F46">
            <w:pPr>
              <w:pStyle w:val="aff4"/>
              <w:rPr>
                <w:rFonts w:cs="Times New Roman"/>
                <w:snapToGrid w:val="0"/>
                <w:color w:val="000000" w:themeColor="text1"/>
              </w:rPr>
            </w:pPr>
          </w:p>
        </w:tc>
        <w:tc>
          <w:tcPr>
            <w:tcW w:w="618" w:type="pct"/>
            <w:vAlign w:val="center"/>
          </w:tcPr>
          <w:p w14:paraId="3CB598B5" w14:textId="77777777" w:rsidR="003C4F46" w:rsidRDefault="004B6A81">
            <w:pPr>
              <w:pStyle w:val="aff4"/>
              <w:rPr>
                <w:rFonts w:cs="Times New Roman"/>
                <w:snapToGrid w:val="0"/>
                <w:color w:val="000000" w:themeColor="text1"/>
              </w:rPr>
            </w:pPr>
            <w:r>
              <w:rPr>
                <w:rFonts w:cs="Times New Roman"/>
                <w:color w:val="000000" w:themeColor="text1"/>
                <w:szCs w:val="21"/>
              </w:rPr>
              <w:t>SS</w:t>
            </w:r>
          </w:p>
        </w:tc>
        <w:tc>
          <w:tcPr>
            <w:tcW w:w="545" w:type="pct"/>
            <w:vAlign w:val="center"/>
          </w:tcPr>
          <w:p w14:paraId="1DB027C8" w14:textId="77777777" w:rsidR="003C4F46" w:rsidRDefault="004B6A81">
            <w:pPr>
              <w:pStyle w:val="aff4"/>
              <w:rPr>
                <w:rFonts w:cs="Times New Roman"/>
                <w:snapToGrid w:val="0"/>
                <w:color w:val="000000" w:themeColor="text1"/>
              </w:rPr>
            </w:pPr>
            <w:r>
              <w:rPr>
                <w:rFonts w:cs="Times New Roman"/>
                <w:color w:val="000000" w:themeColor="text1"/>
                <w:kern w:val="0"/>
                <w:szCs w:val="21"/>
              </w:rPr>
              <w:t>0.018</w:t>
            </w:r>
            <w:r>
              <w:rPr>
                <w:rFonts w:cs="Times New Roman"/>
                <w:szCs w:val="21"/>
              </w:rPr>
              <w:t>t/a</w:t>
            </w:r>
          </w:p>
        </w:tc>
        <w:tc>
          <w:tcPr>
            <w:tcW w:w="493" w:type="pct"/>
            <w:vAlign w:val="center"/>
          </w:tcPr>
          <w:p w14:paraId="09F2D6D6"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3" w:type="pct"/>
            <w:vAlign w:val="center"/>
          </w:tcPr>
          <w:p w14:paraId="4428858A"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45" w:type="pct"/>
            <w:vAlign w:val="center"/>
          </w:tcPr>
          <w:p w14:paraId="6197E901" w14:textId="0B753125" w:rsidR="003C4F46" w:rsidRDefault="00017B81">
            <w:pPr>
              <w:pStyle w:val="aff4"/>
              <w:rPr>
                <w:rFonts w:cs="Times New Roman"/>
                <w:color w:val="000000" w:themeColor="text1"/>
                <w:kern w:val="0"/>
                <w:szCs w:val="21"/>
              </w:rPr>
            </w:pPr>
            <w:r>
              <w:rPr>
                <w:rFonts w:cs="Times New Roman"/>
                <w:szCs w:val="21"/>
              </w:rPr>
              <w:t>0.0302</w:t>
            </w:r>
            <w:r w:rsidR="004B6A81">
              <w:rPr>
                <w:rFonts w:cs="Times New Roman"/>
                <w:szCs w:val="21"/>
              </w:rPr>
              <w:t>t/a</w:t>
            </w:r>
          </w:p>
        </w:tc>
        <w:tc>
          <w:tcPr>
            <w:tcW w:w="594" w:type="pct"/>
            <w:vAlign w:val="center"/>
          </w:tcPr>
          <w:p w14:paraId="1BD2BE75"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4" w:type="pct"/>
            <w:vAlign w:val="center"/>
          </w:tcPr>
          <w:p w14:paraId="7EE141FA" w14:textId="668E9D52" w:rsidR="003C4F46" w:rsidRDefault="00017B81">
            <w:pPr>
              <w:pStyle w:val="aff4"/>
              <w:rPr>
                <w:rFonts w:cs="Times New Roman"/>
                <w:snapToGrid w:val="0"/>
                <w:color w:val="000000" w:themeColor="text1"/>
              </w:rPr>
            </w:pPr>
            <w:r>
              <w:rPr>
                <w:rFonts w:cs="Times New Roman"/>
                <w:snapToGrid w:val="0"/>
                <w:color w:val="000000" w:themeColor="text1"/>
              </w:rPr>
              <w:t>0.0482</w:t>
            </w:r>
            <w:r w:rsidR="004B6A81">
              <w:rPr>
                <w:rFonts w:cs="Times New Roman"/>
                <w:szCs w:val="21"/>
              </w:rPr>
              <w:t>t/a</w:t>
            </w:r>
          </w:p>
        </w:tc>
        <w:tc>
          <w:tcPr>
            <w:tcW w:w="473" w:type="pct"/>
            <w:vAlign w:val="center"/>
          </w:tcPr>
          <w:p w14:paraId="22AD0BDC" w14:textId="3A27B202" w:rsidR="003C4F46" w:rsidRDefault="004B6A81">
            <w:pPr>
              <w:pStyle w:val="aff4"/>
              <w:rPr>
                <w:rFonts w:cs="Times New Roman"/>
                <w:snapToGrid w:val="0"/>
                <w:color w:val="000000" w:themeColor="text1"/>
              </w:rPr>
            </w:pPr>
            <w:r>
              <w:rPr>
                <w:rFonts w:cs="Times New Roman"/>
                <w:szCs w:val="21"/>
              </w:rPr>
              <w:t>+</w:t>
            </w:r>
            <w:r>
              <w:rPr>
                <w:rFonts w:cs="Times New Roman" w:hint="eastAsia"/>
                <w:szCs w:val="21"/>
              </w:rPr>
              <w:t>0</w:t>
            </w:r>
            <w:r>
              <w:rPr>
                <w:rFonts w:cs="Times New Roman"/>
                <w:szCs w:val="21"/>
              </w:rPr>
              <w:t>.0</w:t>
            </w:r>
            <w:r w:rsidR="00017B81">
              <w:rPr>
                <w:rFonts w:cs="Times New Roman"/>
                <w:szCs w:val="21"/>
              </w:rPr>
              <w:t>302</w:t>
            </w:r>
            <w:r>
              <w:rPr>
                <w:rFonts w:cs="Times New Roman"/>
                <w:szCs w:val="21"/>
              </w:rPr>
              <w:t>t/a</w:t>
            </w:r>
          </w:p>
        </w:tc>
      </w:tr>
      <w:tr w:rsidR="003C4F46" w14:paraId="676759ED" w14:textId="77777777">
        <w:trPr>
          <w:trHeight w:val="215"/>
        </w:trPr>
        <w:tc>
          <w:tcPr>
            <w:tcW w:w="545" w:type="pct"/>
            <w:vMerge/>
            <w:vAlign w:val="center"/>
          </w:tcPr>
          <w:p w14:paraId="72065D3E" w14:textId="77777777" w:rsidR="003C4F46" w:rsidRDefault="003C4F46">
            <w:pPr>
              <w:pStyle w:val="aff4"/>
              <w:rPr>
                <w:rFonts w:cs="Times New Roman"/>
                <w:snapToGrid w:val="0"/>
                <w:color w:val="000000" w:themeColor="text1"/>
              </w:rPr>
            </w:pPr>
          </w:p>
        </w:tc>
        <w:tc>
          <w:tcPr>
            <w:tcW w:w="618" w:type="pct"/>
            <w:vAlign w:val="center"/>
          </w:tcPr>
          <w:p w14:paraId="7933FD65" w14:textId="77777777" w:rsidR="003C4F46" w:rsidRDefault="004B6A81">
            <w:pPr>
              <w:pStyle w:val="aff4"/>
              <w:rPr>
                <w:rFonts w:cs="Times New Roman"/>
                <w:snapToGrid w:val="0"/>
                <w:color w:val="000000" w:themeColor="text1"/>
              </w:rPr>
            </w:pPr>
            <w:r>
              <w:rPr>
                <w:rFonts w:cs="Times New Roman"/>
                <w:color w:val="000000" w:themeColor="text1"/>
                <w:szCs w:val="21"/>
              </w:rPr>
              <w:t>NH</w:t>
            </w:r>
            <w:r>
              <w:rPr>
                <w:rFonts w:cs="Times New Roman"/>
                <w:color w:val="000000" w:themeColor="text1"/>
                <w:szCs w:val="21"/>
                <w:vertAlign w:val="subscript"/>
              </w:rPr>
              <w:t>3</w:t>
            </w:r>
            <w:r>
              <w:rPr>
                <w:rFonts w:cs="Times New Roman"/>
                <w:color w:val="000000" w:themeColor="text1"/>
                <w:szCs w:val="21"/>
              </w:rPr>
              <w:t>-N</w:t>
            </w:r>
          </w:p>
        </w:tc>
        <w:tc>
          <w:tcPr>
            <w:tcW w:w="545" w:type="pct"/>
            <w:vAlign w:val="center"/>
          </w:tcPr>
          <w:p w14:paraId="5A8CFEDB" w14:textId="77777777" w:rsidR="003C4F46" w:rsidRDefault="004B6A81">
            <w:pPr>
              <w:pStyle w:val="aff4"/>
              <w:rPr>
                <w:rFonts w:cs="Times New Roman"/>
                <w:snapToGrid w:val="0"/>
                <w:color w:val="000000" w:themeColor="text1"/>
              </w:rPr>
            </w:pPr>
            <w:r>
              <w:rPr>
                <w:rFonts w:cs="Times New Roman"/>
                <w:color w:val="000000" w:themeColor="text1"/>
                <w:kern w:val="0"/>
                <w:szCs w:val="21"/>
              </w:rPr>
              <w:t>0.017</w:t>
            </w:r>
            <w:r>
              <w:rPr>
                <w:rFonts w:cs="Times New Roman"/>
                <w:szCs w:val="21"/>
              </w:rPr>
              <w:t>t/a</w:t>
            </w:r>
          </w:p>
        </w:tc>
        <w:tc>
          <w:tcPr>
            <w:tcW w:w="493" w:type="pct"/>
            <w:vAlign w:val="center"/>
          </w:tcPr>
          <w:p w14:paraId="6E19F870"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3" w:type="pct"/>
            <w:vAlign w:val="center"/>
          </w:tcPr>
          <w:p w14:paraId="755CDB91"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45" w:type="pct"/>
            <w:vAlign w:val="center"/>
          </w:tcPr>
          <w:p w14:paraId="066045B0" w14:textId="77777777" w:rsidR="003C4F46" w:rsidRDefault="004B6A81">
            <w:pPr>
              <w:pStyle w:val="aff4"/>
              <w:rPr>
                <w:rFonts w:cs="Times New Roman"/>
                <w:snapToGrid w:val="0"/>
                <w:color w:val="000000" w:themeColor="text1"/>
              </w:rPr>
            </w:pPr>
            <w:r>
              <w:rPr>
                <w:rFonts w:cs="Times New Roman" w:hint="eastAsia"/>
                <w:szCs w:val="21"/>
              </w:rPr>
              <w:t>0</w:t>
            </w:r>
            <w:r>
              <w:rPr>
                <w:rFonts w:cs="Times New Roman"/>
                <w:szCs w:val="21"/>
              </w:rPr>
              <w:t>.0038t/a</w:t>
            </w:r>
          </w:p>
        </w:tc>
        <w:tc>
          <w:tcPr>
            <w:tcW w:w="594" w:type="pct"/>
            <w:vAlign w:val="center"/>
          </w:tcPr>
          <w:p w14:paraId="365E15BA"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4" w:type="pct"/>
            <w:vAlign w:val="center"/>
          </w:tcPr>
          <w:p w14:paraId="52746187"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0</w:t>
            </w:r>
            <w:r>
              <w:rPr>
                <w:rFonts w:cs="Times New Roman"/>
                <w:snapToGrid w:val="0"/>
                <w:color w:val="000000" w:themeColor="text1"/>
              </w:rPr>
              <w:t>.0208</w:t>
            </w:r>
            <w:r>
              <w:rPr>
                <w:rFonts w:cs="Times New Roman"/>
                <w:szCs w:val="21"/>
              </w:rPr>
              <w:t>t/a</w:t>
            </w:r>
          </w:p>
        </w:tc>
        <w:tc>
          <w:tcPr>
            <w:tcW w:w="473" w:type="pct"/>
            <w:vAlign w:val="center"/>
          </w:tcPr>
          <w:p w14:paraId="55CE5388" w14:textId="77777777" w:rsidR="003C4F46" w:rsidRDefault="004B6A81">
            <w:pPr>
              <w:pStyle w:val="aff4"/>
              <w:rPr>
                <w:rFonts w:cs="Times New Roman"/>
                <w:snapToGrid w:val="0"/>
                <w:color w:val="000000" w:themeColor="text1"/>
              </w:rPr>
            </w:pPr>
            <w:r>
              <w:rPr>
                <w:rFonts w:cs="Times New Roman"/>
                <w:szCs w:val="21"/>
              </w:rPr>
              <w:t>+</w:t>
            </w:r>
            <w:r>
              <w:rPr>
                <w:rFonts w:cs="Times New Roman" w:hint="eastAsia"/>
                <w:szCs w:val="21"/>
              </w:rPr>
              <w:t>0</w:t>
            </w:r>
            <w:r>
              <w:rPr>
                <w:rFonts w:cs="Times New Roman"/>
                <w:szCs w:val="21"/>
              </w:rPr>
              <w:t>.0038t/a</w:t>
            </w:r>
          </w:p>
        </w:tc>
      </w:tr>
      <w:tr w:rsidR="003C4F46" w14:paraId="61533B69" w14:textId="77777777">
        <w:trPr>
          <w:trHeight w:val="215"/>
        </w:trPr>
        <w:tc>
          <w:tcPr>
            <w:tcW w:w="545" w:type="pct"/>
            <w:vMerge/>
            <w:vAlign w:val="center"/>
          </w:tcPr>
          <w:p w14:paraId="02F1CAEB" w14:textId="77777777" w:rsidR="003C4F46" w:rsidRDefault="003C4F46">
            <w:pPr>
              <w:pStyle w:val="aff4"/>
              <w:rPr>
                <w:rFonts w:cs="Times New Roman"/>
                <w:snapToGrid w:val="0"/>
                <w:color w:val="000000" w:themeColor="text1"/>
              </w:rPr>
            </w:pPr>
          </w:p>
        </w:tc>
        <w:tc>
          <w:tcPr>
            <w:tcW w:w="618" w:type="pct"/>
            <w:vAlign w:val="center"/>
          </w:tcPr>
          <w:p w14:paraId="1102497A" w14:textId="77777777" w:rsidR="003C4F46" w:rsidRDefault="004B6A81">
            <w:pPr>
              <w:pStyle w:val="aff4"/>
              <w:rPr>
                <w:rFonts w:cs="Times New Roman"/>
                <w:color w:val="000000" w:themeColor="text1"/>
                <w:szCs w:val="21"/>
              </w:rPr>
            </w:pPr>
            <w:r>
              <w:rPr>
                <w:rFonts w:cs="Times New Roman" w:hint="eastAsia"/>
                <w:color w:val="000000" w:themeColor="text1"/>
                <w:szCs w:val="21"/>
              </w:rPr>
              <w:t>总磷</w:t>
            </w:r>
          </w:p>
        </w:tc>
        <w:tc>
          <w:tcPr>
            <w:tcW w:w="545" w:type="pct"/>
            <w:vAlign w:val="center"/>
          </w:tcPr>
          <w:p w14:paraId="1FC99854"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0.00576</w:t>
            </w:r>
            <w:r>
              <w:rPr>
                <w:rFonts w:cs="Times New Roman"/>
                <w:szCs w:val="21"/>
              </w:rPr>
              <w:t>t/a</w:t>
            </w:r>
          </w:p>
        </w:tc>
        <w:tc>
          <w:tcPr>
            <w:tcW w:w="493" w:type="pct"/>
            <w:vAlign w:val="center"/>
          </w:tcPr>
          <w:p w14:paraId="13E5922E"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3" w:type="pct"/>
            <w:vAlign w:val="center"/>
          </w:tcPr>
          <w:p w14:paraId="6925A302"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63EB7BAF" w14:textId="77777777" w:rsidR="003C4F46" w:rsidRDefault="004B6A81">
            <w:pPr>
              <w:pStyle w:val="aff4"/>
              <w:rPr>
                <w:rFonts w:cs="Times New Roman"/>
                <w:szCs w:val="21"/>
              </w:rPr>
            </w:pPr>
            <w:r>
              <w:rPr>
                <w:rFonts w:cs="Times New Roman"/>
                <w:color w:val="000000" w:themeColor="text1"/>
                <w:kern w:val="0"/>
                <w:szCs w:val="21"/>
              </w:rPr>
              <w:t>0.0008</w:t>
            </w:r>
            <w:r>
              <w:rPr>
                <w:rFonts w:cs="Times New Roman"/>
                <w:szCs w:val="21"/>
              </w:rPr>
              <w:t>t/a</w:t>
            </w:r>
          </w:p>
        </w:tc>
        <w:tc>
          <w:tcPr>
            <w:tcW w:w="594" w:type="pct"/>
            <w:vAlign w:val="center"/>
          </w:tcPr>
          <w:p w14:paraId="5BF4E15B" w14:textId="77777777" w:rsidR="003C4F46" w:rsidRDefault="004B6A81">
            <w:pPr>
              <w:pStyle w:val="aff4"/>
              <w:rPr>
                <w:rFonts w:cs="Times New Roman"/>
                <w:color w:val="000000" w:themeColor="text1"/>
                <w:kern w:val="0"/>
                <w:szCs w:val="21"/>
              </w:rPr>
            </w:pPr>
            <w:r>
              <w:rPr>
                <w:rFonts w:cs="Times New Roman" w:hint="eastAsia"/>
                <w:color w:val="000000" w:themeColor="text1"/>
                <w:kern w:val="0"/>
                <w:szCs w:val="21"/>
              </w:rPr>
              <w:t>0</w:t>
            </w:r>
          </w:p>
        </w:tc>
        <w:tc>
          <w:tcPr>
            <w:tcW w:w="594" w:type="pct"/>
            <w:vAlign w:val="center"/>
          </w:tcPr>
          <w:p w14:paraId="5C7658C4"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0.00656</w:t>
            </w:r>
            <w:r>
              <w:rPr>
                <w:rFonts w:cs="Times New Roman"/>
                <w:szCs w:val="21"/>
              </w:rPr>
              <w:t>t/a</w:t>
            </w:r>
          </w:p>
        </w:tc>
        <w:tc>
          <w:tcPr>
            <w:tcW w:w="473" w:type="pct"/>
            <w:vAlign w:val="center"/>
          </w:tcPr>
          <w:p w14:paraId="433848F2" w14:textId="77777777" w:rsidR="003C4F46" w:rsidRDefault="004B6A81">
            <w:pPr>
              <w:pStyle w:val="aff4"/>
              <w:rPr>
                <w:rFonts w:cs="Times New Roman"/>
                <w:szCs w:val="21"/>
              </w:rPr>
            </w:pPr>
            <w:r>
              <w:rPr>
                <w:rFonts w:cs="Times New Roman"/>
                <w:color w:val="000000" w:themeColor="text1"/>
                <w:kern w:val="0"/>
                <w:szCs w:val="21"/>
              </w:rPr>
              <w:t>+0.0008</w:t>
            </w:r>
            <w:r>
              <w:rPr>
                <w:rFonts w:cs="Times New Roman"/>
                <w:szCs w:val="21"/>
              </w:rPr>
              <w:t>t/a</w:t>
            </w:r>
          </w:p>
        </w:tc>
      </w:tr>
      <w:tr w:rsidR="003C4F46" w14:paraId="43923A65" w14:textId="77777777">
        <w:trPr>
          <w:trHeight w:val="215"/>
        </w:trPr>
        <w:tc>
          <w:tcPr>
            <w:tcW w:w="545" w:type="pct"/>
            <w:vAlign w:val="center"/>
          </w:tcPr>
          <w:p w14:paraId="511B20A2"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生活垃圾</w:t>
            </w:r>
          </w:p>
        </w:tc>
        <w:tc>
          <w:tcPr>
            <w:tcW w:w="618" w:type="pct"/>
            <w:vAlign w:val="center"/>
          </w:tcPr>
          <w:p w14:paraId="18BFB980" w14:textId="77777777" w:rsidR="003C4F46" w:rsidRDefault="004B6A81">
            <w:pPr>
              <w:spacing w:line="240" w:lineRule="auto"/>
              <w:ind w:firstLineChars="0" w:firstLine="0"/>
              <w:contextualSpacing/>
              <w:jc w:val="center"/>
              <w:rPr>
                <w:rFonts w:cs="Times New Roman"/>
                <w:snapToGrid w:val="0"/>
                <w:color w:val="000000" w:themeColor="text1"/>
              </w:rPr>
            </w:pPr>
            <w:r>
              <w:rPr>
                <w:rFonts w:cs="Times New Roman"/>
                <w:color w:val="000000"/>
                <w:sz w:val="21"/>
                <w:szCs w:val="21"/>
              </w:rPr>
              <w:t>生活垃圾</w:t>
            </w:r>
          </w:p>
        </w:tc>
        <w:tc>
          <w:tcPr>
            <w:tcW w:w="545" w:type="pct"/>
            <w:vAlign w:val="center"/>
          </w:tcPr>
          <w:p w14:paraId="0E3C2464" w14:textId="77777777" w:rsidR="003C4F46" w:rsidRDefault="004B6A81">
            <w:pPr>
              <w:pStyle w:val="aff4"/>
              <w:rPr>
                <w:rFonts w:cs="Times New Roman"/>
                <w:snapToGrid w:val="0"/>
                <w:color w:val="000000" w:themeColor="text1"/>
              </w:rPr>
            </w:pPr>
            <w:r>
              <w:rPr>
                <w:rFonts w:cs="Times New Roman"/>
                <w:color w:val="000000" w:themeColor="text1"/>
                <w:kern w:val="0"/>
                <w:szCs w:val="21"/>
              </w:rPr>
              <w:t>6.5</w:t>
            </w:r>
            <w:r>
              <w:rPr>
                <w:rFonts w:cs="Times New Roman"/>
                <w:szCs w:val="21"/>
              </w:rPr>
              <w:t>t/a</w:t>
            </w:r>
          </w:p>
        </w:tc>
        <w:tc>
          <w:tcPr>
            <w:tcW w:w="493" w:type="pct"/>
            <w:vAlign w:val="center"/>
          </w:tcPr>
          <w:p w14:paraId="344CCF58"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3" w:type="pct"/>
            <w:vAlign w:val="center"/>
          </w:tcPr>
          <w:p w14:paraId="01BB3399"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45" w:type="pct"/>
            <w:vAlign w:val="center"/>
          </w:tcPr>
          <w:p w14:paraId="05B712C8"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0</w:t>
            </w:r>
            <w:r>
              <w:rPr>
                <w:rFonts w:cs="Times New Roman"/>
                <w:snapToGrid w:val="0"/>
                <w:color w:val="000000" w:themeColor="text1"/>
              </w:rPr>
              <w:t>.99</w:t>
            </w:r>
            <w:r>
              <w:rPr>
                <w:rFonts w:cs="Times New Roman"/>
                <w:szCs w:val="21"/>
              </w:rPr>
              <w:t>t/a</w:t>
            </w:r>
          </w:p>
        </w:tc>
        <w:tc>
          <w:tcPr>
            <w:tcW w:w="594" w:type="pct"/>
            <w:vAlign w:val="center"/>
          </w:tcPr>
          <w:p w14:paraId="5B583DDA" w14:textId="77777777" w:rsidR="003C4F46" w:rsidRDefault="004B6A81">
            <w:pPr>
              <w:pStyle w:val="aff4"/>
              <w:rPr>
                <w:rFonts w:cs="Times New Roman"/>
                <w:snapToGrid w:val="0"/>
                <w:color w:val="000000" w:themeColor="text1"/>
              </w:rPr>
            </w:pPr>
            <w:r>
              <w:rPr>
                <w:rFonts w:cs="Times New Roman"/>
                <w:color w:val="000000" w:themeColor="text1"/>
                <w:kern w:val="0"/>
                <w:szCs w:val="21"/>
              </w:rPr>
              <w:t>0</w:t>
            </w:r>
          </w:p>
        </w:tc>
        <w:tc>
          <w:tcPr>
            <w:tcW w:w="594" w:type="pct"/>
            <w:vAlign w:val="center"/>
          </w:tcPr>
          <w:p w14:paraId="6349B1B2" w14:textId="77777777" w:rsidR="003C4F46" w:rsidRDefault="004B6A81">
            <w:pPr>
              <w:pStyle w:val="aff4"/>
              <w:rPr>
                <w:rFonts w:cs="Times New Roman"/>
                <w:snapToGrid w:val="0"/>
                <w:color w:val="000000" w:themeColor="text1"/>
              </w:rPr>
            </w:pPr>
            <w:r>
              <w:rPr>
                <w:rFonts w:cs="Times New Roman"/>
              </w:rPr>
              <w:t>7.49</w:t>
            </w:r>
            <w:r>
              <w:rPr>
                <w:rFonts w:cs="Times New Roman"/>
                <w:szCs w:val="21"/>
              </w:rPr>
              <w:t>t/a</w:t>
            </w:r>
          </w:p>
        </w:tc>
        <w:tc>
          <w:tcPr>
            <w:tcW w:w="473" w:type="pct"/>
            <w:vAlign w:val="center"/>
          </w:tcPr>
          <w:p w14:paraId="1D32DE98" w14:textId="77777777" w:rsidR="003C4F46" w:rsidRDefault="004B6A81">
            <w:pPr>
              <w:pStyle w:val="aff4"/>
              <w:rPr>
                <w:rFonts w:cs="Times New Roman"/>
                <w:snapToGrid w:val="0"/>
                <w:color w:val="000000" w:themeColor="text1"/>
              </w:rPr>
            </w:pPr>
            <w:r>
              <w:rPr>
                <w:rFonts w:cs="Times New Roman"/>
                <w:snapToGrid w:val="0"/>
                <w:color w:val="000000" w:themeColor="text1"/>
              </w:rPr>
              <w:t>+</w:t>
            </w:r>
            <w:r>
              <w:rPr>
                <w:rFonts w:cs="Times New Roman" w:hint="eastAsia"/>
                <w:snapToGrid w:val="0"/>
                <w:color w:val="000000" w:themeColor="text1"/>
              </w:rPr>
              <w:t>0</w:t>
            </w:r>
            <w:r>
              <w:rPr>
                <w:rFonts w:cs="Times New Roman"/>
                <w:snapToGrid w:val="0"/>
                <w:color w:val="000000" w:themeColor="text1"/>
              </w:rPr>
              <w:t>.99</w:t>
            </w:r>
            <w:r>
              <w:rPr>
                <w:rFonts w:cs="Times New Roman"/>
                <w:szCs w:val="21"/>
              </w:rPr>
              <w:t>t/a</w:t>
            </w:r>
          </w:p>
        </w:tc>
      </w:tr>
      <w:tr w:rsidR="003C4F46" w14:paraId="7617EAF3" w14:textId="77777777">
        <w:trPr>
          <w:trHeight w:val="215"/>
        </w:trPr>
        <w:tc>
          <w:tcPr>
            <w:tcW w:w="545" w:type="pct"/>
            <w:vMerge w:val="restart"/>
            <w:vAlign w:val="center"/>
          </w:tcPr>
          <w:p w14:paraId="5BD711FA" w14:textId="77777777" w:rsidR="003C4F46" w:rsidRDefault="004B6A81">
            <w:pPr>
              <w:pStyle w:val="aff4"/>
              <w:rPr>
                <w:rFonts w:cs="Times New Roman"/>
                <w:snapToGrid w:val="0"/>
                <w:color w:val="000000" w:themeColor="text1"/>
              </w:rPr>
            </w:pPr>
            <w:r>
              <w:rPr>
                <w:rFonts w:cs="Times New Roman" w:hint="eastAsia"/>
                <w:snapToGrid w:val="0"/>
                <w:color w:val="000000" w:themeColor="text1"/>
              </w:rPr>
              <w:t>危险废物</w:t>
            </w:r>
          </w:p>
        </w:tc>
        <w:tc>
          <w:tcPr>
            <w:tcW w:w="618" w:type="pct"/>
            <w:vAlign w:val="center"/>
          </w:tcPr>
          <w:p w14:paraId="64D98321" w14:textId="77777777" w:rsidR="003C4F46" w:rsidRDefault="004B6A81">
            <w:pPr>
              <w:pStyle w:val="aff4"/>
              <w:rPr>
                <w:rFonts w:cs="Times New Roman"/>
                <w:color w:val="000000"/>
                <w:szCs w:val="21"/>
              </w:rPr>
            </w:pPr>
            <w:r>
              <w:rPr>
                <w:rFonts w:hint="eastAsia"/>
              </w:rPr>
              <w:t>废活性炭</w:t>
            </w:r>
          </w:p>
        </w:tc>
        <w:tc>
          <w:tcPr>
            <w:tcW w:w="545" w:type="pct"/>
            <w:vAlign w:val="center"/>
          </w:tcPr>
          <w:p w14:paraId="078864A1"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3</w:t>
            </w:r>
            <w:r>
              <w:rPr>
                <w:rFonts w:cs="Times New Roman"/>
                <w:szCs w:val="21"/>
              </w:rPr>
              <w:t>t/a</w:t>
            </w:r>
          </w:p>
        </w:tc>
        <w:tc>
          <w:tcPr>
            <w:tcW w:w="493" w:type="pct"/>
            <w:vAlign w:val="center"/>
          </w:tcPr>
          <w:p w14:paraId="16892D96"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3" w:type="pct"/>
            <w:vAlign w:val="center"/>
          </w:tcPr>
          <w:p w14:paraId="27A696B4"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3CF04E9C" w14:textId="0AACB284" w:rsidR="003C4F46" w:rsidRDefault="00403FE2">
            <w:pPr>
              <w:pStyle w:val="aff4"/>
              <w:rPr>
                <w:rFonts w:cs="Times New Roman"/>
                <w:color w:val="000000" w:themeColor="text1"/>
                <w:kern w:val="0"/>
                <w:szCs w:val="21"/>
              </w:rPr>
            </w:pPr>
            <w:r>
              <w:rPr>
                <w:rFonts w:cs="Times New Roman"/>
                <w:color w:val="000000" w:themeColor="text1"/>
              </w:rPr>
              <w:t>4.44</w:t>
            </w:r>
            <w:r w:rsidR="004B6A81">
              <w:rPr>
                <w:rFonts w:cs="Times New Roman" w:hint="eastAsia"/>
                <w:color w:val="000000" w:themeColor="text1"/>
                <w:kern w:val="0"/>
                <w:szCs w:val="21"/>
              </w:rPr>
              <w:t>t</w:t>
            </w:r>
            <w:r w:rsidR="004B6A81">
              <w:rPr>
                <w:rFonts w:cs="Times New Roman"/>
                <w:color w:val="000000" w:themeColor="text1"/>
                <w:kern w:val="0"/>
                <w:szCs w:val="21"/>
              </w:rPr>
              <w:t>/a</w:t>
            </w:r>
          </w:p>
        </w:tc>
        <w:tc>
          <w:tcPr>
            <w:tcW w:w="594" w:type="pct"/>
            <w:vAlign w:val="center"/>
          </w:tcPr>
          <w:p w14:paraId="6A047AA1"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4" w:type="pct"/>
            <w:vAlign w:val="center"/>
          </w:tcPr>
          <w:p w14:paraId="48E16906" w14:textId="1E4919BE" w:rsidR="003C4F46" w:rsidRDefault="004B6A81">
            <w:pPr>
              <w:pStyle w:val="aff4"/>
              <w:rPr>
                <w:rFonts w:cs="Times New Roman"/>
                <w:color w:val="000000" w:themeColor="text1"/>
              </w:rPr>
            </w:pPr>
            <w:r>
              <w:rPr>
                <w:rFonts w:cs="Times New Roman"/>
                <w:color w:val="000000" w:themeColor="text1"/>
                <w:kern w:val="0"/>
                <w:szCs w:val="21"/>
              </w:rPr>
              <w:t>7.44</w:t>
            </w:r>
            <w:r>
              <w:rPr>
                <w:rFonts w:cs="Times New Roman" w:hint="eastAsia"/>
                <w:color w:val="000000" w:themeColor="text1"/>
                <w:kern w:val="0"/>
                <w:szCs w:val="21"/>
              </w:rPr>
              <w:t>t</w:t>
            </w:r>
            <w:r>
              <w:rPr>
                <w:rFonts w:cs="Times New Roman"/>
                <w:color w:val="000000" w:themeColor="text1"/>
                <w:kern w:val="0"/>
                <w:szCs w:val="21"/>
              </w:rPr>
              <w:t>/a</w:t>
            </w:r>
          </w:p>
        </w:tc>
        <w:tc>
          <w:tcPr>
            <w:tcW w:w="473" w:type="pct"/>
            <w:vAlign w:val="center"/>
          </w:tcPr>
          <w:p w14:paraId="0A86F2A9" w14:textId="12020732" w:rsidR="003C4F46" w:rsidRDefault="004B6A81">
            <w:pPr>
              <w:pStyle w:val="aff4"/>
              <w:rPr>
                <w:rFonts w:cs="Times New Roman"/>
                <w:szCs w:val="21"/>
              </w:rPr>
            </w:pPr>
            <w:r>
              <w:rPr>
                <w:rFonts w:cs="Times New Roman" w:hint="eastAsia"/>
                <w:color w:val="000000" w:themeColor="text1"/>
                <w:kern w:val="0"/>
                <w:szCs w:val="21"/>
              </w:rPr>
              <w:t>+</w:t>
            </w:r>
            <w:r w:rsidR="00403FE2">
              <w:rPr>
                <w:rFonts w:cs="Times New Roman"/>
                <w:color w:val="000000" w:themeColor="text1"/>
              </w:rPr>
              <w:t>4</w:t>
            </w:r>
            <w:r>
              <w:rPr>
                <w:rFonts w:cs="Times New Roman" w:hint="eastAsia"/>
                <w:color w:val="000000" w:themeColor="text1"/>
              </w:rPr>
              <w:t>.44</w:t>
            </w:r>
            <w:r>
              <w:rPr>
                <w:rFonts w:cs="Times New Roman" w:hint="eastAsia"/>
                <w:color w:val="000000" w:themeColor="text1"/>
                <w:kern w:val="0"/>
                <w:szCs w:val="21"/>
              </w:rPr>
              <w:t>t</w:t>
            </w:r>
            <w:r>
              <w:rPr>
                <w:rFonts w:cs="Times New Roman"/>
                <w:color w:val="000000" w:themeColor="text1"/>
                <w:kern w:val="0"/>
                <w:szCs w:val="21"/>
              </w:rPr>
              <w:t>/a</w:t>
            </w:r>
          </w:p>
        </w:tc>
      </w:tr>
      <w:tr w:rsidR="003C4F46" w14:paraId="67895FDC" w14:textId="77777777">
        <w:trPr>
          <w:trHeight w:val="215"/>
        </w:trPr>
        <w:tc>
          <w:tcPr>
            <w:tcW w:w="545" w:type="pct"/>
            <w:vMerge/>
            <w:vAlign w:val="center"/>
          </w:tcPr>
          <w:p w14:paraId="0E9D56E7" w14:textId="77777777" w:rsidR="003C4F46" w:rsidRDefault="003C4F46">
            <w:pPr>
              <w:pStyle w:val="aff4"/>
              <w:rPr>
                <w:rFonts w:cs="Times New Roman"/>
                <w:snapToGrid w:val="0"/>
                <w:color w:val="000000" w:themeColor="text1"/>
              </w:rPr>
            </w:pPr>
          </w:p>
        </w:tc>
        <w:tc>
          <w:tcPr>
            <w:tcW w:w="618" w:type="pct"/>
            <w:vAlign w:val="center"/>
          </w:tcPr>
          <w:p w14:paraId="451BA1AD" w14:textId="77777777" w:rsidR="003C4F46" w:rsidRDefault="004B6A81">
            <w:pPr>
              <w:pStyle w:val="aff4"/>
              <w:rPr>
                <w:rFonts w:cs="Times New Roman"/>
                <w:color w:val="000000"/>
                <w:szCs w:val="21"/>
              </w:rPr>
            </w:pPr>
            <w:r>
              <w:rPr>
                <w:rFonts w:hint="eastAsia"/>
              </w:rPr>
              <w:t>沾有废机油的废抹布和废手套</w:t>
            </w:r>
          </w:p>
        </w:tc>
        <w:tc>
          <w:tcPr>
            <w:tcW w:w="545" w:type="pct"/>
            <w:vAlign w:val="center"/>
          </w:tcPr>
          <w:p w14:paraId="501647CF" w14:textId="77777777" w:rsidR="003C4F46" w:rsidRDefault="004B6A81">
            <w:pPr>
              <w:pStyle w:val="aff4"/>
              <w:rPr>
                <w:rFonts w:cs="Times New Roman"/>
                <w:color w:val="000000" w:themeColor="text1"/>
                <w:kern w:val="0"/>
                <w:szCs w:val="21"/>
              </w:rPr>
            </w:pPr>
            <w:r>
              <w:rPr>
                <w:rFonts w:cs="Times New Roman" w:hint="eastAsia"/>
                <w:color w:val="000000" w:themeColor="text1"/>
                <w:kern w:val="0"/>
                <w:szCs w:val="21"/>
              </w:rPr>
              <w:t>0</w:t>
            </w:r>
          </w:p>
        </w:tc>
        <w:tc>
          <w:tcPr>
            <w:tcW w:w="493" w:type="pct"/>
            <w:vAlign w:val="center"/>
          </w:tcPr>
          <w:p w14:paraId="01CDA180"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3" w:type="pct"/>
            <w:vAlign w:val="center"/>
          </w:tcPr>
          <w:p w14:paraId="48B9620C"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45" w:type="pct"/>
            <w:vAlign w:val="center"/>
          </w:tcPr>
          <w:p w14:paraId="0AF34932" w14:textId="77777777" w:rsidR="003C4F46" w:rsidRDefault="004B6A81">
            <w:pPr>
              <w:pStyle w:val="aff4"/>
              <w:rPr>
                <w:rFonts w:cs="Times New Roman"/>
                <w:color w:val="000000" w:themeColor="text1"/>
                <w:kern w:val="0"/>
                <w:szCs w:val="21"/>
              </w:rPr>
            </w:pPr>
            <w:r>
              <w:rPr>
                <w:rFonts w:cs="Times New Roman" w:hint="eastAsia"/>
                <w:color w:val="000000" w:themeColor="text1"/>
                <w:kern w:val="0"/>
                <w:szCs w:val="21"/>
              </w:rPr>
              <w:t>0.</w:t>
            </w:r>
            <w:r>
              <w:rPr>
                <w:rFonts w:cs="Times New Roman"/>
                <w:color w:val="000000" w:themeColor="text1"/>
                <w:kern w:val="0"/>
                <w:szCs w:val="21"/>
              </w:rPr>
              <w:t>5</w:t>
            </w:r>
            <w:r>
              <w:rPr>
                <w:rFonts w:cs="Times New Roman" w:hint="eastAsia"/>
                <w:color w:val="000000" w:themeColor="text1"/>
                <w:kern w:val="0"/>
                <w:szCs w:val="21"/>
              </w:rPr>
              <w:t>t</w:t>
            </w:r>
            <w:r>
              <w:rPr>
                <w:rFonts w:cs="Times New Roman"/>
                <w:color w:val="000000" w:themeColor="text1"/>
                <w:kern w:val="0"/>
                <w:szCs w:val="21"/>
              </w:rPr>
              <w:t>/a</w:t>
            </w:r>
          </w:p>
        </w:tc>
        <w:tc>
          <w:tcPr>
            <w:tcW w:w="594" w:type="pct"/>
            <w:vAlign w:val="center"/>
          </w:tcPr>
          <w:p w14:paraId="324BBDAF" w14:textId="77777777" w:rsidR="003C4F46" w:rsidRDefault="004B6A81">
            <w:pPr>
              <w:pStyle w:val="aff4"/>
              <w:rPr>
                <w:rFonts w:cs="Times New Roman"/>
                <w:color w:val="000000" w:themeColor="text1"/>
                <w:kern w:val="0"/>
                <w:szCs w:val="21"/>
              </w:rPr>
            </w:pPr>
            <w:r>
              <w:rPr>
                <w:rFonts w:cs="Times New Roman"/>
                <w:color w:val="000000" w:themeColor="text1"/>
                <w:kern w:val="0"/>
                <w:szCs w:val="21"/>
              </w:rPr>
              <w:t>0</w:t>
            </w:r>
          </w:p>
        </w:tc>
        <w:tc>
          <w:tcPr>
            <w:tcW w:w="594" w:type="pct"/>
            <w:vAlign w:val="center"/>
          </w:tcPr>
          <w:p w14:paraId="1EB8B718" w14:textId="77777777" w:rsidR="003C4F46" w:rsidRDefault="004B6A81">
            <w:pPr>
              <w:pStyle w:val="aff4"/>
              <w:rPr>
                <w:rFonts w:cs="Times New Roman"/>
                <w:color w:val="000000" w:themeColor="text1"/>
              </w:rPr>
            </w:pPr>
            <w:r>
              <w:rPr>
                <w:rFonts w:cs="Times New Roman" w:hint="eastAsia"/>
                <w:color w:val="000000" w:themeColor="text1"/>
                <w:kern w:val="0"/>
                <w:szCs w:val="21"/>
              </w:rPr>
              <w:t>0.</w:t>
            </w:r>
            <w:r>
              <w:rPr>
                <w:rFonts w:cs="Times New Roman"/>
                <w:color w:val="000000" w:themeColor="text1"/>
                <w:kern w:val="0"/>
                <w:szCs w:val="21"/>
              </w:rPr>
              <w:t>5</w:t>
            </w:r>
            <w:r>
              <w:rPr>
                <w:rFonts w:cs="Times New Roman" w:hint="eastAsia"/>
                <w:color w:val="000000" w:themeColor="text1"/>
                <w:kern w:val="0"/>
                <w:szCs w:val="21"/>
              </w:rPr>
              <w:t>t</w:t>
            </w:r>
            <w:r>
              <w:rPr>
                <w:rFonts w:cs="Times New Roman"/>
                <w:color w:val="000000" w:themeColor="text1"/>
                <w:kern w:val="0"/>
                <w:szCs w:val="21"/>
              </w:rPr>
              <w:t>/a</w:t>
            </w:r>
          </w:p>
        </w:tc>
        <w:tc>
          <w:tcPr>
            <w:tcW w:w="473" w:type="pct"/>
            <w:vAlign w:val="center"/>
          </w:tcPr>
          <w:p w14:paraId="2F54E95D" w14:textId="77777777" w:rsidR="003C4F46" w:rsidRDefault="004B6A81">
            <w:pPr>
              <w:pStyle w:val="aff4"/>
              <w:rPr>
                <w:rFonts w:cs="Times New Roman"/>
                <w:szCs w:val="21"/>
              </w:rPr>
            </w:pPr>
            <w:r>
              <w:rPr>
                <w:rFonts w:cs="Times New Roman" w:hint="eastAsia"/>
                <w:color w:val="000000" w:themeColor="text1"/>
                <w:kern w:val="0"/>
                <w:szCs w:val="21"/>
              </w:rPr>
              <w:t>+0.</w:t>
            </w:r>
            <w:r>
              <w:rPr>
                <w:rFonts w:cs="Times New Roman"/>
                <w:color w:val="000000" w:themeColor="text1"/>
                <w:kern w:val="0"/>
                <w:szCs w:val="21"/>
              </w:rPr>
              <w:t>5</w:t>
            </w:r>
            <w:r>
              <w:rPr>
                <w:rFonts w:cs="Times New Roman" w:hint="eastAsia"/>
                <w:color w:val="000000" w:themeColor="text1"/>
                <w:kern w:val="0"/>
                <w:szCs w:val="21"/>
              </w:rPr>
              <w:t>t</w:t>
            </w:r>
            <w:r>
              <w:rPr>
                <w:rFonts w:cs="Times New Roman"/>
                <w:color w:val="000000" w:themeColor="text1"/>
                <w:kern w:val="0"/>
                <w:szCs w:val="21"/>
              </w:rPr>
              <w:t>/a</w:t>
            </w:r>
          </w:p>
        </w:tc>
      </w:tr>
      <w:tr w:rsidR="00EB3CE7" w14:paraId="6AD55BDC" w14:textId="77777777" w:rsidTr="00EB3CE7">
        <w:trPr>
          <w:trHeight w:val="215"/>
        </w:trPr>
        <w:tc>
          <w:tcPr>
            <w:tcW w:w="5000" w:type="pct"/>
            <w:gridSpan w:val="9"/>
            <w:vAlign w:val="center"/>
          </w:tcPr>
          <w:p w14:paraId="28875505" w14:textId="0DEF74E6" w:rsidR="00EB3CE7" w:rsidRDefault="00EB3CE7" w:rsidP="00EB3CE7">
            <w:pPr>
              <w:pStyle w:val="aff4"/>
              <w:jc w:val="both"/>
              <w:rPr>
                <w:rFonts w:cs="Times New Roman"/>
                <w:color w:val="000000" w:themeColor="text1"/>
                <w:kern w:val="0"/>
                <w:szCs w:val="21"/>
              </w:rPr>
            </w:pPr>
            <w:r w:rsidRPr="00EA01E9">
              <w:rPr>
                <w:rFonts w:hint="eastAsia"/>
                <w:color w:val="000000"/>
                <w:kern w:val="0"/>
                <w:szCs w:val="21"/>
              </w:rPr>
              <w:t>现有工程排放量依据“</w:t>
            </w:r>
            <w:r w:rsidRPr="00EA01E9">
              <w:rPr>
                <w:rFonts w:hint="eastAsia"/>
                <w:color w:val="000000"/>
                <w:kern w:val="0"/>
                <w:szCs w:val="21"/>
              </w:rPr>
              <w:t>2</w:t>
            </w:r>
            <w:r w:rsidRPr="00EA01E9">
              <w:rPr>
                <w:rFonts w:hint="eastAsia"/>
                <w:color w:val="000000"/>
                <w:kern w:val="0"/>
                <w:szCs w:val="21"/>
              </w:rPr>
              <w:t>万吨</w:t>
            </w:r>
            <w:r w:rsidRPr="00EA01E9">
              <w:rPr>
                <w:rFonts w:hint="eastAsia"/>
                <w:color w:val="000000"/>
                <w:kern w:val="0"/>
                <w:szCs w:val="21"/>
              </w:rPr>
              <w:t>/</w:t>
            </w:r>
            <w:r w:rsidRPr="00EA01E9">
              <w:rPr>
                <w:rFonts w:hint="eastAsia"/>
                <w:color w:val="000000"/>
                <w:kern w:val="0"/>
                <w:szCs w:val="21"/>
              </w:rPr>
              <w:t>年废包装桶及废机油滤芯再生利用扩建项目”和“</w:t>
            </w:r>
            <w:r w:rsidRPr="00EA01E9">
              <w:rPr>
                <w:rFonts w:hint="eastAsia"/>
                <w:color w:val="000000"/>
                <w:kern w:val="0"/>
                <w:szCs w:val="21"/>
              </w:rPr>
              <w:t>5</w:t>
            </w:r>
            <w:r w:rsidRPr="00EA01E9">
              <w:rPr>
                <w:rFonts w:hint="eastAsia"/>
                <w:color w:val="000000"/>
                <w:kern w:val="0"/>
                <w:szCs w:val="21"/>
              </w:rPr>
              <w:t>万</w:t>
            </w:r>
            <w:r w:rsidRPr="00EA01E9">
              <w:rPr>
                <w:rFonts w:hint="eastAsia"/>
                <w:color w:val="000000"/>
                <w:kern w:val="0"/>
                <w:szCs w:val="21"/>
              </w:rPr>
              <w:t>t/a</w:t>
            </w:r>
            <w:r w:rsidRPr="00EA01E9">
              <w:rPr>
                <w:rFonts w:hint="eastAsia"/>
                <w:color w:val="000000"/>
                <w:kern w:val="0"/>
                <w:szCs w:val="21"/>
              </w:rPr>
              <w:t>废油再生利用项目”环评中的排放数据</w:t>
            </w:r>
            <w:r>
              <w:rPr>
                <w:rFonts w:hint="eastAsia"/>
                <w:color w:val="000000"/>
                <w:kern w:val="0"/>
                <w:szCs w:val="21"/>
              </w:rPr>
              <w:t>。</w:t>
            </w:r>
          </w:p>
        </w:tc>
      </w:tr>
    </w:tbl>
    <w:bookmarkEnd w:id="32"/>
    <w:p w14:paraId="1C2F7B47" w14:textId="77777777" w:rsidR="003C4F46" w:rsidRDefault="004B6A81">
      <w:pPr>
        <w:ind w:firstLineChars="0" w:firstLine="0"/>
        <w:rPr>
          <w:color w:val="000000" w:themeColor="text1"/>
        </w:rPr>
      </w:pPr>
      <w:r>
        <w:rPr>
          <w:rFonts w:hint="eastAsia"/>
          <w:color w:val="000000" w:themeColor="text1"/>
        </w:rPr>
        <w:t>注：</w:t>
      </w:r>
      <w:r>
        <w:rPr>
          <w:rFonts w:hint="eastAsia"/>
          <w:color w:val="000000" w:themeColor="text1"/>
        </w:rPr>
        <w:fldChar w:fldCharType="begin"/>
      </w:r>
      <w:r>
        <w:rPr>
          <w:rFonts w:hint="eastAsia"/>
          <w:color w:val="000000" w:themeColor="text1"/>
        </w:rPr>
        <w:instrText xml:space="preserve"> = 6 \* GB3 \* MERGEFORMAT </w:instrText>
      </w:r>
      <w:r>
        <w:rPr>
          <w:rFonts w:hint="eastAsia"/>
          <w:color w:val="000000" w:themeColor="text1"/>
        </w:rPr>
        <w:fldChar w:fldCharType="separate"/>
      </w:r>
      <w:r>
        <w:rPr>
          <w:rFonts w:hint="eastAsia"/>
          <w:color w:val="000000" w:themeColor="text1"/>
        </w:rPr>
        <w:t>⑥</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1 \* GB3 \* MERGEFORMAT </w:instrText>
      </w:r>
      <w:r>
        <w:rPr>
          <w:rFonts w:hint="eastAsia"/>
          <w:color w:val="000000" w:themeColor="text1"/>
        </w:rPr>
        <w:fldChar w:fldCharType="separate"/>
      </w:r>
      <w:r>
        <w:rPr>
          <w:rFonts w:hint="eastAsia"/>
          <w:color w:val="000000" w:themeColor="text1"/>
        </w:rPr>
        <w:t>①</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3 \* GB3 \* MERGEFORMAT </w:instrText>
      </w:r>
      <w:r>
        <w:rPr>
          <w:rFonts w:hint="eastAsia"/>
          <w:color w:val="000000" w:themeColor="text1"/>
        </w:rPr>
        <w:fldChar w:fldCharType="separate"/>
      </w:r>
      <w:r>
        <w:rPr>
          <w:rFonts w:hint="eastAsia"/>
          <w:color w:val="000000" w:themeColor="text1"/>
        </w:rPr>
        <w:t>③</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4 \* GB3 \* MERGEFORMAT </w:instrText>
      </w:r>
      <w:r>
        <w:rPr>
          <w:rFonts w:hint="eastAsia"/>
          <w:color w:val="000000" w:themeColor="text1"/>
        </w:rPr>
        <w:fldChar w:fldCharType="separate"/>
      </w:r>
      <w:r>
        <w:rPr>
          <w:rFonts w:hint="eastAsia"/>
          <w:color w:val="000000" w:themeColor="text1"/>
        </w:rPr>
        <w:t>④</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5 \* GB3 \* MERGEFORMAT </w:instrText>
      </w:r>
      <w:r>
        <w:rPr>
          <w:rFonts w:hint="eastAsia"/>
          <w:color w:val="000000" w:themeColor="text1"/>
        </w:rPr>
        <w:fldChar w:fldCharType="separate"/>
      </w:r>
      <w:r>
        <w:rPr>
          <w:rFonts w:hint="eastAsia"/>
          <w:color w:val="000000" w:themeColor="text1"/>
        </w:rPr>
        <w:t>⑤</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7 \* GB3 \* MERGEFORMAT </w:instrText>
      </w:r>
      <w:r>
        <w:rPr>
          <w:rFonts w:hint="eastAsia"/>
          <w:color w:val="000000" w:themeColor="text1"/>
        </w:rPr>
        <w:fldChar w:fldCharType="separate"/>
      </w:r>
      <w:r>
        <w:rPr>
          <w:rFonts w:hint="eastAsia"/>
          <w:color w:val="000000" w:themeColor="text1"/>
        </w:rPr>
        <w:t>⑦</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6 \* GB3 \* MERGEFORMAT </w:instrText>
      </w:r>
      <w:r>
        <w:rPr>
          <w:rFonts w:hint="eastAsia"/>
          <w:color w:val="000000" w:themeColor="text1"/>
        </w:rPr>
        <w:fldChar w:fldCharType="separate"/>
      </w:r>
      <w:r>
        <w:rPr>
          <w:rFonts w:hint="eastAsia"/>
          <w:color w:val="000000" w:themeColor="text1"/>
        </w:rPr>
        <w:t>⑥</w:t>
      </w:r>
      <w:r>
        <w:rPr>
          <w:rFonts w:hint="eastAsia"/>
          <w:color w:val="000000" w:themeColor="text1"/>
        </w:rPr>
        <w:fldChar w:fldCharType="end"/>
      </w:r>
      <w:r>
        <w:rPr>
          <w:rFonts w:hint="eastAsia"/>
          <w:color w:val="000000" w:themeColor="text1"/>
        </w:rPr>
        <w:t>-</w:t>
      </w:r>
      <w:r>
        <w:rPr>
          <w:rFonts w:hint="eastAsia"/>
          <w:color w:val="000000" w:themeColor="text1"/>
        </w:rPr>
        <w:fldChar w:fldCharType="begin"/>
      </w:r>
      <w:r>
        <w:rPr>
          <w:rFonts w:hint="eastAsia"/>
          <w:color w:val="000000" w:themeColor="text1"/>
        </w:rPr>
        <w:instrText xml:space="preserve"> = 1 \* GB3 \* MERGEFORMAT </w:instrText>
      </w:r>
      <w:r>
        <w:rPr>
          <w:rFonts w:hint="eastAsia"/>
          <w:color w:val="000000" w:themeColor="text1"/>
        </w:rPr>
        <w:fldChar w:fldCharType="separate"/>
      </w:r>
      <w:r>
        <w:rPr>
          <w:rFonts w:hint="eastAsia"/>
          <w:color w:val="000000" w:themeColor="text1"/>
        </w:rPr>
        <w:t>①</w:t>
      </w:r>
      <w:r>
        <w:rPr>
          <w:rFonts w:hint="eastAsia"/>
          <w:color w:val="000000" w:themeColor="text1"/>
        </w:rPr>
        <w:fldChar w:fldCharType="end"/>
      </w:r>
    </w:p>
    <w:sectPr w:rsidR="003C4F46">
      <w:pgSz w:w="16838" w:h="11906" w:orient="landscape"/>
      <w:pgMar w:top="1418" w:right="1418" w:bottom="1418" w:left="1418"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7F8DA" w14:textId="77777777" w:rsidR="0055179D" w:rsidRDefault="0055179D">
      <w:pPr>
        <w:spacing w:line="240" w:lineRule="auto"/>
        <w:ind w:firstLine="480"/>
      </w:pPr>
      <w:r>
        <w:separator/>
      </w:r>
    </w:p>
  </w:endnote>
  <w:endnote w:type="continuationSeparator" w:id="0">
    <w:p w14:paraId="3C825A47" w14:textId="77777777" w:rsidR="0055179D" w:rsidRDefault="0055179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方正小标宋_GBK">
    <w:panose1 w:val="02000000000000000000"/>
    <w:charset w:val="86"/>
    <w:family w:val="auto"/>
    <w:pitch w:val="variable"/>
    <w:sig w:usb0="A00002BF" w:usb1="38CF7CFA" w:usb2="00082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TimesNewRomanPSMT">
    <w:altName w:val="Times New Roman"/>
    <w:charset w:val="00"/>
    <w:family w:val="auto"/>
    <w:pitch w:val="default"/>
    <w:sig w:usb0="00000000" w:usb1="00000000" w:usb2="00000000" w:usb3="00000000" w:csb0="0004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PS M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SourceHanSansCN-Regular">
    <w:altName w:val="Sitka Text"/>
    <w:panose1 w:val="020B050000000000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BFF8" w14:textId="77777777" w:rsidR="003C4F46" w:rsidRDefault="003C4F46">
    <w:pPr>
      <w:pStyle w:val="af"/>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50202"/>
    </w:sdtPr>
    <w:sdtEndPr/>
    <w:sdtContent>
      <w:p w14:paraId="2BA4B3B7" w14:textId="77777777" w:rsidR="003C4F46" w:rsidRDefault="004B6A81">
        <w:pPr>
          <w:pStyle w:val="af"/>
          <w:ind w:firstLine="360"/>
          <w:jc w:val="center"/>
        </w:pPr>
        <w:r>
          <w:fldChar w:fldCharType="begin"/>
        </w:r>
        <w:r>
          <w:instrText>PAGE   \* MERGEFORMAT</w:instrText>
        </w:r>
        <w:r>
          <w:fldChar w:fldCharType="separate"/>
        </w:r>
        <w:r>
          <w:rPr>
            <w:lang w:val="zh-CN"/>
          </w:rPr>
          <w:t>2</w:t>
        </w:r>
        <w:r>
          <w:fldChar w:fldCharType="end"/>
        </w:r>
      </w:p>
    </w:sdtContent>
  </w:sdt>
  <w:p w14:paraId="688F3A23" w14:textId="77777777" w:rsidR="003C4F46" w:rsidRDefault="003C4F46">
    <w:pPr>
      <w:pStyle w:val="af"/>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0E2F" w14:textId="77777777" w:rsidR="003C4F46" w:rsidRDefault="003C4F46">
    <w:pPr>
      <w:pStyle w:val="af"/>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78844" w14:textId="77777777" w:rsidR="0055179D" w:rsidRDefault="0055179D">
      <w:pPr>
        <w:ind w:firstLine="480"/>
      </w:pPr>
      <w:r>
        <w:separator/>
      </w:r>
    </w:p>
  </w:footnote>
  <w:footnote w:type="continuationSeparator" w:id="0">
    <w:p w14:paraId="7C813240" w14:textId="77777777" w:rsidR="0055179D" w:rsidRDefault="0055179D">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24193" w14:textId="77777777" w:rsidR="003C4F46" w:rsidRDefault="003C4F46">
    <w:pPr>
      <w:pStyle w:val="af1"/>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A402" w14:textId="77777777" w:rsidR="003C4F46" w:rsidRDefault="003C4F46">
    <w:pPr>
      <w:pStyle w:val="af1"/>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E83F" w14:textId="77777777" w:rsidR="003C4F46" w:rsidRDefault="003C4F46">
    <w:pPr>
      <w:pStyle w:val="af1"/>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EFA4"/>
    <w:multiLevelType w:val="singleLevel"/>
    <w:tmpl w:val="0994EFA4"/>
    <w:lvl w:ilvl="0">
      <w:start w:val="7"/>
      <w:numFmt w:val="decimal"/>
      <w:suff w:val="nothing"/>
      <w:lvlText w:val="（%1）"/>
      <w:lvlJc w:val="left"/>
    </w:lvl>
  </w:abstractNum>
  <w:abstractNum w:abstractNumId="1" w15:restartNumberingAfterBreak="0">
    <w:nsid w:val="51129B97"/>
    <w:multiLevelType w:val="singleLevel"/>
    <w:tmpl w:val="51129B97"/>
    <w:lvl w:ilvl="0">
      <w:start w:val="2"/>
      <w:numFmt w:val="decimal"/>
      <w:suff w:val="nothing"/>
      <w:lvlText w:val="（%1）"/>
      <w:lvlJc w:val="left"/>
    </w:lvl>
  </w:abstractNum>
  <w:abstractNum w:abstractNumId="2" w15:restartNumberingAfterBreak="0">
    <w:nsid w:val="556EF34F"/>
    <w:multiLevelType w:val="singleLevel"/>
    <w:tmpl w:val="556EF34F"/>
    <w:lvl w:ilvl="0">
      <w:start w:val="4"/>
      <w:numFmt w:val="chineseCounting"/>
      <w:suff w:val="nothing"/>
      <w:lvlText w:val="%1、"/>
      <w:lvlJc w:val="left"/>
      <w:rPr>
        <w:rFonts w:hint="eastAsia"/>
      </w:rPr>
    </w:lvl>
  </w:abstractNum>
  <w:abstractNum w:abstractNumId="3" w15:restartNumberingAfterBreak="0">
    <w:nsid w:val="68D08242"/>
    <w:multiLevelType w:val="singleLevel"/>
    <w:tmpl w:val="68D08242"/>
    <w:lvl w:ilvl="0">
      <w:start w:val="2"/>
      <w:numFmt w:val="decimal"/>
      <w:suff w:val="nothing"/>
      <w:lvlText w:val="（%1）"/>
      <w:lvlJc w:val="left"/>
    </w:lvl>
  </w:abstractNum>
  <w:abstractNum w:abstractNumId="4" w15:restartNumberingAfterBreak="0">
    <w:nsid w:val="6A195B0E"/>
    <w:multiLevelType w:val="singleLevel"/>
    <w:tmpl w:val="6A195B0E"/>
    <w:lvl w:ilvl="0">
      <w:start w:val="1"/>
      <w:numFmt w:val="bullet"/>
      <w:pStyle w:val="5"/>
      <w:lvlText w:val=""/>
      <w:lvlJc w:val="left"/>
      <w:pPr>
        <w:tabs>
          <w:tab w:val="left" w:pos="2040"/>
        </w:tabs>
        <w:ind w:left="204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HorizontalSpacing w:val="120"/>
  <w:drawingGridVerticalSpacing w:val="163"/>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ZmZGQ1YjY3YWE4ZjQxNzM3Mjc0MGM1ZTljYWMwNWUifQ=="/>
  </w:docVars>
  <w:rsids>
    <w:rsidRoot w:val="00E42F12"/>
    <w:rsid w:val="00000011"/>
    <w:rsid w:val="00002286"/>
    <w:rsid w:val="00003779"/>
    <w:rsid w:val="00004030"/>
    <w:rsid w:val="00004535"/>
    <w:rsid w:val="00005265"/>
    <w:rsid w:val="000056D4"/>
    <w:rsid w:val="00005DF0"/>
    <w:rsid w:val="00010C14"/>
    <w:rsid w:val="00011588"/>
    <w:rsid w:val="00012585"/>
    <w:rsid w:val="00012DBF"/>
    <w:rsid w:val="000130B4"/>
    <w:rsid w:val="00013255"/>
    <w:rsid w:val="00014DD3"/>
    <w:rsid w:val="0001586B"/>
    <w:rsid w:val="000160E7"/>
    <w:rsid w:val="00016FF3"/>
    <w:rsid w:val="00017B81"/>
    <w:rsid w:val="0002170E"/>
    <w:rsid w:val="00021755"/>
    <w:rsid w:val="00021FDB"/>
    <w:rsid w:val="00021FE2"/>
    <w:rsid w:val="000228A3"/>
    <w:rsid w:val="000232F9"/>
    <w:rsid w:val="000237FF"/>
    <w:rsid w:val="000248C0"/>
    <w:rsid w:val="00024B2C"/>
    <w:rsid w:val="000251D0"/>
    <w:rsid w:val="00026503"/>
    <w:rsid w:val="000266FA"/>
    <w:rsid w:val="00027FF1"/>
    <w:rsid w:val="0003177B"/>
    <w:rsid w:val="00031848"/>
    <w:rsid w:val="00032722"/>
    <w:rsid w:val="000327C5"/>
    <w:rsid w:val="0003302B"/>
    <w:rsid w:val="000349C5"/>
    <w:rsid w:val="0003576B"/>
    <w:rsid w:val="00035924"/>
    <w:rsid w:val="00035D20"/>
    <w:rsid w:val="000364B9"/>
    <w:rsid w:val="00037528"/>
    <w:rsid w:val="00037CF2"/>
    <w:rsid w:val="00037F76"/>
    <w:rsid w:val="00037FCA"/>
    <w:rsid w:val="0004064E"/>
    <w:rsid w:val="000411C0"/>
    <w:rsid w:val="00041C54"/>
    <w:rsid w:val="0004324B"/>
    <w:rsid w:val="0004387D"/>
    <w:rsid w:val="00045BF5"/>
    <w:rsid w:val="00045D54"/>
    <w:rsid w:val="0004645A"/>
    <w:rsid w:val="00050209"/>
    <w:rsid w:val="00050507"/>
    <w:rsid w:val="000519C2"/>
    <w:rsid w:val="00051EF7"/>
    <w:rsid w:val="00052874"/>
    <w:rsid w:val="00052F50"/>
    <w:rsid w:val="00054033"/>
    <w:rsid w:val="0005404D"/>
    <w:rsid w:val="000540C6"/>
    <w:rsid w:val="00054D84"/>
    <w:rsid w:val="00054F8E"/>
    <w:rsid w:val="00055B96"/>
    <w:rsid w:val="0005635A"/>
    <w:rsid w:val="00056938"/>
    <w:rsid w:val="00056A8A"/>
    <w:rsid w:val="00056C0A"/>
    <w:rsid w:val="000600E5"/>
    <w:rsid w:val="000609E8"/>
    <w:rsid w:val="00061F0E"/>
    <w:rsid w:val="00062122"/>
    <w:rsid w:val="00062845"/>
    <w:rsid w:val="000628AF"/>
    <w:rsid w:val="00062AB8"/>
    <w:rsid w:val="00063039"/>
    <w:rsid w:val="0006526E"/>
    <w:rsid w:val="00065EBA"/>
    <w:rsid w:val="00066708"/>
    <w:rsid w:val="000669FA"/>
    <w:rsid w:val="00070A73"/>
    <w:rsid w:val="00070BA3"/>
    <w:rsid w:val="00071688"/>
    <w:rsid w:val="00071FB9"/>
    <w:rsid w:val="00072560"/>
    <w:rsid w:val="00072D16"/>
    <w:rsid w:val="00073C72"/>
    <w:rsid w:val="00074946"/>
    <w:rsid w:val="000749F5"/>
    <w:rsid w:val="0007540F"/>
    <w:rsid w:val="00076335"/>
    <w:rsid w:val="000769DF"/>
    <w:rsid w:val="000775A2"/>
    <w:rsid w:val="00077845"/>
    <w:rsid w:val="00077F08"/>
    <w:rsid w:val="0008065F"/>
    <w:rsid w:val="00081096"/>
    <w:rsid w:val="0008256C"/>
    <w:rsid w:val="0008290B"/>
    <w:rsid w:val="00082CC9"/>
    <w:rsid w:val="00083888"/>
    <w:rsid w:val="00083AB0"/>
    <w:rsid w:val="00084A61"/>
    <w:rsid w:val="000859AF"/>
    <w:rsid w:val="0008604F"/>
    <w:rsid w:val="00086278"/>
    <w:rsid w:val="00086C65"/>
    <w:rsid w:val="000872AF"/>
    <w:rsid w:val="00087720"/>
    <w:rsid w:val="0008776E"/>
    <w:rsid w:val="00087854"/>
    <w:rsid w:val="00087BF4"/>
    <w:rsid w:val="00090692"/>
    <w:rsid w:val="00092497"/>
    <w:rsid w:val="00093B52"/>
    <w:rsid w:val="0009420A"/>
    <w:rsid w:val="00095045"/>
    <w:rsid w:val="000961C8"/>
    <w:rsid w:val="000962F1"/>
    <w:rsid w:val="000968DC"/>
    <w:rsid w:val="00097169"/>
    <w:rsid w:val="00097CE9"/>
    <w:rsid w:val="000A04E0"/>
    <w:rsid w:val="000A09CF"/>
    <w:rsid w:val="000A0DA6"/>
    <w:rsid w:val="000A16C0"/>
    <w:rsid w:val="000A356F"/>
    <w:rsid w:val="000A4135"/>
    <w:rsid w:val="000A5359"/>
    <w:rsid w:val="000A717C"/>
    <w:rsid w:val="000A79A1"/>
    <w:rsid w:val="000B32BF"/>
    <w:rsid w:val="000B32D6"/>
    <w:rsid w:val="000B39CF"/>
    <w:rsid w:val="000B3B81"/>
    <w:rsid w:val="000B3CE8"/>
    <w:rsid w:val="000B4692"/>
    <w:rsid w:val="000B500D"/>
    <w:rsid w:val="000B5935"/>
    <w:rsid w:val="000B5B00"/>
    <w:rsid w:val="000C2355"/>
    <w:rsid w:val="000C45A6"/>
    <w:rsid w:val="000C4AE8"/>
    <w:rsid w:val="000C55C8"/>
    <w:rsid w:val="000C594F"/>
    <w:rsid w:val="000C607C"/>
    <w:rsid w:val="000C687E"/>
    <w:rsid w:val="000C697A"/>
    <w:rsid w:val="000D077A"/>
    <w:rsid w:val="000D09BC"/>
    <w:rsid w:val="000D14D9"/>
    <w:rsid w:val="000D1E69"/>
    <w:rsid w:val="000D3641"/>
    <w:rsid w:val="000D3E20"/>
    <w:rsid w:val="000D40CA"/>
    <w:rsid w:val="000D456C"/>
    <w:rsid w:val="000D4E26"/>
    <w:rsid w:val="000D5774"/>
    <w:rsid w:val="000D5B2E"/>
    <w:rsid w:val="000D5D7A"/>
    <w:rsid w:val="000D7B11"/>
    <w:rsid w:val="000D7EB5"/>
    <w:rsid w:val="000E0387"/>
    <w:rsid w:val="000E0C43"/>
    <w:rsid w:val="000E0D2C"/>
    <w:rsid w:val="000E0DBE"/>
    <w:rsid w:val="000E14AE"/>
    <w:rsid w:val="000E2AFB"/>
    <w:rsid w:val="000E33AB"/>
    <w:rsid w:val="000E3658"/>
    <w:rsid w:val="000E3A22"/>
    <w:rsid w:val="000E3DFE"/>
    <w:rsid w:val="000E4502"/>
    <w:rsid w:val="000E5AF8"/>
    <w:rsid w:val="000E616F"/>
    <w:rsid w:val="000E689F"/>
    <w:rsid w:val="000E74D3"/>
    <w:rsid w:val="000E788A"/>
    <w:rsid w:val="000E7D66"/>
    <w:rsid w:val="000E7DCB"/>
    <w:rsid w:val="000F00E7"/>
    <w:rsid w:val="000F0A6D"/>
    <w:rsid w:val="000F0E36"/>
    <w:rsid w:val="000F1E90"/>
    <w:rsid w:val="000F25D1"/>
    <w:rsid w:val="000F2784"/>
    <w:rsid w:val="000F486F"/>
    <w:rsid w:val="000F5746"/>
    <w:rsid w:val="000F6582"/>
    <w:rsid w:val="000F75B0"/>
    <w:rsid w:val="0010013A"/>
    <w:rsid w:val="00100AA3"/>
    <w:rsid w:val="00100EE9"/>
    <w:rsid w:val="00101AE9"/>
    <w:rsid w:val="001027B0"/>
    <w:rsid w:val="00102FA5"/>
    <w:rsid w:val="0010380F"/>
    <w:rsid w:val="00103BA8"/>
    <w:rsid w:val="001045D7"/>
    <w:rsid w:val="00104ED9"/>
    <w:rsid w:val="00106964"/>
    <w:rsid w:val="00106A93"/>
    <w:rsid w:val="00106CB6"/>
    <w:rsid w:val="00107019"/>
    <w:rsid w:val="0010703E"/>
    <w:rsid w:val="00107539"/>
    <w:rsid w:val="00110163"/>
    <w:rsid w:val="00111ACF"/>
    <w:rsid w:val="00112D08"/>
    <w:rsid w:val="00113737"/>
    <w:rsid w:val="00113A4E"/>
    <w:rsid w:val="00115FF4"/>
    <w:rsid w:val="00116EC6"/>
    <w:rsid w:val="00120440"/>
    <w:rsid w:val="00120B3B"/>
    <w:rsid w:val="00122519"/>
    <w:rsid w:val="00122B9C"/>
    <w:rsid w:val="00122C01"/>
    <w:rsid w:val="00123572"/>
    <w:rsid w:val="00124469"/>
    <w:rsid w:val="00124C3A"/>
    <w:rsid w:val="00125187"/>
    <w:rsid w:val="00126CA7"/>
    <w:rsid w:val="001272F9"/>
    <w:rsid w:val="00127C10"/>
    <w:rsid w:val="00127DC9"/>
    <w:rsid w:val="00127E9B"/>
    <w:rsid w:val="00127FED"/>
    <w:rsid w:val="0013118C"/>
    <w:rsid w:val="0013179F"/>
    <w:rsid w:val="00132049"/>
    <w:rsid w:val="0013262A"/>
    <w:rsid w:val="00133D69"/>
    <w:rsid w:val="0013450C"/>
    <w:rsid w:val="00134FB0"/>
    <w:rsid w:val="00135B37"/>
    <w:rsid w:val="00137693"/>
    <w:rsid w:val="001400F0"/>
    <w:rsid w:val="001405E5"/>
    <w:rsid w:val="00140B06"/>
    <w:rsid w:val="00140BE3"/>
    <w:rsid w:val="00140ED3"/>
    <w:rsid w:val="00141580"/>
    <w:rsid w:val="00141C32"/>
    <w:rsid w:val="00142086"/>
    <w:rsid w:val="00144BB2"/>
    <w:rsid w:val="00144F14"/>
    <w:rsid w:val="00146892"/>
    <w:rsid w:val="00146A8B"/>
    <w:rsid w:val="00147335"/>
    <w:rsid w:val="00147436"/>
    <w:rsid w:val="00147671"/>
    <w:rsid w:val="001502D3"/>
    <w:rsid w:val="00150368"/>
    <w:rsid w:val="001514EF"/>
    <w:rsid w:val="001525E9"/>
    <w:rsid w:val="0015301F"/>
    <w:rsid w:val="00153C2C"/>
    <w:rsid w:val="00154C6E"/>
    <w:rsid w:val="00154EB9"/>
    <w:rsid w:val="00155A85"/>
    <w:rsid w:val="001563F4"/>
    <w:rsid w:val="00156A4B"/>
    <w:rsid w:val="0015711B"/>
    <w:rsid w:val="0015783A"/>
    <w:rsid w:val="00157B41"/>
    <w:rsid w:val="00160275"/>
    <w:rsid w:val="0016185C"/>
    <w:rsid w:val="00161F0E"/>
    <w:rsid w:val="00163D32"/>
    <w:rsid w:val="0016564D"/>
    <w:rsid w:val="00170127"/>
    <w:rsid w:val="00170CCF"/>
    <w:rsid w:val="0017156B"/>
    <w:rsid w:val="001717E9"/>
    <w:rsid w:val="00172C3C"/>
    <w:rsid w:val="00173FE6"/>
    <w:rsid w:val="00174269"/>
    <w:rsid w:val="00174836"/>
    <w:rsid w:val="00174981"/>
    <w:rsid w:val="0017584A"/>
    <w:rsid w:val="00176FDA"/>
    <w:rsid w:val="001771FE"/>
    <w:rsid w:val="001800DE"/>
    <w:rsid w:val="001809DF"/>
    <w:rsid w:val="00181FEA"/>
    <w:rsid w:val="00184153"/>
    <w:rsid w:val="00184209"/>
    <w:rsid w:val="001867BD"/>
    <w:rsid w:val="001876D4"/>
    <w:rsid w:val="00191A72"/>
    <w:rsid w:val="00191AFA"/>
    <w:rsid w:val="00196C42"/>
    <w:rsid w:val="00196D29"/>
    <w:rsid w:val="00197517"/>
    <w:rsid w:val="0019788F"/>
    <w:rsid w:val="00197AF6"/>
    <w:rsid w:val="00197C10"/>
    <w:rsid w:val="001A026B"/>
    <w:rsid w:val="001A028D"/>
    <w:rsid w:val="001A0652"/>
    <w:rsid w:val="001A1228"/>
    <w:rsid w:val="001A332C"/>
    <w:rsid w:val="001A3676"/>
    <w:rsid w:val="001A517C"/>
    <w:rsid w:val="001A5C10"/>
    <w:rsid w:val="001A797A"/>
    <w:rsid w:val="001B0381"/>
    <w:rsid w:val="001B096F"/>
    <w:rsid w:val="001B0F5A"/>
    <w:rsid w:val="001B10CE"/>
    <w:rsid w:val="001B241E"/>
    <w:rsid w:val="001B3C53"/>
    <w:rsid w:val="001B49C0"/>
    <w:rsid w:val="001B545E"/>
    <w:rsid w:val="001C00EA"/>
    <w:rsid w:val="001C046A"/>
    <w:rsid w:val="001C25AB"/>
    <w:rsid w:val="001C26D5"/>
    <w:rsid w:val="001C2947"/>
    <w:rsid w:val="001C3F0F"/>
    <w:rsid w:val="001C4709"/>
    <w:rsid w:val="001C47D6"/>
    <w:rsid w:val="001C55A7"/>
    <w:rsid w:val="001C5688"/>
    <w:rsid w:val="001C6CF0"/>
    <w:rsid w:val="001C78C0"/>
    <w:rsid w:val="001D1B30"/>
    <w:rsid w:val="001D21ED"/>
    <w:rsid w:val="001D2AB6"/>
    <w:rsid w:val="001D4639"/>
    <w:rsid w:val="001D4C17"/>
    <w:rsid w:val="001D526B"/>
    <w:rsid w:val="001D6591"/>
    <w:rsid w:val="001D6B80"/>
    <w:rsid w:val="001D76AC"/>
    <w:rsid w:val="001D7E39"/>
    <w:rsid w:val="001E1587"/>
    <w:rsid w:val="001E3F5A"/>
    <w:rsid w:val="001E3F90"/>
    <w:rsid w:val="001E51B5"/>
    <w:rsid w:val="001E57B0"/>
    <w:rsid w:val="001E63E1"/>
    <w:rsid w:val="001E6A08"/>
    <w:rsid w:val="001F03BE"/>
    <w:rsid w:val="001F053B"/>
    <w:rsid w:val="001F0ACD"/>
    <w:rsid w:val="001F126F"/>
    <w:rsid w:val="001F1286"/>
    <w:rsid w:val="001F15E0"/>
    <w:rsid w:val="001F242B"/>
    <w:rsid w:val="001F4530"/>
    <w:rsid w:val="001F513F"/>
    <w:rsid w:val="001F54DE"/>
    <w:rsid w:val="001F5886"/>
    <w:rsid w:val="001F5E66"/>
    <w:rsid w:val="001F6630"/>
    <w:rsid w:val="001F694D"/>
    <w:rsid w:val="001F7068"/>
    <w:rsid w:val="001F770F"/>
    <w:rsid w:val="001F7BD9"/>
    <w:rsid w:val="00200E7E"/>
    <w:rsid w:val="00201DEF"/>
    <w:rsid w:val="00201FF2"/>
    <w:rsid w:val="0020217B"/>
    <w:rsid w:val="002030AF"/>
    <w:rsid w:val="0020327D"/>
    <w:rsid w:val="00205049"/>
    <w:rsid w:val="00206E27"/>
    <w:rsid w:val="00207628"/>
    <w:rsid w:val="0021151F"/>
    <w:rsid w:val="0021170E"/>
    <w:rsid w:val="00212647"/>
    <w:rsid w:val="00213442"/>
    <w:rsid w:val="00213DD4"/>
    <w:rsid w:val="002175B4"/>
    <w:rsid w:val="002177DE"/>
    <w:rsid w:val="0022108A"/>
    <w:rsid w:val="002217B7"/>
    <w:rsid w:val="00222DFB"/>
    <w:rsid w:val="00223ECF"/>
    <w:rsid w:val="00224EAE"/>
    <w:rsid w:val="00227664"/>
    <w:rsid w:val="00230B7A"/>
    <w:rsid w:val="002322B0"/>
    <w:rsid w:val="002325F0"/>
    <w:rsid w:val="00232EE3"/>
    <w:rsid w:val="002330A8"/>
    <w:rsid w:val="00234038"/>
    <w:rsid w:val="00234985"/>
    <w:rsid w:val="00234FC5"/>
    <w:rsid w:val="00237524"/>
    <w:rsid w:val="00237638"/>
    <w:rsid w:val="00241253"/>
    <w:rsid w:val="0024130D"/>
    <w:rsid w:val="002415FD"/>
    <w:rsid w:val="002418D8"/>
    <w:rsid w:val="00242508"/>
    <w:rsid w:val="00242910"/>
    <w:rsid w:val="00242920"/>
    <w:rsid w:val="00243BD7"/>
    <w:rsid w:val="00243DD6"/>
    <w:rsid w:val="002449F5"/>
    <w:rsid w:val="00244A84"/>
    <w:rsid w:val="00245748"/>
    <w:rsid w:val="0024574B"/>
    <w:rsid w:val="00245F3E"/>
    <w:rsid w:val="00246AC3"/>
    <w:rsid w:val="00247C68"/>
    <w:rsid w:val="00247E0F"/>
    <w:rsid w:val="0025197C"/>
    <w:rsid w:val="00251B45"/>
    <w:rsid w:val="00252AB7"/>
    <w:rsid w:val="00253661"/>
    <w:rsid w:val="00254B65"/>
    <w:rsid w:val="00257849"/>
    <w:rsid w:val="00257B2D"/>
    <w:rsid w:val="002602E6"/>
    <w:rsid w:val="0026086D"/>
    <w:rsid w:val="00261150"/>
    <w:rsid w:val="00261534"/>
    <w:rsid w:val="00261734"/>
    <w:rsid w:val="00261C8C"/>
    <w:rsid w:val="002628E7"/>
    <w:rsid w:val="00263C52"/>
    <w:rsid w:val="00263F77"/>
    <w:rsid w:val="002659C3"/>
    <w:rsid w:val="00266035"/>
    <w:rsid w:val="00267641"/>
    <w:rsid w:val="0026772D"/>
    <w:rsid w:val="00267D61"/>
    <w:rsid w:val="00267D80"/>
    <w:rsid w:val="00267E9D"/>
    <w:rsid w:val="0027145F"/>
    <w:rsid w:val="002715AA"/>
    <w:rsid w:val="00271BDC"/>
    <w:rsid w:val="00272260"/>
    <w:rsid w:val="00273C80"/>
    <w:rsid w:val="00275464"/>
    <w:rsid w:val="0027585A"/>
    <w:rsid w:val="00276753"/>
    <w:rsid w:val="00276984"/>
    <w:rsid w:val="00276B05"/>
    <w:rsid w:val="00277038"/>
    <w:rsid w:val="00277F05"/>
    <w:rsid w:val="00281015"/>
    <w:rsid w:val="0028374E"/>
    <w:rsid w:val="00283E24"/>
    <w:rsid w:val="002840BF"/>
    <w:rsid w:val="002842F2"/>
    <w:rsid w:val="00284EEE"/>
    <w:rsid w:val="00285337"/>
    <w:rsid w:val="00286CD5"/>
    <w:rsid w:val="00287664"/>
    <w:rsid w:val="00287B11"/>
    <w:rsid w:val="002902FE"/>
    <w:rsid w:val="00291F6C"/>
    <w:rsid w:val="00292153"/>
    <w:rsid w:val="00292281"/>
    <w:rsid w:val="00292B69"/>
    <w:rsid w:val="00292D8B"/>
    <w:rsid w:val="00293705"/>
    <w:rsid w:val="002941F5"/>
    <w:rsid w:val="00294330"/>
    <w:rsid w:val="00294993"/>
    <w:rsid w:val="00297212"/>
    <w:rsid w:val="002A042A"/>
    <w:rsid w:val="002A0F4A"/>
    <w:rsid w:val="002A1838"/>
    <w:rsid w:val="002A1885"/>
    <w:rsid w:val="002A1CFA"/>
    <w:rsid w:val="002A1E59"/>
    <w:rsid w:val="002A4249"/>
    <w:rsid w:val="002A42A3"/>
    <w:rsid w:val="002A4B1F"/>
    <w:rsid w:val="002A52C3"/>
    <w:rsid w:val="002A5A64"/>
    <w:rsid w:val="002A5B5F"/>
    <w:rsid w:val="002A758B"/>
    <w:rsid w:val="002A7BAE"/>
    <w:rsid w:val="002B0225"/>
    <w:rsid w:val="002B041C"/>
    <w:rsid w:val="002B0F2F"/>
    <w:rsid w:val="002B1AE5"/>
    <w:rsid w:val="002B1E75"/>
    <w:rsid w:val="002B210A"/>
    <w:rsid w:val="002B2428"/>
    <w:rsid w:val="002B2757"/>
    <w:rsid w:val="002B31DA"/>
    <w:rsid w:val="002B41A3"/>
    <w:rsid w:val="002B5377"/>
    <w:rsid w:val="002B6DDD"/>
    <w:rsid w:val="002B6E2E"/>
    <w:rsid w:val="002B7823"/>
    <w:rsid w:val="002C0208"/>
    <w:rsid w:val="002C0A60"/>
    <w:rsid w:val="002C1890"/>
    <w:rsid w:val="002C2E9B"/>
    <w:rsid w:val="002C30C8"/>
    <w:rsid w:val="002C32F0"/>
    <w:rsid w:val="002C3436"/>
    <w:rsid w:val="002C35D5"/>
    <w:rsid w:val="002C3B5A"/>
    <w:rsid w:val="002C548A"/>
    <w:rsid w:val="002C6812"/>
    <w:rsid w:val="002C7D80"/>
    <w:rsid w:val="002C7F53"/>
    <w:rsid w:val="002D05FE"/>
    <w:rsid w:val="002D09FB"/>
    <w:rsid w:val="002D1235"/>
    <w:rsid w:val="002D1557"/>
    <w:rsid w:val="002D2597"/>
    <w:rsid w:val="002D3227"/>
    <w:rsid w:val="002D38B5"/>
    <w:rsid w:val="002E0507"/>
    <w:rsid w:val="002E1991"/>
    <w:rsid w:val="002E2739"/>
    <w:rsid w:val="002E3523"/>
    <w:rsid w:val="002E409F"/>
    <w:rsid w:val="002E51B8"/>
    <w:rsid w:val="002E5E1D"/>
    <w:rsid w:val="002E6022"/>
    <w:rsid w:val="002E669B"/>
    <w:rsid w:val="002E7B00"/>
    <w:rsid w:val="002E7F57"/>
    <w:rsid w:val="002F0424"/>
    <w:rsid w:val="002F0546"/>
    <w:rsid w:val="002F09FC"/>
    <w:rsid w:val="002F10B3"/>
    <w:rsid w:val="002F1114"/>
    <w:rsid w:val="002F14A8"/>
    <w:rsid w:val="002F1E02"/>
    <w:rsid w:val="002F2799"/>
    <w:rsid w:val="002F31A2"/>
    <w:rsid w:val="002F32CD"/>
    <w:rsid w:val="002F4570"/>
    <w:rsid w:val="002F49AA"/>
    <w:rsid w:val="002F634E"/>
    <w:rsid w:val="002F6A79"/>
    <w:rsid w:val="002F72C6"/>
    <w:rsid w:val="00300168"/>
    <w:rsid w:val="00301427"/>
    <w:rsid w:val="003019BD"/>
    <w:rsid w:val="00301FC9"/>
    <w:rsid w:val="00302915"/>
    <w:rsid w:val="00302931"/>
    <w:rsid w:val="00303DCB"/>
    <w:rsid w:val="0030482F"/>
    <w:rsid w:val="00304DB3"/>
    <w:rsid w:val="00304F9B"/>
    <w:rsid w:val="00306014"/>
    <w:rsid w:val="003067C7"/>
    <w:rsid w:val="00306824"/>
    <w:rsid w:val="00306A16"/>
    <w:rsid w:val="00306C59"/>
    <w:rsid w:val="00307859"/>
    <w:rsid w:val="0030792D"/>
    <w:rsid w:val="00307BF9"/>
    <w:rsid w:val="00310182"/>
    <w:rsid w:val="0031039E"/>
    <w:rsid w:val="0031141F"/>
    <w:rsid w:val="00311924"/>
    <w:rsid w:val="003124FA"/>
    <w:rsid w:val="00312A18"/>
    <w:rsid w:val="003159D1"/>
    <w:rsid w:val="00316575"/>
    <w:rsid w:val="0031727D"/>
    <w:rsid w:val="003177AA"/>
    <w:rsid w:val="003215E1"/>
    <w:rsid w:val="00323BB8"/>
    <w:rsid w:val="00325553"/>
    <w:rsid w:val="00326989"/>
    <w:rsid w:val="0033018D"/>
    <w:rsid w:val="0033153A"/>
    <w:rsid w:val="00331A0F"/>
    <w:rsid w:val="00331C5A"/>
    <w:rsid w:val="00332FCE"/>
    <w:rsid w:val="00334500"/>
    <w:rsid w:val="00336BB2"/>
    <w:rsid w:val="00340105"/>
    <w:rsid w:val="0034137C"/>
    <w:rsid w:val="003415D3"/>
    <w:rsid w:val="00342850"/>
    <w:rsid w:val="00342D2F"/>
    <w:rsid w:val="00343C0B"/>
    <w:rsid w:val="003446CC"/>
    <w:rsid w:val="00345831"/>
    <w:rsid w:val="00345A60"/>
    <w:rsid w:val="00345B75"/>
    <w:rsid w:val="00346C47"/>
    <w:rsid w:val="00346F2B"/>
    <w:rsid w:val="0034758F"/>
    <w:rsid w:val="00347B82"/>
    <w:rsid w:val="00350B49"/>
    <w:rsid w:val="00351453"/>
    <w:rsid w:val="003521CE"/>
    <w:rsid w:val="0035236E"/>
    <w:rsid w:val="00352B51"/>
    <w:rsid w:val="0035300F"/>
    <w:rsid w:val="003534CC"/>
    <w:rsid w:val="003536F2"/>
    <w:rsid w:val="003539B6"/>
    <w:rsid w:val="00354043"/>
    <w:rsid w:val="00354E73"/>
    <w:rsid w:val="00355E2F"/>
    <w:rsid w:val="00357764"/>
    <w:rsid w:val="00360185"/>
    <w:rsid w:val="003607D7"/>
    <w:rsid w:val="003612CC"/>
    <w:rsid w:val="0036141E"/>
    <w:rsid w:val="0036312C"/>
    <w:rsid w:val="003645AA"/>
    <w:rsid w:val="0036646B"/>
    <w:rsid w:val="0037030F"/>
    <w:rsid w:val="00370547"/>
    <w:rsid w:val="00371C60"/>
    <w:rsid w:val="00371DA7"/>
    <w:rsid w:val="00371DC8"/>
    <w:rsid w:val="003722E7"/>
    <w:rsid w:val="00373473"/>
    <w:rsid w:val="00373857"/>
    <w:rsid w:val="00374131"/>
    <w:rsid w:val="0037455C"/>
    <w:rsid w:val="00374A3D"/>
    <w:rsid w:val="00375FED"/>
    <w:rsid w:val="0037631C"/>
    <w:rsid w:val="003766A2"/>
    <w:rsid w:val="0037695B"/>
    <w:rsid w:val="00376E26"/>
    <w:rsid w:val="00376EF7"/>
    <w:rsid w:val="0038069E"/>
    <w:rsid w:val="00380F3C"/>
    <w:rsid w:val="00381127"/>
    <w:rsid w:val="003832E5"/>
    <w:rsid w:val="00383BAD"/>
    <w:rsid w:val="003844D1"/>
    <w:rsid w:val="003852FF"/>
    <w:rsid w:val="00385E88"/>
    <w:rsid w:val="00386DBD"/>
    <w:rsid w:val="00387150"/>
    <w:rsid w:val="00387B52"/>
    <w:rsid w:val="00387F4D"/>
    <w:rsid w:val="0039192E"/>
    <w:rsid w:val="00391B5D"/>
    <w:rsid w:val="003923AB"/>
    <w:rsid w:val="003930D9"/>
    <w:rsid w:val="00393645"/>
    <w:rsid w:val="0039373C"/>
    <w:rsid w:val="00396647"/>
    <w:rsid w:val="00397094"/>
    <w:rsid w:val="00397572"/>
    <w:rsid w:val="003977E9"/>
    <w:rsid w:val="003A0F81"/>
    <w:rsid w:val="003A1468"/>
    <w:rsid w:val="003A1D37"/>
    <w:rsid w:val="003A3499"/>
    <w:rsid w:val="003A41F8"/>
    <w:rsid w:val="003A46AA"/>
    <w:rsid w:val="003A4D1F"/>
    <w:rsid w:val="003A4E7D"/>
    <w:rsid w:val="003A6206"/>
    <w:rsid w:val="003A66A7"/>
    <w:rsid w:val="003A6B81"/>
    <w:rsid w:val="003A7B58"/>
    <w:rsid w:val="003B0000"/>
    <w:rsid w:val="003B24C0"/>
    <w:rsid w:val="003B2583"/>
    <w:rsid w:val="003B271F"/>
    <w:rsid w:val="003B27D1"/>
    <w:rsid w:val="003B3EC3"/>
    <w:rsid w:val="003B3F0B"/>
    <w:rsid w:val="003B4A96"/>
    <w:rsid w:val="003B6C75"/>
    <w:rsid w:val="003C1ACF"/>
    <w:rsid w:val="003C27FE"/>
    <w:rsid w:val="003C3143"/>
    <w:rsid w:val="003C4F46"/>
    <w:rsid w:val="003C50D3"/>
    <w:rsid w:val="003C6629"/>
    <w:rsid w:val="003D04AB"/>
    <w:rsid w:val="003D0797"/>
    <w:rsid w:val="003D0E71"/>
    <w:rsid w:val="003D1F12"/>
    <w:rsid w:val="003D3881"/>
    <w:rsid w:val="003D3D7E"/>
    <w:rsid w:val="003D586B"/>
    <w:rsid w:val="003D5A40"/>
    <w:rsid w:val="003D622A"/>
    <w:rsid w:val="003D62D8"/>
    <w:rsid w:val="003D69B7"/>
    <w:rsid w:val="003D6AB1"/>
    <w:rsid w:val="003D76C4"/>
    <w:rsid w:val="003D771B"/>
    <w:rsid w:val="003E0882"/>
    <w:rsid w:val="003E0DEE"/>
    <w:rsid w:val="003E0EF6"/>
    <w:rsid w:val="003E14F4"/>
    <w:rsid w:val="003E166C"/>
    <w:rsid w:val="003E1903"/>
    <w:rsid w:val="003E22EA"/>
    <w:rsid w:val="003E37E1"/>
    <w:rsid w:val="003E401B"/>
    <w:rsid w:val="003E47EA"/>
    <w:rsid w:val="003F009C"/>
    <w:rsid w:val="003F0225"/>
    <w:rsid w:val="003F07CE"/>
    <w:rsid w:val="003F26CE"/>
    <w:rsid w:val="003F517C"/>
    <w:rsid w:val="003F5D06"/>
    <w:rsid w:val="003F5D89"/>
    <w:rsid w:val="003F6C63"/>
    <w:rsid w:val="003F7AAA"/>
    <w:rsid w:val="003F7CB4"/>
    <w:rsid w:val="00400F25"/>
    <w:rsid w:val="00402C40"/>
    <w:rsid w:val="00403FE2"/>
    <w:rsid w:val="00405893"/>
    <w:rsid w:val="004058C1"/>
    <w:rsid w:val="004058F1"/>
    <w:rsid w:val="00406D7C"/>
    <w:rsid w:val="004070D6"/>
    <w:rsid w:val="00410700"/>
    <w:rsid w:val="004112A2"/>
    <w:rsid w:val="00411712"/>
    <w:rsid w:val="004118E7"/>
    <w:rsid w:val="00412928"/>
    <w:rsid w:val="0041320B"/>
    <w:rsid w:val="00414274"/>
    <w:rsid w:val="004148F3"/>
    <w:rsid w:val="0041522F"/>
    <w:rsid w:val="00416548"/>
    <w:rsid w:val="00416768"/>
    <w:rsid w:val="00416C98"/>
    <w:rsid w:val="0042083B"/>
    <w:rsid w:val="00422BA5"/>
    <w:rsid w:val="00423E50"/>
    <w:rsid w:val="00426CAC"/>
    <w:rsid w:val="00427AE3"/>
    <w:rsid w:val="004312A4"/>
    <w:rsid w:val="00432418"/>
    <w:rsid w:val="004331BA"/>
    <w:rsid w:val="00433E8E"/>
    <w:rsid w:val="0043495C"/>
    <w:rsid w:val="004376DC"/>
    <w:rsid w:val="0043789B"/>
    <w:rsid w:val="004401C9"/>
    <w:rsid w:val="004405B2"/>
    <w:rsid w:val="00440BCD"/>
    <w:rsid w:val="00440C67"/>
    <w:rsid w:val="00441CEC"/>
    <w:rsid w:val="00441D59"/>
    <w:rsid w:val="00441DA4"/>
    <w:rsid w:val="00442351"/>
    <w:rsid w:val="00445225"/>
    <w:rsid w:val="004453B8"/>
    <w:rsid w:val="00446F06"/>
    <w:rsid w:val="0044715A"/>
    <w:rsid w:val="004479AA"/>
    <w:rsid w:val="00450191"/>
    <w:rsid w:val="00451CA4"/>
    <w:rsid w:val="00451E96"/>
    <w:rsid w:val="0045220C"/>
    <w:rsid w:val="00452228"/>
    <w:rsid w:val="00453427"/>
    <w:rsid w:val="0045351B"/>
    <w:rsid w:val="004536EF"/>
    <w:rsid w:val="00454D13"/>
    <w:rsid w:val="00455116"/>
    <w:rsid w:val="00456438"/>
    <w:rsid w:val="00462FF4"/>
    <w:rsid w:val="004636BC"/>
    <w:rsid w:val="00463EEE"/>
    <w:rsid w:val="00464F5E"/>
    <w:rsid w:val="00465EC6"/>
    <w:rsid w:val="004676A2"/>
    <w:rsid w:val="00467E5C"/>
    <w:rsid w:val="00470D18"/>
    <w:rsid w:val="00470FB2"/>
    <w:rsid w:val="00471443"/>
    <w:rsid w:val="00471DFD"/>
    <w:rsid w:val="00471E42"/>
    <w:rsid w:val="00473BF6"/>
    <w:rsid w:val="0047455E"/>
    <w:rsid w:val="00474B98"/>
    <w:rsid w:val="00474CA7"/>
    <w:rsid w:val="00475086"/>
    <w:rsid w:val="00475945"/>
    <w:rsid w:val="0047617D"/>
    <w:rsid w:val="004767D7"/>
    <w:rsid w:val="00476D6E"/>
    <w:rsid w:val="00477FFB"/>
    <w:rsid w:val="004816DF"/>
    <w:rsid w:val="0048229B"/>
    <w:rsid w:val="004823AE"/>
    <w:rsid w:val="00483169"/>
    <w:rsid w:val="004840F0"/>
    <w:rsid w:val="0048461C"/>
    <w:rsid w:val="00484C64"/>
    <w:rsid w:val="00485F15"/>
    <w:rsid w:val="0048668A"/>
    <w:rsid w:val="00486C05"/>
    <w:rsid w:val="004871D4"/>
    <w:rsid w:val="0048767B"/>
    <w:rsid w:val="00490127"/>
    <w:rsid w:val="0049021A"/>
    <w:rsid w:val="00490BC9"/>
    <w:rsid w:val="004910A5"/>
    <w:rsid w:val="0049159B"/>
    <w:rsid w:val="0049199F"/>
    <w:rsid w:val="004924EB"/>
    <w:rsid w:val="004927F9"/>
    <w:rsid w:val="004935E3"/>
    <w:rsid w:val="00493A59"/>
    <w:rsid w:val="00494019"/>
    <w:rsid w:val="0049417A"/>
    <w:rsid w:val="00495766"/>
    <w:rsid w:val="00495BAE"/>
    <w:rsid w:val="00496636"/>
    <w:rsid w:val="004A09A3"/>
    <w:rsid w:val="004A120F"/>
    <w:rsid w:val="004A1554"/>
    <w:rsid w:val="004A1713"/>
    <w:rsid w:val="004A17C5"/>
    <w:rsid w:val="004A18B7"/>
    <w:rsid w:val="004A2251"/>
    <w:rsid w:val="004A22D3"/>
    <w:rsid w:val="004A25CA"/>
    <w:rsid w:val="004A2635"/>
    <w:rsid w:val="004A2A5B"/>
    <w:rsid w:val="004A3E41"/>
    <w:rsid w:val="004A402A"/>
    <w:rsid w:val="004A55C6"/>
    <w:rsid w:val="004A5AB3"/>
    <w:rsid w:val="004A603C"/>
    <w:rsid w:val="004A7FA0"/>
    <w:rsid w:val="004B1422"/>
    <w:rsid w:val="004B1FAB"/>
    <w:rsid w:val="004B1FDD"/>
    <w:rsid w:val="004B268A"/>
    <w:rsid w:val="004B4554"/>
    <w:rsid w:val="004B46C2"/>
    <w:rsid w:val="004B4869"/>
    <w:rsid w:val="004B5290"/>
    <w:rsid w:val="004B5DD7"/>
    <w:rsid w:val="004B600A"/>
    <w:rsid w:val="004B6A81"/>
    <w:rsid w:val="004B71E0"/>
    <w:rsid w:val="004B750A"/>
    <w:rsid w:val="004B7FD7"/>
    <w:rsid w:val="004C0969"/>
    <w:rsid w:val="004C15F7"/>
    <w:rsid w:val="004C2F72"/>
    <w:rsid w:val="004C367E"/>
    <w:rsid w:val="004C3CAA"/>
    <w:rsid w:val="004C54C7"/>
    <w:rsid w:val="004C78D8"/>
    <w:rsid w:val="004D150C"/>
    <w:rsid w:val="004D1700"/>
    <w:rsid w:val="004D32B9"/>
    <w:rsid w:val="004D37E1"/>
    <w:rsid w:val="004D4A63"/>
    <w:rsid w:val="004D77AC"/>
    <w:rsid w:val="004D7AAB"/>
    <w:rsid w:val="004D7AAD"/>
    <w:rsid w:val="004D7CD6"/>
    <w:rsid w:val="004D7D95"/>
    <w:rsid w:val="004E0168"/>
    <w:rsid w:val="004E03A2"/>
    <w:rsid w:val="004E0BAC"/>
    <w:rsid w:val="004E0E80"/>
    <w:rsid w:val="004E2E79"/>
    <w:rsid w:val="004E3CA4"/>
    <w:rsid w:val="004E48DF"/>
    <w:rsid w:val="004E5951"/>
    <w:rsid w:val="004E5EF6"/>
    <w:rsid w:val="004F05F6"/>
    <w:rsid w:val="004F096C"/>
    <w:rsid w:val="004F144C"/>
    <w:rsid w:val="004F1625"/>
    <w:rsid w:val="004F19A4"/>
    <w:rsid w:val="004F2564"/>
    <w:rsid w:val="004F2FB8"/>
    <w:rsid w:val="004F38A7"/>
    <w:rsid w:val="004F4664"/>
    <w:rsid w:val="004F5B98"/>
    <w:rsid w:val="004F67C6"/>
    <w:rsid w:val="004F6F98"/>
    <w:rsid w:val="004F7358"/>
    <w:rsid w:val="005024DE"/>
    <w:rsid w:val="00503156"/>
    <w:rsid w:val="005031B1"/>
    <w:rsid w:val="00503BCA"/>
    <w:rsid w:val="0050444C"/>
    <w:rsid w:val="00504516"/>
    <w:rsid w:val="00504648"/>
    <w:rsid w:val="00505A34"/>
    <w:rsid w:val="0050730B"/>
    <w:rsid w:val="005113B6"/>
    <w:rsid w:val="00511726"/>
    <w:rsid w:val="00511977"/>
    <w:rsid w:val="0051224A"/>
    <w:rsid w:val="00512696"/>
    <w:rsid w:val="005131CA"/>
    <w:rsid w:val="00513D0D"/>
    <w:rsid w:val="00514147"/>
    <w:rsid w:val="005147D1"/>
    <w:rsid w:val="00515082"/>
    <w:rsid w:val="00515D66"/>
    <w:rsid w:val="005169AE"/>
    <w:rsid w:val="00516F90"/>
    <w:rsid w:val="00517564"/>
    <w:rsid w:val="00517934"/>
    <w:rsid w:val="00517AEC"/>
    <w:rsid w:val="00517CD4"/>
    <w:rsid w:val="00517FAF"/>
    <w:rsid w:val="0052046B"/>
    <w:rsid w:val="00520884"/>
    <w:rsid w:val="005222D4"/>
    <w:rsid w:val="005233D9"/>
    <w:rsid w:val="00523A0F"/>
    <w:rsid w:val="00523DBD"/>
    <w:rsid w:val="00524009"/>
    <w:rsid w:val="00525A07"/>
    <w:rsid w:val="00525C90"/>
    <w:rsid w:val="00530065"/>
    <w:rsid w:val="00530983"/>
    <w:rsid w:val="00530D48"/>
    <w:rsid w:val="00531B3F"/>
    <w:rsid w:val="00532719"/>
    <w:rsid w:val="0053457C"/>
    <w:rsid w:val="00535E21"/>
    <w:rsid w:val="00536610"/>
    <w:rsid w:val="00536C50"/>
    <w:rsid w:val="00536F56"/>
    <w:rsid w:val="00536FB9"/>
    <w:rsid w:val="0053778C"/>
    <w:rsid w:val="00541E52"/>
    <w:rsid w:val="00543D97"/>
    <w:rsid w:val="00544539"/>
    <w:rsid w:val="00544836"/>
    <w:rsid w:val="005457F1"/>
    <w:rsid w:val="0054723A"/>
    <w:rsid w:val="00547A5E"/>
    <w:rsid w:val="00547B64"/>
    <w:rsid w:val="0055066E"/>
    <w:rsid w:val="00550851"/>
    <w:rsid w:val="00550880"/>
    <w:rsid w:val="00550A05"/>
    <w:rsid w:val="00550C62"/>
    <w:rsid w:val="0055139D"/>
    <w:rsid w:val="005513EB"/>
    <w:rsid w:val="0055179D"/>
    <w:rsid w:val="005526DB"/>
    <w:rsid w:val="00554AEC"/>
    <w:rsid w:val="0055534B"/>
    <w:rsid w:val="00556D9D"/>
    <w:rsid w:val="005603F4"/>
    <w:rsid w:val="00560543"/>
    <w:rsid w:val="00561D94"/>
    <w:rsid w:val="005629A2"/>
    <w:rsid w:val="00564125"/>
    <w:rsid w:val="005653FB"/>
    <w:rsid w:val="00565EC7"/>
    <w:rsid w:val="00567568"/>
    <w:rsid w:val="0057035A"/>
    <w:rsid w:val="005705B7"/>
    <w:rsid w:val="00570A4F"/>
    <w:rsid w:val="00570B3F"/>
    <w:rsid w:val="00571068"/>
    <w:rsid w:val="00572664"/>
    <w:rsid w:val="00573212"/>
    <w:rsid w:val="00573333"/>
    <w:rsid w:val="00573866"/>
    <w:rsid w:val="005739BB"/>
    <w:rsid w:val="00580629"/>
    <w:rsid w:val="00580797"/>
    <w:rsid w:val="005815BE"/>
    <w:rsid w:val="0058172F"/>
    <w:rsid w:val="00581FF9"/>
    <w:rsid w:val="0058257F"/>
    <w:rsid w:val="0058296B"/>
    <w:rsid w:val="0058361A"/>
    <w:rsid w:val="00584DB1"/>
    <w:rsid w:val="005866C1"/>
    <w:rsid w:val="00586ABD"/>
    <w:rsid w:val="005870DC"/>
    <w:rsid w:val="005871CE"/>
    <w:rsid w:val="00590025"/>
    <w:rsid w:val="00590233"/>
    <w:rsid w:val="0059077C"/>
    <w:rsid w:val="005911F2"/>
    <w:rsid w:val="00594932"/>
    <w:rsid w:val="00594B37"/>
    <w:rsid w:val="00595F95"/>
    <w:rsid w:val="00597984"/>
    <w:rsid w:val="005A029F"/>
    <w:rsid w:val="005A0920"/>
    <w:rsid w:val="005A0AE4"/>
    <w:rsid w:val="005A1029"/>
    <w:rsid w:val="005A1A27"/>
    <w:rsid w:val="005A20AE"/>
    <w:rsid w:val="005A2E86"/>
    <w:rsid w:val="005A3CE9"/>
    <w:rsid w:val="005A4798"/>
    <w:rsid w:val="005A4AB8"/>
    <w:rsid w:val="005A584A"/>
    <w:rsid w:val="005A588D"/>
    <w:rsid w:val="005A5B31"/>
    <w:rsid w:val="005A6AFD"/>
    <w:rsid w:val="005A6E84"/>
    <w:rsid w:val="005A7893"/>
    <w:rsid w:val="005A78C7"/>
    <w:rsid w:val="005B001F"/>
    <w:rsid w:val="005B0A0E"/>
    <w:rsid w:val="005B0A36"/>
    <w:rsid w:val="005B1123"/>
    <w:rsid w:val="005B1625"/>
    <w:rsid w:val="005B1658"/>
    <w:rsid w:val="005B2EFB"/>
    <w:rsid w:val="005B3063"/>
    <w:rsid w:val="005B3818"/>
    <w:rsid w:val="005B4AAF"/>
    <w:rsid w:val="005B4F15"/>
    <w:rsid w:val="005B5EC9"/>
    <w:rsid w:val="005B62E1"/>
    <w:rsid w:val="005B6B40"/>
    <w:rsid w:val="005B7140"/>
    <w:rsid w:val="005B7F7D"/>
    <w:rsid w:val="005C0884"/>
    <w:rsid w:val="005C11E8"/>
    <w:rsid w:val="005C1CAE"/>
    <w:rsid w:val="005C2C94"/>
    <w:rsid w:val="005C3DC1"/>
    <w:rsid w:val="005C4622"/>
    <w:rsid w:val="005C5033"/>
    <w:rsid w:val="005C560B"/>
    <w:rsid w:val="005C6018"/>
    <w:rsid w:val="005C6564"/>
    <w:rsid w:val="005C6AC4"/>
    <w:rsid w:val="005D4B52"/>
    <w:rsid w:val="005D6E9F"/>
    <w:rsid w:val="005D6EB3"/>
    <w:rsid w:val="005E0500"/>
    <w:rsid w:val="005E1785"/>
    <w:rsid w:val="005E1BB2"/>
    <w:rsid w:val="005E2335"/>
    <w:rsid w:val="005E270C"/>
    <w:rsid w:val="005E3115"/>
    <w:rsid w:val="005E38FF"/>
    <w:rsid w:val="005E3AAC"/>
    <w:rsid w:val="005E41AD"/>
    <w:rsid w:val="005E4E49"/>
    <w:rsid w:val="005E51B2"/>
    <w:rsid w:val="005E5B92"/>
    <w:rsid w:val="005E68D4"/>
    <w:rsid w:val="005E73B1"/>
    <w:rsid w:val="005E7439"/>
    <w:rsid w:val="005F0EB7"/>
    <w:rsid w:val="005F3B62"/>
    <w:rsid w:val="005F5AC1"/>
    <w:rsid w:val="005F6AAC"/>
    <w:rsid w:val="005F7203"/>
    <w:rsid w:val="005F748D"/>
    <w:rsid w:val="00600893"/>
    <w:rsid w:val="00600D09"/>
    <w:rsid w:val="00601DD1"/>
    <w:rsid w:val="00602632"/>
    <w:rsid w:val="006038BD"/>
    <w:rsid w:val="00604260"/>
    <w:rsid w:val="006047A3"/>
    <w:rsid w:val="00604FB6"/>
    <w:rsid w:val="00606443"/>
    <w:rsid w:val="006074B2"/>
    <w:rsid w:val="00610AB7"/>
    <w:rsid w:val="00611D7F"/>
    <w:rsid w:val="00613B39"/>
    <w:rsid w:val="00614E25"/>
    <w:rsid w:val="00616AD1"/>
    <w:rsid w:val="00616E84"/>
    <w:rsid w:val="00617154"/>
    <w:rsid w:val="0061765A"/>
    <w:rsid w:val="0061766A"/>
    <w:rsid w:val="00617885"/>
    <w:rsid w:val="00617DEE"/>
    <w:rsid w:val="00622F21"/>
    <w:rsid w:val="006231CB"/>
    <w:rsid w:val="0062372C"/>
    <w:rsid w:val="0062383B"/>
    <w:rsid w:val="00623F38"/>
    <w:rsid w:val="006240CC"/>
    <w:rsid w:val="00625D65"/>
    <w:rsid w:val="006274B2"/>
    <w:rsid w:val="00631C00"/>
    <w:rsid w:val="00631FD5"/>
    <w:rsid w:val="00632266"/>
    <w:rsid w:val="00634765"/>
    <w:rsid w:val="00635CCB"/>
    <w:rsid w:val="00637076"/>
    <w:rsid w:val="006378D9"/>
    <w:rsid w:val="00637F7C"/>
    <w:rsid w:val="00640025"/>
    <w:rsid w:val="00640350"/>
    <w:rsid w:val="006411CD"/>
    <w:rsid w:val="00641599"/>
    <w:rsid w:val="00641954"/>
    <w:rsid w:val="00641DA4"/>
    <w:rsid w:val="00641FED"/>
    <w:rsid w:val="00642D9C"/>
    <w:rsid w:val="00642E19"/>
    <w:rsid w:val="00643029"/>
    <w:rsid w:val="00643238"/>
    <w:rsid w:val="006436E6"/>
    <w:rsid w:val="00643805"/>
    <w:rsid w:val="0064423E"/>
    <w:rsid w:val="00645126"/>
    <w:rsid w:val="0064532C"/>
    <w:rsid w:val="006457D2"/>
    <w:rsid w:val="006458ED"/>
    <w:rsid w:val="006464A4"/>
    <w:rsid w:val="00647DBF"/>
    <w:rsid w:val="00647F0F"/>
    <w:rsid w:val="00652F16"/>
    <w:rsid w:val="0065502C"/>
    <w:rsid w:val="0065521B"/>
    <w:rsid w:val="00655841"/>
    <w:rsid w:val="00656195"/>
    <w:rsid w:val="00656196"/>
    <w:rsid w:val="00656A6B"/>
    <w:rsid w:val="006571AD"/>
    <w:rsid w:val="0065761B"/>
    <w:rsid w:val="0065783B"/>
    <w:rsid w:val="006609F5"/>
    <w:rsid w:val="00661598"/>
    <w:rsid w:val="00662618"/>
    <w:rsid w:val="00663B4B"/>
    <w:rsid w:val="00663DF6"/>
    <w:rsid w:val="00664470"/>
    <w:rsid w:val="0066575E"/>
    <w:rsid w:val="006665FD"/>
    <w:rsid w:val="00666907"/>
    <w:rsid w:val="00670021"/>
    <w:rsid w:val="006722BC"/>
    <w:rsid w:val="00672541"/>
    <w:rsid w:val="0067311C"/>
    <w:rsid w:val="006735B7"/>
    <w:rsid w:val="00674102"/>
    <w:rsid w:val="006741B6"/>
    <w:rsid w:val="006743E3"/>
    <w:rsid w:val="00674D05"/>
    <w:rsid w:val="00675E68"/>
    <w:rsid w:val="00676828"/>
    <w:rsid w:val="006768A9"/>
    <w:rsid w:val="00676BF1"/>
    <w:rsid w:val="006772BD"/>
    <w:rsid w:val="00677932"/>
    <w:rsid w:val="00680023"/>
    <w:rsid w:val="00680B8B"/>
    <w:rsid w:val="00681A78"/>
    <w:rsid w:val="00682016"/>
    <w:rsid w:val="00682226"/>
    <w:rsid w:val="006825B7"/>
    <w:rsid w:val="00684BE9"/>
    <w:rsid w:val="00685149"/>
    <w:rsid w:val="00685551"/>
    <w:rsid w:val="00686472"/>
    <w:rsid w:val="00686A25"/>
    <w:rsid w:val="006909A2"/>
    <w:rsid w:val="00690A72"/>
    <w:rsid w:val="00691223"/>
    <w:rsid w:val="0069161E"/>
    <w:rsid w:val="00694B48"/>
    <w:rsid w:val="00695397"/>
    <w:rsid w:val="00696F59"/>
    <w:rsid w:val="006A011B"/>
    <w:rsid w:val="006A1660"/>
    <w:rsid w:val="006A1CA2"/>
    <w:rsid w:val="006A2351"/>
    <w:rsid w:val="006A246E"/>
    <w:rsid w:val="006A2606"/>
    <w:rsid w:val="006A3923"/>
    <w:rsid w:val="006A4429"/>
    <w:rsid w:val="006A7329"/>
    <w:rsid w:val="006B08A5"/>
    <w:rsid w:val="006B1F44"/>
    <w:rsid w:val="006B2143"/>
    <w:rsid w:val="006B268A"/>
    <w:rsid w:val="006B3590"/>
    <w:rsid w:val="006B4B11"/>
    <w:rsid w:val="006B4F7C"/>
    <w:rsid w:val="006B5AA6"/>
    <w:rsid w:val="006B642C"/>
    <w:rsid w:val="006B75D9"/>
    <w:rsid w:val="006B79BF"/>
    <w:rsid w:val="006C33F7"/>
    <w:rsid w:val="006C4F1B"/>
    <w:rsid w:val="006C4F77"/>
    <w:rsid w:val="006C5144"/>
    <w:rsid w:val="006C5879"/>
    <w:rsid w:val="006C5989"/>
    <w:rsid w:val="006C5E49"/>
    <w:rsid w:val="006C639B"/>
    <w:rsid w:val="006C6BB8"/>
    <w:rsid w:val="006C72E3"/>
    <w:rsid w:val="006C7C2E"/>
    <w:rsid w:val="006D037D"/>
    <w:rsid w:val="006D0639"/>
    <w:rsid w:val="006D0D12"/>
    <w:rsid w:val="006D2214"/>
    <w:rsid w:val="006D2E72"/>
    <w:rsid w:val="006D3209"/>
    <w:rsid w:val="006D3AE5"/>
    <w:rsid w:val="006D4DE8"/>
    <w:rsid w:val="006D50E6"/>
    <w:rsid w:val="006D695B"/>
    <w:rsid w:val="006E1764"/>
    <w:rsid w:val="006E1BD4"/>
    <w:rsid w:val="006E27EF"/>
    <w:rsid w:val="006E2B7C"/>
    <w:rsid w:val="006E414F"/>
    <w:rsid w:val="006E4994"/>
    <w:rsid w:val="006E531C"/>
    <w:rsid w:val="006E624A"/>
    <w:rsid w:val="006E688E"/>
    <w:rsid w:val="006E6BF7"/>
    <w:rsid w:val="006F0163"/>
    <w:rsid w:val="006F0A8C"/>
    <w:rsid w:val="006F0F02"/>
    <w:rsid w:val="006F193C"/>
    <w:rsid w:val="006F2613"/>
    <w:rsid w:val="006F3930"/>
    <w:rsid w:val="006F4346"/>
    <w:rsid w:val="006F50FA"/>
    <w:rsid w:val="006F7C72"/>
    <w:rsid w:val="00700C5F"/>
    <w:rsid w:val="007024E4"/>
    <w:rsid w:val="007036F7"/>
    <w:rsid w:val="007037F6"/>
    <w:rsid w:val="00703A30"/>
    <w:rsid w:val="007047F9"/>
    <w:rsid w:val="007054E3"/>
    <w:rsid w:val="007071C6"/>
    <w:rsid w:val="0071064C"/>
    <w:rsid w:val="007112C8"/>
    <w:rsid w:val="00711BB1"/>
    <w:rsid w:val="00711FD1"/>
    <w:rsid w:val="0071250D"/>
    <w:rsid w:val="00714C7E"/>
    <w:rsid w:val="00715243"/>
    <w:rsid w:val="0071575B"/>
    <w:rsid w:val="00717468"/>
    <w:rsid w:val="00720478"/>
    <w:rsid w:val="00722876"/>
    <w:rsid w:val="007229EB"/>
    <w:rsid w:val="0072337A"/>
    <w:rsid w:val="00723E19"/>
    <w:rsid w:val="00723F5E"/>
    <w:rsid w:val="00724480"/>
    <w:rsid w:val="00724D14"/>
    <w:rsid w:val="00724F14"/>
    <w:rsid w:val="007258DB"/>
    <w:rsid w:val="00725CA6"/>
    <w:rsid w:val="0072664C"/>
    <w:rsid w:val="00726961"/>
    <w:rsid w:val="00726CDE"/>
    <w:rsid w:val="0072734D"/>
    <w:rsid w:val="00727360"/>
    <w:rsid w:val="00730483"/>
    <w:rsid w:val="007304B1"/>
    <w:rsid w:val="007304BB"/>
    <w:rsid w:val="00730C13"/>
    <w:rsid w:val="00731203"/>
    <w:rsid w:val="0073124E"/>
    <w:rsid w:val="00731892"/>
    <w:rsid w:val="00731F89"/>
    <w:rsid w:val="0073262B"/>
    <w:rsid w:val="00732D96"/>
    <w:rsid w:val="007339A5"/>
    <w:rsid w:val="00733DDA"/>
    <w:rsid w:val="007349F3"/>
    <w:rsid w:val="00734D01"/>
    <w:rsid w:val="00735422"/>
    <w:rsid w:val="00735804"/>
    <w:rsid w:val="00735860"/>
    <w:rsid w:val="0073707D"/>
    <w:rsid w:val="00737E39"/>
    <w:rsid w:val="00737FFA"/>
    <w:rsid w:val="0074046A"/>
    <w:rsid w:val="00740E89"/>
    <w:rsid w:val="00740FF4"/>
    <w:rsid w:val="00741601"/>
    <w:rsid w:val="00742E19"/>
    <w:rsid w:val="007435A8"/>
    <w:rsid w:val="00743B0D"/>
    <w:rsid w:val="00744D0C"/>
    <w:rsid w:val="00744E76"/>
    <w:rsid w:val="00744F2A"/>
    <w:rsid w:val="007458AA"/>
    <w:rsid w:val="00747643"/>
    <w:rsid w:val="007479EC"/>
    <w:rsid w:val="00750F64"/>
    <w:rsid w:val="00751EBD"/>
    <w:rsid w:val="00752214"/>
    <w:rsid w:val="0075223F"/>
    <w:rsid w:val="00752975"/>
    <w:rsid w:val="00752AD4"/>
    <w:rsid w:val="00753CE9"/>
    <w:rsid w:val="007545C8"/>
    <w:rsid w:val="0075487A"/>
    <w:rsid w:val="00754EE4"/>
    <w:rsid w:val="00755750"/>
    <w:rsid w:val="007568B5"/>
    <w:rsid w:val="00756C72"/>
    <w:rsid w:val="00760554"/>
    <w:rsid w:val="00760F3E"/>
    <w:rsid w:val="00761528"/>
    <w:rsid w:val="007616FA"/>
    <w:rsid w:val="00761B17"/>
    <w:rsid w:val="00761F12"/>
    <w:rsid w:val="0076206E"/>
    <w:rsid w:val="00763B4C"/>
    <w:rsid w:val="00763FF1"/>
    <w:rsid w:val="00764099"/>
    <w:rsid w:val="00764E8A"/>
    <w:rsid w:val="00764F69"/>
    <w:rsid w:val="007653C8"/>
    <w:rsid w:val="00765CD0"/>
    <w:rsid w:val="00766170"/>
    <w:rsid w:val="0076683F"/>
    <w:rsid w:val="00766A90"/>
    <w:rsid w:val="00767C1F"/>
    <w:rsid w:val="007704F1"/>
    <w:rsid w:val="0077133C"/>
    <w:rsid w:val="0077138C"/>
    <w:rsid w:val="00771B7B"/>
    <w:rsid w:val="00774A0B"/>
    <w:rsid w:val="007755D7"/>
    <w:rsid w:val="00775C2D"/>
    <w:rsid w:val="00776818"/>
    <w:rsid w:val="007779AE"/>
    <w:rsid w:val="007806CA"/>
    <w:rsid w:val="00780A71"/>
    <w:rsid w:val="00780B0D"/>
    <w:rsid w:val="007822ED"/>
    <w:rsid w:val="00782D4B"/>
    <w:rsid w:val="00783ACD"/>
    <w:rsid w:val="0078405D"/>
    <w:rsid w:val="00785F2B"/>
    <w:rsid w:val="00786407"/>
    <w:rsid w:val="00786628"/>
    <w:rsid w:val="00786ED8"/>
    <w:rsid w:val="00787E55"/>
    <w:rsid w:val="007901A6"/>
    <w:rsid w:val="00790CCE"/>
    <w:rsid w:val="00792DE2"/>
    <w:rsid w:val="00793E20"/>
    <w:rsid w:val="00794255"/>
    <w:rsid w:val="00795434"/>
    <w:rsid w:val="00795819"/>
    <w:rsid w:val="007959A4"/>
    <w:rsid w:val="00795F32"/>
    <w:rsid w:val="007965BB"/>
    <w:rsid w:val="00796970"/>
    <w:rsid w:val="007969F1"/>
    <w:rsid w:val="007975AA"/>
    <w:rsid w:val="007A00B6"/>
    <w:rsid w:val="007A0BD3"/>
    <w:rsid w:val="007A1BD3"/>
    <w:rsid w:val="007A2AEC"/>
    <w:rsid w:val="007A3434"/>
    <w:rsid w:val="007A36D3"/>
    <w:rsid w:val="007A3CAF"/>
    <w:rsid w:val="007A45D6"/>
    <w:rsid w:val="007A5F6C"/>
    <w:rsid w:val="007A685C"/>
    <w:rsid w:val="007A6A8F"/>
    <w:rsid w:val="007A7576"/>
    <w:rsid w:val="007A7AF2"/>
    <w:rsid w:val="007B0516"/>
    <w:rsid w:val="007B0749"/>
    <w:rsid w:val="007B0B80"/>
    <w:rsid w:val="007B0C17"/>
    <w:rsid w:val="007B1C83"/>
    <w:rsid w:val="007B1CA8"/>
    <w:rsid w:val="007B4AE4"/>
    <w:rsid w:val="007B4C0D"/>
    <w:rsid w:val="007B7D9C"/>
    <w:rsid w:val="007C07C8"/>
    <w:rsid w:val="007C180C"/>
    <w:rsid w:val="007C2382"/>
    <w:rsid w:val="007C29E4"/>
    <w:rsid w:val="007C3BE8"/>
    <w:rsid w:val="007C4599"/>
    <w:rsid w:val="007C4D8D"/>
    <w:rsid w:val="007C5685"/>
    <w:rsid w:val="007C6063"/>
    <w:rsid w:val="007D02DA"/>
    <w:rsid w:val="007D041A"/>
    <w:rsid w:val="007D083F"/>
    <w:rsid w:val="007D0B48"/>
    <w:rsid w:val="007D1417"/>
    <w:rsid w:val="007D1744"/>
    <w:rsid w:val="007D255A"/>
    <w:rsid w:val="007D25C3"/>
    <w:rsid w:val="007D39BC"/>
    <w:rsid w:val="007D526B"/>
    <w:rsid w:val="007D5E5A"/>
    <w:rsid w:val="007E0384"/>
    <w:rsid w:val="007E170A"/>
    <w:rsid w:val="007E1DDD"/>
    <w:rsid w:val="007E22F9"/>
    <w:rsid w:val="007E2408"/>
    <w:rsid w:val="007E333B"/>
    <w:rsid w:val="007E39F8"/>
    <w:rsid w:val="007E4A63"/>
    <w:rsid w:val="007E66B4"/>
    <w:rsid w:val="007E76A0"/>
    <w:rsid w:val="007E7FD5"/>
    <w:rsid w:val="007F004D"/>
    <w:rsid w:val="007F0104"/>
    <w:rsid w:val="007F01D6"/>
    <w:rsid w:val="007F1894"/>
    <w:rsid w:val="007F2A7B"/>
    <w:rsid w:val="007F3D3D"/>
    <w:rsid w:val="007F41B5"/>
    <w:rsid w:val="007F4C8D"/>
    <w:rsid w:val="007F5754"/>
    <w:rsid w:val="007F58E6"/>
    <w:rsid w:val="007F6DA7"/>
    <w:rsid w:val="007F7D6A"/>
    <w:rsid w:val="0080019E"/>
    <w:rsid w:val="00800376"/>
    <w:rsid w:val="00801029"/>
    <w:rsid w:val="00802B53"/>
    <w:rsid w:val="0080374E"/>
    <w:rsid w:val="00806304"/>
    <w:rsid w:val="0080636B"/>
    <w:rsid w:val="008066AE"/>
    <w:rsid w:val="0080677C"/>
    <w:rsid w:val="00806A2F"/>
    <w:rsid w:val="00807EEE"/>
    <w:rsid w:val="0081059E"/>
    <w:rsid w:val="00810713"/>
    <w:rsid w:val="00810933"/>
    <w:rsid w:val="00810D97"/>
    <w:rsid w:val="00810F73"/>
    <w:rsid w:val="0081535B"/>
    <w:rsid w:val="00815582"/>
    <w:rsid w:val="00815EB0"/>
    <w:rsid w:val="00815F4F"/>
    <w:rsid w:val="00816A88"/>
    <w:rsid w:val="00820C51"/>
    <w:rsid w:val="008222DE"/>
    <w:rsid w:val="008228E5"/>
    <w:rsid w:val="00822E93"/>
    <w:rsid w:val="0082341B"/>
    <w:rsid w:val="00823BE5"/>
    <w:rsid w:val="0082470E"/>
    <w:rsid w:val="00825BFE"/>
    <w:rsid w:val="0082768C"/>
    <w:rsid w:val="008303A0"/>
    <w:rsid w:val="00830B71"/>
    <w:rsid w:val="00834045"/>
    <w:rsid w:val="00834C99"/>
    <w:rsid w:val="00836330"/>
    <w:rsid w:val="00836CF0"/>
    <w:rsid w:val="00836F73"/>
    <w:rsid w:val="0083764E"/>
    <w:rsid w:val="00842D24"/>
    <w:rsid w:val="008432D0"/>
    <w:rsid w:val="0084371D"/>
    <w:rsid w:val="00843B6A"/>
    <w:rsid w:val="0084428A"/>
    <w:rsid w:val="00845787"/>
    <w:rsid w:val="00845C44"/>
    <w:rsid w:val="00846738"/>
    <w:rsid w:val="008471BD"/>
    <w:rsid w:val="0084782A"/>
    <w:rsid w:val="00850940"/>
    <w:rsid w:val="00850C7B"/>
    <w:rsid w:val="00850D31"/>
    <w:rsid w:val="008513CC"/>
    <w:rsid w:val="008514A3"/>
    <w:rsid w:val="00852D7E"/>
    <w:rsid w:val="00853AFF"/>
    <w:rsid w:val="00853C94"/>
    <w:rsid w:val="00854C87"/>
    <w:rsid w:val="008562BC"/>
    <w:rsid w:val="008565E3"/>
    <w:rsid w:val="00856B4E"/>
    <w:rsid w:val="00857E44"/>
    <w:rsid w:val="0086077D"/>
    <w:rsid w:val="008607CE"/>
    <w:rsid w:val="008619D0"/>
    <w:rsid w:val="00861D1D"/>
    <w:rsid w:val="0086249A"/>
    <w:rsid w:val="008627E4"/>
    <w:rsid w:val="00864FC5"/>
    <w:rsid w:val="00865415"/>
    <w:rsid w:val="00866710"/>
    <w:rsid w:val="00867A5A"/>
    <w:rsid w:val="00867B0C"/>
    <w:rsid w:val="0087030D"/>
    <w:rsid w:val="00870A54"/>
    <w:rsid w:val="00870B19"/>
    <w:rsid w:val="00871ADD"/>
    <w:rsid w:val="008755DF"/>
    <w:rsid w:val="008758FA"/>
    <w:rsid w:val="0087675D"/>
    <w:rsid w:val="00877837"/>
    <w:rsid w:val="008806ED"/>
    <w:rsid w:val="00880C56"/>
    <w:rsid w:val="008813DE"/>
    <w:rsid w:val="0088242E"/>
    <w:rsid w:val="008826F1"/>
    <w:rsid w:val="008834CC"/>
    <w:rsid w:val="00883C8E"/>
    <w:rsid w:val="00884497"/>
    <w:rsid w:val="008854F8"/>
    <w:rsid w:val="00886B73"/>
    <w:rsid w:val="00886F2A"/>
    <w:rsid w:val="00891D24"/>
    <w:rsid w:val="00892596"/>
    <w:rsid w:val="008932B6"/>
    <w:rsid w:val="00893A6E"/>
    <w:rsid w:val="0089417E"/>
    <w:rsid w:val="00894D2A"/>
    <w:rsid w:val="00895170"/>
    <w:rsid w:val="00896536"/>
    <w:rsid w:val="008966E8"/>
    <w:rsid w:val="00897046"/>
    <w:rsid w:val="008978D4"/>
    <w:rsid w:val="00897A96"/>
    <w:rsid w:val="008A0DBE"/>
    <w:rsid w:val="008A2967"/>
    <w:rsid w:val="008A30DB"/>
    <w:rsid w:val="008A3475"/>
    <w:rsid w:val="008A3A26"/>
    <w:rsid w:val="008A3C45"/>
    <w:rsid w:val="008A4CEE"/>
    <w:rsid w:val="008A511C"/>
    <w:rsid w:val="008A5569"/>
    <w:rsid w:val="008A5A09"/>
    <w:rsid w:val="008A5D14"/>
    <w:rsid w:val="008A6CDC"/>
    <w:rsid w:val="008A70D3"/>
    <w:rsid w:val="008A7F3B"/>
    <w:rsid w:val="008B015F"/>
    <w:rsid w:val="008B0BEB"/>
    <w:rsid w:val="008B105E"/>
    <w:rsid w:val="008B275A"/>
    <w:rsid w:val="008B375B"/>
    <w:rsid w:val="008B3EC9"/>
    <w:rsid w:val="008B40D9"/>
    <w:rsid w:val="008B4141"/>
    <w:rsid w:val="008B4A93"/>
    <w:rsid w:val="008C10CB"/>
    <w:rsid w:val="008C313E"/>
    <w:rsid w:val="008C3692"/>
    <w:rsid w:val="008C702D"/>
    <w:rsid w:val="008C706F"/>
    <w:rsid w:val="008C77C8"/>
    <w:rsid w:val="008D0517"/>
    <w:rsid w:val="008D241D"/>
    <w:rsid w:val="008D27F0"/>
    <w:rsid w:val="008D42DA"/>
    <w:rsid w:val="008D4316"/>
    <w:rsid w:val="008D4330"/>
    <w:rsid w:val="008D4E82"/>
    <w:rsid w:val="008D6162"/>
    <w:rsid w:val="008D7741"/>
    <w:rsid w:val="008D7ACF"/>
    <w:rsid w:val="008D7B2A"/>
    <w:rsid w:val="008D7BAA"/>
    <w:rsid w:val="008D7EBA"/>
    <w:rsid w:val="008E0A6B"/>
    <w:rsid w:val="008E0EB6"/>
    <w:rsid w:val="008E1DF0"/>
    <w:rsid w:val="008E30B1"/>
    <w:rsid w:val="008E42BA"/>
    <w:rsid w:val="008E4592"/>
    <w:rsid w:val="008E4FB9"/>
    <w:rsid w:val="008E5DAB"/>
    <w:rsid w:val="008E601C"/>
    <w:rsid w:val="008E6A02"/>
    <w:rsid w:val="008F0F84"/>
    <w:rsid w:val="008F10AF"/>
    <w:rsid w:val="008F3305"/>
    <w:rsid w:val="008F34ED"/>
    <w:rsid w:val="008F38EB"/>
    <w:rsid w:val="008F468C"/>
    <w:rsid w:val="008F5370"/>
    <w:rsid w:val="008F6533"/>
    <w:rsid w:val="008F6B7F"/>
    <w:rsid w:val="00901016"/>
    <w:rsid w:val="00901CB0"/>
    <w:rsid w:val="00901D02"/>
    <w:rsid w:val="00902070"/>
    <w:rsid w:val="00902464"/>
    <w:rsid w:val="009027CD"/>
    <w:rsid w:val="00902F2E"/>
    <w:rsid w:val="00904206"/>
    <w:rsid w:val="00904AB7"/>
    <w:rsid w:val="00906DFB"/>
    <w:rsid w:val="00907E2E"/>
    <w:rsid w:val="00910194"/>
    <w:rsid w:val="00913814"/>
    <w:rsid w:val="0091407A"/>
    <w:rsid w:val="00914650"/>
    <w:rsid w:val="0091565B"/>
    <w:rsid w:val="009159A4"/>
    <w:rsid w:val="00915BF6"/>
    <w:rsid w:val="00915C5C"/>
    <w:rsid w:val="00916E15"/>
    <w:rsid w:val="00917744"/>
    <w:rsid w:val="00917800"/>
    <w:rsid w:val="009210EA"/>
    <w:rsid w:val="009229E8"/>
    <w:rsid w:val="009258ED"/>
    <w:rsid w:val="009272D6"/>
    <w:rsid w:val="009300DD"/>
    <w:rsid w:val="0093140F"/>
    <w:rsid w:val="00931F53"/>
    <w:rsid w:val="00932326"/>
    <w:rsid w:val="00932374"/>
    <w:rsid w:val="009344DC"/>
    <w:rsid w:val="00935D00"/>
    <w:rsid w:val="00936A63"/>
    <w:rsid w:val="009417B4"/>
    <w:rsid w:val="00941D6B"/>
    <w:rsid w:val="009432F9"/>
    <w:rsid w:val="00943421"/>
    <w:rsid w:val="00943BBF"/>
    <w:rsid w:val="00945D35"/>
    <w:rsid w:val="00946936"/>
    <w:rsid w:val="00946D16"/>
    <w:rsid w:val="00950C1A"/>
    <w:rsid w:val="00955114"/>
    <w:rsid w:val="00955CBE"/>
    <w:rsid w:val="00956E31"/>
    <w:rsid w:val="00957AD0"/>
    <w:rsid w:val="00960B23"/>
    <w:rsid w:val="00960CC4"/>
    <w:rsid w:val="00961B09"/>
    <w:rsid w:val="009621D6"/>
    <w:rsid w:val="009625FD"/>
    <w:rsid w:val="00962645"/>
    <w:rsid w:val="009631EE"/>
    <w:rsid w:val="00963BF3"/>
    <w:rsid w:val="00963EAF"/>
    <w:rsid w:val="00964A91"/>
    <w:rsid w:val="00964E60"/>
    <w:rsid w:val="009651BC"/>
    <w:rsid w:val="0096607D"/>
    <w:rsid w:val="00967418"/>
    <w:rsid w:val="0097058B"/>
    <w:rsid w:val="00971411"/>
    <w:rsid w:val="0097161A"/>
    <w:rsid w:val="00972173"/>
    <w:rsid w:val="00972594"/>
    <w:rsid w:val="00972B70"/>
    <w:rsid w:val="009730DB"/>
    <w:rsid w:val="00975CA9"/>
    <w:rsid w:val="009765B9"/>
    <w:rsid w:val="00977E88"/>
    <w:rsid w:val="00980794"/>
    <w:rsid w:val="009808C1"/>
    <w:rsid w:val="00981188"/>
    <w:rsid w:val="009842FD"/>
    <w:rsid w:val="009843C4"/>
    <w:rsid w:val="00985A62"/>
    <w:rsid w:val="00986434"/>
    <w:rsid w:val="00986565"/>
    <w:rsid w:val="00986764"/>
    <w:rsid w:val="00987695"/>
    <w:rsid w:val="00987DDE"/>
    <w:rsid w:val="00987EC7"/>
    <w:rsid w:val="00990142"/>
    <w:rsid w:val="00990DEF"/>
    <w:rsid w:val="00990F64"/>
    <w:rsid w:val="00991B4F"/>
    <w:rsid w:val="00992714"/>
    <w:rsid w:val="00992BDE"/>
    <w:rsid w:val="00992EC1"/>
    <w:rsid w:val="009932DB"/>
    <w:rsid w:val="00994821"/>
    <w:rsid w:val="00994A84"/>
    <w:rsid w:val="00995498"/>
    <w:rsid w:val="00995C15"/>
    <w:rsid w:val="00996A25"/>
    <w:rsid w:val="0099790B"/>
    <w:rsid w:val="009A103B"/>
    <w:rsid w:val="009A20C6"/>
    <w:rsid w:val="009A2436"/>
    <w:rsid w:val="009A3EA6"/>
    <w:rsid w:val="009A46D3"/>
    <w:rsid w:val="009A5D22"/>
    <w:rsid w:val="009A5FA0"/>
    <w:rsid w:val="009A7CD2"/>
    <w:rsid w:val="009B0579"/>
    <w:rsid w:val="009B11BF"/>
    <w:rsid w:val="009B1396"/>
    <w:rsid w:val="009B3747"/>
    <w:rsid w:val="009B3D01"/>
    <w:rsid w:val="009B3F88"/>
    <w:rsid w:val="009B3FFF"/>
    <w:rsid w:val="009B76DC"/>
    <w:rsid w:val="009B7F15"/>
    <w:rsid w:val="009B7F64"/>
    <w:rsid w:val="009C1975"/>
    <w:rsid w:val="009C1B32"/>
    <w:rsid w:val="009C1D77"/>
    <w:rsid w:val="009C225A"/>
    <w:rsid w:val="009C2BB0"/>
    <w:rsid w:val="009C2C89"/>
    <w:rsid w:val="009C350E"/>
    <w:rsid w:val="009C38E5"/>
    <w:rsid w:val="009C437D"/>
    <w:rsid w:val="009C4C8C"/>
    <w:rsid w:val="009C5065"/>
    <w:rsid w:val="009C50D2"/>
    <w:rsid w:val="009C535D"/>
    <w:rsid w:val="009C6DB9"/>
    <w:rsid w:val="009C7477"/>
    <w:rsid w:val="009D0281"/>
    <w:rsid w:val="009D02C5"/>
    <w:rsid w:val="009D0605"/>
    <w:rsid w:val="009D1E90"/>
    <w:rsid w:val="009D2B0D"/>
    <w:rsid w:val="009D41BC"/>
    <w:rsid w:val="009D64AB"/>
    <w:rsid w:val="009D6C83"/>
    <w:rsid w:val="009E0EFB"/>
    <w:rsid w:val="009E1E98"/>
    <w:rsid w:val="009E2CCC"/>
    <w:rsid w:val="009E32A3"/>
    <w:rsid w:val="009E49F6"/>
    <w:rsid w:val="009E6657"/>
    <w:rsid w:val="009E6B61"/>
    <w:rsid w:val="009F0181"/>
    <w:rsid w:val="009F0ED3"/>
    <w:rsid w:val="009F1C0C"/>
    <w:rsid w:val="009F213D"/>
    <w:rsid w:val="009F354A"/>
    <w:rsid w:val="009F4F5C"/>
    <w:rsid w:val="009F5A2B"/>
    <w:rsid w:val="009F6797"/>
    <w:rsid w:val="009F69C9"/>
    <w:rsid w:val="009F7DDB"/>
    <w:rsid w:val="00A0140E"/>
    <w:rsid w:val="00A015B8"/>
    <w:rsid w:val="00A03872"/>
    <w:rsid w:val="00A0495A"/>
    <w:rsid w:val="00A075C0"/>
    <w:rsid w:val="00A10E99"/>
    <w:rsid w:val="00A12A61"/>
    <w:rsid w:val="00A143A2"/>
    <w:rsid w:val="00A15DA9"/>
    <w:rsid w:val="00A2069B"/>
    <w:rsid w:val="00A23335"/>
    <w:rsid w:val="00A23778"/>
    <w:rsid w:val="00A23986"/>
    <w:rsid w:val="00A239B2"/>
    <w:rsid w:val="00A23F46"/>
    <w:rsid w:val="00A25763"/>
    <w:rsid w:val="00A2580C"/>
    <w:rsid w:val="00A3166B"/>
    <w:rsid w:val="00A31B66"/>
    <w:rsid w:val="00A31FA1"/>
    <w:rsid w:val="00A32541"/>
    <w:rsid w:val="00A35FB7"/>
    <w:rsid w:val="00A36AE0"/>
    <w:rsid w:val="00A37B92"/>
    <w:rsid w:val="00A40BE5"/>
    <w:rsid w:val="00A40C62"/>
    <w:rsid w:val="00A41CEA"/>
    <w:rsid w:val="00A41F34"/>
    <w:rsid w:val="00A43096"/>
    <w:rsid w:val="00A4338A"/>
    <w:rsid w:val="00A43432"/>
    <w:rsid w:val="00A44161"/>
    <w:rsid w:val="00A44926"/>
    <w:rsid w:val="00A45CB5"/>
    <w:rsid w:val="00A462E8"/>
    <w:rsid w:val="00A470A1"/>
    <w:rsid w:val="00A47233"/>
    <w:rsid w:val="00A47728"/>
    <w:rsid w:val="00A47732"/>
    <w:rsid w:val="00A50F05"/>
    <w:rsid w:val="00A51D50"/>
    <w:rsid w:val="00A53116"/>
    <w:rsid w:val="00A5370C"/>
    <w:rsid w:val="00A54F02"/>
    <w:rsid w:val="00A55469"/>
    <w:rsid w:val="00A618E7"/>
    <w:rsid w:val="00A61F2C"/>
    <w:rsid w:val="00A62669"/>
    <w:rsid w:val="00A62BBE"/>
    <w:rsid w:val="00A62E87"/>
    <w:rsid w:val="00A630A9"/>
    <w:rsid w:val="00A6425B"/>
    <w:rsid w:val="00A64BFF"/>
    <w:rsid w:val="00A64C71"/>
    <w:rsid w:val="00A65234"/>
    <w:rsid w:val="00A65C0F"/>
    <w:rsid w:val="00A6610A"/>
    <w:rsid w:val="00A67B60"/>
    <w:rsid w:val="00A67BBE"/>
    <w:rsid w:val="00A70388"/>
    <w:rsid w:val="00A711BC"/>
    <w:rsid w:val="00A721B6"/>
    <w:rsid w:val="00A727EC"/>
    <w:rsid w:val="00A7528F"/>
    <w:rsid w:val="00A753A2"/>
    <w:rsid w:val="00A7583D"/>
    <w:rsid w:val="00A75A46"/>
    <w:rsid w:val="00A76BF7"/>
    <w:rsid w:val="00A76F7F"/>
    <w:rsid w:val="00A77028"/>
    <w:rsid w:val="00A771CC"/>
    <w:rsid w:val="00A779B7"/>
    <w:rsid w:val="00A82086"/>
    <w:rsid w:val="00A82B02"/>
    <w:rsid w:val="00A835B7"/>
    <w:rsid w:val="00A83B4E"/>
    <w:rsid w:val="00A84949"/>
    <w:rsid w:val="00A84E38"/>
    <w:rsid w:val="00A851AD"/>
    <w:rsid w:val="00A851E3"/>
    <w:rsid w:val="00A85A03"/>
    <w:rsid w:val="00A85C79"/>
    <w:rsid w:val="00A8617E"/>
    <w:rsid w:val="00A86CF2"/>
    <w:rsid w:val="00A86EA1"/>
    <w:rsid w:val="00A87D6D"/>
    <w:rsid w:val="00A90097"/>
    <w:rsid w:val="00A9030B"/>
    <w:rsid w:val="00A91076"/>
    <w:rsid w:val="00A921AE"/>
    <w:rsid w:val="00A92F18"/>
    <w:rsid w:val="00A9487D"/>
    <w:rsid w:val="00A94911"/>
    <w:rsid w:val="00A95506"/>
    <w:rsid w:val="00A97143"/>
    <w:rsid w:val="00A9768B"/>
    <w:rsid w:val="00AA0FA7"/>
    <w:rsid w:val="00AA1E0C"/>
    <w:rsid w:val="00AA200B"/>
    <w:rsid w:val="00AA2683"/>
    <w:rsid w:val="00AA27F2"/>
    <w:rsid w:val="00AA2B88"/>
    <w:rsid w:val="00AA40FE"/>
    <w:rsid w:val="00AA4C01"/>
    <w:rsid w:val="00AA7718"/>
    <w:rsid w:val="00AA779E"/>
    <w:rsid w:val="00AA7C92"/>
    <w:rsid w:val="00AB0940"/>
    <w:rsid w:val="00AB098D"/>
    <w:rsid w:val="00AB0C33"/>
    <w:rsid w:val="00AB1372"/>
    <w:rsid w:val="00AB2A3C"/>
    <w:rsid w:val="00AB2BC8"/>
    <w:rsid w:val="00AB3D46"/>
    <w:rsid w:val="00AB491F"/>
    <w:rsid w:val="00AB5033"/>
    <w:rsid w:val="00AB6EEA"/>
    <w:rsid w:val="00AB7307"/>
    <w:rsid w:val="00AC114E"/>
    <w:rsid w:val="00AC1240"/>
    <w:rsid w:val="00AC1688"/>
    <w:rsid w:val="00AC2ADB"/>
    <w:rsid w:val="00AC5216"/>
    <w:rsid w:val="00AC5267"/>
    <w:rsid w:val="00AC5374"/>
    <w:rsid w:val="00AC5DC8"/>
    <w:rsid w:val="00AC5FF1"/>
    <w:rsid w:val="00AC64BD"/>
    <w:rsid w:val="00AC7D23"/>
    <w:rsid w:val="00AD1272"/>
    <w:rsid w:val="00AD2477"/>
    <w:rsid w:val="00AD2CD1"/>
    <w:rsid w:val="00AD316A"/>
    <w:rsid w:val="00AD32F2"/>
    <w:rsid w:val="00AD36AE"/>
    <w:rsid w:val="00AD381E"/>
    <w:rsid w:val="00AD3D85"/>
    <w:rsid w:val="00AD495A"/>
    <w:rsid w:val="00AD4D16"/>
    <w:rsid w:val="00AD73DB"/>
    <w:rsid w:val="00AE0EFB"/>
    <w:rsid w:val="00AE0FB9"/>
    <w:rsid w:val="00AE12E6"/>
    <w:rsid w:val="00AE24F1"/>
    <w:rsid w:val="00AE38F3"/>
    <w:rsid w:val="00AE5E1E"/>
    <w:rsid w:val="00AE7B2C"/>
    <w:rsid w:val="00AE7B86"/>
    <w:rsid w:val="00AF090D"/>
    <w:rsid w:val="00AF0A27"/>
    <w:rsid w:val="00AF1459"/>
    <w:rsid w:val="00AF27C5"/>
    <w:rsid w:val="00AF27E1"/>
    <w:rsid w:val="00AF35B8"/>
    <w:rsid w:val="00AF3627"/>
    <w:rsid w:val="00AF3E59"/>
    <w:rsid w:val="00AF3EB5"/>
    <w:rsid w:val="00AF44E2"/>
    <w:rsid w:val="00AF5FC0"/>
    <w:rsid w:val="00AF610D"/>
    <w:rsid w:val="00AF626D"/>
    <w:rsid w:val="00AF79F0"/>
    <w:rsid w:val="00AF7B7D"/>
    <w:rsid w:val="00AF7D96"/>
    <w:rsid w:val="00B0030B"/>
    <w:rsid w:val="00B00564"/>
    <w:rsid w:val="00B01003"/>
    <w:rsid w:val="00B01D1F"/>
    <w:rsid w:val="00B02CC2"/>
    <w:rsid w:val="00B0323D"/>
    <w:rsid w:val="00B047C5"/>
    <w:rsid w:val="00B04B7D"/>
    <w:rsid w:val="00B06EA4"/>
    <w:rsid w:val="00B07CD1"/>
    <w:rsid w:val="00B10167"/>
    <w:rsid w:val="00B10BC5"/>
    <w:rsid w:val="00B11953"/>
    <w:rsid w:val="00B11C1A"/>
    <w:rsid w:val="00B12712"/>
    <w:rsid w:val="00B1342D"/>
    <w:rsid w:val="00B149D2"/>
    <w:rsid w:val="00B15D35"/>
    <w:rsid w:val="00B16C2D"/>
    <w:rsid w:val="00B2027B"/>
    <w:rsid w:val="00B207A1"/>
    <w:rsid w:val="00B216EE"/>
    <w:rsid w:val="00B22EA3"/>
    <w:rsid w:val="00B2317D"/>
    <w:rsid w:val="00B23E17"/>
    <w:rsid w:val="00B24810"/>
    <w:rsid w:val="00B249B8"/>
    <w:rsid w:val="00B25961"/>
    <w:rsid w:val="00B261D5"/>
    <w:rsid w:val="00B2654C"/>
    <w:rsid w:val="00B26F2D"/>
    <w:rsid w:val="00B3018B"/>
    <w:rsid w:val="00B30C15"/>
    <w:rsid w:val="00B32547"/>
    <w:rsid w:val="00B35F3C"/>
    <w:rsid w:val="00B35FEC"/>
    <w:rsid w:val="00B36609"/>
    <w:rsid w:val="00B404DC"/>
    <w:rsid w:val="00B407B1"/>
    <w:rsid w:val="00B40B7A"/>
    <w:rsid w:val="00B41467"/>
    <w:rsid w:val="00B43241"/>
    <w:rsid w:val="00B43692"/>
    <w:rsid w:val="00B440A7"/>
    <w:rsid w:val="00B440E5"/>
    <w:rsid w:val="00B44568"/>
    <w:rsid w:val="00B44752"/>
    <w:rsid w:val="00B44EC8"/>
    <w:rsid w:val="00B45721"/>
    <w:rsid w:val="00B45900"/>
    <w:rsid w:val="00B45BC1"/>
    <w:rsid w:val="00B46032"/>
    <w:rsid w:val="00B46287"/>
    <w:rsid w:val="00B46302"/>
    <w:rsid w:val="00B468EB"/>
    <w:rsid w:val="00B46C38"/>
    <w:rsid w:val="00B47965"/>
    <w:rsid w:val="00B50D68"/>
    <w:rsid w:val="00B51CA6"/>
    <w:rsid w:val="00B521CF"/>
    <w:rsid w:val="00B53536"/>
    <w:rsid w:val="00B53638"/>
    <w:rsid w:val="00B54B26"/>
    <w:rsid w:val="00B55886"/>
    <w:rsid w:val="00B55B03"/>
    <w:rsid w:val="00B5688C"/>
    <w:rsid w:val="00B60564"/>
    <w:rsid w:val="00B605C3"/>
    <w:rsid w:val="00B60941"/>
    <w:rsid w:val="00B60E8A"/>
    <w:rsid w:val="00B61219"/>
    <w:rsid w:val="00B614C1"/>
    <w:rsid w:val="00B6240D"/>
    <w:rsid w:val="00B6389A"/>
    <w:rsid w:val="00B65116"/>
    <w:rsid w:val="00B65E9D"/>
    <w:rsid w:val="00B66244"/>
    <w:rsid w:val="00B66F99"/>
    <w:rsid w:val="00B67A13"/>
    <w:rsid w:val="00B701E6"/>
    <w:rsid w:val="00B70CD3"/>
    <w:rsid w:val="00B70FA1"/>
    <w:rsid w:val="00B7215B"/>
    <w:rsid w:val="00B72426"/>
    <w:rsid w:val="00B72720"/>
    <w:rsid w:val="00B72D68"/>
    <w:rsid w:val="00B734EA"/>
    <w:rsid w:val="00B74AB5"/>
    <w:rsid w:val="00B75C2B"/>
    <w:rsid w:val="00B7609C"/>
    <w:rsid w:val="00B767C7"/>
    <w:rsid w:val="00B76AC9"/>
    <w:rsid w:val="00B80100"/>
    <w:rsid w:val="00B82FEA"/>
    <w:rsid w:val="00B84884"/>
    <w:rsid w:val="00B849F2"/>
    <w:rsid w:val="00B85302"/>
    <w:rsid w:val="00B86A2A"/>
    <w:rsid w:val="00B87392"/>
    <w:rsid w:val="00B90D81"/>
    <w:rsid w:val="00B91CBE"/>
    <w:rsid w:val="00B931F1"/>
    <w:rsid w:val="00B93B7E"/>
    <w:rsid w:val="00B95247"/>
    <w:rsid w:val="00B958A6"/>
    <w:rsid w:val="00B974AF"/>
    <w:rsid w:val="00B97BF5"/>
    <w:rsid w:val="00BA051A"/>
    <w:rsid w:val="00BA06E5"/>
    <w:rsid w:val="00BA0908"/>
    <w:rsid w:val="00BA0ED0"/>
    <w:rsid w:val="00BA1A18"/>
    <w:rsid w:val="00BA1BF7"/>
    <w:rsid w:val="00BA27B0"/>
    <w:rsid w:val="00BA3D41"/>
    <w:rsid w:val="00BA484A"/>
    <w:rsid w:val="00BA5755"/>
    <w:rsid w:val="00BA582A"/>
    <w:rsid w:val="00BA5AFB"/>
    <w:rsid w:val="00BA68B2"/>
    <w:rsid w:val="00BA6AE8"/>
    <w:rsid w:val="00BA730B"/>
    <w:rsid w:val="00BA747A"/>
    <w:rsid w:val="00BA7D7F"/>
    <w:rsid w:val="00BB0891"/>
    <w:rsid w:val="00BB1802"/>
    <w:rsid w:val="00BB298C"/>
    <w:rsid w:val="00BB2BB2"/>
    <w:rsid w:val="00BB2FBF"/>
    <w:rsid w:val="00BB3D8B"/>
    <w:rsid w:val="00BB5663"/>
    <w:rsid w:val="00BB6899"/>
    <w:rsid w:val="00BB75E0"/>
    <w:rsid w:val="00BB7ACD"/>
    <w:rsid w:val="00BC05DC"/>
    <w:rsid w:val="00BC0D8E"/>
    <w:rsid w:val="00BC49E7"/>
    <w:rsid w:val="00BC5577"/>
    <w:rsid w:val="00BC7EDF"/>
    <w:rsid w:val="00BD0062"/>
    <w:rsid w:val="00BD0F3E"/>
    <w:rsid w:val="00BD3241"/>
    <w:rsid w:val="00BD598F"/>
    <w:rsid w:val="00BD5FF0"/>
    <w:rsid w:val="00BD6B8D"/>
    <w:rsid w:val="00BD708B"/>
    <w:rsid w:val="00BD75FE"/>
    <w:rsid w:val="00BD7994"/>
    <w:rsid w:val="00BE0253"/>
    <w:rsid w:val="00BE0BC3"/>
    <w:rsid w:val="00BE106B"/>
    <w:rsid w:val="00BE20B0"/>
    <w:rsid w:val="00BE2535"/>
    <w:rsid w:val="00BE3C74"/>
    <w:rsid w:val="00BE3E1E"/>
    <w:rsid w:val="00BE454E"/>
    <w:rsid w:val="00BE500F"/>
    <w:rsid w:val="00BE7830"/>
    <w:rsid w:val="00BE7CCF"/>
    <w:rsid w:val="00BF05A3"/>
    <w:rsid w:val="00BF0A7F"/>
    <w:rsid w:val="00BF1171"/>
    <w:rsid w:val="00BF125D"/>
    <w:rsid w:val="00BF2E8B"/>
    <w:rsid w:val="00BF3E3C"/>
    <w:rsid w:val="00BF40A5"/>
    <w:rsid w:val="00BF4150"/>
    <w:rsid w:val="00BF5F2E"/>
    <w:rsid w:val="00BF68A2"/>
    <w:rsid w:val="00C00F9E"/>
    <w:rsid w:val="00C01097"/>
    <w:rsid w:val="00C01BC4"/>
    <w:rsid w:val="00C0203E"/>
    <w:rsid w:val="00C02467"/>
    <w:rsid w:val="00C026E8"/>
    <w:rsid w:val="00C02BA4"/>
    <w:rsid w:val="00C03222"/>
    <w:rsid w:val="00C04126"/>
    <w:rsid w:val="00C04BE7"/>
    <w:rsid w:val="00C05D9F"/>
    <w:rsid w:val="00C05FD4"/>
    <w:rsid w:val="00C06AF4"/>
    <w:rsid w:val="00C10011"/>
    <w:rsid w:val="00C105C5"/>
    <w:rsid w:val="00C10E48"/>
    <w:rsid w:val="00C11682"/>
    <w:rsid w:val="00C122A7"/>
    <w:rsid w:val="00C12585"/>
    <w:rsid w:val="00C12899"/>
    <w:rsid w:val="00C12AC6"/>
    <w:rsid w:val="00C14191"/>
    <w:rsid w:val="00C15E34"/>
    <w:rsid w:val="00C16E09"/>
    <w:rsid w:val="00C2055B"/>
    <w:rsid w:val="00C2139A"/>
    <w:rsid w:val="00C22092"/>
    <w:rsid w:val="00C224C8"/>
    <w:rsid w:val="00C2284C"/>
    <w:rsid w:val="00C22D40"/>
    <w:rsid w:val="00C22F65"/>
    <w:rsid w:val="00C2362E"/>
    <w:rsid w:val="00C23EC6"/>
    <w:rsid w:val="00C248F9"/>
    <w:rsid w:val="00C24B01"/>
    <w:rsid w:val="00C25272"/>
    <w:rsid w:val="00C261FD"/>
    <w:rsid w:val="00C26344"/>
    <w:rsid w:val="00C26A7F"/>
    <w:rsid w:val="00C26AFE"/>
    <w:rsid w:val="00C26B6D"/>
    <w:rsid w:val="00C30FC7"/>
    <w:rsid w:val="00C31A56"/>
    <w:rsid w:val="00C32140"/>
    <w:rsid w:val="00C32E04"/>
    <w:rsid w:val="00C33699"/>
    <w:rsid w:val="00C3665D"/>
    <w:rsid w:val="00C36A95"/>
    <w:rsid w:val="00C36BCA"/>
    <w:rsid w:val="00C40462"/>
    <w:rsid w:val="00C40B5D"/>
    <w:rsid w:val="00C41181"/>
    <w:rsid w:val="00C4133A"/>
    <w:rsid w:val="00C420E3"/>
    <w:rsid w:val="00C42C25"/>
    <w:rsid w:val="00C42E8E"/>
    <w:rsid w:val="00C433BC"/>
    <w:rsid w:val="00C44C90"/>
    <w:rsid w:val="00C44EB1"/>
    <w:rsid w:val="00C4509B"/>
    <w:rsid w:val="00C4592A"/>
    <w:rsid w:val="00C504C7"/>
    <w:rsid w:val="00C506D7"/>
    <w:rsid w:val="00C50833"/>
    <w:rsid w:val="00C52674"/>
    <w:rsid w:val="00C5270D"/>
    <w:rsid w:val="00C53C31"/>
    <w:rsid w:val="00C54096"/>
    <w:rsid w:val="00C550EC"/>
    <w:rsid w:val="00C55219"/>
    <w:rsid w:val="00C554D7"/>
    <w:rsid w:val="00C577D1"/>
    <w:rsid w:val="00C57DC5"/>
    <w:rsid w:val="00C610E6"/>
    <w:rsid w:val="00C616C8"/>
    <w:rsid w:val="00C61823"/>
    <w:rsid w:val="00C61865"/>
    <w:rsid w:val="00C61D1C"/>
    <w:rsid w:val="00C61DD3"/>
    <w:rsid w:val="00C62741"/>
    <w:rsid w:val="00C63B81"/>
    <w:rsid w:val="00C63BAF"/>
    <w:rsid w:val="00C64542"/>
    <w:rsid w:val="00C667C8"/>
    <w:rsid w:val="00C67DCB"/>
    <w:rsid w:val="00C71269"/>
    <w:rsid w:val="00C721EF"/>
    <w:rsid w:val="00C72D24"/>
    <w:rsid w:val="00C73C5D"/>
    <w:rsid w:val="00C73DA6"/>
    <w:rsid w:val="00C74EBE"/>
    <w:rsid w:val="00C75169"/>
    <w:rsid w:val="00C807EA"/>
    <w:rsid w:val="00C82357"/>
    <w:rsid w:val="00C83018"/>
    <w:rsid w:val="00C855DD"/>
    <w:rsid w:val="00C8691B"/>
    <w:rsid w:val="00C86FC4"/>
    <w:rsid w:val="00C90BF3"/>
    <w:rsid w:val="00C90FF9"/>
    <w:rsid w:val="00C9202C"/>
    <w:rsid w:val="00C926EE"/>
    <w:rsid w:val="00C92EFD"/>
    <w:rsid w:val="00C93DF9"/>
    <w:rsid w:val="00C94818"/>
    <w:rsid w:val="00C94AE4"/>
    <w:rsid w:val="00C976DE"/>
    <w:rsid w:val="00CA1D51"/>
    <w:rsid w:val="00CA3547"/>
    <w:rsid w:val="00CA4458"/>
    <w:rsid w:val="00CA5596"/>
    <w:rsid w:val="00CA5B4B"/>
    <w:rsid w:val="00CA62F6"/>
    <w:rsid w:val="00CA6A5F"/>
    <w:rsid w:val="00CB0057"/>
    <w:rsid w:val="00CB13FC"/>
    <w:rsid w:val="00CB16DB"/>
    <w:rsid w:val="00CB20AD"/>
    <w:rsid w:val="00CB2233"/>
    <w:rsid w:val="00CB3406"/>
    <w:rsid w:val="00CB3A07"/>
    <w:rsid w:val="00CB49BA"/>
    <w:rsid w:val="00CB4FD6"/>
    <w:rsid w:val="00CB5D0F"/>
    <w:rsid w:val="00CB7488"/>
    <w:rsid w:val="00CB79AA"/>
    <w:rsid w:val="00CC02CD"/>
    <w:rsid w:val="00CC1E44"/>
    <w:rsid w:val="00CC22CC"/>
    <w:rsid w:val="00CC329D"/>
    <w:rsid w:val="00CC3A31"/>
    <w:rsid w:val="00CC4935"/>
    <w:rsid w:val="00CC49AF"/>
    <w:rsid w:val="00CC5180"/>
    <w:rsid w:val="00CC57C8"/>
    <w:rsid w:val="00CC62D0"/>
    <w:rsid w:val="00CC6A53"/>
    <w:rsid w:val="00CD11E5"/>
    <w:rsid w:val="00CD13A6"/>
    <w:rsid w:val="00CD416C"/>
    <w:rsid w:val="00CD594F"/>
    <w:rsid w:val="00CD5954"/>
    <w:rsid w:val="00CD6C40"/>
    <w:rsid w:val="00CD6ECA"/>
    <w:rsid w:val="00CD7AC0"/>
    <w:rsid w:val="00CE0E9F"/>
    <w:rsid w:val="00CE1019"/>
    <w:rsid w:val="00CE24DA"/>
    <w:rsid w:val="00CE36F5"/>
    <w:rsid w:val="00CE3CA3"/>
    <w:rsid w:val="00CE4181"/>
    <w:rsid w:val="00CE551E"/>
    <w:rsid w:val="00CE5EC2"/>
    <w:rsid w:val="00CE65E8"/>
    <w:rsid w:val="00CE7CBA"/>
    <w:rsid w:val="00CF0A15"/>
    <w:rsid w:val="00CF0FEE"/>
    <w:rsid w:val="00CF14B0"/>
    <w:rsid w:val="00CF16FB"/>
    <w:rsid w:val="00CF2A98"/>
    <w:rsid w:val="00CF2AFC"/>
    <w:rsid w:val="00CF32C8"/>
    <w:rsid w:val="00CF427F"/>
    <w:rsid w:val="00CF46A4"/>
    <w:rsid w:val="00CF6D00"/>
    <w:rsid w:val="00CF7178"/>
    <w:rsid w:val="00CF758C"/>
    <w:rsid w:val="00CF763A"/>
    <w:rsid w:val="00CF7895"/>
    <w:rsid w:val="00CF795C"/>
    <w:rsid w:val="00CF799D"/>
    <w:rsid w:val="00CF7FE4"/>
    <w:rsid w:val="00D00456"/>
    <w:rsid w:val="00D008D0"/>
    <w:rsid w:val="00D0108A"/>
    <w:rsid w:val="00D01664"/>
    <w:rsid w:val="00D02AB6"/>
    <w:rsid w:val="00D02D46"/>
    <w:rsid w:val="00D077CC"/>
    <w:rsid w:val="00D07AC9"/>
    <w:rsid w:val="00D100C7"/>
    <w:rsid w:val="00D12357"/>
    <w:rsid w:val="00D12883"/>
    <w:rsid w:val="00D14324"/>
    <w:rsid w:val="00D14C67"/>
    <w:rsid w:val="00D158ED"/>
    <w:rsid w:val="00D15D61"/>
    <w:rsid w:val="00D1704B"/>
    <w:rsid w:val="00D171D4"/>
    <w:rsid w:val="00D17297"/>
    <w:rsid w:val="00D17654"/>
    <w:rsid w:val="00D17C13"/>
    <w:rsid w:val="00D2000F"/>
    <w:rsid w:val="00D20E0C"/>
    <w:rsid w:val="00D2293F"/>
    <w:rsid w:val="00D25B5A"/>
    <w:rsid w:val="00D2709D"/>
    <w:rsid w:val="00D30089"/>
    <w:rsid w:val="00D30611"/>
    <w:rsid w:val="00D30812"/>
    <w:rsid w:val="00D31370"/>
    <w:rsid w:val="00D31768"/>
    <w:rsid w:val="00D31995"/>
    <w:rsid w:val="00D32FEF"/>
    <w:rsid w:val="00D33486"/>
    <w:rsid w:val="00D33701"/>
    <w:rsid w:val="00D33A0E"/>
    <w:rsid w:val="00D34FAA"/>
    <w:rsid w:val="00D35783"/>
    <w:rsid w:val="00D359BC"/>
    <w:rsid w:val="00D36AF1"/>
    <w:rsid w:val="00D374D1"/>
    <w:rsid w:val="00D37854"/>
    <w:rsid w:val="00D415E8"/>
    <w:rsid w:val="00D4217E"/>
    <w:rsid w:val="00D42B97"/>
    <w:rsid w:val="00D4433B"/>
    <w:rsid w:val="00D47059"/>
    <w:rsid w:val="00D5338A"/>
    <w:rsid w:val="00D5428B"/>
    <w:rsid w:val="00D561D7"/>
    <w:rsid w:val="00D56987"/>
    <w:rsid w:val="00D57060"/>
    <w:rsid w:val="00D5741E"/>
    <w:rsid w:val="00D57786"/>
    <w:rsid w:val="00D57FB7"/>
    <w:rsid w:val="00D639F0"/>
    <w:rsid w:val="00D640DE"/>
    <w:rsid w:val="00D64174"/>
    <w:rsid w:val="00D6464B"/>
    <w:rsid w:val="00D64A75"/>
    <w:rsid w:val="00D64CD3"/>
    <w:rsid w:val="00D65B37"/>
    <w:rsid w:val="00D6646D"/>
    <w:rsid w:val="00D71105"/>
    <w:rsid w:val="00D71CA8"/>
    <w:rsid w:val="00D71DD9"/>
    <w:rsid w:val="00D71EF6"/>
    <w:rsid w:val="00D71F67"/>
    <w:rsid w:val="00D7240C"/>
    <w:rsid w:val="00D72758"/>
    <w:rsid w:val="00D72761"/>
    <w:rsid w:val="00D733E0"/>
    <w:rsid w:val="00D74C2C"/>
    <w:rsid w:val="00D74CE0"/>
    <w:rsid w:val="00D750A0"/>
    <w:rsid w:val="00D752D3"/>
    <w:rsid w:val="00D755AC"/>
    <w:rsid w:val="00D76D9E"/>
    <w:rsid w:val="00D771A6"/>
    <w:rsid w:val="00D7753B"/>
    <w:rsid w:val="00D77793"/>
    <w:rsid w:val="00D77FE2"/>
    <w:rsid w:val="00D81C56"/>
    <w:rsid w:val="00D822E3"/>
    <w:rsid w:val="00D828C8"/>
    <w:rsid w:val="00D82903"/>
    <w:rsid w:val="00D83737"/>
    <w:rsid w:val="00D838F6"/>
    <w:rsid w:val="00D8486D"/>
    <w:rsid w:val="00D85BAB"/>
    <w:rsid w:val="00D8631C"/>
    <w:rsid w:val="00D86AF5"/>
    <w:rsid w:val="00D871DF"/>
    <w:rsid w:val="00D9084A"/>
    <w:rsid w:val="00D90F74"/>
    <w:rsid w:val="00D9109B"/>
    <w:rsid w:val="00D910C0"/>
    <w:rsid w:val="00D91696"/>
    <w:rsid w:val="00D9202D"/>
    <w:rsid w:val="00D923A9"/>
    <w:rsid w:val="00D945B1"/>
    <w:rsid w:val="00D953C4"/>
    <w:rsid w:val="00D95828"/>
    <w:rsid w:val="00D95CF2"/>
    <w:rsid w:val="00D96177"/>
    <w:rsid w:val="00D96A4B"/>
    <w:rsid w:val="00D97515"/>
    <w:rsid w:val="00D9785C"/>
    <w:rsid w:val="00D978D4"/>
    <w:rsid w:val="00D97A81"/>
    <w:rsid w:val="00DA0034"/>
    <w:rsid w:val="00DA011B"/>
    <w:rsid w:val="00DA0B6F"/>
    <w:rsid w:val="00DA0FAE"/>
    <w:rsid w:val="00DA1C4D"/>
    <w:rsid w:val="00DA2464"/>
    <w:rsid w:val="00DA24D4"/>
    <w:rsid w:val="00DA2B8B"/>
    <w:rsid w:val="00DA2FF5"/>
    <w:rsid w:val="00DA300F"/>
    <w:rsid w:val="00DA45B1"/>
    <w:rsid w:val="00DA46A3"/>
    <w:rsid w:val="00DA57E2"/>
    <w:rsid w:val="00DA61ED"/>
    <w:rsid w:val="00DB0D9A"/>
    <w:rsid w:val="00DB0DD1"/>
    <w:rsid w:val="00DB1E67"/>
    <w:rsid w:val="00DB1F6D"/>
    <w:rsid w:val="00DB2952"/>
    <w:rsid w:val="00DB2FC2"/>
    <w:rsid w:val="00DB31E8"/>
    <w:rsid w:val="00DB39EB"/>
    <w:rsid w:val="00DB3A0C"/>
    <w:rsid w:val="00DB3FA5"/>
    <w:rsid w:val="00DB426C"/>
    <w:rsid w:val="00DB5009"/>
    <w:rsid w:val="00DB5224"/>
    <w:rsid w:val="00DB599C"/>
    <w:rsid w:val="00DB5A72"/>
    <w:rsid w:val="00DB5E21"/>
    <w:rsid w:val="00DB6A92"/>
    <w:rsid w:val="00DB7682"/>
    <w:rsid w:val="00DC071B"/>
    <w:rsid w:val="00DC0F3F"/>
    <w:rsid w:val="00DC1546"/>
    <w:rsid w:val="00DC1604"/>
    <w:rsid w:val="00DC1786"/>
    <w:rsid w:val="00DC1E5A"/>
    <w:rsid w:val="00DC1EBC"/>
    <w:rsid w:val="00DC2821"/>
    <w:rsid w:val="00DC31E1"/>
    <w:rsid w:val="00DC3622"/>
    <w:rsid w:val="00DC4F87"/>
    <w:rsid w:val="00DC5318"/>
    <w:rsid w:val="00DC6BC7"/>
    <w:rsid w:val="00DD101E"/>
    <w:rsid w:val="00DD144D"/>
    <w:rsid w:val="00DD1687"/>
    <w:rsid w:val="00DD2C95"/>
    <w:rsid w:val="00DD2D29"/>
    <w:rsid w:val="00DD3AD5"/>
    <w:rsid w:val="00DD4544"/>
    <w:rsid w:val="00DD46DA"/>
    <w:rsid w:val="00DD67DE"/>
    <w:rsid w:val="00DD6850"/>
    <w:rsid w:val="00DD71A1"/>
    <w:rsid w:val="00DD72FA"/>
    <w:rsid w:val="00DD79F5"/>
    <w:rsid w:val="00DE1BF6"/>
    <w:rsid w:val="00DE2A03"/>
    <w:rsid w:val="00DE33DD"/>
    <w:rsid w:val="00DE3959"/>
    <w:rsid w:val="00DE3D89"/>
    <w:rsid w:val="00DE3EC8"/>
    <w:rsid w:val="00DE5A13"/>
    <w:rsid w:val="00DE7C83"/>
    <w:rsid w:val="00DF103D"/>
    <w:rsid w:val="00DF1678"/>
    <w:rsid w:val="00DF36CF"/>
    <w:rsid w:val="00DF37EB"/>
    <w:rsid w:val="00DF3C38"/>
    <w:rsid w:val="00DF4831"/>
    <w:rsid w:val="00DF6742"/>
    <w:rsid w:val="00E00D8E"/>
    <w:rsid w:val="00E021F0"/>
    <w:rsid w:val="00E0438F"/>
    <w:rsid w:val="00E04476"/>
    <w:rsid w:val="00E04AE6"/>
    <w:rsid w:val="00E058AC"/>
    <w:rsid w:val="00E06F1A"/>
    <w:rsid w:val="00E07250"/>
    <w:rsid w:val="00E103DE"/>
    <w:rsid w:val="00E12D88"/>
    <w:rsid w:val="00E133D9"/>
    <w:rsid w:val="00E13E5A"/>
    <w:rsid w:val="00E15AF2"/>
    <w:rsid w:val="00E164A0"/>
    <w:rsid w:val="00E16731"/>
    <w:rsid w:val="00E16922"/>
    <w:rsid w:val="00E16954"/>
    <w:rsid w:val="00E20CF6"/>
    <w:rsid w:val="00E219B8"/>
    <w:rsid w:val="00E21F87"/>
    <w:rsid w:val="00E2235F"/>
    <w:rsid w:val="00E23873"/>
    <w:rsid w:val="00E23F0E"/>
    <w:rsid w:val="00E24D3E"/>
    <w:rsid w:val="00E26030"/>
    <w:rsid w:val="00E2670B"/>
    <w:rsid w:val="00E26BB2"/>
    <w:rsid w:val="00E26C40"/>
    <w:rsid w:val="00E3063F"/>
    <w:rsid w:val="00E30B7D"/>
    <w:rsid w:val="00E313DF"/>
    <w:rsid w:val="00E31CEC"/>
    <w:rsid w:val="00E345B7"/>
    <w:rsid w:val="00E35BEF"/>
    <w:rsid w:val="00E35EC4"/>
    <w:rsid w:val="00E3685A"/>
    <w:rsid w:val="00E400C3"/>
    <w:rsid w:val="00E404C2"/>
    <w:rsid w:val="00E4193B"/>
    <w:rsid w:val="00E4274B"/>
    <w:rsid w:val="00E42974"/>
    <w:rsid w:val="00E42E8F"/>
    <w:rsid w:val="00E42F12"/>
    <w:rsid w:val="00E431E0"/>
    <w:rsid w:val="00E4324C"/>
    <w:rsid w:val="00E4341C"/>
    <w:rsid w:val="00E45648"/>
    <w:rsid w:val="00E459A8"/>
    <w:rsid w:val="00E45BCB"/>
    <w:rsid w:val="00E45CA0"/>
    <w:rsid w:val="00E45E5B"/>
    <w:rsid w:val="00E46A95"/>
    <w:rsid w:val="00E477FA"/>
    <w:rsid w:val="00E47B03"/>
    <w:rsid w:val="00E524A1"/>
    <w:rsid w:val="00E52625"/>
    <w:rsid w:val="00E52794"/>
    <w:rsid w:val="00E52955"/>
    <w:rsid w:val="00E53001"/>
    <w:rsid w:val="00E5598E"/>
    <w:rsid w:val="00E568E5"/>
    <w:rsid w:val="00E5691A"/>
    <w:rsid w:val="00E56F17"/>
    <w:rsid w:val="00E57B9E"/>
    <w:rsid w:val="00E6054B"/>
    <w:rsid w:val="00E60854"/>
    <w:rsid w:val="00E619D1"/>
    <w:rsid w:val="00E61F06"/>
    <w:rsid w:val="00E62E3C"/>
    <w:rsid w:val="00E630B1"/>
    <w:rsid w:val="00E6352E"/>
    <w:rsid w:val="00E65183"/>
    <w:rsid w:val="00E67C8B"/>
    <w:rsid w:val="00E67FCA"/>
    <w:rsid w:val="00E701DC"/>
    <w:rsid w:val="00E7046C"/>
    <w:rsid w:val="00E70EA2"/>
    <w:rsid w:val="00E70EE0"/>
    <w:rsid w:val="00E72716"/>
    <w:rsid w:val="00E72BF3"/>
    <w:rsid w:val="00E7324D"/>
    <w:rsid w:val="00E737D2"/>
    <w:rsid w:val="00E74B70"/>
    <w:rsid w:val="00E75414"/>
    <w:rsid w:val="00E7556F"/>
    <w:rsid w:val="00E761BD"/>
    <w:rsid w:val="00E77D90"/>
    <w:rsid w:val="00E77E88"/>
    <w:rsid w:val="00E810F1"/>
    <w:rsid w:val="00E814C3"/>
    <w:rsid w:val="00E82303"/>
    <w:rsid w:val="00E82457"/>
    <w:rsid w:val="00E82E2C"/>
    <w:rsid w:val="00E83612"/>
    <w:rsid w:val="00E8365A"/>
    <w:rsid w:val="00E84BE0"/>
    <w:rsid w:val="00E85661"/>
    <w:rsid w:val="00E85CC0"/>
    <w:rsid w:val="00E85E5A"/>
    <w:rsid w:val="00E860F6"/>
    <w:rsid w:val="00E86722"/>
    <w:rsid w:val="00E869A6"/>
    <w:rsid w:val="00E87228"/>
    <w:rsid w:val="00E87A01"/>
    <w:rsid w:val="00E90362"/>
    <w:rsid w:val="00E905EE"/>
    <w:rsid w:val="00E92D4F"/>
    <w:rsid w:val="00E94543"/>
    <w:rsid w:val="00E94EBD"/>
    <w:rsid w:val="00E959FA"/>
    <w:rsid w:val="00E96829"/>
    <w:rsid w:val="00E97795"/>
    <w:rsid w:val="00E9784B"/>
    <w:rsid w:val="00E97A5A"/>
    <w:rsid w:val="00EA1774"/>
    <w:rsid w:val="00EA1C39"/>
    <w:rsid w:val="00EA28BA"/>
    <w:rsid w:val="00EA2A99"/>
    <w:rsid w:val="00EA2DF9"/>
    <w:rsid w:val="00EA3B1E"/>
    <w:rsid w:val="00EA5391"/>
    <w:rsid w:val="00EA5A40"/>
    <w:rsid w:val="00EA5C0A"/>
    <w:rsid w:val="00EB347F"/>
    <w:rsid w:val="00EB3CE7"/>
    <w:rsid w:val="00EB3D56"/>
    <w:rsid w:val="00EB52C8"/>
    <w:rsid w:val="00EB5E31"/>
    <w:rsid w:val="00EB6BB3"/>
    <w:rsid w:val="00EB7578"/>
    <w:rsid w:val="00EC07F7"/>
    <w:rsid w:val="00EC0AC1"/>
    <w:rsid w:val="00EC136C"/>
    <w:rsid w:val="00EC1E61"/>
    <w:rsid w:val="00EC26BF"/>
    <w:rsid w:val="00EC3A04"/>
    <w:rsid w:val="00EC3B2C"/>
    <w:rsid w:val="00EC66D2"/>
    <w:rsid w:val="00EC67E9"/>
    <w:rsid w:val="00EC69AB"/>
    <w:rsid w:val="00EC6B09"/>
    <w:rsid w:val="00EC70BE"/>
    <w:rsid w:val="00EC7239"/>
    <w:rsid w:val="00EC791D"/>
    <w:rsid w:val="00ED0A3E"/>
    <w:rsid w:val="00ED17B1"/>
    <w:rsid w:val="00ED3559"/>
    <w:rsid w:val="00ED3835"/>
    <w:rsid w:val="00ED3D36"/>
    <w:rsid w:val="00ED4794"/>
    <w:rsid w:val="00ED53D8"/>
    <w:rsid w:val="00ED58CB"/>
    <w:rsid w:val="00ED5F19"/>
    <w:rsid w:val="00ED605A"/>
    <w:rsid w:val="00ED64C3"/>
    <w:rsid w:val="00ED6D83"/>
    <w:rsid w:val="00ED711A"/>
    <w:rsid w:val="00ED7514"/>
    <w:rsid w:val="00ED7523"/>
    <w:rsid w:val="00EE0509"/>
    <w:rsid w:val="00EE06C7"/>
    <w:rsid w:val="00EE1170"/>
    <w:rsid w:val="00EE148E"/>
    <w:rsid w:val="00EE1C1D"/>
    <w:rsid w:val="00EE203A"/>
    <w:rsid w:val="00EE4907"/>
    <w:rsid w:val="00EE56A8"/>
    <w:rsid w:val="00EE698C"/>
    <w:rsid w:val="00EF09C9"/>
    <w:rsid w:val="00EF09D3"/>
    <w:rsid w:val="00EF0A05"/>
    <w:rsid w:val="00EF112E"/>
    <w:rsid w:val="00EF1475"/>
    <w:rsid w:val="00EF383D"/>
    <w:rsid w:val="00EF3B04"/>
    <w:rsid w:val="00EF3F7F"/>
    <w:rsid w:val="00EF44C8"/>
    <w:rsid w:val="00EF4522"/>
    <w:rsid w:val="00EF4599"/>
    <w:rsid w:val="00EF51FA"/>
    <w:rsid w:val="00EF5B3F"/>
    <w:rsid w:val="00EF615C"/>
    <w:rsid w:val="00EF6CEE"/>
    <w:rsid w:val="00EF6EE4"/>
    <w:rsid w:val="00EF7B96"/>
    <w:rsid w:val="00EF7BFC"/>
    <w:rsid w:val="00F00413"/>
    <w:rsid w:val="00F0049E"/>
    <w:rsid w:val="00F005D6"/>
    <w:rsid w:val="00F0069B"/>
    <w:rsid w:val="00F00BAB"/>
    <w:rsid w:val="00F016A0"/>
    <w:rsid w:val="00F01939"/>
    <w:rsid w:val="00F02F6C"/>
    <w:rsid w:val="00F032FA"/>
    <w:rsid w:val="00F04057"/>
    <w:rsid w:val="00F0453F"/>
    <w:rsid w:val="00F04BF6"/>
    <w:rsid w:val="00F059E2"/>
    <w:rsid w:val="00F06550"/>
    <w:rsid w:val="00F06560"/>
    <w:rsid w:val="00F10F89"/>
    <w:rsid w:val="00F111F7"/>
    <w:rsid w:val="00F1134E"/>
    <w:rsid w:val="00F114B8"/>
    <w:rsid w:val="00F11AEB"/>
    <w:rsid w:val="00F12F43"/>
    <w:rsid w:val="00F13133"/>
    <w:rsid w:val="00F135D3"/>
    <w:rsid w:val="00F13D9C"/>
    <w:rsid w:val="00F14871"/>
    <w:rsid w:val="00F14996"/>
    <w:rsid w:val="00F15269"/>
    <w:rsid w:val="00F15B45"/>
    <w:rsid w:val="00F17019"/>
    <w:rsid w:val="00F21A66"/>
    <w:rsid w:val="00F2292E"/>
    <w:rsid w:val="00F237BF"/>
    <w:rsid w:val="00F23AB7"/>
    <w:rsid w:val="00F23FEE"/>
    <w:rsid w:val="00F262CA"/>
    <w:rsid w:val="00F269AB"/>
    <w:rsid w:val="00F27877"/>
    <w:rsid w:val="00F27E94"/>
    <w:rsid w:val="00F3048F"/>
    <w:rsid w:val="00F3064E"/>
    <w:rsid w:val="00F30C06"/>
    <w:rsid w:val="00F31BE8"/>
    <w:rsid w:val="00F33CB2"/>
    <w:rsid w:val="00F36B4E"/>
    <w:rsid w:val="00F36EBF"/>
    <w:rsid w:val="00F40775"/>
    <w:rsid w:val="00F409C4"/>
    <w:rsid w:val="00F417A3"/>
    <w:rsid w:val="00F43DB9"/>
    <w:rsid w:val="00F47C10"/>
    <w:rsid w:val="00F504E9"/>
    <w:rsid w:val="00F50D49"/>
    <w:rsid w:val="00F5177D"/>
    <w:rsid w:val="00F51B55"/>
    <w:rsid w:val="00F51C36"/>
    <w:rsid w:val="00F51EF3"/>
    <w:rsid w:val="00F51F01"/>
    <w:rsid w:val="00F52227"/>
    <w:rsid w:val="00F52600"/>
    <w:rsid w:val="00F5261A"/>
    <w:rsid w:val="00F5357E"/>
    <w:rsid w:val="00F53833"/>
    <w:rsid w:val="00F53D47"/>
    <w:rsid w:val="00F546F2"/>
    <w:rsid w:val="00F549BD"/>
    <w:rsid w:val="00F553E3"/>
    <w:rsid w:val="00F556AA"/>
    <w:rsid w:val="00F55AFA"/>
    <w:rsid w:val="00F560F7"/>
    <w:rsid w:val="00F57470"/>
    <w:rsid w:val="00F612B9"/>
    <w:rsid w:val="00F61331"/>
    <w:rsid w:val="00F63753"/>
    <w:rsid w:val="00F63A5F"/>
    <w:rsid w:val="00F670E9"/>
    <w:rsid w:val="00F71021"/>
    <w:rsid w:val="00F73006"/>
    <w:rsid w:val="00F73AC2"/>
    <w:rsid w:val="00F73E2E"/>
    <w:rsid w:val="00F73F62"/>
    <w:rsid w:val="00F74AF9"/>
    <w:rsid w:val="00F74CEB"/>
    <w:rsid w:val="00F75D7D"/>
    <w:rsid w:val="00F7603B"/>
    <w:rsid w:val="00F7622C"/>
    <w:rsid w:val="00F801CD"/>
    <w:rsid w:val="00F80209"/>
    <w:rsid w:val="00F803FA"/>
    <w:rsid w:val="00F80A14"/>
    <w:rsid w:val="00F80B97"/>
    <w:rsid w:val="00F81F42"/>
    <w:rsid w:val="00F82323"/>
    <w:rsid w:val="00F823F7"/>
    <w:rsid w:val="00F8311B"/>
    <w:rsid w:val="00F8338F"/>
    <w:rsid w:val="00F834A5"/>
    <w:rsid w:val="00F844EA"/>
    <w:rsid w:val="00F84BF4"/>
    <w:rsid w:val="00F84EE1"/>
    <w:rsid w:val="00F850DE"/>
    <w:rsid w:val="00F861CB"/>
    <w:rsid w:val="00F8772A"/>
    <w:rsid w:val="00F9013B"/>
    <w:rsid w:val="00F904A4"/>
    <w:rsid w:val="00F90FE1"/>
    <w:rsid w:val="00F91627"/>
    <w:rsid w:val="00F93E31"/>
    <w:rsid w:val="00F94B50"/>
    <w:rsid w:val="00F96D3B"/>
    <w:rsid w:val="00F970AA"/>
    <w:rsid w:val="00F975B2"/>
    <w:rsid w:val="00F9772E"/>
    <w:rsid w:val="00F97FFC"/>
    <w:rsid w:val="00FA0E07"/>
    <w:rsid w:val="00FA18E6"/>
    <w:rsid w:val="00FA1E22"/>
    <w:rsid w:val="00FA1EA0"/>
    <w:rsid w:val="00FA2337"/>
    <w:rsid w:val="00FA3583"/>
    <w:rsid w:val="00FA3637"/>
    <w:rsid w:val="00FA4D64"/>
    <w:rsid w:val="00FA4F40"/>
    <w:rsid w:val="00FA5610"/>
    <w:rsid w:val="00FA6CDD"/>
    <w:rsid w:val="00FA6F3F"/>
    <w:rsid w:val="00FA72F8"/>
    <w:rsid w:val="00FB14E8"/>
    <w:rsid w:val="00FB1A80"/>
    <w:rsid w:val="00FB20FF"/>
    <w:rsid w:val="00FB2B49"/>
    <w:rsid w:val="00FB2FB6"/>
    <w:rsid w:val="00FB306F"/>
    <w:rsid w:val="00FB33FE"/>
    <w:rsid w:val="00FB3411"/>
    <w:rsid w:val="00FB35FD"/>
    <w:rsid w:val="00FB3999"/>
    <w:rsid w:val="00FB404F"/>
    <w:rsid w:val="00FB4988"/>
    <w:rsid w:val="00FB510E"/>
    <w:rsid w:val="00FB6708"/>
    <w:rsid w:val="00FB7AF6"/>
    <w:rsid w:val="00FB7D78"/>
    <w:rsid w:val="00FC34D4"/>
    <w:rsid w:val="00FC567F"/>
    <w:rsid w:val="00FC5D6D"/>
    <w:rsid w:val="00FD03DA"/>
    <w:rsid w:val="00FD0AA1"/>
    <w:rsid w:val="00FD0B2D"/>
    <w:rsid w:val="00FD0BF8"/>
    <w:rsid w:val="00FD125B"/>
    <w:rsid w:val="00FD1902"/>
    <w:rsid w:val="00FD1B6E"/>
    <w:rsid w:val="00FD3825"/>
    <w:rsid w:val="00FD41CF"/>
    <w:rsid w:val="00FD60E6"/>
    <w:rsid w:val="00FD641E"/>
    <w:rsid w:val="00FD6CE6"/>
    <w:rsid w:val="00FD7103"/>
    <w:rsid w:val="00FE01CA"/>
    <w:rsid w:val="00FE0AE5"/>
    <w:rsid w:val="00FE13BC"/>
    <w:rsid w:val="00FE13C5"/>
    <w:rsid w:val="00FE155E"/>
    <w:rsid w:val="00FE171A"/>
    <w:rsid w:val="00FE1C2E"/>
    <w:rsid w:val="00FE214A"/>
    <w:rsid w:val="00FE304D"/>
    <w:rsid w:val="00FE3E31"/>
    <w:rsid w:val="00FE43E3"/>
    <w:rsid w:val="00FE4C60"/>
    <w:rsid w:val="00FE5884"/>
    <w:rsid w:val="00FE7107"/>
    <w:rsid w:val="00FE795E"/>
    <w:rsid w:val="00FF02A4"/>
    <w:rsid w:val="00FF088C"/>
    <w:rsid w:val="00FF121D"/>
    <w:rsid w:val="00FF1689"/>
    <w:rsid w:val="00FF1D09"/>
    <w:rsid w:val="00FF2B0C"/>
    <w:rsid w:val="00FF3CD4"/>
    <w:rsid w:val="00FF400B"/>
    <w:rsid w:val="00FF4520"/>
    <w:rsid w:val="00FF48EE"/>
    <w:rsid w:val="00FF4C65"/>
    <w:rsid w:val="00FF5091"/>
    <w:rsid w:val="00FF53F0"/>
    <w:rsid w:val="00FF6422"/>
    <w:rsid w:val="01063B4A"/>
    <w:rsid w:val="015D585D"/>
    <w:rsid w:val="01864155"/>
    <w:rsid w:val="018A1427"/>
    <w:rsid w:val="0191346C"/>
    <w:rsid w:val="01C127E1"/>
    <w:rsid w:val="01C156D4"/>
    <w:rsid w:val="01C25065"/>
    <w:rsid w:val="01D134FA"/>
    <w:rsid w:val="01E343C4"/>
    <w:rsid w:val="01F2753D"/>
    <w:rsid w:val="01F33B73"/>
    <w:rsid w:val="01F340A4"/>
    <w:rsid w:val="02005B8D"/>
    <w:rsid w:val="021C6B34"/>
    <w:rsid w:val="0230624D"/>
    <w:rsid w:val="02353A89"/>
    <w:rsid w:val="023C44BA"/>
    <w:rsid w:val="02422BF3"/>
    <w:rsid w:val="02AB08E5"/>
    <w:rsid w:val="03183FDB"/>
    <w:rsid w:val="032A0C00"/>
    <w:rsid w:val="03692BEC"/>
    <w:rsid w:val="038325D2"/>
    <w:rsid w:val="03914CEF"/>
    <w:rsid w:val="03B34D95"/>
    <w:rsid w:val="03E2554B"/>
    <w:rsid w:val="03E4788C"/>
    <w:rsid w:val="03E847A6"/>
    <w:rsid w:val="0405748B"/>
    <w:rsid w:val="04073A28"/>
    <w:rsid w:val="04357D6C"/>
    <w:rsid w:val="043A0D46"/>
    <w:rsid w:val="0446138B"/>
    <w:rsid w:val="04463D2B"/>
    <w:rsid w:val="04553F6E"/>
    <w:rsid w:val="04785EAF"/>
    <w:rsid w:val="047A31F5"/>
    <w:rsid w:val="04A82509"/>
    <w:rsid w:val="04B327A2"/>
    <w:rsid w:val="04C16939"/>
    <w:rsid w:val="04C97752"/>
    <w:rsid w:val="05175CB0"/>
    <w:rsid w:val="053022E6"/>
    <w:rsid w:val="058644B7"/>
    <w:rsid w:val="05AD3936"/>
    <w:rsid w:val="05B830D4"/>
    <w:rsid w:val="06063C31"/>
    <w:rsid w:val="06087BAF"/>
    <w:rsid w:val="06CF7C57"/>
    <w:rsid w:val="06F61A7D"/>
    <w:rsid w:val="07837045"/>
    <w:rsid w:val="0788465B"/>
    <w:rsid w:val="07886409"/>
    <w:rsid w:val="078A0D82"/>
    <w:rsid w:val="07947E1B"/>
    <w:rsid w:val="079B438E"/>
    <w:rsid w:val="07A11279"/>
    <w:rsid w:val="07EB76F0"/>
    <w:rsid w:val="08115CCB"/>
    <w:rsid w:val="082814CF"/>
    <w:rsid w:val="086F1377"/>
    <w:rsid w:val="090C3286"/>
    <w:rsid w:val="093D7167"/>
    <w:rsid w:val="097645D3"/>
    <w:rsid w:val="09AC48EF"/>
    <w:rsid w:val="09CD44CE"/>
    <w:rsid w:val="09D40933"/>
    <w:rsid w:val="09ED2E9B"/>
    <w:rsid w:val="0A177CDD"/>
    <w:rsid w:val="0A20245E"/>
    <w:rsid w:val="0A3536F3"/>
    <w:rsid w:val="0A40100F"/>
    <w:rsid w:val="0A4F320E"/>
    <w:rsid w:val="0A817046"/>
    <w:rsid w:val="0A8E3AF2"/>
    <w:rsid w:val="0A8F7C26"/>
    <w:rsid w:val="0AB152D6"/>
    <w:rsid w:val="0AD14F4A"/>
    <w:rsid w:val="0ADE26CB"/>
    <w:rsid w:val="0B161399"/>
    <w:rsid w:val="0B343A21"/>
    <w:rsid w:val="0B3E48F6"/>
    <w:rsid w:val="0BA2691C"/>
    <w:rsid w:val="0C032502"/>
    <w:rsid w:val="0CAC0156"/>
    <w:rsid w:val="0CF465BD"/>
    <w:rsid w:val="0D3861DB"/>
    <w:rsid w:val="0D625B94"/>
    <w:rsid w:val="0D9B708A"/>
    <w:rsid w:val="0DA41AC3"/>
    <w:rsid w:val="0DD1743B"/>
    <w:rsid w:val="0E26206B"/>
    <w:rsid w:val="0E5139F9"/>
    <w:rsid w:val="0E5C59AB"/>
    <w:rsid w:val="0E5D02B5"/>
    <w:rsid w:val="0E732CFE"/>
    <w:rsid w:val="0E741495"/>
    <w:rsid w:val="0E9F3F42"/>
    <w:rsid w:val="0ED46221"/>
    <w:rsid w:val="0F1E1499"/>
    <w:rsid w:val="0F275EAA"/>
    <w:rsid w:val="0F3D1628"/>
    <w:rsid w:val="0F4C15B7"/>
    <w:rsid w:val="0F824086"/>
    <w:rsid w:val="0FD91EF8"/>
    <w:rsid w:val="0FF52C8D"/>
    <w:rsid w:val="10101691"/>
    <w:rsid w:val="10316128"/>
    <w:rsid w:val="107E39A7"/>
    <w:rsid w:val="108205DF"/>
    <w:rsid w:val="10BC5954"/>
    <w:rsid w:val="10D111EF"/>
    <w:rsid w:val="110113F5"/>
    <w:rsid w:val="111E5F87"/>
    <w:rsid w:val="11B65A10"/>
    <w:rsid w:val="11D95BD1"/>
    <w:rsid w:val="11E132E5"/>
    <w:rsid w:val="11EE5A02"/>
    <w:rsid w:val="11F95E88"/>
    <w:rsid w:val="11FF1488"/>
    <w:rsid w:val="122907E8"/>
    <w:rsid w:val="124D5D37"/>
    <w:rsid w:val="12897505"/>
    <w:rsid w:val="1298528C"/>
    <w:rsid w:val="12A019F6"/>
    <w:rsid w:val="12B80632"/>
    <w:rsid w:val="12C23BEA"/>
    <w:rsid w:val="12D31D92"/>
    <w:rsid w:val="12DB5F87"/>
    <w:rsid w:val="132F1E2E"/>
    <w:rsid w:val="134358DA"/>
    <w:rsid w:val="13D94A41"/>
    <w:rsid w:val="13DB164B"/>
    <w:rsid w:val="13DC0588"/>
    <w:rsid w:val="13DD188A"/>
    <w:rsid w:val="13E03A64"/>
    <w:rsid w:val="13EE5846"/>
    <w:rsid w:val="13F5346E"/>
    <w:rsid w:val="14011B23"/>
    <w:rsid w:val="14961BDF"/>
    <w:rsid w:val="14C962B7"/>
    <w:rsid w:val="14E629BA"/>
    <w:rsid w:val="151A266A"/>
    <w:rsid w:val="151F47F0"/>
    <w:rsid w:val="1537060D"/>
    <w:rsid w:val="15406575"/>
    <w:rsid w:val="155041B0"/>
    <w:rsid w:val="15595889"/>
    <w:rsid w:val="1583211E"/>
    <w:rsid w:val="15B90272"/>
    <w:rsid w:val="15D171CD"/>
    <w:rsid w:val="16144628"/>
    <w:rsid w:val="16446531"/>
    <w:rsid w:val="16465E0D"/>
    <w:rsid w:val="16526560"/>
    <w:rsid w:val="16532632"/>
    <w:rsid w:val="16563FC8"/>
    <w:rsid w:val="16583A87"/>
    <w:rsid w:val="16730DB6"/>
    <w:rsid w:val="169326D4"/>
    <w:rsid w:val="16A15587"/>
    <w:rsid w:val="16B25250"/>
    <w:rsid w:val="16FB7BA5"/>
    <w:rsid w:val="175005C5"/>
    <w:rsid w:val="1757703A"/>
    <w:rsid w:val="17712A16"/>
    <w:rsid w:val="177C0F09"/>
    <w:rsid w:val="17AE6D52"/>
    <w:rsid w:val="17CD1C16"/>
    <w:rsid w:val="17D96A93"/>
    <w:rsid w:val="189746FE"/>
    <w:rsid w:val="18D246ED"/>
    <w:rsid w:val="18F7519C"/>
    <w:rsid w:val="19263CD4"/>
    <w:rsid w:val="193E05E4"/>
    <w:rsid w:val="195C6635"/>
    <w:rsid w:val="1974012E"/>
    <w:rsid w:val="198C38D3"/>
    <w:rsid w:val="19A86596"/>
    <w:rsid w:val="19DB488C"/>
    <w:rsid w:val="1A266185"/>
    <w:rsid w:val="1A3D0DF0"/>
    <w:rsid w:val="1A6875AD"/>
    <w:rsid w:val="1ADE4596"/>
    <w:rsid w:val="1AF000F5"/>
    <w:rsid w:val="1B6B3C20"/>
    <w:rsid w:val="1B8E0E36"/>
    <w:rsid w:val="1BB417AC"/>
    <w:rsid w:val="1BCA6B98"/>
    <w:rsid w:val="1BDE669C"/>
    <w:rsid w:val="1BE31D2D"/>
    <w:rsid w:val="1C155249"/>
    <w:rsid w:val="1C6568C1"/>
    <w:rsid w:val="1CEF7861"/>
    <w:rsid w:val="1D0A3012"/>
    <w:rsid w:val="1D0A6375"/>
    <w:rsid w:val="1D344C11"/>
    <w:rsid w:val="1D474C36"/>
    <w:rsid w:val="1D550375"/>
    <w:rsid w:val="1D564CD2"/>
    <w:rsid w:val="1DAC0C4B"/>
    <w:rsid w:val="1DCA3AFF"/>
    <w:rsid w:val="1DD51824"/>
    <w:rsid w:val="1DDF0828"/>
    <w:rsid w:val="1DE33F41"/>
    <w:rsid w:val="1DE43E33"/>
    <w:rsid w:val="1E006704"/>
    <w:rsid w:val="1E08026F"/>
    <w:rsid w:val="1E200A3C"/>
    <w:rsid w:val="1E3F335A"/>
    <w:rsid w:val="1E461C89"/>
    <w:rsid w:val="1E6037E4"/>
    <w:rsid w:val="1E6729E0"/>
    <w:rsid w:val="1E6A4663"/>
    <w:rsid w:val="1E780D27"/>
    <w:rsid w:val="1E844324"/>
    <w:rsid w:val="1EC260BF"/>
    <w:rsid w:val="1ED751CE"/>
    <w:rsid w:val="1EE14925"/>
    <w:rsid w:val="1F010B23"/>
    <w:rsid w:val="1F024892"/>
    <w:rsid w:val="1F334895"/>
    <w:rsid w:val="1F356A1F"/>
    <w:rsid w:val="1F4E188E"/>
    <w:rsid w:val="1F636C86"/>
    <w:rsid w:val="1F69491A"/>
    <w:rsid w:val="1F720B33"/>
    <w:rsid w:val="1F9F21F4"/>
    <w:rsid w:val="2005549A"/>
    <w:rsid w:val="2027131F"/>
    <w:rsid w:val="202B0CA0"/>
    <w:rsid w:val="203E5DA7"/>
    <w:rsid w:val="20A3117D"/>
    <w:rsid w:val="20BB2F90"/>
    <w:rsid w:val="20C847C5"/>
    <w:rsid w:val="20DA3C69"/>
    <w:rsid w:val="21080B1F"/>
    <w:rsid w:val="21246D4B"/>
    <w:rsid w:val="2138748F"/>
    <w:rsid w:val="2144179D"/>
    <w:rsid w:val="21511635"/>
    <w:rsid w:val="217952E8"/>
    <w:rsid w:val="217A4B95"/>
    <w:rsid w:val="217F6677"/>
    <w:rsid w:val="219D2C2E"/>
    <w:rsid w:val="220F79FB"/>
    <w:rsid w:val="223236E9"/>
    <w:rsid w:val="22370CEE"/>
    <w:rsid w:val="223B6FB4"/>
    <w:rsid w:val="226C6BFB"/>
    <w:rsid w:val="22747619"/>
    <w:rsid w:val="22AA14D2"/>
    <w:rsid w:val="231D38A1"/>
    <w:rsid w:val="2343517C"/>
    <w:rsid w:val="234E4553"/>
    <w:rsid w:val="23625080"/>
    <w:rsid w:val="23B5012E"/>
    <w:rsid w:val="23BC14BC"/>
    <w:rsid w:val="23DC56BB"/>
    <w:rsid w:val="23EB4896"/>
    <w:rsid w:val="23EC5768"/>
    <w:rsid w:val="242C63AF"/>
    <w:rsid w:val="243C7F7C"/>
    <w:rsid w:val="24994F1C"/>
    <w:rsid w:val="249D12EE"/>
    <w:rsid w:val="24B93C4E"/>
    <w:rsid w:val="24BC54EC"/>
    <w:rsid w:val="24EE1D3D"/>
    <w:rsid w:val="24FF2E0C"/>
    <w:rsid w:val="250160E4"/>
    <w:rsid w:val="257F4BA7"/>
    <w:rsid w:val="25A03B85"/>
    <w:rsid w:val="25A35AF9"/>
    <w:rsid w:val="25B06295"/>
    <w:rsid w:val="25C47954"/>
    <w:rsid w:val="25F3318F"/>
    <w:rsid w:val="25F82554"/>
    <w:rsid w:val="25FE400E"/>
    <w:rsid w:val="26176029"/>
    <w:rsid w:val="26890340"/>
    <w:rsid w:val="26CA3EF0"/>
    <w:rsid w:val="26D829E9"/>
    <w:rsid w:val="26DC4422"/>
    <w:rsid w:val="270E3DDA"/>
    <w:rsid w:val="27437FB3"/>
    <w:rsid w:val="2755685C"/>
    <w:rsid w:val="27653FCF"/>
    <w:rsid w:val="278A18D2"/>
    <w:rsid w:val="27C070C8"/>
    <w:rsid w:val="27C54FD8"/>
    <w:rsid w:val="27D33279"/>
    <w:rsid w:val="2829733C"/>
    <w:rsid w:val="28311D49"/>
    <w:rsid w:val="28945FDD"/>
    <w:rsid w:val="291458F7"/>
    <w:rsid w:val="29381B18"/>
    <w:rsid w:val="296A3769"/>
    <w:rsid w:val="29AB2E7C"/>
    <w:rsid w:val="29C73EC4"/>
    <w:rsid w:val="29D301FB"/>
    <w:rsid w:val="29F80D74"/>
    <w:rsid w:val="2A120694"/>
    <w:rsid w:val="2A157A87"/>
    <w:rsid w:val="2A720E15"/>
    <w:rsid w:val="2A9E5653"/>
    <w:rsid w:val="2AB40FBA"/>
    <w:rsid w:val="2AB56C65"/>
    <w:rsid w:val="2AFB4FC0"/>
    <w:rsid w:val="2B086963"/>
    <w:rsid w:val="2B4029D3"/>
    <w:rsid w:val="2B4C581C"/>
    <w:rsid w:val="2B59046A"/>
    <w:rsid w:val="2B6D7540"/>
    <w:rsid w:val="2B793AD0"/>
    <w:rsid w:val="2BA03472"/>
    <w:rsid w:val="2BA230D5"/>
    <w:rsid w:val="2BB55F54"/>
    <w:rsid w:val="2BD30FEC"/>
    <w:rsid w:val="2BE64D82"/>
    <w:rsid w:val="2C31056E"/>
    <w:rsid w:val="2C532F64"/>
    <w:rsid w:val="2CBF3DCB"/>
    <w:rsid w:val="2CE24D39"/>
    <w:rsid w:val="2D3C0B12"/>
    <w:rsid w:val="2D957D90"/>
    <w:rsid w:val="2D9C7CB7"/>
    <w:rsid w:val="2DB969CB"/>
    <w:rsid w:val="2DF6381D"/>
    <w:rsid w:val="2E171F3E"/>
    <w:rsid w:val="2E4567ED"/>
    <w:rsid w:val="2EB37960"/>
    <w:rsid w:val="2F1070AD"/>
    <w:rsid w:val="2F644883"/>
    <w:rsid w:val="2F695895"/>
    <w:rsid w:val="2FFB3907"/>
    <w:rsid w:val="300817B1"/>
    <w:rsid w:val="304F5466"/>
    <w:rsid w:val="3094022D"/>
    <w:rsid w:val="30B76426"/>
    <w:rsid w:val="30CE0A81"/>
    <w:rsid w:val="30DB79A2"/>
    <w:rsid w:val="31064B21"/>
    <w:rsid w:val="310B3A83"/>
    <w:rsid w:val="3118455F"/>
    <w:rsid w:val="31241085"/>
    <w:rsid w:val="318D6246"/>
    <w:rsid w:val="31B23EFF"/>
    <w:rsid w:val="31F707AD"/>
    <w:rsid w:val="3212499D"/>
    <w:rsid w:val="32534AFB"/>
    <w:rsid w:val="329E432A"/>
    <w:rsid w:val="32B43FFA"/>
    <w:rsid w:val="32CE2FBA"/>
    <w:rsid w:val="32D22AAA"/>
    <w:rsid w:val="32D7408D"/>
    <w:rsid w:val="32D767CD"/>
    <w:rsid w:val="32F739AF"/>
    <w:rsid w:val="330F5E0E"/>
    <w:rsid w:val="3321610D"/>
    <w:rsid w:val="335214F5"/>
    <w:rsid w:val="33782F14"/>
    <w:rsid w:val="33B45D0C"/>
    <w:rsid w:val="33C1460E"/>
    <w:rsid w:val="33FB393B"/>
    <w:rsid w:val="34012F1B"/>
    <w:rsid w:val="34060532"/>
    <w:rsid w:val="342804A8"/>
    <w:rsid w:val="34285A1D"/>
    <w:rsid w:val="343F215A"/>
    <w:rsid w:val="34602FDD"/>
    <w:rsid w:val="34711E4F"/>
    <w:rsid w:val="348953EB"/>
    <w:rsid w:val="35021C06"/>
    <w:rsid w:val="35215623"/>
    <w:rsid w:val="35474AB0"/>
    <w:rsid w:val="35490860"/>
    <w:rsid w:val="356572FF"/>
    <w:rsid w:val="356D6ABA"/>
    <w:rsid w:val="357240D1"/>
    <w:rsid w:val="35BD2D58"/>
    <w:rsid w:val="35C80F4A"/>
    <w:rsid w:val="36000BAC"/>
    <w:rsid w:val="36851D82"/>
    <w:rsid w:val="368E78A4"/>
    <w:rsid w:val="36A40ED5"/>
    <w:rsid w:val="36BB3856"/>
    <w:rsid w:val="36C24BE4"/>
    <w:rsid w:val="37040D59"/>
    <w:rsid w:val="372E0EA9"/>
    <w:rsid w:val="373A6E70"/>
    <w:rsid w:val="373E256E"/>
    <w:rsid w:val="375A7D60"/>
    <w:rsid w:val="38174ABC"/>
    <w:rsid w:val="381A5444"/>
    <w:rsid w:val="3852678F"/>
    <w:rsid w:val="38544E94"/>
    <w:rsid w:val="389C3213"/>
    <w:rsid w:val="38A55CCB"/>
    <w:rsid w:val="38A87E0A"/>
    <w:rsid w:val="38D53666"/>
    <w:rsid w:val="38DF5FF4"/>
    <w:rsid w:val="390A56A6"/>
    <w:rsid w:val="39496281"/>
    <w:rsid w:val="396D0A5D"/>
    <w:rsid w:val="39BC2840"/>
    <w:rsid w:val="39C66799"/>
    <w:rsid w:val="39CE47E2"/>
    <w:rsid w:val="39F92A6F"/>
    <w:rsid w:val="39FA7ED0"/>
    <w:rsid w:val="3A1439A9"/>
    <w:rsid w:val="3A283FE8"/>
    <w:rsid w:val="3A4006B6"/>
    <w:rsid w:val="3A8E6F9B"/>
    <w:rsid w:val="3AC906C7"/>
    <w:rsid w:val="3AD508FF"/>
    <w:rsid w:val="3AD60C5E"/>
    <w:rsid w:val="3AE35129"/>
    <w:rsid w:val="3AF72974"/>
    <w:rsid w:val="3AF8522A"/>
    <w:rsid w:val="3B032F65"/>
    <w:rsid w:val="3B3836C7"/>
    <w:rsid w:val="3B665FE4"/>
    <w:rsid w:val="3B6E0E96"/>
    <w:rsid w:val="3BAC0116"/>
    <w:rsid w:val="3BF61B6B"/>
    <w:rsid w:val="3CD967E3"/>
    <w:rsid w:val="3D3F6F8E"/>
    <w:rsid w:val="3D4311FF"/>
    <w:rsid w:val="3D5F336D"/>
    <w:rsid w:val="3D9F7F70"/>
    <w:rsid w:val="3DD2254E"/>
    <w:rsid w:val="3E0F3DFA"/>
    <w:rsid w:val="3E287A22"/>
    <w:rsid w:val="3E62459E"/>
    <w:rsid w:val="3E670497"/>
    <w:rsid w:val="3EBF1323"/>
    <w:rsid w:val="3EC139D3"/>
    <w:rsid w:val="3EC83776"/>
    <w:rsid w:val="3EEE1ACD"/>
    <w:rsid w:val="3EF2616B"/>
    <w:rsid w:val="3F3D7BE8"/>
    <w:rsid w:val="3F514D57"/>
    <w:rsid w:val="3F7136A4"/>
    <w:rsid w:val="3F724CCD"/>
    <w:rsid w:val="3F731171"/>
    <w:rsid w:val="3F850EA5"/>
    <w:rsid w:val="3FA23805"/>
    <w:rsid w:val="3FE47979"/>
    <w:rsid w:val="3FE65E29"/>
    <w:rsid w:val="3FF83425"/>
    <w:rsid w:val="401A15ED"/>
    <w:rsid w:val="40330DC7"/>
    <w:rsid w:val="403F2748"/>
    <w:rsid w:val="406C6823"/>
    <w:rsid w:val="40C003E6"/>
    <w:rsid w:val="40E340D5"/>
    <w:rsid w:val="41032081"/>
    <w:rsid w:val="412C6F00"/>
    <w:rsid w:val="41364AFC"/>
    <w:rsid w:val="413A31F9"/>
    <w:rsid w:val="413E0889"/>
    <w:rsid w:val="414508EB"/>
    <w:rsid w:val="41553829"/>
    <w:rsid w:val="415A335D"/>
    <w:rsid w:val="41C924BE"/>
    <w:rsid w:val="41CC3E0D"/>
    <w:rsid w:val="41E2613A"/>
    <w:rsid w:val="420F6482"/>
    <w:rsid w:val="42565831"/>
    <w:rsid w:val="42615C57"/>
    <w:rsid w:val="42672AE3"/>
    <w:rsid w:val="426D5376"/>
    <w:rsid w:val="42A25795"/>
    <w:rsid w:val="42AE24C0"/>
    <w:rsid w:val="42C6780A"/>
    <w:rsid w:val="42E859D2"/>
    <w:rsid w:val="430B7913"/>
    <w:rsid w:val="4363143A"/>
    <w:rsid w:val="43804D7D"/>
    <w:rsid w:val="438C45B0"/>
    <w:rsid w:val="4392593E"/>
    <w:rsid w:val="439A35C1"/>
    <w:rsid w:val="43D16466"/>
    <w:rsid w:val="43DB1093"/>
    <w:rsid w:val="440A64FC"/>
    <w:rsid w:val="440E6370"/>
    <w:rsid w:val="443338EB"/>
    <w:rsid w:val="443B7384"/>
    <w:rsid w:val="44572BAD"/>
    <w:rsid w:val="446948F1"/>
    <w:rsid w:val="44A8440D"/>
    <w:rsid w:val="44AE2FAC"/>
    <w:rsid w:val="44BD3D13"/>
    <w:rsid w:val="44C77869"/>
    <w:rsid w:val="44D86B0F"/>
    <w:rsid w:val="451F4B5A"/>
    <w:rsid w:val="451F76A5"/>
    <w:rsid w:val="45502DF4"/>
    <w:rsid w:val="45A03C97"/>
    <w:rsid w:val="45F621B4"/>
    <w:rsid w:val="46113D93"/>
    <w:rsid w:val="47042796"/>
    <w:rsid w:val="47107AE3"/>
    <w:rsid w:val="47150D60"/>
    <w:rsid w:val="471F789C"/>
    <w:rsid w:val="47387EEE"/>
    <w:rsid w:val="473B62CD"/>
    <w:rsid w:val="47491AA3"/>
    <w:rsid w:val="47777325"/>
    <w:rsid w:val="47B642F1"/>
    <w:rsid w:val="47B73EFD"/>
    <w:rsid w:val="47E82371"/>
    <w:rsid w:val="47F6649C"/>
    <w:rsid w:val="48050C10"/>
    <w:rsid w:val="4856661B"/>
    <w:rsid w:val="48745EA2"/>
    <w:rsid w:val="48A63035"/>
    <w:rsid w:val="48B268BC"/>
    <w:rsid w:val="48F26525"/>
    <w:rsid w:val="48F85A1F"/>
    <w:rsid w:val="492E6109"/>
    <w:rsid w:val="494C2489"/>
    <w:rsid w:val="49520049"/>
    <w:rsid w:val="495E69EE"/>
    <w:rsid w:val="495F61BC"/>
    <w:rsid w:val="49913EE5"/>
    <w:rsid w:val="49A628EB"/>
    <w:rsid w:val="49C80690"/>
    <w:rsid w:val="49CF51F6"/>
    <w:rsid w:val="49D81F4E"/>
    <w:rsid w:val="49E33E58"/>
    <w:rsid w:val="4A070E34"/>
    <w:rsid w:val="4A076836"/>
    <w:rsid w:val="4A0F309F"/>
    <w:rsid w:val="4A5E483E"/>
    <w:rsid w:val="4A6873F9"/>
    <w:rsid w:val="4AF40FA1"/>
    <w:rsid w:val="4B092247"/>
    <w:rsid w:val="4B216D41"/>
    <w:rsid w:val="4B2C6678"/>
    <w:rsid w:val="4B566323"/>
    <w:rsid w:val="4B7D3DB5"/>
    <w:rsid w:val="4BA505DB"/>
    <w:rsid w:val="4BC012FC"/>
    <w:rsid w:val="4BC468B1"/>
    <w:rsid w:val="4BDD5354"/>
    <w:rsid w:val="4C1C3DD6"/>
    <w:rsid w:val="4C435792"/>
    <w:rsid w:val="4C46376A"/>
    <w:rsid w:val="4C922D42"/>
    <w:rsid w:val="4CAA3EC8"/>
    <w:rsid w:val="4CAF21BE"/>
    <w:rsid w:val="4CB1386B"/>
    <w:rsid w:val="4D2F41FE"/>
    <w:rsid w:val="4D8125CD"/>
    <w:rsid w:val="4DD97DFE"/>
    <w:rsid w:val="4E12677C"/>
    <w:rsid w:val="4E377F20"/>
    <w:rsid w:val="4E404214"/>
    <w:rsid w:val="4E742810"/>
    <w:rsid w:val="4E796039"/>
    <w:rsid w:val="4EA50C1B"/>
    <w:rsid w:val="4ED25E20"/>
    <w:rsid w:val="4F2215AD"/>
    <w:rsid w:val="4F275B37"/>
    <w:rsid w:val="4F493C9D"/>
    <w:rsid w:val="4F5166AD"/>
    <w:rsid w:val="4F7F29EB"/>
    <w:rsid w:val="4F8F0E05"/>
    <w:rsid w:val="4F9C7485"/>
    <w:rsid w:val="4FA669F9"/>
    <w:rsid w:val="4FA85AF4"/>
    <w:rsid w:val="4FAA2D7A"/>
    <w:rsid w:val="4FC27377"/>
    <w:rsid w:val="4FD32219"/>
    <w:rsid w:val="500E7377"/>
    <w:rsid w:val="502C7D55"/>
    <w:rsid w:val="506D3493"/>
    <w:rsid w:val="506D7517"/>
    <w:rsid w:val="509176A9"/>
    <w:rsid w:val="50F87728"/>
    <w:rsid w:val="516058E2"/>
    <w:rsid w:val="519C3396"/>
    <w:rsid w:val="51C96F80"/>
    <w:rsid w:val="5249616C"/>
    <w:rsid w:val="52737F61"/>
    <w:rsid w:val="528F17AD"/>
    <w:rsid w:val="5292702A"/>
    <w:rsid w:val="529D6834"/>
    <w:rsid w:val="52F92B19"/>
    <w:rsid w:val="53075C2D"/>
    <w:rsid w:val="53B35B89"/>
    <w:rsid w:val="53EC4BF7"/>
    <w:rsid w:val="53EC5BF6"/>
    <w:rsid w:val="53F464D0"/>
    <w:rsid w:val="53F97C37"/>
    <w:rsid w:val="546155E5"/>
    <w:rsid w:val="547F3CBD"/>
    <w:rsid w:val="549D0A75"/>
    <w:rsid w:val="54E12281"/>
    <w:rsid w:val="54E82872"/>
    <w:rsid w:val="55014365"/>
    <w:rsid w:val="55271960"/>
    <w:rsid w:val="559E63C4"/>
    <w:rsid w:val="55C91693"/>
    <w:rsid w:val="55DA73FC"/>
    <w:rsid w:val="569839F3"/>
    <w:rsid w:val="56A5447A"/>
    <w:rsid w:val="56D4209E"/>
    <w:rsid w:val="56F05104"/>
    <w:rsid w:val="57541431"/>
    <w:rsid w:val="57792810"/>
    <w:rsid w:val="578660ED"/>
    <w:rsid w:val="578B7877"/>
    <w:rsid w:val="5794409B"/>
    <w:rsid w:val="57E82409"/>
    <w:rsid w:val="57F55992"/>
    <w:rsid w:val="583767B6"/>
    <w:rsid w:val="585148E1"/>
    <w:rsid w:val="58545BAD"/>
    <w:rsid w:val="585965FA"/>
    <w:rsid w:val="589B6E14"/>
    <w:rsid w:val="58E749CF"/>
    <w:rsid w:val="59101387"/>
    <w:rsid w:val="593212FE"/>
    <w:rsid w:val="594A0CAC"/>
    <w:rsid w:val="594F1EAF"/>
    <w:rsid w:val="598F32A9"/>
    <w:rsid w:val="599124C8"/>
    <w:rsid w:val="59B61F2F"/>
    <w:rsid w:val="59D625D1"/>
    <w:rsid w:val="5A11284A"/>
    <w:rsid w:val="5A3E471D"/>
    <w:rsid w:val="5AD85ED5"/>
    <w:rsid w:val="5ADD34EB"/>
    <w:rsid w:val="5AFB30FD"/>
    <w:rsid w:val="5B164E85"/>
    <w:rsid w:val="5B305D11"/>
    <w:rsid w:val="5B7C6351"/>
    <w:rsid w:val="5BD9237D"/>
    <w:rsid w:val="5BEA5EBF"/>
    <w:rsid w:val="5BFB3C44"/>
    <w:rsid w:val="5C013209"/>
    <w:rsid w:val="5C5F50E3"/>
    <w:rsid w:val="5CD06305"/>
    <w:rsid w:val="5D0134C1"/>
    <w:rsid w:val="5D1C0052"/>
    <w:rsid w:val="5D245401"/>
    <w:rsid w:val="5D7A3273"/>
    <w:rsid w:val="5D8F31C2"/>
    <w:rsid w:val="5DA00BC1"/>
    <w:rsid w:val="5DA414A8"/>
    <w:rsid w:val="5DA56542"/>
    <w:rsid w:val="5DC331FB"/>
    <w:rsid w:val="5DC50992"/>
    <w:rsid w:val="5E084D23"/>
    <w:rsid w:val="5E624433"/>
    <w:rsid w:val="5E6E102A"/>
    <w:rsid w:val="5EDF5A84"/>
    <w:rsid w:val="5EF579F3"/>
    <w:rsid w:val="5F0C36BB"/>
    <w:rsid w:val="5F326635"/>
    <w:rsid w:val="5F6652E9"/>
    <w:rsid w:val="5F7062A4"/>
    <w:rsid w:val="5F781B6D"/>
    <w:rsid w:val="5F873296"/>
    <w:rsid w:val="5F8C403F"/>
    <w:rsid w:val="5FC0209B"/>
    <w:rsid w:val="5FE62E42"/>
    <w:rsid w:val="5FEE331E"/>
    <w:rsid w:val="602F575C"/>
    <w:rsid w:val="60365B77"/>
    <w:rsid w:val="60561D95"/>
    <w:rsid w:val="608B62B2"/>
    <w:rsid w:val="609411A4"/>
    <w:rsid w:val="60EB5DD7"/>
    <w:rsid w:val="61293E55"/>
    <w:rsid w:val="61657CEA"/>
    <w:rsid w:val="616A4C51"/>
    <w:rsid w:val="61B612BE"/>
    <w:rsid w:val="61E37639"/>
    <w:rsid w:val="629628FD"/>
    <w:rsid w:val="62EF05ED"/>
    <w:rsid w:val="62F15D85"/>
    <w:rsid w:val="633B34A5"/>
    <w:rsid w:val="63C30CF3"/>
    <w:rsid w:val="63C77EDB"/>
    <w:rsid w:val="63CE60C7"/>
    <w:rsid w:val="63DA0EDD"/>
    <w:rsid w:val="63E34F0E"/>
    <w:rsid w:val="641937E6"/>
    <w:rsid w:val="642E78D8"/>
    <w:rsid w:val="64446389"/>
    <w:rsid w:val="647C2ADA"/>
    <w:rsid w:val="649A7A05"/>
    <w:rsid w:val="64B13A1E"/>
    <w:rsid w:val="651915C4"/>
    <w:rsid w:val="651A3F0B"/>
    <w:rsid w:val="65261295"/>
    <w:rsid w:val="652A4208"/>
    <w:rsid w:val="655774EE"/>
    <w:rsid w:val="659A4256"/>
    <w:rsid w:val="65B42D41"/>
    <w:rsid w:val="65DD1017"/>
    <w:rsid w:val="66074602"/>
    <w:rsid w:val="660B0D74"/>
    <w:rsid w:val="663C1A0D"/>
    <w:rsid w:val="66401BF9"/>
    <w:rsid w:val="6653074D"/>
    <w:rsid w:val="667445FD"/>
    <w:rsid w:val="667A3C82"/>
    <w:rsid w:val="66BC2B4E"/>
    <w:rsid w:val="66C7589F"/>
    <w:rsid w:val="66D7138E"/>
    <w:rsid w:val="671B1623"/>
    <w:rsid w:val="67347036"/>
    <w:rsid w:val="673646AF"/>
    <w:rsid w:val="675A65EF"/>
    <w:rsid w:val="67627252"/>
    <w:rsid w:val="67A54D96"/>
    <w:rsid w:val="67D839B8"/>
    <w:rsid w:val="67E1286C"/>
    <w:rsid w:val="684A273E"/>
    <w:rsid w:val="68715612"/>
    <w:rsid w:val="68B305D5"/>
    <w:rsid w:val="68B603BF"/>
    <w:rsid w:val="68DA010A"/>
    <w:rsid w:val="68DE4FFE"/>
    <w:rsid w:val="68FC7CCC"/>
    <w:rsid w:val="6903254D"/>
    <w:rsid w:val="692A0243"/>
    <w:rsid w:val="692A12BB"/>
    <w:rsid w:val="695121D7"/>
    <w:rsid w:val="69B65803"/>
    <w:rsid w:val="69D361E5"/>
    <w:rsid w:val="69DB0C82"/>
    <w:rsid w:val="6AB04778"/>
    <w:rsid w:val="6ADF0BB9"/>
    <w:rsid w:val="6B0C0FE5"/>
    <w:rsid w:val="6B330E59"/>
    <w:rsid w:val="6B581098"/>
    <w:rsid w:val="6B655563"/>
    <w:rsid w:val="6B7E03D2"/>
    <w:rsid w:val="6BA26034"/>
    <w:rsid w:val="6BB87D88"/>
    <w:rsid w:val="6BBD0EFB"/>
    <w:rsid w:val="6BCF0C2E"/>
    <w:rsid w:val="6BFB4C98"/>
    <w:rsid w:val="6C7131FF"/>
    <w:rsid w:val="6CA07041"/>
    <w:rsid w:val="6CB4125F"/>
    <w:rsid w:val="6CB56076"/>
    <w:rsid w:val="6CBC7404"/>
    <w:rsid w:val="6D2356D5"/>
    <w:rsid w:val="6D49739B"/>
    <w:rsid w:val="6D7777CF"/>
    <w:rsid w:val="6DA5360D"/>
    <w:rsid w:val="6DD616F3"/>
    <w:rsid w:val="6DDD6420"/>
    <w:rsid w:val="6DE60F2E"/>
    <w:rsid w:val="6DF2085E"/>
    <w:rsid w:val="6DFD5F26"/>
    <w:rsid w:val="6E0E3AE0"/>
    <w:rsid w:val="6E855CE3"/>
    <w:rsid w:val="6EAD34A8"/>
    <w:rsid w:val="6EF13C87"/>
    <w:rsid w:val="6F5D174A"/>
    <w:rsid w:val="6F6E2FF8"/>
    <w:rsid w:val="6F8340A0"/>
    <w:rsid w:val="6FD60FB9"/>
    <w:rsid w:val="6FF362BF"/>
    <w:rsid w:val="700D7F77"/>
    <w:rsid w:val="70137AA4"/>
    <w:rsid w:val="701C7146"/>
    <w:rsid w:val="705636CC"/>
    <w:rsid w:val="70671222"/>
    <w:rsid w:val="706856BC"/>
    <w:rsid w:val="70736FE5"/>
    <w:rsid w:val="707E3A8B"/>
    <w:rsid w:val="709813A6"/>
    <w:rsid w:val="70C65B25"/>
    <w:rsid w:val="70D37D5C"/>
    <w:rsid w:val="712612F0"/>
    <w:rsid w:val="71A072F4"/>
    <w:rsid w:val="71D05D75"/>
    <w:rsid w:val="71F17B50"/>
    <w:rsid w:val="721942C2"/>
    <w:rsid w:val="722F0678"/>
    <w:rsid w:val="72355E5E"/>
    <w:rsid w:val="723D3431"/>
    <w:rsid w:val="724D20AF"/>
    <w:rsid w:val="726E4910"/>
    <w:rsid w:val="72763DC3"/>
    <w:rsid w:val="727A5FA4"/>
    <w:rsid w:val="72C840F4"/>
    <w:rsid w:val="72CC5EC7"/>
    <w:rsid w:val="72F21DBC"/>
    <w:rsid w:val="731E3759"/>
    <w:rsid w:val="7334639B"/>
    <w:rsid w:val="73515143"/>
    <w:rsid w:val="73546986"/>
    <w:rsid w:val="736A70E7"/>
    <w:rsid w:val="7398385B"/>
    <w:rsid w:val="73B13A3B"/>
    <w:rsid w:val="73BF3510"/>
    <w:rsid w:val="73DC0835"/>
    <w:rsid w:val="742354A8"/>
    <w:rsid w:val="749D3FBF"/>
    <w:rsid w:val="749F55EB"/>
    <w:rsid w:val="74BA5640"/>
    <w:rsid w:val="74E50F73"/>
    <w:rsid w:val="74FD05BA"/>
    <w:rsid w:val="751D1E9F"/>
    <w:rsid w:val="75381513"/>
    <w:rsid w:val="756473E7"/>
    <w:rsid w:val="7569258E"/>
    <w:rsid w:val="756E3266"/>
    <w:rsid w:val="758D62B1"/>
    <w:rsid w:val="75A7498C"/>
    <w:rsid w:val="75E50365"/>
    <w:rsid w:val="75E86628"/>
    <w:rsid w:val="75FA3A1A"/>
    <w:rsid w:val="75FD6934"/>
    <w:rsid w:val="7643534A"/>
    <w:rsid w:val="765B7C8E"/>
    <w:rsid w:val="76B455F0"/>
    <w:rsid w:val="76B80C3C"/>
    <w:rsid w:val="76BB24F6"/>
    <w:rsid w:val="76CE7BDA"/>
    <w:rsid w:val="76D611AB"/>
    <w:rsid w:val="76E618C8"/>
    <w:rsid w:val="76E71522"/>
    <w:rsid w:val="76FA503D"/>
    <w:rsid w:val="76FB1360"/>
    <w:rsid w:val="771234A5"/>
    <w:rsid w:val="773A18A9"/>
    <w:rsid w:val="774226B2"/>
    <w:rsid w:val="77626189"/>
    <w:rsid w:val="77B3120C"/>
    <w:rsid w:val="77C82080"/>
    <w:rsid w:val="77D05759"/>
    <w:rsid w:val="77EF68E0"/>
    <w:rsid w:val="77FA25DB"/>
    <w:rsid w:val="781B78E5"/>
    <w:rsid w:val="782642CC"/>
    <w:rsid w:val="782878D8"/>
    <w:rsid w:val="78F16688"/>
    <w:rsid w:val="78F45C2F"/>
    <w:rsid w:val="78F86174"/>
    <w:rsid w:val="792C76C0"/>
    <w:rsid w:val="79984D55"/>
    <w:rsid w:val="79BC4E00"/>
    <w:rsid w:val="79CE2867"/>
    <w:rsid w:val="79CF115C"/>
    <w:rsid w:val="79D43B79"/>
    <w:rsid w:val="79DA711C"/>
    <w:rsid w:val="79E00B0E"/>
    <w:rsid w:val="7A1563A6"/>
    <w:rsid w:val="7A265F1B"/>
    <w:rsid w:val="7A6A04A0"/>
    <w:rsid w:val="7A9B3D65"/>
    <w:rsid w:val="7AA433B1"/>
    <w:rsid w:val="7AAD4830"/>
    <w:rsid w:val="7ACB3A3E"/>
    <w:rsid w:val="7B082483"/>
    <w:rsid w:val="7BDF7C5F"/>
    <w:rsid w:val="7BE75B20"/>
    <w:rsid w:val="7BE9206A"/>
    <w:rsid w:val="7C35301B"/>
    <w:rsid w:val="7C666AC1"/>
    <w:rsid w:val="7C942B1D"/>
    <w:rsid w:val="7CD04806"/>
    <w:rsid w:val="7CDC2397"/>
    <w:rsid w:val="7CE42605"/>
    <w:rsid w:val="7D2D3A06"/>
    <w:rsid w:val="7D423956"/>
    <w:rsid w:val="7D5D253D"/>
    <w:rsid w:val="7D6954C8"/>
    <w:rsid w:val="7D713C3B"/>
    <w:rsid w:val="7D714C77"/>
    <w:rsid w:val="7DA7542E"/>
    <w:rsid w:val="7DBD36FA"/>
    <w:rsid w:val="7DEE73DE"/>
    <w:rsid w:val="7E372025"/>
    <w:rsid w:val="7E6726D9"/>
    <w:rsid w:val="7E9F10B2"/>
    <w:rsid w:val="7EA63A70"/>
    <w:rsid w:val="7EA8133B"/>
    <w:rsid w:val="7EB21A4C"/>
    <w:rsid w:val="7EB40C0B"/>
    <w:rsid w:val="7EB66CDA"/>
    <w:rsid w:val="7F471DFC"/>
    <w:rsid w:val="7F736048"/>
    <w:rsid w:val="7F815F12"/>
    <w:rsid w:val="7FA062CB"/>
    <w:rsid w:val="7FA42517"/>
    <w:rsid w:val="7FBA70B5"/>
    <w:rsid w:val="7FC91371"/>
    <w:rsid w:val="7FD5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03C8C1"/>
  <w15:docId w15:val="{D4465297-E9EF-45BE-A196-84B526BC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unhideWhenUsed="1" w:qFormat="1"/>
    <w:lsdException w:name="header" w:uiPriority="0" w:unhideWhenUsed="1" w:qFormat="1"/>
    <w:lsdException w:name="footer" w:uiPriority="0" w:unhideWhenUsed="1" w:qFormat="1"/>
    <w:lsdException w:name="index heading" w:uiPriority="0"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textAlignment w:val="center"/>
    </w:pPr>
    <w:rPr>
      <w:rFonts w:cstheme="minorBidi"/>
      <w:kern w:val="2"/>
      <w:sz w:val="24"/>
      <w:szCs w:val="22"/>
    </w:rPr>
  </w:style>
  <w:style w:type="paragraph" w:styleId="1">
    <w:name w:val="heading 1"/>
    <w:basedOn w:val="a"/>
    <w:next w:val="a"/>
    <w:link w:val="10"/>
    <w:qFormat/>
    <w:pPr>
      <w:keepNext/>
      <w:keepLines/>
      <w:spacing w:before="240" w:after="120" w:line="240" w:lineRule="auto"/>
      <w:ind w:firstLineChars="0" w:firstLine="0"/>
      <w:jc w:val="left"/>
      <w:outlineLvl w:val="0"/>
    </w:pPr>
    <w:rPr>
      <w:b/>
      <w:bCs/>
      <w:kern w:val="44"/>
      <w:sz w:val="28"/>
      <w:szCs w:val="44"/>
    </w:rPr>
  </w:style>
  <w:style w:type="paragraph" w:styleId="2">
    <w:name w:val="heading 2"/>
    <w:basedOn w:val="a"/>
    <w:next w:val="a"/>
    <w:link w:val="20"/>
    <w:uiPriority w:val="9"/>
    <w:unhideWhenUsed/>
    <w:qFormat/>
    <w:pPr>
      <w:keepNext/>
      <w:keepLines/>
      <w:spacing w:before="120" w:after="60" w:line="240" w:lineRule="auto"/>
      <w:ind w:firstLineChars="0" w:firstLine="0"/>
      <w:outlineLvl w:val="1"/>
    </w:pPr>
    <w:rPr>
      <w:rFonts w:cstheme="majorBidi"/>
      <w:b/>
      <w:bCs/>
      <w:szCs w:val="32"/>
    </w:rPr>
  </w:style>
  <w:style w:type="paragraph" w:styleId="3">
    <w:name w:val="heading 3"/>
    <w:basedOn w:val="a"/>
    <w:next w:val="a"/>
    <w:link w:val="30"/>
    <w:unhideWhenUsed/>
    <w:qFormat/>
    <w:pPr>
      <w:keepNext/>
      <w:keepLines/>
      <w:spacing w:before="120" w:after="60" w:line="240" w:lineRule="auto"/>
      <w:ind w:firstLineChars="0" w:firstLine="0"/>
      <w:outlineLvl w:val="2"/>
    </w:pPr>
    <w:rPr>
      <w:b/>
      <w:bCs/>
      <w:szCs w:val="32"/>
    </w:rPr>
  </w:style>
  <w:style w:type="paragraph" w:styleId="4">
    <w:name w:val="heading 4"/>
    <w:basedOn w:val="a"/>
    <w:next w:val="a"/>
    <w:link w:val="40"/>
    <w:uiPriority w:val="9"/>
    <w:unhideWhenUsed/>
    <w:qFormat/>
    <w:pPr>
      <w:keepNext/>
      <w:keepLines/>
      <w:spacing w:before="120" w:after="60" w:line="240" w:lineRule="auto"/>
      <w:ind w:firstLineChars="0" w:firstLine="0"/>
      <w:outlineLvl w:val="3"/>
    </w:pPr>
    <w:rPr>
      <w:rFonts w:cstheme="majorBidi"/>
      <w:b/>
      <w:bCs/>
      <w:szCs w:val="28"/>
    </w:rPr>
  </w:style>
  <w:style w:type="paragraph" w:styleId="50">
    <w:name w:val="heading 5"/>
    <w:basedOn w:val="a"/>
    <w:next w:val="a"/>
    <w:link w:val="51"/>
    <w:uiPriority w:val="9"/>
    <w:unhideWhenUsed/>
    <w:qFormat/>
    <w:pPr>
      <w:keepNext/>
      <w:keepLines/>
      <w:autoSpaceDE w:val="0"/>
      <w:autoSpaceDN w:val="0"/>
      <w:spacing w:before="280" w:after="290" w:line="376" w:lineRule="auto"/>
      <w:ind w:firstLineChars="0" w:firstLine="0"/>
      <w:jc w:val="left"/>
      <w:textAlignment w:val="auto"/>
      <w:outlineLvl w:val="4"/>
    </w:pPr>
    <w:rPr>
      <w:rFonts w:ascii="宋体" w:hAnsi="宋体" w:cs="宋体"/>
      <w:b/>
      <w:bCs/>
      <w:kern w:val="0"/>
      <w:sz w:val="28"/>
      <w:szCs w:val="28"/>
      <w:lang w:eastAsia="en-US"/>
    </w:rPr>
  </w:style>
  <w:style w:type="paragraph" w:styleId="6">
    <w:name w:val="heading 6"/>
    <w:basedOn w:val="a"/>
    <w:next w:val="a"/>
    <w:link w:val="60"/>
    <w:uiPriority w:val="9"/>
    <w:unhideWhenUsed/>
    <w:qFormat/>
    <w:pPr>
      <w:keepNext/>
      <w:keepLines/>
      <w:autoSpaceDE w:val="0"/>
      <w:autoSpaceDN w:val="0"/>
      <w:spacing w:before="240" w:after="64" w:line="320" w:lineRule="auto"/>
      <w:ind w:firstLineChars="0" w:firstLine="0"/>
      <w:jc w:val="left"/>
      <w:textAlignment w:val="auto"/>
      <w:outlineLvl w:val="5"/>
    </w:pPr>
    <w:rPr>
      <w:rFonts w:asciiTheme="majorHAnsi" w:eastAsiaTheme="majorEastAsia" w:hAnsiTheme="majorHAnsi" w:cstheme="majorBidi"/>
      <w:b/>
      <w:bCs/>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autoRedefine/>
    <w:qFormat/>
    <w:pPr>
      <w:adjustRightInd w:val="0"/>
      <w:snapToGrid w:val="0"/>
      <w:ind w:firstLine="420"/>
      <w:textAlignment w:val="auto"/>
    </w:pPr>
    <w:rPr>
      <w:rFonts w:ascii="宋体" w:hAnsi="宋体" w:cs="Times New Roman"/>
      <w:sz w:val="28"/>
      <w:szCs w:val="20"/>
    </w:rPr>
  </w:style>
  <w:style w:type="paragraph" w:styleId="a5">
    <w:name w:val="annotation text"/>
    <w:basedOn w:val="a"/>
    <w:link w:val="a6"/>
    <w:unhideWhenUsed/>
    <w:qFormat/>
    <w:pPr>
      <w:jc w:val="left"/>
      <w:textAlignment w:val="auto"/>
    </w:pPr>
  </w:style>
  <w:style w:type="paragraph" w:styleId="a7">
    <w:name w:val="Body Text"/>
    <w:basedOn w:val="a"/>
    <w:next w:val="5"/>
    <w:link w:val="a8"/>
    <w:uiPriority w:val="1"/>
    <w:qFormat/>
    <w:rPr>
      <w:szCs w:val="24"/>
    </w:rPr>
  </w:style>
  <w:style w:type="paragraph" w:styleId="5">
    <w:name w:val="List Bullet 5"/>
    <w:basedOn w:val="a"/>
    <w:uiPriority w:val="99"/>
    <w:semiHidden/>
    <w:unhideWhenUsed/>
    <w:qFormat/>
    <w:pPr>
      <w:numPr>
        <w:numId w:val="1"/>
      </w:numPr>
    </w:pPr>
  </w:style>
  <w:style w:type="paragraph" w:styleId="a9">
    <w:name w:val="Body Text Indent"/>
    <w:basedOn w:val="a"/>
    <w:next w:val="15"/>
    <w:link w:val="aa"/>
    <w:uiPriority w:val="99"/>
    <w:semiHidden/>
    <w:unhideWhenUsed/>
    <w:qFormat/>
    <w:pPr>
      <w:spacing w:after="120"/>
      <w:ind w:leftChars="200" w:left="420"/>
    </w:pPr>
  </w:style>
  <w:style w:type="paragraph" w:customStyle="1" w:styleId="15">
    <w:name w:val="样式 正文文本缩进 + 行距: 1.5 倍行距"/>
    <w:basedOn w:val="a9"/>
    <w:qFormat/>
    <w:pPr>
      <w:ind w:firstLine="560"/>
    </w:pPr>
    <w:rPr>
      <w:rFonts w:cs="宋体"/>
      <w:sz w:val="28"/>
    </w:rPr>
  </w:style>
  <w:style w:type="paragraph" w:styleId="21">
    <w:name w:val="List 2"/>
    <w:basedOn w:val="a"/>
    <w:uiPriority w:val="99"/>
    <w:semiHidden/>
    <w:unhideWhenUsed/>
    <w:qFormat/>
    <w:pPr>
      <w:ind w:leftChars="200" w:left="100" w:hangingChars="200" w:hanging="200"/>
      <w:contextualSpacing/>
      <w:textAlignment w:val="auto"/>
    </w:pPr>
    <w:rPr>
      <w:rFonts w:cs="Times New Roman"/>
    </w:rPr>
  </w:style>
  <w:style w:type="paragraph" w:styleId="ab">
    <w:name w:val="Date"/>
    <w:basedOn w:val="a"/>
    <w:next w:val="a"/>
    <w:link w:val="ac"/>
    <w:uiPriority w:val="99"/>
    <w:semiHidden/>
    <w:unhideWhenUsed/>
    <w:qFormat/>
    <w:pPr>
      <w:ind w:leftChars="2500" w:left="100"/>
    </w:pPr>
  </w:style>
  <w:style w:type="paragraph" w:styleId="22">
    <w:name w:val="Body Text Indent 2"/>
    <w:basedOn w:val="a"/>
    <w:qFormat/>
    <w:pPr>
      <w:tabs>
        <w:tab w:val="left" w:pos="180"/>
      </w:tabs>
      <w:ind w:firstLine="567"/>
    </w:pPr>
    <w:rPr>
      <w:rFonts w:ascii="宋体" w:hAnsi="宋体"/>
      <w:sz w:val="28"/>
    </w:rPr>
  </w:style>
  <w:style w:type="paragraph" w:styleId="ad">
    <w:name w:val="Balloon Text"/>
    <w:basedOn w:val="a"/>
    <w:link w:val="ae"/>
    <w:unhideWhenUsed/>
    <w:qFormat/>
    <w:pPr>
      <w:spacing w:line="240" w:lineRule="auto"/>
    </w:pPr>
    <w:rPr>
      <w:sz w:val="18"/>
      <w:szCs w:val="18"/>
    </w:rPr>
  </w:style>
  <w:style w:type="paragraph" w:styleId="af">
    <w:name w:val="footer"/>
    <w:basedOn w:val="a"/>
    <w:link w:val="af0"/>
    <w:unhideWhenUsed/>
    <w:qFormat/>
    <w:pPr>
      <w:tabs>
        <w:tab w:val="center" w:pos="4153"/>
        <w:tab w:val="right" w:pos="8306"/>
      </w:tabs>
      <w:snapToGrid w:val="0"/>
      <w:spacing w:line="240" w:lineRule="auto"/>
      <w:jc w:val="left"/>
    </w:pPr>
    <w:rPr>
      <w:sz w:val="18"/>
      <w:szCs w:val="18"/>
    </w:rPr>
  </w:style>
  <w:style w:type="paragraph" w:styleId="af1">
    <w:name w:val="header"/>
    <w:basedOn w:val="a"/>
    <w:next w:val="a"/>
    <w:link w:val="af2"/>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f3">
    <w:name w:val="index heading"/>
    <w:basedOn w:val="a"/>
    <w:next w:val="11"/>
    <w:qFormat/>
  </w:style>
  <w:style w:type="paragraph" w:styleId="11">
    <w:name w:val="index 1"/>
    <w:basedOn w:val="a"/>
    <w:next w:val="a"/>
    <w:qFormat/>
  </w:style>
  <w:style w:type="paragraph" w:styleId="af4">
    <w:name w:val="Subtitle"/>
    <w:basedOn w:val="a"/>
    <w:next w:val="a"/>
    <w:link w:val="af5"/>
    <w:uiPriority w:val="11"/>
    <w:qFormat/>
    <w:pPr>
      <w:spacing w:before="120" w:after="60" w:line="240" w:lineRule="auto"/>
      <w:ind w:firstLineChars="0" w:firstLine="0"/>
      <w:outlineLvl w:val="3"/>
    </w:pPr>
    <w:rPr>
      <w:b/>
      <w:bCs/>
      <w:kern w:val="28"/>
      <w:szCs w:val="32"/>
    </w:rPr>
  </w:style>
  <w:style w:type="paragraph" w:styleId="af6">
    <w:name w:val="List"/>
    <w:basedOn w:val="a"/>
    <w:next w:val="a"/>
    <w:uiPriority w:val="99"/>
    <w:unhideWhenUsed/>
    <w:qFormat/>
    <w:pPr>
      <w:ind w:left="200" w:hangingChars="200" w:hanging="200"/>
      <w:contextualSpacing/>
    </w:pPr>
  </w:style>
  <w:style w:type="paragraph" w:styleId="31">
    <w:name w:val="Body Text Indent 3"/>
    <w:basedOn w:val="a"/>
    <w:link w:val="32"/>
    <w:uiPriority w:val="99"/>
    <w:semiHidden/>
    <w:unhideWhenUsed/>
    <w:qFormat/>
    <w:pPr>
      <w:ind w:leftChars="171" w:left="359" w:firstLine="420"/>
      <w:textAlignment w:val="auto"/>
    </w:pPr>
    <w:rPr>
      <w:rFonts w:cs="Times New Roman"/>
      <w:sz w:val="21"/>
      <w:szCs w:val="24"/>
    </w:rPr>
  </w:style>
  <w:style w:type="paragraph" w:styleId="af7">
    <w:name w:val="Normal (Web)"/>
    <w:basedOn w:val="a"/>
    <w:link w:val="af8"/>
    <w:uiPriority w:val="99"/>
    <w:unhideWhenUsed/>
    <w:qFormat/>
    <w:pPr>
      <w:widowControl/>
      <w:spacing w:before="100" w:beforeAutospacing="1" w:after="100" w:afterAutospacing="1" w:line="240" w:lineRule="auto"/>
      <w:ind w:firstLineChars="0" w:firstLine="0"/>
      <w:jc w:val="left"/>
      <w:textAlignment w:val="auto"/>
    </w:pPr>
    <w:rPr>
      <w:rFonts w:ascii="宋体" w:hAnsi="宋体" w:cs="宋体"/>
      <w:kern w:val="0"/>
      <w:szCs w:val="24"/>
    </w:rPr>
  </w:style>
  <w:style w:type="paragraph" w:styleId="af9">
    <w:name w:val="Title"/>
    <w:basedOn w:val="a"/>
    <w:next w:val="a"/>
    <w:link w:val="afa"/>
    <w:uiPriority w:val="10"/>
    <w:qFormat/>
    <w:pPr>
      <w:spacing w:before="120" w:after="60" w:line="240" w:lineRule="auto"/>
      <w:ind w:firstLineChars="0" w:firstLine="0"/>
      <w:outlineLvl w:val="2"/>
    </w:pPr>
    <w:rPr>
      <w:rFonts w:cstheme="majorBidi"/>
      <w:b/>
      <w:bCs/>
      <w:szCs w:val="32"/>
    </w:rPr>
  </w:style>
  <w:style w:type="paragraph" w:styleId="afb">
    <w:name w:val="annotation subject"/>
    <w:basedOn w:val="a5"/>
    <w:next w:val="a5"/>
    <w:link w:val="afc"/>
    <w:uiPriority w:val="99"/>
    <w:unhideWhenUsed/>
    <w:qFormat/>
    <w:pPr>
      <w:textAlignment w:val="center"/>
    </w:pPr>
    <w:rPr>
      <w:b/>
      <w:bCs/>
    </w:rPr>
  </w:style>
  <w:style w:type="paragraph" w:styleId="afd">
    <w:name w:val="Body Text First Indent"/>
    <w:basedOn w:val="a7"/>
    <w:next w:val="a"/>
    <w:link w:val="afe"/>
    <w:qFormat/>
    <w:pPr>
      <w:ind w:firstLineChars="100" w:firstLine="420"/>
    </w:pPr>
  </w:style>
  <w:style w:type="paragraph" w:styleId="23">
    <w:name w:val="Body Text First Indent 2"/>
    <w:basedOn w:val="a9"/>
    <w:next w:val="a9"/>
    <w:link w:val="24"/>
    <w:uiPriority w:val="99"/>
    <w:unhideWhenUsed/>
    <w:qFormat/>
    <w:pPr>
      <w:ind w:leftChars="0" w:left="0" w:firstLine="480"/>
    </w:pPr>
  </w:style>
  <w:style w:type="table" w:styleId="af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22"/>
    <w:qFormat/>
    <w:rPr>
      <w:b/>
    </w:rPr>
  </w:style>
  <w:style w:type="character" w:styleId="aff1">
    <w:name w:val="FollowedHyperlink"/>
    <w:basedOn w:val="a0"/>
    <w:uiPriority w:val="99"/>
    <w:semiHidden/>
    <w:unhideWhenUsed/>
    <w:qFormat/>
    <w:rPr>
      <w:color w:val="954F72" w:themeColor="followedHyperlink"/>
      <w:u w:val="single"/>
    </w:rPr>
  </w:style>
  <w:style w:type="character" w:styleId="aff2">
    <w:name w:val="Hyperlink"/>
    <w:basedOn w:val="a0"/>
    <w:uiPriority w:val="99"/>
    <w:unhideWhenUsed/>
    <w:qFormat/>
    <w:rPr>
      <w:color w:val="0563C1" w:themeColor="hyperlink"/>
      <w:u w:val="single"/>
    </w:rPr>
  </w:style>
  <w:style w:type="character" w:styleId="HTML">
    <w:name w:val="HTML Code"/>
    <w:basedOn w:val="a0"/>
    <w:uiPriority w:val="99"/>
    <w:semiHidden/>
    <w:unhideWhenUsed/>
    <w:qFormat/>
    <w:rPr>
      <w:rFonts w:ascii="Courier New" w:hAnsi="Courier New"/>
      <w:sz w:val="20"/>
    </w:rPr>
  </w:style>
  <w:style w:type="character" w:styleId="aff3">
    <w:name w:val="annotation reference"/>
    <w:basedOn w:val="a0"/>
    <w:semiHidden/>
    <w:unhideWhenUsed/>
    <w:qFormat/>
    <w:rPr>
      <w:sz w:val="21"/>
      <w:szCs w:val="21"/>
    </w:rPr>
  </w:style>
  <w:style w:type="paragraph" w:styleId="aff4">
    <w:name w:val="No Spacing"/>
    <w:basedOn w:val="af6"/>
    <w:next w:val="a"/>
    <w:link w:val="aff5"/>
    <w:uiPriority w:val="1"/>
    <w:qFormat/>
    <w:pPr>
      <w:spacing w:line="240" w:lineRule="auto"/>
      <w:ind w:left="0" w:firstLineChars="0" w:firstLine="0"/>
      <w:jc w:val="center"/>
    </w:pPr>
    <w:rPr>
      <w:sz w:val="21"/>
    </w:rPr>
  </w:style>
  <w:style w:type="character" w:customStyle="1" w:styleId="10">
    <w:name w:val="标题 1 字符"/>
    <w:basedOn w:val="a0"/>
    <w:link w:val="1"/>
    <w:qFormat/>
    <w:rPr>
      <w:rFonts w:ascii="Times New Roman" w:eastAsia="宋体" w:hAnsi="Times New Roman"/>
      <w:b/>
      <w:bCs/>
      <w:kern w:val="44"/>
      <w:sz w:val="28"/>
      <w:szCs w:val="44"/>
    </w:rPr>
  </w:style>
  <w:style w:type="character" w:customStyle="1" w:styleId="20">
    <w:name w:val="标题 2 字符"/>
    <w:basedOn w:val="a0"/>
    <w:link w:val="2"/>
    <w:uiPriority w:val="9"/>
    <w:qFormat/>
    <w:rPr>
      <w:rFonts w:ascii="Times New Roman" w:eastAsia="宋体" w:hAnsi="Times New Roman" w:cstheme="majorBidi"/>
      <w:b/>
      <w:bCs/>
      <w:sz w:val="24"/>
      <w:szCs w:val="32"/>
    </w:rPr>
  </w:style>
  <w:style w:type="character" w:customStyle="1" w:styleId="afa">
    <w:name w:val="标题 字符"/>
    <w:basedOn w:val="a0"/>
    <w:link w:val="af9"/>
    <w:uiPriority w:val="10"/>
    <w:qFormat/>
    <w:rPr>
      <w:rFonts w:ascii="Times New Roman" w:eastAsia="宋体" w:hAnsi="Times New Roman" w:cstheme="majorBidi"/>
      <w:b/>
      <w:bCs/>
      <w:sz w:val="24"/>
      <w:szCs w:val="32"/>
    </w:rPr>
  </w:style>
  <w:style w:type="character" w:customStyle="1" w:styleId="af5">
    <w:name w:val="副标题 字符"/>
    <w:basedOn w:val="a0"/>
    <w:link w:val="af4"/>
    <w:uiPriority w:val="11"/>
    <w:qFormat/>
    <w:rPr>
      <w:rFonts w:ascii="Times New Roman" w:eastAsia="宋体" w:hAnsi="Times New Roman"/>
      <w:b/>
      <w:bCs/>
      <w:kern w:val="28"/>
      <w:sz w:val="24"/>
      <w:szCs w:val="32"/>
    </w:rPr>
  </w:style>
  <w:style w:type="paragraph" w:customStyle="1" w:styleId="aff6">
    <w:name w:val="表题"/>
    <w:basedOn w:val="a"/>
    <w:next w:val="a"/>
    <w:qFormat/>
    <w:pPr>
      <w:spacing w:beforeLines="50" w:before="50" w:line="240" w:lineRule="auto"/>
      <w:ind w:firstLineChars="0" w:firstLine="0"/>
      <w:jc w:val="center"/>
    </w:pPr>
    <w:rPr>
      <w:b/>
      <w:sz w:val="21"/>
    </w:rPr>
  </w:style>
  <w:style w:type="character" w:customStyle="1" w:styleId="30">
    <w:name w:val="标题 3 字符"/>
    <w:basedOn w:val="a0"/>
    <w:link w:val="3"/>
    <w:uiPriority w:val="9"/>
    <w:qFormat/>
    <w:rPr>
      <w:rFonts w:ascii="Times New Roman" w:eastAsia="宋体" w:hAnsi="Times New Roman"/>
      <w:b/>
      <w:bCs/>
      <w:sz w:val="24"/>
      <w:szCs w:val="32"/>
    </w:rPr>
  </w:style>
  <w:style w:type="character" w:customStyle="1" w:styleId="40">
    <w:name w:val="标题 4 字符"/>
    <w:basedOn w:val="a0"/>
    <w:link w:val="4"/>
    <w:uiPriority w:val="9"/>
    <w:qFormat/>
    <w:rPr>
      <w:rFonts w:ascii="Times New Roman" w:eastAsia="宋体" w:hAnsi="Times New Roman" w:cstheme="majorBidi"/>
      <w:b/>
      <w:bCs/>
      <w:sz w:val="24"/>
      <w:szCs w:val="28"/>
    </w:rPr>
  </w:style>
  <w:style w:type="character" w:customStyle="1" w:styleId="af2">
    <w:name w:val="页眉 字符"/>
    <w:basedOn w:val="a0"/>
    <w:link w:val="af1"/>
    <w:qFormat/>
    <w:rPr>
      <w:rFonts w:ascii="Times New Roman" w:eastAsia="宋体" w:hAnsi="Times New Roman"/>
      <w:sz w:val="18"/>
      <w:szCs w:val="18"/>
    </w:rPr>
  </w:style>
  <w:style w:type="character" w:customStyle="1" w:styleId="af0">
    <w:name w:val="页脚 字符"/>
    <w:basedOn w:val="a0"/>
    <w:link w:val="af"/>
    <w:qFormat/>
    <w:rPr>
      <w:rFonts w:ascii="Times New Roman" w:eastAsia="宋体" w:hAnsi="Times New Roman"/>
      <w:sz w:val="18"/>
      <w:szCs w:val="18"/>
    </w:rPr>
  </w:style>
  <w:style w:type="character" w:customStyle="1" w:styleId="ae">
    <w:name w:val="批注框文本 字符"/>
    <w:basedOn w:val="a0"/>
    <w:link w:val="ad"/>
    <w:qFormat/>
    <w:rPr>
      <w:rFonts w:ascii="Times New Roman" w:eastAsia="宋体" w:hAnsi="Times New Roman"/>
      <w:sz w:val="18"/>
      <w:szCs w:val="18"/>
    </w:rPr>
  </w:style>
  <w:style w:type="character" w:customStyle="1" w:styleId="2Char">
    <w:name w:val="表格文字2 Char"/>
    <w:link w:val="25"/>
    <w:qFormat/>
    <w:rPr>
      <w:rFonts w:ascii="宋体" w:eastAsia="宋体" w:hAnsi="宋体" w:cs="宋体"/>
      <w:bCs/>
      <w:spacing w:val="5"/>
      <w:kern w:val="0"/>
      <w:szCs w:val="21"/>
    </w:rPr>
  </w:style>
  <w:style w:type="paragraph" w:customStyle="1" w:styleId="25">
    <w:name w:val="表格文字2"/>
    <w:basedOn w:val="a"/>
    <w:link w:val="2Char"/>
    <w:qFormat/>
    <w:pPr>
      <w:tabs>
        <w:tab w:val="left" w:pos="277"/>
        <w:tab w:val="left" w:pos="600"/>
        <w:tab w:val="left" w:pos="780"/>
        <w:tab w:val="left" w:pos="2517"/>
      </w:tabs>
      <w:adjustRightInd w:val="0"/>
      <w:spacing w:before="60" w:line="240" w:lineRule="auto"/>
      <w:ind w:firstLineChars="0" w:firstLine="0"/>
      <w:jc w:val="center"/>
      <w:textAlignment w:val="auto"/>
    </w:pPr>
    <w:rPr>
      <w:rFonts w:ascii="宋体" w:hAnsi="宋体" w:cs="宋体"/>
      <w:bCs/>
      <w:spacing w:val="5"/>
      <w:kern w:val="0"/>
      <w:sz w:val="21"/>
      <w:szCs w:val="21"/>
    </w:rPr>
  </w:style>
  <w:style w:type="character" w:customStyle="1" w:styleId="showhidemsg">
    <w:name w:val="showhidemsg"/>
    <w:basedOn w:val="a0"/>
    <w:qFormat/>
  </w:style>
  <w:style w:type="character" w:customStyle="1" w:styleId="a6">
    <w:name w:val="批注文字 字符"/>
    <w:basedOn w:val="a0"/>
    <w:link w:val="a5"/>
    <w:qFormat/>
    <w:rPr>
      <w:rFonts w:ascii="Times New Roman" w:eastAsia="宋体" w:hAnsi="Times New Roman"/>
      <w:sz w:val="24"/>
    </w:rPr>
  </w:style>
  <w:style w:type="character" w:customStyle="1" w:styleId="12">
    <w:name w:val="未处理的提及1"/>
    <w:basedOn w:val="a0"/>
    <w:uiPriority w:val="99"/>
    <w:semiHidden/>
    <w:unhideWhenUsed/>
    <w:qFormat/>
    <w:rPr>
      <w:color w:val="605E5C"/>
      <w:shd w:val="clear" w:color="auto" w:fill="E1DFDD"/>
    </w:rPr>
  </w:style>
  <w:style w:type="paragraph" w:customStyle="1" w:styleId="13">
    <w:name w:val="无间隔1"/>
    <w:basedOn w:val="af6"/>
    <w:next w:val="a"/>
    <w:uiPriority w:val="1"/>
    <w:qFormat/>
    <w:pPr>
      <w:spacing w:line="240" w:lineRule="auto"/>
      <w:ind w:left="0" w:firstLineChars="0" w:firstLine="0"/>
      <w:jc w:val="center"/>
      <w:textAlignment w:val="auto"/>
    </w:pPr>
    <w:rPr>
      <w:sz w:val="21"/>
    </w:rPr>
  </w:style>
  <w:style w:type="character" w:customStyle="1" w:styleId="aff5">
    <w:name w:val="无间隔 字符"/>
    <w:basedOn w:val="a0"/>
    <w:link w:val="aff4"/>
    <w:uiPriority w:val="1"/>
    <w:qFormat/>
    <w:rPr>
      <w:rFonts w:ascii="Times New Roman" w:eastAsia="宋体" w:hAnsi="Times New Roman"/>
    </w:rPr>
  </w:style>
  <w:style w:type="character" w:customStyle="1" w:styleId="afc">
    <w:name w:val="批注主题 字符"/>
    <w:basedOn w:val="a6"/>
    <w:link w:val="afb"/>
    <w:uiPriority w:val="99"/>
    <w:qFormat/>
    <w:rPr>
      <w:rFonts w:ascii="Times New Roman" w:eastAsia="宋体" w:hAnsi="Times New Roman"/>
      <w:b/>
      <w:bCs/>
      <w:sz w:val="24"/>
    </w:rPr>
  </w:style>
  <w:style w:type="paragraph" w:customStyle="1" w:styleId="14">
    <w:name w:val="修订1"/>
    <w:hidden/>
    <w:uiPriority w:val="99"/>
    <w:semiHidden/>
    <w:qFormat/>
    <w:rPr>
      <w:rFonts w:cstheme="minorBidi"/>
      <w:kern w:val="2"/>
      <w:sz w:val="24"/>
      <w:szCs w:val="22"/>
    </w:rPr>
  </w:style>
  <w:style w:type="paragraph" w:customStyle="1" w:styleId="msonormal0">
    <w:name w:val="msonormal"/>
    <w:basedOn w:val="a"/>
    <w:uiPriority w:val="99"/>
    <w:qFormat/>
    <w:pPr>
      <w:widowControl/>
      <w:spacing w:before="100" w:beforeAutospacing="1" w:after="100" w:afterAutospacing="1" w:line="240" w:lineRule="auto"/>
      <w:ind w:firstLineChars="0" w:firstLine="0"/>
      <w:jc w:val="left"/>
      <w:textAlignment w:val="auto"/>
    </w:pPr>
    <w:rPr>
      <w:rFonts w:ascii="宋体" w:hAnsi="宋体" w:cs="宋体"/>
      <w:kern w:val="0"/>
      <w:szCs w:val="24"/>
    </w:rPr>
  </w:style>
  <w:style w:type="character" w:customStyle="1" w:styleId="16">
    <w:name w:val="标题 字符1"/>
    <w:basedOn w:val="a0"/>
    <w:uiPriority w:val="10"/>
    <w:qFormat/>
    <w:rPr>
      <w:rFonts w:asciiTheme="majorHAnsi" w:eastAsiaTheme="majorEastAsia" w:hAnsiTheme="majorHAnsi" w:cstheme="majorBidi"/>
      <w:b/>
      <w:bCs/>
      <w:sz w:val="32"/>
      <w:szCs w:val="32"/>
    </w:rPr>
  </w:style>
  <w:style w:type="character" w:customStyle="1" w:styleId="17">
    <w:name w:val="副标题 字符1"/>
    <w:basedOn w:val="a0"/>
    <w:uiPriority w:val="11"/>
    <w:qFormat/>
    <w:rPr>
      <w:b/>
      <w:bCs/>
      <w:kern w:val="28"/>
      <w:sz w:val="32"/>
      <w:szCs w:val="32"/>
    </w:rPr>
  </w:style>
  <w:style w:type="character" w:customStyle="1" w:styleId="32">
    <w:name w:val="正文文本缩进 3 字符"/>
    <w:basedOn w:val="a0"/>
    <w:link w:val="31"/>
    <w:uiPriority w:val="99"/>
    <w:semiHidden/>
    <w:qFormat/>
    <w:rPr>
      <w:rFonts w:ascii="Times New Roman" w:eastAsia="宋体" w:hAnsi="Times New Roman" w:cs="Times New Roman"/>
      <w:szCs w:val="24"/>
    </w:rPr>
  </w:style>
  <w:style w:type="paragraph" w:styleId="aff7">
    <w:name w:val="List Paragraph"/>
    <w:basedOn w:val="a"/>
    <w:uiPriority w:val="1"/>
    <w:qFormat/>
    <w:pPr>
      <w:ind w:firstLine="420"/>
      <w:textAlignment w:val="auto"/>
    </w:pPr>
    <w:rPr>
      <w:rFonts w:cs="Times New Roman"/>
    </w:rPr>
  </w:style>
  <w:style w:type="paragraph" w:customStyle="1" w:styleId="aff8">
    <w:name w:val="表格字体"/>
    <w:basedOn w:val="a"/>
    <w:uiPriority w:val="99"/>
    <w:qFormat/>
    <w:pPr>
      <w:adjustRightInd w:val="0"/>
      <w:spacing w:line="240" w:lineRule="auto"/>
      <w:ind w:firstLineChars="0" w:firstLine="0"/>
      <w:jc w:val="center"/>
      <w:textAlignment w:val="auto"/>
    </w:pPr>
    <w:rPr>
      <w:rFonts w:cs="Times New Roman"/>
      <w:sz w:val="21"/>
      <w:szCs w:val="21"/>
    </w:rPr>
  </w:style>
  <w:style w:type="character" w:customStyle="1" w:styleId="aff9">
    <w:name w:val="表内 字符"/>
    <w:link w:val="affa"/>
    <w:qFormat/>
    <w:rPr>
      <w:bCs/>
      <w:color w:val="000000"/>
      <w:szCs w:val="21"/>
    </w:rPr>
  </w:style>
  <w:style w:type="paragraph" w:customStyle="1" w:styleId="affa">
    <w:name w:val="表内"/>
    <w:basedOn w:val="21"/>
    <w:link w:val="aff9"/>
    <w:qFormat/>
    <w:pPr>
      <w:widowControl/>
      <w:spacing w:line="240" w:lineRule="auto"/>
      <w:ind w:leftChars="0" w:left="0" w:firstLineChars="0" w:firstLine="0"/>
      <w:jc w:val="center"/>
    </w:pPr>
    <w:rPr>
      <w:rFonts w:asciiTheme="minorHAnsi" w:eastAsiaTheme="minorEastAsia" w:hAnsiTheme="minorHAnsi" w:cstheme="minorBidi"/>
      <w:bCs/>
      <w:color w:val="000000"/>
      <w:sz w:val="21"/>
      <w:szCs w:val="21"/>
    </w:rPr>
  </w:style>
  <w:style w:type="paragraph" w:customStyle="1" w:styleId="CharCharCharCharCharCharCharCharChar">
    <w:name w:val="Char Char Char Char Char Char Char Char Char"/>
    <w:basedOn w:val="a"/>
    <w:uiPriority w:val="99"/>
    <w:qFormat/>
    <w:pPr>
      <w:spacing w:line="240" w:lineRule="auto"/>
      <w:ind w:firstLineChars="0" w:firstLine="0"/>
      <w:textAlignment w:val="auto"/>
    </w:pPr>
    <w:rPr>
      <w:rFonts w:cs="Times New Roman"/>
      <w:sz w:val="21"/>
      <w:szCs w:val="24"/>
    </w:rPr>
  </w:style>
  <w:style w:type="character" w:styleId="affb">
    <w:name w:val="Placeholder Text"/>
    <w:basedOn w:val="a0"/>
    <w:uiPriority w:val="99"/>
    <w:semiHidden/>
    <w:qFormat/>
    <w:rPr>
      <w:color w:val="808080"/>
    </w:rPr>
  </w:style>
  <w:style w:type="character" w:customStyle="1" w:styleId="110">
    <w:name w:val="未处理的提及11"/>
    <w:basedOn w:val="a0"/>
    <w:uiPriority w:val="99"/>
    <w:semiHidden/>
    <w:qFormat/>
    <w:rPr>
      <w:color w:val="605E5C"/>
      <w:shd w:val="clear" w:color="auto" w:fill="E1DFDD"/>
    </w:rPr>
  </w:style>
  <w:style w:type="character" w:customStyle="1" w:styleId="1CharCharChar">
    <w:name w:val="标题 1 Char Char Char"/>
    <w:qFormat/>
    <w:rPr>
      <w:rFonts w:ascii="宋体" w:eastAsia="宋体" w:hAnsi="宋体" w:hint="eastAsia"/>
      <w:bCs/>
      <w:sz w:val="28"/>
    </w:rPr>
  </w:style>
  <w:style w:type="character" w:customStyle="1" w:styleId="CharChar">
    <w:name w:val="表格文字 Char Char"/>
    <w:qFormat/>
    <w:rPr>
      <w:szCs w:val="21"/>
    </w:rPr>
  </w:style>
  <w:style w:type="table" w:customStyle="1" w:styleId="18">
    <w:name w:val="网格型1"/>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日期 字符"/>
    <w:basedOn w:val="a0"/>
    <w:link w:val="ab"/>
    <w:uiPriority w:val="99"/>
    <w:semiHidden/>
    <w:qFormat/>
    <w:rPr>
      <w:rFonts w:ascii="Times New Roman" w:eastAsia="宋体" w:hAnsi="Times New Roman"/>
      <w:sz w:val="24"/>
    </w:rPr>
  </w:style>
  <w:style w:type="table" w:customStyle="1" w:styleId="26">
    <w:name w:val="网格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文本"/>
    <w:link w:val="Char"/>
    <w:qFormat/>
    <w:pPr>
      <w:adjustRightInd w:val="0"/>
      <w:snapToGrid w:val="0"/>
      <w:spacing w:line="480" w:lineRule="exact"/>
      <w:ind w:firstLineChars="200" w:firstLine="200"/>
      <w:jc w:val="both"/>
    </w:pPr>
    <w:rPr>
      <w:rFonts w:ascii="宋体" w:hAnsi="Calibri"/>
      <w:spacing w:val="5"/>
      <w:sz w:val="25"/>
      <w:szCs w:val="22"/>
    </w:rPr>
  </w:style>
  <w:style w:type="paragraph" w:customStyle="1" w:styleId="affd">
    <w:name w:val="表内居中"/>
    <w:qFormat/>
    <w:pPr>
      <w:tabs>
        <w:tab w:val="right" w:leader="middleDot" w:pos="7938"/>
      </w:tabs>
      <w:adjustRightInd w:val="0"/>
      <w:snapToGrid w:val="0"/>
      <w:jc w:val="center"/>
    </w:pPr>
    <w:rPr>
      <w:rFonts w:ascii="宋体" w:hAnsi="宋体"/>
      <w:sz w:val="21"/>
    </w:rPr>
  </w:style>
  <w:style w:type="paragraph" w:customStyle="1" w:styleId="affe">
    <w:name w:val="表名称"/>
    <w:link w:val="Char0"/>
    <w:autoRedefine/>
    <w:qFormat/>
    <w:pPr>
      <w:adjustRightInd w:val="0"/>
      <w:snapToGrid w:val="0"/>
      <w:ind w:firstLine="480"/>
      <w:jc w:val="center"/>
    </w:pPr>
    <w:rPr>
      <w:b/>
      <w:kern w:val="2"/>
      <w:sz w:val="21"/>
      <w:szCs w:val="21"/>
    </w:rPr>
  </w:style>
  <w:style w:type="paragraph" w:customStyle="1" w:styleId="afff">
    <w:name w:val="表内两端"/>
    <w:link w:val="Char1"/>
    <w:autoRedefine/>
    <w:qFormat/>
    <w:pPr>
      <w:adjustRightInd w:val="0"/>
      <w:snapToGrid w:val="0"/>
      <w:jc w:val="both"/>
    </w:pPr>
    <w:rPr>
      <w:rFonts w:ascii="宋体"/>
      <w:sz w:val="21"/>
    </w:rPr>
  </w:style>
  <w:style w:type="character" w:customStyle="1" w:styleId="Char0">
    <w:name w:val="表名称 Char"/>
    <w:link w:val="affe"/>
    <w:autoRedefine/>
    <w:qFormat/>
    <w:rPr>
      <w:b/>
      <w:kern w:val="2"/>
      <w:sz w:val="21"/>
      <w:szCs w:val="21"/>
    </w:rPr>
  </w:style>
  <w:style w:type="character" w:customStyle="1" w:styleId="Char1">
    <w:name w:val="表内两端 Char"/>
    <w:link w:val="afff"/>
    <w:autoRedefine/>
    <w:qFormat/>
    <w:rPr>
      <w:rFonts w:ascii="宋体" w:eastAsia="宋体" w:hAnsi="Times New Roman" w:cs="Times New Roman"/>
      <w:kern w:val="0"/>
      <w:szCs w:val="20"/>
    </w:rPr>
  </w:style>
  <w:style w:type="character" w:customStyle="1" w:styleId="Char">
    <w:name w:val="文本 Char"/>
    <w:link w:val="affc"/>
    <w:autoRedefine/>
    <w:qFormat/>
    <w:rPr>
      <w:rFonts w:ascii="宋体" w:eastAsia="宋体" w:hAnsi="Calibri" w:cs="Times New Roman"/>
      <w:spacing w:val="5"/>
      <w:kern w:val="0"/>
      <w:sz w:val="25"/>
    </w:rPr>
  </w:style>
  <w:style w:type="character" w:customStyle="1" w:styleId="fontstyle21">
    <w:name w:val="fontstyle21"/>
    <w:autoRedefine/>
    <w:qFormat/>
    <w:rPr>
      <w:rFonts w:ascii="Times New Roman" w:hAnsi="Times New Roman" w:cs="Times New Roman" w:hint="default"/>
      <w:b/>
      <w:bCs/>
      <w:color w:val="000000"/>
      <w:sz w:val="24"/>
      <w:szCs w:val="24"/>
    </w:rPr>
  </w:style>
  <w:style w:type="paragraph" w:customStyle="1" w:styleId="Style5">
    <w:name w:val="_Style 5"/>
    <w:basedOn w:val="a"/>
    <w:autoRedefine/>
    <w:qFormat/>
    <w:pPr>
      <w:ind w:firstLine="420"/>
    </w:pPr>
    <w:rPr>
      <w:rFonts w:ascii="Calibri" w:hAnsi="Calibri"/>
    </w:rPr>
  </w:style>
  <w:style w:type="paragraph" w:customStyle="1" w:styleId="lxy">
    <w:name w:val="lxy表头"/>
    <w:basedOn w:val="a"/>
    <w:autoRedefine/>
    <w:qFormat/>
    <w:pPr>
      <w:autoSpaceDE w:val="0"/>
      <w:autoSpaceDN w:val="0"/>
      <w:adjustRightInd w:val="0"/>
      <w:snapToGrid w:val="0"/>
      <w:jc w:val="center"/>
    </w:pPr>
    <w:rPr>
      <w:rFonts w:ascii="宋体" w:hAnsi="宋体" w:cs="宋体"/>
      <w:b/>
      <w:color w:val="0000FF"/>
      <w:kern w:val="0"/>
    </w:rPr>
  </w:style>
  <w:style w:type="paragraph" w:customStyle="1" w:styleId="afff0">
    <w:name w:val="表内文字"/>
    <w:qFormat/>
    <w:pPr>
      <w:adjustRightInd w:val="0"/>
      <w:snapToGrid w:val="0"/>
      <w:jc w:val="center"/>
    </w:pPr>
    <w:rPr>
      <w:rFonts w:ascii="宋体" w:hAnsi="宋体"/>
      <w:spacing w:val="-10"/>
      <w:kern w:val="2"/>
      <w:sz w:val="23"/>
      <w:szCs w:val="22"/>
      <w:lang w:bidi="en-US"/>
    </w:rPr>
  </w:style>
  <w:style w:type="paragraph" w:customStyle="1" w:styleId="afff1">
    <w:name w:val="图表名称"/>
    <w:basedOn w:val="a"/>
    <w:link w:val="Char2"/>
    <w:qFormat/>
    <w:pPr>
      <w:tabs>
        <w:tab w:val="left" w:pos="3390"/>
      </w:tabs>
      <w:adjustRightInd w:val="0"/>
      <w:snapToGrid w:val="0"/>
      <w:spacing w:line="240" w:lineRule="auto"/>
      <w:ind w:firstLineChars="0" w:firstLine="0"/>
      <w:jc w:val="center"/>
      <w:textAlignment w:val="auto"/>
    </w:pPr>
    <w:rPr>
      <w:rFonts w:ascii="宋体" w:hAnsi="宋体" w:cs="宋体"/>
      <w:b/>
      <w:szCs w:val="25"/>
      <w:lang w:val="zh-CN" w:bidi="zh-CN"/>
    </w:rPr>
  </w:style>
  <w:style w:type="paragraph" w:customStyle="1" w:styleId="afff2">
    <w:name w:val="表中文字"/>
    <w:basedOn w:val="a"/>
    <w:qFormat/>
    <w:pPr>
      <w:tabs>
        <w:tab w:val="left" w:pos="2700"/>
      </w:tabs>
      <w:adjustRightInd w:val="0"/>
      <w:snapToGrid w:val="0"/>
      <w:spacing w:line="240" w:lineRule="auto"/>
      <w:ind w:firstLineChars="0" w:firstLine="0"/>
      <w:jc w:val="center"/>
    </w:pPr>
    <w:rPr>
      <w:sz w:val="21"/>
      <w:szCs w:val="21"/>
    </w:rPr>
  </w:style>
  <w:style w:type="character" w:customStyle="1" w:styleId="Char2">
    <w:name w:val="图表名称 Char"/>
    <w:link w:val="afff1"/>
    <w:qFormat/>
    <w:rPr>
      <w:rFonts w:ascii="宋体" w:eastAsia="宋体" w:hAnsi="宋体" w:cs="宋体"/>
      <w:b/>
      <w:kern w:val="2"/>
      <w:sz w:val="24"/>
      <w:szCs w:val="25"/>
      <w:lang w:val="zh-CN" w:bidi="zh-CN"/>
    </w:rPr>
  </w:style>
  <w:style w:type="paragraph" w:customStyle="1" w:styleId="afff3">
    <w:name w:val="主表格"/>
    <w:basedOn w:val="a"/>
    <w:qFormat/>
    <w:pPr>
      <w:spacing w:line="240" w:lineRule="auto"/>
      <w:ind w:firstLineChars="0" w:firstLine="0"/>
      <w:jc w:val="center"/>
    </w:pPr>
  </w:style>
  <w:style w:type="paragraph" w:customStyle="1" w:styleId="afff4">
    <w:name w:val="【表中文字】"/>
    <w:basedOn w:val="a"/>
    <w:autoRedefine/>
    <w:qFormat/>
    <w:pPr>
      <w:spacing w:line="240" w:lineRule="auto"/>
      <w:ind w:firstLineChars="0" w:firstLine="0"/>
      <w:jc w:val="center"/>
      <w:textAlignment w:val="auto"/>
    </w:pPr>
    <w:rPr>
      <w:rFonts w:cs="Times New Roman"/>
      <w:kern w:val="0"/>
      <w:sz w:val="20"/>
      <w:szCs w:val="20"/>
    </w:rPr>
  </w:style>
  <w:style w:type="character" w:customStyle="1" w:styleId="a4">
    <w:name w:val="正文缩进 字符"/>
    <w:link w:val="a3"/>
    <w:autoRedefine/>
    <w:qFormat/>
    <w:rPr>
      <w:rFonts w:ascii="宋体" w:hAnsi="宋体"/>
      <w:kern w:val="2"/>
      <w:sz w:val="28"/>
    </w:rPr>
  </w:style>
  <w:style w:type="character" w:customStyle="1" w:styleId="19">
    <w:name w:val="页脚 字符1"/>
    <w:qFormat/>
    <w:rPr>
      <w:rFonts w:ascii="Times New Roman" w:eastAsia="宋体" w:hAnsi="Times New Roman" w:cs="Times New Roman"/>
      <w:sz w:val="18"/>
    </w:rPr>
  </w:style>
  <w:style w:type="paragraph" w:customStyle="1" w:styleId="afff5">
    <w:name w:val="表头"/>
    <w:basedOn w:val="a"/>
    <w:next w:val="a"/>
    <w:autoRedefine/>
    <w:qFormat/>
    <w:pPr>
      <w:autoSpaceDE w:val="0"/>
      <w:autoSpaceDN w:val="0"/>
      <w:adjustRightInd w:val="0"/>
      <w:spacing w:beforeLines="50" w:before="50" w:line="240" w:lineRule="auto"/>
      <w:ind w:firstLineChars="0" w:firstLine="0"/>
      <w:jc w:val="center"/>
      <w:textAlignment w:val="baseline"/>
    </w:pPr>
    <w:rPr>
      <w:rFonts w:cs="Times New Roman"/>
      <w:b/>
      <w:kern w:val="0"/>
      <w:sz w:val="21"/>
      <w:szCs w:val="20"/>
    </w:rPr>
  </w:style>
  <w:style w:type="paragraph" w:customStyle="1" w:styleId="TableText">
    <w:name w:val="Table Text"/>
    <w:basedOn w:val="a"/>
    <w:semiHidden/>
    <w:qFormat/>
    <w:pPr>
      <w:textAlignment w:val="auto"/>
    </w:pPr>
    <w:rPr>
      <w:rFonts w:ascii="宋体" w:hAnsi="宋体" w:cs="宋体"/>
      <w:sz w:val="20"/>
      <w:szCs w:val="20"/>
      <w:lang w:eastAsia="en-US"/>
    </w:rPr>
  </w:style>
  <w:style w:type="paragraph" w:customStyle="1" w:styleId="afff6">
    <w:name w:val="表内容       .."/>
    <w:basedOn w:val="a"/>
    <w:qFormat/>
    <w:pPr>
      <w:adjustRightInd w:val="0"/>
      <w:snapToGrid w:val="0"/>
      <w:spacing w:line="280" w:lineRule="exact"/>
      <w:jc w:val="center"/>
      <w:textAlignment w:val="baseline"/>
    </w:pPr>
    <w:rPr>
      <w:szCs w:val="18"/>
    </w:rPr>
  </w:style>
  <w:style w:type="paragraph" w:customStyle="1" w:styleId="27">
    <w:name w:val="修订2"/>
    <w:hidden/>
    <w:uiPriority w:val="99"/>
    <w:unhideWhenUsed/>
    <w:qFormat/>
    <w:rPr>
      <w:rFonts w:cstheme="minorBidi"/>
      <w:kern w:val="2"/>
      <w:sz w:val="24"/>
      <w:szCs w:val="22"/>
    </w:rPr>
  </w:style>
  <w:style w:type="paragraph" w:customStyle="1" w:styleId="afff7">
    <w:name w:val="表格文字"/>
    <w:basedOn w:val="a"/>
    <w:link w:val="afff8"/>
    <w:autoRedefine/>
    <w:qFormat/>
    <w:pPr>
      <w:spacing w:line="240" w:lineRule="auto"/>
      <w:ind w:firstLineChars="0" w:firstLine="0"/>
      <w:jc w:val="center"/>
      <w:textAlignment w:val="auto"/>
    </w:pPr>
    <w:rPr>
      <w:rFonts w:cs="Times New Roman"/>
      <w:snapToGrid w:val="0"/>
      <w:kern w:val="0"/>
      <w:sz w:val="21"/>
      <w:szCs w:val="24"/>
    </w:rPr>
  </w:style>
  <w:style w:type="paragraph" w:customStyle="1" w:styleId="afff9">
    <w:name w:val="图表标题"/>
    <w:basedOn w:val="a"/>
    <w:qFormat/>
    <w:pPr>
      <w:spacing w:line="240" w:lineRule="auto"/>
      <w:ind w:firstLineChars="0" w:firstLine="0"/>
      <w:jc w:val="center"/>
      <w:textAlignment w:val="auto"/>
    </w:pPr>
    <w:rPr>
      <w:rFonts w:cstheme="majorBidi"/>
      <w:b/>
      <w:snapToGrid w:val="0"/>
      <w:kern w:val="0"/>
      <w:szCs w:val="24"/>
    </w:rPr>
  </w:style>
  <w:style w:type="paragraph" w:customStyle="1" w:styleId="ds-markdown-paragraph">
    <w:name w:val="ds-markdown-paragraph"/>
    <w:basedOn w:val="a"/>
    <w:qFormat/>
    <w:pPr>
      <w:widowControl/>
      <w:spacing w:before="100" w:beforeAutospacing="1" w:after="100" w:afterAutospacing="1" w:line="240" w:lineRule="auto"/>
      <w:ind w:firstLineChars="0" w:firstLine="0"/>
      <w:jc w:val="left"/>
      <w:textAlignment w:val="auto"/>
    </w:pPr>
    <w:rPr>
      <w:rFonts w:ascii="宋体" w:hAnsi="宋体" w:cs="宋体"/>
      <w:kern w:val="0"/>
      <w:szCs w:val="24"/>
    </w:rPr>
  </w:style>
  <w:style w:type="character" w:customStyle="1" w:styleId="2ed5dee">
    <w:name w:val="_2ed5dee"/>
    <w:basedOn w:val="a0"/>
    <w:qFormat/>
  </w:style>
  <w:style w:type="character" w:customStyle="1" w:styleId="Char3">
    <w:name w:val="表格 Char"/>
    <w:link w:val="afffa"/>
    <w:qFormat/>
    <w:locked/>
    <w:rPr>
      <w:sz w:val="21"/>
    </w:rPr>
  </w:style>
  <w:style w:type="paragraph" w:customStyle="1" w:styleId="afffa">
    <w:name w:val="表格"/>
    <w:next w:val="a"/>
    <w:link w:val="Char3"/>
    <w:qFormat/>
    <w:pPr>
      <w:adjustRightInd w:val="0"/>
      <w:snapToGrid w:val="0"/>
      <w:jc w:val="center"/>
    </w:pPr>
    <w:rPr>
      <w:sz w:val="21"/>
    </w:rPr>
  </w:style>
  <w:style w:type="paragraph" w:customStyle="1" w:styleId="afffb">
    <w:name w:val="。正文格式"/>
    <w:qFormat/>
    <w:pPr>
      <w:widowControl w:val="0"/>
      <w:spacing w:line="360" w:lineRule="auto"/>
      <w:ind w:firstLineChars="200" w:firstLine="200"/>
    </w:pPr>
    <w:rPr>
      <w:sz w:val="24"/>
    </w:rPr>
  </w:style>
  <w:style w:type="character" w:customStyle="1" w:styleId="24">
    <w:name w:val="正文文本首行缩进 2 字符"/>
    <w:basedOn w:val="a0"/>
    <w:link w:val="23"/>
    <w:uiPriority w:val="99"/>
    <w:qFormat/>
    <w:rPr>
      <w:rFonts w:cstheme="minorBidi"/>
      <w:kern w:val="2"/>
      <w:sz w:val="24"/>
      <w:szCs w:val="22"/>
    </w:rPr>
  </w:style>
  <w:style w:type="character" w:customStyle="1" w:styleId="51">
    <w:name w:val="标题 5 字符"/>
    <w:basedOn w:val="a0"/>
    <w:link w:val="50"/>
    <w:uiPriority w:val="9"/>
    <w:qFormat/>
    <w:rPr>
      <w:rFonts w:ascii="宋体" w:hAnsi="宋体" w:cs="宋体"/>
      <w:b/>
      <w:bCs/>
      <w:sz w:val="28"/>
      <w:szCs w:val="28"/>
      <w:lang w:eastAsia="en-US"/>
    </w:rPr>
  </w:style>
  <w:style w:type="character" w:customStyle="1" w:styleId="60">
    <w:name w:val="标题 6 字符"/>
    <w:basedOn w:val="a0"/>
    <w:link w:val="6"/>
    <w:uiPriority w:val="9"/>
    <w:qFormat/>
    <w:rPr>
      <w:rFonts w:asciiTheme="majorHAnsi" w:eastAsiaTheme="majorEastAsia" w:hAnsiTheme="majorHAnsi" w:cstheme="majorBidi"/>
      <w:b/>
      <w:bCs/>
      <w:sz w:val="24"/>
      <w:szCs w:val="24"/>
      <w:lang w:eastAsia="en-US"/>
    </w:rPr>
  </w:style>
  <w:style w:type="character" w:customStyle="1" w:styleId="a8">
    <w:name w:val="正文文本 字符"/>
    <w:basedOn w:val="a0"/>
    <w:link w:val="a7"/>
    <w:uiPriority w:val="1"/>
    <w:qFormat/>
    <w:rPr>
      <w:rFonts w:cstheme="minorBidi"/>
      <w:kern w:val="2"/>
      <w:sz w:val="24"/>
      <w:szCs w:val="24"/>
    </w:rPr>
  </w:style>
  <w:style w:type="character" w:customStyle="1" w:styleId="aa">
    <w:name w:val="正文文本缩进 字符"/>
    <w:basedOn w:val="a0"/>
    <w:link w:val="a9"/>
    <w:uiPriority w:val="99"/>
    <w:semiHidden/>
    <w:qFormat/>
    <w:rPr>
      <w:rFonts w:cstheme="minorBidi"/>
      <w:kern w:val="2"/>
      <w:sz w:val="24"/>
      <w:szCs w:val="22"/>
    </w:rPr>
  </w:style>
  <w:style w:type="character" w:customStyle="1" w:styleId="afe">
    <w:name w:val="正文文本首行缩进 字符"/>
    <w:basedOn w:val="a8"/>
    <w:link w:val="afd"/>
    <w:qFormat/>
    <w:rPr>
      <w:rFonts w:cstheme="minorBidi"/>
      <w:kern w:val="2"/>
      <w:sz w:val="24"/>
      <w:szCs w:val="24"/>
    </w:rPr>
  </w:style>
  <w:style w:type="paragraph" w:customStyle="1" w:styleId="TableParagraph">
    <w:name w:val="Table Paragraph"/>
    <w:basedOn w:val="a"/>
    <w:uiPriority w:val="1"/>
    <w:qFormat/>
    <w:pPr>
      <w:autoSpaceDE w:val="0"/>
      <w:autoSpaceDN w:val="0"/>
      <w:spacing w:line="240" w:lineRule="auto"/>
      <w:ind w:firstLineChars="0" w:firstLine="0"/>
      <w:jc w:val="left"/>
      <w:textAlignment w:val="auto"/>
    </w:pPr>
    <w:rPr>
      <w:rFonts w:eastAsia="Times New Roman" w:cs="Times New Roman"/>
      <w:kern w:val="0"/>
      <w:sz w:val="22"/>
      <w:lang w:eastAsia="en-US"/>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lang w:eastAsia="en-US"/>
    </w:rPr>
    <w:tblPr>
      <w:tblCellMar>
        <w:top w:w="0" w:type="dxa"/>
        <w:left w:w="0" w:type="dxa"/>
        <w:bottom w:w="0" w:type="dxa"/>
        <w:right w:w="0" w:type="dxa"/>
      </w:tblCellMar>
    </w:tblPr>
  </w:style>
  <w:style w:type="paragraph" w:customStyle="1" w:styleId="Heading21">
    <w:name w:val="Heading #2|1"/>
    <w:basedOn w:val="a"/>
    <w:qFormat/>
    <w:pPr>
      <w:autoSpaceDE w:val="0"/>
      <w:autoSpaceDN w:val="0"/>
      <w:spacing w:after="200" w:line="240" w:lineRule="auto"/>
      <w:ind w:firstLineChars="0" w:firstLine="0"/>
      <w:jc w:val="left"/>
      <w:textAlignment w:val="auto"/>
      <w:outlineLvl w:val="1"/>
    </w:pPr>
    <w:rPr>
      <w:rFonts w:ascii="宋体" w:hAnsi="宋体" w:cs="宋体"/>
      <w:kern w:val="0"/>
      <w:sz w:val="28"/>
      <w:szCs w:val="28"/>
      <w:lang w:val="zh-TW" w:eastAsia="zh-TW" w:bidi="zh-TW"/>
    </w:rPr>
  </w:style>
  <w:style w:type="paragraph" w:customStyle="1" w:styleId="Bodytext1">
    <w:name w:val="Body text|1"/>
    <w:basedOn w:val="a"/>
    <w:qFormat/>
    <w:pPr>
      <w:autoSpaceDE w:val="0"/>
      <w:autoSpaceDN w:val="0"/>
      <w:spacing w:after="330" w:line="480" w:lineRule="auto"/>
      <w:ind w:firstLineChars="0" w:firstLine="400"/>
      <w:jc w:val="left"/>
      <w:textAlignment w:val="auto"/>
    </w:pPr>
    <w:rPr>
      <w:rFonts w:ascii="宋体" w:hAnsi="宋体" w:cs="宋体"/>
      <w:kern w:val="0"/>
      <w:sz w:val="20"/>
      <w:szCs w:val="20"/>
      <w:lang w:val="zh-TW" w:eastAsia="zh-TW" w:bidi="zh-TW"/>
    </w:rPr>
  </w:style>
  <w:style w:type="paragraph" w:customStyle="1" w:styleId="Tablecaption1">
    <w:name w:val="Table caption|1"/>
    <w:basedOn w:val="a"/>
    <w:qFormat/>
    <w:pPr>
      <w:autoSpaceDE w:val="0"/>
      <w:autoSpaceDN w:val="0"/>
      <w:spacing w:line="240" w:lineRule="auto"/>
      <w:ind w:firstLineChars="0" w:firstLine="0"/>
      <w:jc w:val="left"/>
      <w:textAlignment w:val="auto"/>
    </w:pPr>
    <w:rPr>
      <w:rFonts w:ascii="宋体" w:hAnsi="宋体" w:cs="宋体"/>
      <w:b/>
      <w:bCs/>
      <w:kern w:val="0"/>
      <w:sz w:val="20"/>
      <w:szCs w:val="20"/>
      <w:lang w:val="zh-TW" w:eastAsia="zh-TW" w:bidi="zh-TW"/>
    </w:rPr>
  </w:style>
  <w:style w:type="paragraph" w:customStyle="1" w:styleId="Other1">
    <w:name w:val="Other|1"/>
    <w:basedOn w:val="a"/>
    <w:qFormat/>
    <w:pPr>
      <w:autoSpaceDE w:val="0"/>
      <w:autoSpaceDN w:val="0"/>
      <w:spacing w:line="240" w:lineRule="auto"/>
      <w:ind w:firstLineChars="0" w:firstLine="0"/>
      <w:jc w:val="left"/>
      <w:textAlignment w:val="auto"/>
    </w:pPr>
    <w:rPr>
      <w:rFonts w:ascii="宋体" w:hAnsi="宋体" w:cs="宋体"/>
      <w:kern w:val="0"/>
      <w:sz w:val="20"/>
      <w:szCs w:val="20"/>
      <w:lang w:val="zh-TW" w:eastAsia="zh-TW" w:bidi="zh-TW"/>
    </w:rPr>
  </w:style>
  <w:style w:type="paragraph" w:customStyle="1" w:styleId="Picturecaption1">
    <w:name w:val="Picture caption|1"/>
    <w:basedOn w:val="a"/>
    <w:qFormat/>
    <w:pPr>
      <w:autoSpaceDE w:val="0"/>
      <w:autoSpaceDN w:val="0"/>
      <w:spacing w:line="240" w:lineRule="auto"/>
      <w:ind w:firstLineChars="0" w:firstLine="0"/>
      <w:jc w:val="left"/>
      <w:textAlignment w:val="auto"/>
    </w:pPr>
    <w:rPr>
      <w:rFonts w:ascii="宋体" w:hAnsi="宋体" w:cs="宋体"/>
      <w:b/>
      <w:bCs/>
      <w:kern w:val="0"/>
      <w:sz w:val="20"/>
      <w:szCs w:val="20"/>
      <w:lang w:val="zh-TW" w:eastAsia="zh-TW" w:bidi="zh-TW"/>
    </w:rPr>
  </w:style>
  <w:style w:type="paragraph" w:customStyle="1" w:styleId="Heading11">
    <w:name w:val="Heading #1|1"/>
    <w:basedOn w:val="a"/>
    <w:qFormat/>
    <w:pPr>
      <w:autoSpaceDE w:val="0"/>
      <w:autoSpaceDN w:val="0"/>
      <w:spacing w:after="300" w:line="240" w:lineRule="auto"/>
      <w:ind w:firstLineChars="0" w:firstLine="0"/>
      <w:jc w:val="left"/>
      <w:textAlignment w:val="auto"/>
      <w:outlineLvl w:val="0"/>
    </w:pPr>
    <w:rPr>
      <w:rFonts w:ascii="宋体" w:hAnsi="宋体" w:cs="宋体"/>
      <w:kern w:val="0"/>
      <w:sz w:val="28"/>
      <w:szCs w:val="28"/>
      <w:lang w:val="zh-TW" w:eastAsia="zh-TW" w:bidi="zh-TW"/>
    </w:rPr>
  </w:style>
  <w:style w:type="paragraph" w:customStyle="1" w:styleId="Heading31">
    <w:name w:val="Heading #3|1"/>
    <w:basedOn w:val="a"/>
    <w:qFormat/>
    <w:pPr>
      <w:autoSpaceDE w:val="0"/>
      <w:autoSpaceDN w:val="0"/>
      <w:spacing w:after="200" w:line="240" w:lineRule="auto"/>
      <w:ind w:firstLineChars="0" w:firstLine="0"/>
      <w:jc w:val="left"/>
      <w:textAlignment w:val="auto"/>
      <w:outlineLvl w:val="2"/>
    </w:pPr>
    <w:rPr>
      <w:rFonts w:ascii="宋体" w:hAnsi="宋体" w:cs="宋体"/>
      <w:kern w:val="0"/>
      <w:sz w:val="28"/>
      <w:szCs w:val="28"/>
      <w:lang w:val="zh-TW" w:eastAsia="zh-TW" w:bidi="zh-TW"/>
    </w:rPr>
  </w:style>
  <w:style w:type="paragraph" w:customStyle="1" w:styleId="Headerorfooter1">
    <w:name w:val="Header or footer|1"/>
    <w:basedOn w:val="a"/>
    <w:qFormat/>
    <w:pPr>
      <w:autoSpaceDE w:val="0"/>
      <w:autoSpaceDN w:val="0"/>
      <w:spacing w:line="240" w:lineRule="auto"/>
      <w:ind w:firstLineChars="0" w:firstLine="0"/>
      <w:jc w:val="left"/>
      <w:textAlignment w:val="auto"/>
    </w:pPr>
    <w:rPr>
      <w:rFonts w:ascii="宋体" w:hAnsi="宋体" w:cs="宋体"/>
      <w:kern w:val="0"/>
      <w:sz w:val="20"/>
      <w:szCs w:val="20"/>
      <w:lang w:val="zh-TW" w:eastAsia="zh-TW" w:bidi="zh-TW"/>
    </w:rPr>
  </w:style>
  <w:style w:type="character" w:customStyle="1" w:styleId="title-text">
    <w:name w:val="title-text"/>
    <w:basedOn w:val="a0"/>
    <w:qFormat/>
  </w:style>
  <w:style w:type="paragraph" w:customStyle="1" w:styleId="afffc">
    <w:name w:val="正文格式"/>
    <w:basedOn w:val="afd"/>
    <w:next w:val="Style5"/>
    <w:link w:val="Char4"/>
    <w:qFormat/>
    <w:pPr>
      <w:adjustRightInd w:val="0"/>
      <w:snapToGrid w:val="0"/>
      <w:ind w:firstLine="560"/>
    </w:pPr>
    <w:rPr>
      <w:rFonts w:cs="Times New Roman"/>
      <w:color w:val="000000"/>
      <w:lang w:val="zh-CN"/>
    </w:rPr>
  </w:style>
  <w:style w:type="paragraph" w:customStyle="1" w:styleId="1a">
    <w:name w:val="样式1"/>
    <w:basedOn w:val="af3"/>
    <w:next w:val="a"/>
    <w:qFormat/>
    <w:pPr>
      <w:spacing w:before="20" w:after="20"/>
      <w:ind w:firstLineChars="0" w:firstLine="0"/>
    </w:pPr>
    <w:rPr>
      <w:sz w:val="21"/>
      <w:szCs w:val="21"/>
    </w:rPr>
  </w:style>
  <w:style w:type="paragraph" w:customStyle="1" w:styleId="1b">
    <w:name w:val="1正文"/>
    <w:qFormat/>
    <w:pPr>
      <w:widowControl w:val="0"/>
      <w:spacing w:line="360" w:lineRule="auto"/>
      <w:ind w:firstLineChars="200" w:firstLine="480"/>
      <w:jc w:val="both"/>
    </w:pPr>
    <w:rPr>
      <w:color w:val="000000"/>
      <w:sz w:val="24"/>
      <w:szCs w:val="24"/>
    </w:rPr>
  </w:style>
  <w:style w:type="paragraph" w:customStyle="1" w:styleId="afffd">
    <w:name w:val="表内字"/>
    <w:basedOn w:val="a"/>
    <w:qFormat/>
    <w:pPr>
      <w:jc w:val="center"/>
    </w:pPr>
    <w:rPr>
      <w:kern w:val="0"/>
      <w:szCs w:val="24"/>
    </w:rPr>
  </w:style>
  <w:style w:type="paragraph" w:customStyle="1" w:styleId="Default">
    <w:name w:val="Default"/>
    <w:basedOn w:val="a"/>
    <w:next w:val="a"/>
    <w:uiPriority w:val="99"/>
    <w:qFormat/>
    <w:pPr>
      <w:autoSpaceDE w:val="0"/>
      <w:autoSpaceDN w:val="0"/>
      <w:adjustRightInd w:val="0"/>
      <w:spacing w:line="240" w:lineRule="auto"/>
      <w:ind w:firstLineChars="0" w:firstLine="0"/>
      <w:textAlignment w:val="auto"/>
    </w:pPr>
    <w:rPr>
      <w:rFonts w:ascii="宋体" w:hAnsi="Courier New" w:cs="Times New Roman"/>
      <w:color w:val="000000"/>
      <w:szCs w:val="24"/>
    </w:rPr>
  </w:style>
  <w:style w:type="character" w:customStyle="1" w:styleId="af8">
    <w:name w:val="普通(网站) 字符"/>
    <w:link w:val="af7"/>
    <w:uiPriority w:val="99"/>
    <w:qFormat/>
    <w:locked/>
    <w:rPr>
      <w:rFonts w:ascii="宋体" w:hAnsi="宋体" w:cs="宋体"/>
      <w:sz w:val="24"/>
      <w:szCs w:val="24"/>
    </w:rPr>
  </w:style>
  <w:style w:type="paragraph" w:customStyle="1" w:styleId="afffe">
    <w:name w:val="李表格文字"/>
    <w:basedOn w:val="TableParagraph"/>
    <w:unhideWhenUsed/>
    <w:qFormat/>
    <w:pPr>
      <w:autoSpaceDE/>
      <w:autoSpaceDN/>
      <w:jc w:val="center"/>
    </w:pPr>
    <w:rPr>
      <w:rFonts w:eastAsia="宋体" w:cs="Calibri"/>
      <w:color w:val="FF0000"/>
      <w:kern w:val="2"/>
      <w:sz w:val="21"/>
      <w:szCs w:val="24"/>
      <w:lang w:val="zh-CN" w:eastAsia="zh-CN" w:bidi="zh-CN"/>
    </w:rPr>
  </w:style>
  <w:style w:type="paragraph" w:customStyle="1" w:styleId="220">
    <w:name w:val="样式 正文缩进 + 宋体 行距: 固定值 22 磅"/>
    <w:basedOn w:val="a3"/>
    <w:qFormat/>
    <w:pPr>
      <w:adjustRightInd/>
      <w:snapToGrid/>
      <w:spacing w:line="240" w:lineRule="auto"/>
      <w:ind w:firstLineChars="0" w:firstLine="0"/>
    </w:pPr>
    <w:rPr>
      <w:rFonts w:ascii="Arial Unicode MS" w:hAnsi="Arial Unicode MS" w:cs="宋体"/>
      <w:sz w:val="21"/>
    </w:rPr>
  </w:style>
  <w:style w:type="paragraph" w:customStyle="1" w:styleId="Affff">
    <w:name w:val="正文A"/>
    <w:basedOn w:val="a"/>
    <w:link w:val="AChar"/>
    <w:qFormat/>
    <w:pPr>
      <w:spacing w:line="500" w:lineRule="exact"/>
      <w:ind w:firstLine="480"/>
    </w:pPr>
    <w:rPr>
      <w:rFonts w:cs="华文仿宋"/>
      <w:szCs w:val="24"/>
    </w:rPr>
  </w:style>
  <w:style w:type="character" w:customStyle="1" w:styleId="AChar">
    <w:name w:val="正文A Char"/>
    <w:basedOn w:val="a0"/>
    <w:link w:val="Affff"/>
    <w:qFormat/>
    <w:rPr>
      <w:rFonts w:cs="华文仿宋"/>
      <w:kern w:val="2"/>
      <w:sz w:val="24"/>
      <w:szCs w:val="24"/>
    </w:rPr>
  </w:style>
  <w:style w:type="character" w:customStyle="1" w:styleId="afff8">
    <w:name w:val="表格文字 字符"/>
    <w:basedOn w:val="a0"/>
    <w:link w:val="afff7"/>
    <w:qFormat/>
    <w:rPr>
      <w:snapToGrid w:val="0"/>
      <w:sz w:val="21"/>
      <w:szCs w:val="24"/>
    </w:rPr>
  </w:style>
  <w:style w:type="character" w:customStyle="1" w:styleId="Char4">
    <w:name w:val="正文格式 Char"/>
    <w:basedOn w:val="a0"/>
    <w:link w:val="afffc"/>
    <w:qFormat/>
    <w:rPr>
      <w:color w:val="000000"/>
      <w:kern w:val="2"/>
      <w:sz w:val="24"/>
      <w:szCs w:val="24"/>
      <w:lang w:val="zh-CN"/>
    </w:rPr>
  </w:style>
  <w:style w:type="character" w:customStyle="1" w:styleId="ds-markdown-cite">
    <w:name w:val="ds-markdown-cite"/>
    <w:basedOn w:val="a0"/>
    <w:qFormat/>
  </w:style>
  <w:style w:type="character" w:customStyle="1" w:styleId="katex-mathml">
    <w:name w:val="katex-mathml"/>
    <w:basedOn w:val="a0"/>
    <w:rsid w:val="009C535D"/>
  </w:style>
  <w:style w:type="character" w:customStyle="1" w:styleId="mord">
    <w:name w:val="mord"/>
    <w:basedOn w:val="a0"/>
    <w:rsid w:val="009C535D"/>
  </w:style>
  <w:style w:type="character" w:customStyle="1" w:styleId="vlist-s">
    <w:name w:val="vlist-s"/>
    <w:basedOn w:val="a0"/>
    <w:rsid w:val="009C5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472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11.png"/><Relationship Id="rId21" Type="http://schemas.openxmlformats.org/officeDocument/2006/relationships/image" Target="media/image6.wmf"/><Relationship Id="rId34" Type="http://schemas.openxmlformats.org/officeDocument/2006/relationships/image" Target="media/image19.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wm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wmf"/><Relationship Id="rId31" Type="http://schemas.openxmlformats.org/officeDocument/2006/relationships/image" Target="media/image1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7.wm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5cd92924-796e-4795-bf14-7d3ea2ea361d</errorID>
      <errorWord>，</errorWord>
      <group>L1_Format</group>
      <groupName>格式问题</groupName>
      <ability>L2_HalfPunc</ability>
      <abilityName>全半角检查</abilityName>
      <candidateList>
        <item>, </item>
      </candidateList>
      <explain>文本全半角错误。</explain>
      <paraID>19C8B765</paraID>
      <start>13</start>
      <end>15</end>
      <status>modified</status>
      <modifiedWord>, </modifiedWord>
      <trackRevisions>false</trackRevisions>
    </reviewItem>
    <reviewItem>
      <errorID>717cf289-6618-4788-a5f3-13dc3d6d6f38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36B30D81</paraID>
      <start>0</start>
      <end>2</end>
      <status>modified</status>
      <modifiedWord>1.</modifiedWord>
      <trackRevisions>false</trackRevisions>
    </reviewItem>
    <reviewItem>
      <errorID>4e0cf7a8-8307-4b79-890a-0044debc1a4e</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 E19D978</paraID>
      <start>100</start>
      <end>101</end>
      <status>modified</status>
      <modifiedWord>等</modifiedWord>
      <trackRevisions>false</trackRevisions>
    </reviewItem>
    <reviewItem>
      <errorID>19b14958-8064-4ac5-b3da-fb4cc3f079e7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10B88EA3</paraID>
      <start>0</start>
      <end>2</end>
      <status>modified</status>
      <modifiedWord>2.</modifiedWord>
      <trackRevisions>false</trackRevisions>
    </reviewItem>
    <reviewItem>
      <errorID>ddbc94e8-1cd3-4931-b737-816be5b807b8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78EE63C7</paraID>
      <start>0</start>
      <end>2</end>
      <status>modified</status>
      <modifiedWord>3.</modifiedWord>
      <trackRevisions>false</trackRevisions>
    </reviewItem>
    <reviewItem>
      <errorID>52e89241-9764-498f-8934-c09d8ca8d1b8</errorID>
      <errorWord>法律、法规</errorWord>
      <group>L1_Word</group>
      <groupName>字词问题</groupName>
      <ability>L2_Typo</ability>
      <abilityName>字词错误</abilityName>
      <candidateList>
        <item>法律法规</item>
      </candidateList>
      <explain/>
      <paraID>53A991BC</paraID>
      <start>141</start>
      <end>146</end>
      <status>ignored</status>
      <modifiedWord/>
      <trackRevisions>false</trackRevisions>
    </reviewItem>
    <reviewItem>
      <errorID>2c476e2b-44f6-4659-952f-5a2013d0c4f7</errorID>
      <errorWord>其它</errorWord>
      <group>L1_Word</group>
      <groupName>字词问题</groupName>
      <ability>L2_Alias</ability>
      <abilityName>也作/曾用词</abilityName>
      <candidateList>
        <item>其他</item>
      </candidateList>
      <explain>词汇[其它]为不规范表述或旧称，其规范书面表述为[其他]。</explain>
      <paraID>22996E86</paraID>
      <start>31</start>
      <end>33</end>
      <status>ignored</status>
      <modifiedWord/>
      <trackRevisions>false</trackRevisions>
    </reviewItem>
    <reviewItem>
      <errorID>a1c7cf8d-d31b-4ea0-a590-708daa358ad5</errorID>
      <errorWord>，</errorWord>
      <group>L1_Word</group>
      <groupName>字词问题</groupName>
      <ability>L2_Typo</ability>
      <abilityName>字词错误</abilityName>
      <candidateList>
        <item>，在</item>
      </candidateList>
      <explain/>
      <paraID>7331BFCD</paraID>
      <start>50</start>
      <end>51</end>
      <status>ignored</status>
      <modifiedWord/>
      <trackRevisions>false</trackRevisions>
    </reviewItem>
    <reviewItem>
      <errorID>65a0e407-02a0-46f3-bdb6-ce2f0ca7666f</errorID>
      <errorWord>法律、法规</errorWord>
      <group>L1_Word</group>
      <groupName>字词问题</groupName>
      <ability>L2_Typo</ability>
      <abilityName>字词错误</abilityName>
      <candidateList>
        <item>法律法规</item>
      </candidateList>
      <explain/>
      <paraID>7331BFCD</paraID>
      <start>64</start>
      <end>69</end>
      <status>ignored</status>
      <modifiedWord/>
      <trackRevisions>false</trackRevisions>
    </reviewItem>
    <reviewItem>
      <errorID>6f557748-4395-4848-80e0-d1ea14f356f1</errorID>
      <errorWord>联防联动机制</errorWord>
      <group>L1_Word</group>
      <groupName>字词问题</groupName>
      <ability>L2_Typo</ability>
      <abilityName>字词错误</abilityName>
      <candidateList>
        <item>联防联控机制</item>
      </candidateList>
      <explain/>
      <paraID>3C737391</paraID>
      <start>65</start>
      <end>71</end>
      <status>ignored</status>
      <modifiedWord/>
      <trackRevisions>false</trackRevisions>
    </reviewItem>
    <reviewItem>
      <errorID>28dff4a2-5475-45ed-a446-e0b5c854e953</errorID>
      <errorWord>小</errorWord>
      <group>L1_Word</group>
      <groupName>字词问题</groupName>
      <ability>L2_Typo</ability>
      <abilityName>字词错误</abilityName>
      <candidateList>
        <item>少</item>
      </candidateList>
      <explain>存在字形相近字词的误用。</explain>
      <paraID>2AC6CABC</paraID>
      <start>21</start>
      <end>22</end>
      <status>modified</status>
      <modifiedWord>少</modifiedWord>
      <trackRevisions>false</trackRevisions>
    </reviewItem>
    <reviewItem>
      <errorID>db5ded93-9524-4283-9b23-6287e2dd81b8</errorID>
      <errorWord>上线</errorWord>
      <group>L1_Word</group>
      <groupName>字词问题</groupName>
      <ability>L2_Typo</ability>
      <abilityName>字词错误</abilityName>
      <candidateList>
        <item>上限</item>
      </candidateList>
      <explain/>
      <paraID>751C5B29</paraID>
      <start>12</start>
      <end>14</end>
      <status>ignored</status>
      <modifiedWord/>
      <trackRevisions>false</trackRevisions>
    </reviewItem>
    <reviewItem>
      <errorID>252dacc3-5dd7-45a2-bd8c-7fe818d97c3f</errorID>
      <errorWord>有价</errorWord>
      <group>L1_Word</group>
      <groupName>字词问题</groupName>
      <ability>L2_Typo</ability>
      <abilityName>字词错误</abilityName>
      <candidateList>
        <item>有机</item>
      </candidateList>
      <explain/>
      <paraID>1451A394</paraID>
      <start>127</start>
      <end>129</end>
      <status>ignored</status>
      <modifiedWord/>
      <trackRevisions>false</trackRevisions>
    </reviewItem>
    <reviewItem>
      <errorID>0e045ca9-4622-4419-b9e1-2f46f77a6e15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397D53A9</paraID>
      <start>0</start>
      <end>2</end>
      <status>modified</status>
      <modifiedWord>4.</modifiedWord>
      <trackRevisions>false</trackRevisions>
    </reviewItem>
    <reviewItem>
      <errorID>08fcf4a3-42fa-4924-83b5-8fb010357b06</errorID>
      <errorWord>&lt;</errorWord>
      <group>L1_Format</group>
      <groupName>格式问题</groupName>
      <ability>L2_HalfPunc</ability>
      <abilityName>全半角检查</abilityName>
      <candidateList>
        <item>〈</item>
      </candidateList>
      <explain>文本全半角错误。</explain>
      <paraID>397D53A9</paraID>
      <start>11</start>
      <end>12</end>
      <status>modified</status>
      <modifiedWord>〈</modifiedWord>
      <trackRevisions>false</trackRevisions>
    </reviewItem>
    <reviewItem>
      <errorID>571e7edf-4801-4763-a98f-28be372f7c4a</errorID>
      <errorWord>&gt;</errorWord>
      <group>L1_Format</group>
      <groupName>格式问题</groupName>
      <ability>L2_HalfPunc</ability>
      <abilityName>全半角检查</abilityName>
      <candidateList>
        <item>〉</item>
      </candidateList>
      <explain>文本全半角错误。</explain>
      <paraID>397D53A9</paraID>
      <start>34</start>
      <end>35</end>
      <status>modified</status>
      <modifiedWord>〉</modifiedWord>
      <trackRevisions>false</trackRevisions>
    </reviewItem>
    <reviewItem>
      <errorID>25dec7da-8348-4f57-9517-a333af496ac4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101BB632</paraID>
      <start>0</start>
      <end>2</end>
      <status>modified</status>
      <modifiedWord>5.</modifiedWord>
      <trackRevisions>false</trackRevisions>
    </reviewItem>
    <reviewItem>
      <errorID>bf6e851f-6c48-4fdc-8f93-7bbf995ed13b</errorID>
      <errorWord>II类</errorWord>
      <group>L1_Knowledge</group>
      <groupName>知识性问题</groupName>
      <ability>L2_Knowledge</ability>
      <abilityName>其他知识</abilityName>
      <candidateList>
        <item>Ⅱ类</item>
      </candidateList>
      <explain/>
      <paraID>29C08064</paraID>
      <start>86</start>
      <end>88</end>
      <status>modified</status>
      <modifiedWord>Ⅱ类</modifiedWord>
      <trackRevisions>false</trackRevisions>
    </reviewItem>
    <reviewItem>
      <errorID>44640623-0a5f-4193-8eec-e1d00e4b5a79</errorID>
      <errorWord>碳达峰和碳中和</errorWord>
      <group>L1_Political</group>
      <groupName>政治性问题</groupName>
      <ability>L2_Keyword</ability>
      <abilityName>固定表述</abilityName>
      <candidateList>
        <item>碳达峰碳中和</item>
      </candidateList>
      <explain>词汇“碳达峰碳中和”在特定场景下为固定表述形式，请确认此处的“碳达峰和碳中和”是否存在不当。</explain>
      <paraID> AD44196</paraID>
      <start>73</start>
      <end>80</end>
      <status>ignored</status>
      <modifiedWord/>
      <trackRevisions>false</trackRevisions>
    </reviewItem>
    <reviewItem>
      <errorID>8cc21175-8b28-4653-b311-3fb5d76ba982</errorID>
      <errorWord>法律、法规</errorWord>
      <group>L1_Word</group>
      <groupName>字词问题</groupName>
      <ability>L2_Typo</ability>
      <abilityName>字词错误</abilityName>
      <candidateList>
        <item>法律法规</item>
      </candidateList>
      <explain/>
      <paraID>67568DE0</paraID>
      <start>141</start>
      <end>146</end>
      <status>ignored</status>
      <modifiedWord/>
      <trackRevisions>false</trackRevisions>
    </reviewItem>
    <reviewItem>
      <errorID>c9b4d7a6-bea5-4cb3-b79f-70e305c5af7c</errorID>
      <errorWord>其它</errorWord>
      <group>L1_Word</group>
      <groupName>字词问题</groupName>
      <ability>L2_Alias</ability>
      <abilityName>也作/曾用词</abilityName>
      <candidateList>
        <item>其他</item>
      </candidateList>
      <explain>词汇[其它]为不规范表述或旧称，其规范书面表述为[其他]。</explain>
      <paraID>20622449</paraID>
      <start>30</start>
      <end>32</end>
      <status>ignored</status>
      <modifiedWord/>
      <trackRevisions>false</trackRevisions>
    </reviewItem>
    <reviewItem>
      <errorID>6bfccdc3-5850-4bd1-93dc-475063d918e0</errorID>
      <errorWord>，</errorWord>
      <group>L1_Word</group>
      <groupName>字词问题</groupName>
      <ability>L2_Typo</ability>
      <abilityName>字词错误</abilityName>
      <candidateList>
        <item>，在</item>
      </candidateList>
      <explain/>
      <paraID>7016C57B</paraID>
      <start>50</start>
      <end>51</end>
      <status>ignored</status>
      <modifiedWord/>
      <trackRevisions>false</trackRevisions>
    </reviewItem>
    <reviewItem>
      <errorID>d528f94e-6ed0-4598-897e-6f820129e2fd</errorID>
      <errorWord>法律、法规</errorWord>
      <group>L1_Word</group>
      <groupName>字词问题</groupName>
      <ability>L2_Typo</ability>
      <abilityName>字词错误</abilityName>
      <candidateList>
        <item>法律法规</item>
      </candidateList>
      <explain/>
      <paraID>7016C57B</paraID>
      <start>64</start>
      <end>69</end>
      <status>ignored</status>
      <modifiedWord/>
      <trackRevisions>false</trackRevisions>
    </reviewItem>
    <reviewItem>
      <errorID>54249427-c22b-491a-b835-bd3aa38c7e7a</errorID>
      <errorWord>-</errorWord>
      <group>L1_Format</group>
      <groupName>格式问题</groupName>
      <ability>L2_HalfPunc</ability>
      <abilityName>全半角检查</abilityName>
      <candidateList>
        <item>－</item>
      </candidateList>
      <explain>文本全半角错误。</explain>
      <paraID>5141F883</paraID>
      <start>5</start>
      <end>6</end>
      <status>ignored</status>
      <modifiedWord/>
      <trackRevisions>false</trackRevisions>
    </reviewItem>
    <reviewItem>
      <errorID>d315026c-a681-4094-a246-0eeddabaae85</errorID>
      <errorWord>-</errorWord>
      <group>L1_Format</group>
      <groupName>格式问题</groupName>
      <ability>L2_HalfPunc</ability>
      <abilityName>全半角检查</abilityName>
      <candidateList>
        <item>－</item>
      </candidateList>
      <explain>文本全半角错误。</explain>
      <paraID>799FD723</paraID>
      <start>5</start>
      <end>6</end>
      <status>ignored</status>
      <modifiedWord/>
      <trackRevisions>false</trackRevisions>
    </reviewItem>
    <reviewItem>
      <errorID>90b10d33-c137-4993-9c76-099990f8a044</errorID>
      <errorWord>原住居民</errorWord>
      <group>L1_Sensitive</group>
      <groupName>敏感问题</groupName>
      <ability>L2_Violent</ability>
      <abilityName>暴恐词条</abilityName>
      <candidateList/>
      <explain>【暴恐词条】句中包含暴恐类敏感词条，请注意甄别。</explain>
      <paraID>520EDA32</paraID>
      <start>3</start>
      <end>7</end>
      <status>ignored</status>
      <modifiedWord/>
      <trackRevisions>false</trackRevisions>
    </reviewItem>
    <reviewItem>
      <errorID>1f4b3401-6f25-4624-a6d5-ef89cc6c1aa4</errorID>
      <errorWord>通视</errorWord>
      <group>L1_Word</group>
      <groupName>字词问题</groupName>
      <ability>L2_Typo</ability>
      <abilityName>字词错误</abilityName>
      <candidateList>
        <item>通</item>
      </candidateList>
      <explain/>
      <paraID>520EDA32</paraID>
      <start>800</start>
      <end>802</end>
      <status>ignored</status>
      <modifiedWord/>
      <trackRevisions>false</trackRevisions>
    </reviewItem>
    <reviewItem>
      <errorID>39143d83-5b59-441e-9c6c-175419e52800</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74837DD4</paraID>
      <start>109</start>
      <end>116</end>
      <status>ignored</status>
      <modifiedWord/>
      <trackRevisions>false</trackRevisions>
    </reviewItem>
    <reviewItem>
      <errorID>c9c9c48e-1e36-4db4-a4b6-7323782e00a3</errorID>
      <errorWord>，</errorWord>
      <group>L1_Word</group>
      <groupName>字词问题</groupName>
      <ability>L2_Typo</ability>
      <abilityName>字词错误</abilityName>
      <candidateList>
        <item>，对</item>
      </candidateList>
      <explain/>
      <paraID>6CB80E6B</paraID>
      <start>31</start>
      <end>32</end>
      <status>ignored</status>
      <modifiedWord/>
      <trackRevisions>false</trackRevisions>
    </reviewItem>
    <reviewItem>
      <errorID>da0a1352-3981-4908-b0fe-cdaed7ab162d</errorID>
      <errorWord>原住居民</errorWord>
      <group>L1_Sensitive</group>
      <groupName>敏感问题</groupName>
      <ability>L2_Violent</ability>
      <abilityName>暴恐词条</abilityName>
      <candidateList/>
      <explain>【暴恐词条】句中包含暴恐类敏感词条，请注意甄别。</explain>
      <paraID>522C9B01</paraID>
      <start>9</start>
      <end>13</end>
      <status>ignored</status>
      <modifiedWord/>
      <trackRevisions>false</trackRevisions>
    </reviewItem>
    <reviewItem>
      <errorID>ba8bee63-c173-455c-bc54-0d8001e24df7</errorID>
      <errorWord>原住居民</errorWord>
      <group>L1_Sensitive</group>
      <groupName>敏感问题</groupName>
      <ability>L2_Violent</ability>
      <abilityName>暴恐词条</abilityName>
      <candidateList/>
      <explain>【暴恐词条】句中包含暴恐类敏感词条，请注意甄别。</explain>
      <paraID> A3A51C1</paraID>
      <start>5</start>
      <end>9</end>
      <status>ignored</status>
      <modifiedWord/>
      <trackRevisions>false</trackRevisions>
    </reviewItem>
    <reviewItem>
      <errorID>b694cfd1-d670-4606-93de-8575e1c98e45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6D81E154</paraID>
      <start>4</start>
      <end>5</end>
      <status>ignored</status>
      <modifiedWord/>
      <trackRevisions>false</trackRevisions>
    </reviewItem>
    <reviewItem>
      <errorID>466ef258-3c9b-45b0-a400-c89f4df035cf</errorID>
      <errorWord>胜</errorWord>
      <group>L1_Word</group>
      <groupName>字词问题</groupName>
      <ability>L2_Typo</ability>
      <abilityName>字词错误</abilityName>
      <candidateList>
        <item>胜区</item>
      </candidateList>
      <explain/>
      <paraID>3CCC7A18</paraID>
      <start>60</start>
      <end>61</end>
      <status>ignored</status>
      <modifiedWord/>
      <trackRevisions>false</trackRevisions>
    </reviewItem>
    <reviewItem>
      <errorID>b1e8cbb8-7b0f-4b1d-a53a-091ba2687372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46438BB4</paraID>
      <start>0</start>
      <end>2</end>
      <status>ignored</status>
      <modifiedWord/>
      <trackRevisions>false</trackRevisions>
    </reviewItem>
    <reviewItem>
      <errorID>4af01e20-9d77-4545-b5a9-2878cc2be8d3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28535142</paraID>
      <start>0</start>
      <end>2</end>
      <status>ignored</status>
      <modifiedWord/>
      <trackRevisions>false</trackRevisions>
    </reviewItem>
    <reviewItem>
      <errorID>b044e017-02f9-42d7-aa80-96df3850b9e9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1F6114CA</paraID>
      <start>0</start>
      <end>2</end>
      <status>ignored</status>
      <modifiedWord/>
      <trackRevisions>false</trackRevisions>
    </reviewItem>
    <reviewItem>
      <errorID>81224796-8b04-47a2-9177-ae6d31e7921a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6A674B9E</paraID>
      <start>0</start>
      <end>2</end>
      <status>ignored</status>
      <modifiedWord/>
      <trackRevisions>false</trackRevisions>
    </reviewItem>
    <reviewItem>
      <errorID>786790da-b2c3-4b26-95bd-37269f4f6b45</errorID>
      <errorWord>法律、法规</errorWord>
      <group>L1_Word</group>
      <groupName>字词问题</groupName>
      <ability>L2_Typo</ability>
      <abilityName>字词错误</abilityName>
      <candidateList>
        <item>法律法规</item>
      </candidateList>
      <explain/>
      <paraID>4DD09D54</paraID>
      <start>171</start>
      <end>176</end>
      <status>ignored</status>
      <modifiedWord/>
      <trackRevisions>false</trackRevisions>
    </reviewItem>
    <reviewItem>
      <errorID>192acafc-c1e6-4516-a7d2-67eeda5c6121</errorID>
      <errorWord>景物</errorWord>
      <group>L1_Word</group>
      <groupName>字词问题</groupName>
      <ability>L2_Typo</ability>
      <abilityName>字词错误</abilityName>
      <candidateList>
        <item>景区</item>
      </candidateList>
      <explain/>
      <paraID>4573452E</paraID>
      <start>166</start>
      <end>168</end>
      <status>ignored</status>
      <modifiedWord/>
      <trackRevisions>false</trackRevisions>
    </reviewItem>
    <reviewItem>
      <errorID>f5ce56f6-4e34-417f-9ebb-c9bd63b618e1</errorID>
      <errorWord>法律、法规</errorWord>
      <group>L1_Word</group>
      <groupName>字词问题</groupName>
      <ability>L2_Typo</ability>
      <abilityName>字词错误</abilityName>
      <candidateList>
        <item>法律法规</item>
      </candidateList>
      <explain/>
      <paraID>4573452E</paraID>
      <start>211</start>
      <end>216</end>
      <status>ignored</status>
      <modifiedWord/>
      <trackRevisions>false</trackRevisions>
    </reviewItem>
    <reviewItem>
      <errorID>46b96669-d922-4969-9901-1fdd4af63dde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638055BB</paraID>
      <start>0</start>
      <end>2</end>
      <status>ignored</status>
      <modifiedWord/>
      <trackRevisions>false</trackRevisions>
    </reviewItem>
    <reviewItem>
      <errorID>37cf8c51-c9bd-40dc-ad2e-b000837de143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4D65CBB6</paraID>
      <start>0</start>
      <end>2</end>
      <status>ignored</status>
      <modifiedWord/>
      <trackRevisions>false</trackRevisions>
    </reviewItem>
    <reviewItem>
      <errorID>9f57dd95-1dd0-4b7f-9977-1f7e545f9249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5544EAB8</paraID>
      <start>0</start>
      <end>2</end>
      <status>ignored</status>
      <modifiedWord/>
      <trackRevisions>false</trackRevisions>
    </reviewItem>
    <reviewItem>
      <errorID>d29a33dc-b96e-47fa-b138-1330a5db94d5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4FED7A5F</paraID>
      <start>0</start>
      <end>2</end>
      <status>ignored</status>
      <modifiedWord/>
      <trackRevisions>false</trackRevisions>
    </reviewItem>
    <reviewItem>
      <errorID>4e9409ce-e871-4bdb-92ad-0a497a2d9cc0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647C6D12</paraID>
      <start>0</start>
      <end>2</end>
      <status>ignored</status>
      <modifiedWord/>
      <trackRevisions>false</trackRevisions>
    </reviewItem>
    <reviewItem>
      <errorID>27228b10-3002-453b-bc10-339e4b9eabef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14712E39</paraID>
      <start>0</start>
      <end>2</end>
      <status>ignored</status>
      <modifiedWord/>
      <trackRevisions>false</trackRevisions>
    </reviewItem>
    <reviewItem>
      <errorID>9dbe5bcb-4bdc-41e8-ad8c-0c5692553b69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5506FCA6</paraID>
      <start>0</start>
      <end>2</end>
      <status>ignored</status>
      <modifiedWord/>
      <trackRevisions>false</trackRevisions>
    </reviewItem>
    <reviewItem>
      <errorID>b73d2af0-d437-4104-b899-c5cace26c690</errorID>
      <errorWord>保育区</errorWord>
      <group>L1_Word</group>
      <groupName>字词问题</groupName>
      <ability>L2_Typo</ability>
      <abilityName>字词错误</abilityName>
      <candidateList>
        <item>保护区</item>
      </candidateList>
      <explain/>
      <paraID> 5F7E810</paraID>
      <start>177</start>
      <end>180</end>
      <status>unmodified</status>
      <modifiedWord/>
      <trackRevisions>false</trackRevisions>
    </reviewItem>
    <reviewItem>
      <errorID>8c9f125b-96ed-4da6-afd9-a2c502646ed9</errorID>
      <errorWord>区以</errorWord>
      <group>L1_Word</group>
      <groupName>字词问题</groupName>
      <ability>L2_Typo</ability>
      <abilityName>字词错误</abilityName>
      <candidateList>
        <item>区域</item>
      </candidateList>
      <explain>存在发音相近字词的误用。</explain>
      <paraID> 5F7E810</paraID>
      <start>203</start>
      <end>205</end>
      <status>ignored</status>
      <modifiedWord/>
      <trackRevisions>false</trackRevisions>
    </reviewItem>
    <reviewItem>
      <errorID>2558e93d-a6fa-4249-af43-4ab04e9080c7</errorID>
      <errorWord>他的</errorWord>
      <group>L1_Word</group>
      <groupName>字词问题</groupName>
      <ability>L2_Typo</ability>
      <abilityName>字词错误</abilityName>
      <candidateList>
        <item>他</item>
      </candidateList>
      <explain/>
      <paraID> 5F7E810</paraID>
      <start>556</start>
      <end>558</end>
      <status>ignored</status>
      <modifiedWord/>
      <trackRevisions>false</trackRevisions>
    </reviewItem>
    <reviewItem>
      <errorID>f6c24612-476b-426f-99ae-2b16fc54a4ab</errorID>
      <errorWord>他的</errorWord>
      <group>L1_Word</group>
      <groupName>字词问题</groupName>
      <ability>L2_Typo</ability>
      <abilityName>字词错误</abilityName>
      <candidateList>
        <item>他</item>
      </candidateList>
      <explain/>
      <paraID>128E4F4F</paraID>
      <start>195</start>
      <end>197</end>
      <status>ignored</status>
      <modifiedWord/>
      <trackRevisions>false</trackRevisions>
    </reviewItem>
    <reviewItem>
      <errorID>74439429-a2dc-4e92-bdcf-3cd3ff3a7e8d</errorID>
      <errorWord>（</errorWord>
      <group>L1_Word</group>
      <groupName>字词问题</groupName>
      <ability>L2_Typo</ability>
      <abilityName>字词错误</abilityName>
      <candidateList>
        <item>（以</item>
      </candidateList>
      <explain/>
      <paraID>41077723</paraID>
      <start>14</start>
      <end>15</end>
      <status>ignored</status>
      <modifiedWord/>
      <trackRevisions>false</trackRevisions>
    </reviewItem>
    <reviewItem>
      <errorID>b15bf153-6c30-40a1-ba84-7ad3d9fbba1c</errorID>
      <errorWord>焉耆县</errorWord>
      <group>L1_Knowledge</group>
      <groupName>知识性问题</groupName>
      <ability>L2_Location</ability>
      <abilityName>地名检查</abilityName>
      <candidateList>
        <item>焉耆回族自治县</item>
      </candidateList>
      <explain>自治区州县缩写不规范。《地名管理条例》第十八条规定，标识牌、公共平台发布的信息、各类公文证件、学习类公开出版物、地图、法律法规规定等场景范围内必须使用标准地名。</explain>
      <paraID>41077723</paraID>
      <start>46</start>
      <end>49</end>
      <status>ignored</status>
      <modifiedWord/>
      <trackRevisions>false</trackRevisions>
    </reviewItem>
    <reviewItem>
      <errorID>f4631727-70fb-44df-9ab6-5c5ce3c82009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7AA1F2FE</paraID>
      <start>160</start>
      <end>163</end>
      <status>ignored</status>
      <modifiedWord/>
      <trackRevisions>false</trackRevisions>
    </reviewItem>
    <reviewItem>
      <errorID>1bfc193d-6802-4ef7-b49b-8b9da810a7a6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5B9B4DAB</paraID>
      <start>0</start>
      <end>2</end>
      <status>ignored</status>
      <modifiedWord/>
      <trackRevisions>false</trackRevisions>
    </reviewItem>
    <reviewItem>
      <errorID>7a5321c5-f807-4d3a-b804-d0845086f7dd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6FFF6FE3</paraID>
      <start>0</start>
      <end>2</end>
      <status>ignored</status>
      <modifiedWord/>
      <trackRevisions>false</trackRevisions>
    </reviewItem>
    <reviewItem>
      <errorID>feb8ad30-879a-42bc-83b0-15a03591cf70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35743E58</paraID>
      <start>0</start>
      <end>2</end>
      <status>ignored</status>
      <modifiedWord/>
      <trackRevisions>false</trackRevisions>
    </reviewItem>
    <reviewItem>
      <errorID>2474b412-718a-4fa8-a69a-a26afe89d65c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47887894</paraID>
      <start>0</start>
      <end>2</end>
      <status>ignored</status>
      <modifiedWord/>
      <trackRevisions>false</trackRevisions>
    </reviewItem>
    <reviewItem>
      <errorID>fbe9c45f-a730-4338-87df-bfd9a771dab0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48DD2D1D</paraID>
      <start>0</start>
      <end>2</end>
      <status>ignored</status>
      <modifiedWord/>
      <trackRevisions>false</trackRevisions>
    </reviewItem>
    <reviewItem>
      <errorID>e42c73e4-4780-4d02-a9fc-2b31a050bd20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681897A9</paraID>
      <start>0</start>
      <end>2</end>
      <status>ignored</status>
      <modifiedWord/>
      <trackRevisions>false</trackRevisions>
    </reviewItem>
    <reviewItem>
      <errorID>2895f527-b12b-4108-a9f3-2c32b0571b3e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31BBB152</paraID>
      <start>0</start>
      <end>2</end>
      <status>ignored</status>
      <modifiedWord/>
      <trackRevisions>false</trackRevisions>
    </reviewItem>
    <reviewItem>
      <errorID>416be291-61d3-469d-afb9-e8879a3f96d9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88E55BC</paraID>
      <start>0</start>
      <end>2</end>
      <status>ignored</status>
      <modifiedWord/>
      <trackRevisions>false</trackRevisions>
    </reviewItem>
    <reviewItem>
      <errorID>1a4a8f30-0e61-451a-bc1a-928d6075823c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3F325989</paraID>
      <start>0</start>
      <end>2</end>
      <status>ignored</status>
      <modifiedWord/>
      <trackRevisions>false</trackRevisions>
    </reviewItem>
    <reviewItem>
      <errorID>3c0a423b-288c-4889-af23-20ad8ae47273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9A1BDF5</paraID>
      <start>0</start>
      <end>2</end>
      <status>ignored</status>
      <modifiedWord/>
      <trackRevisions>false</trackRevisions>
    </reviewItem>
    <reviewItem>
      <errorID>77d1e4c6-4bf7-4cb3-8294-031d03508351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1D0103AC</paraID>
      <start>0</start>
      <end>2</end>
      <status>ignored</status>
      <modifiedWord/>
      <trackRevisions>false</trackRevisions>
    </reviewItem>
    <reviewItem>
      <errorID>b4b1c0e0-d1c4-4824-9115-d0a766dddded</errorID>
      <errorWord>，</errorWord>
      <group>L1_Word</group>
      <groupName>字词问题</groupName>
      <ability>L2_Typo</ability>
      <abilityName>字词错误</abilityName>
      <candidateList>
        <item>，对</item>
      </candidateList>
      <explain/>
      <paraID>54C303A9</paraID>
      <start>34</start>
      <end>35</end>
      <status>unmodified</status>
      <modifiedWord/>
      <trackRevisions>false</trackRevisions>
    </reviewItem>
    <reviewItem>
      <errorID>bc80bb7d-f6f2-4f54-ba9c-e7ab01575eb4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2D118FC9</paraID>
      <start>0</start>
      <end>2</end>
      <status>ignored</status>
      <modifiedWord/>
      <trackRevisions>false</trackRevisions>
    </reviewItem>
    <reviewItem>
      <errorID>e5646241-1fc6-45ed-83c7-a5476d76e7e4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15C5CC8B</paraID>
      <start>0</start>
      <end>2</end>
      <status>unmodified</status>
      <modifiedWord/>
      <trackRevisions>false</trackRevisions>
    </reviewItem>
    <reviewItem>
      <errorID>100b6deb-df42-4053-96c5-200df15085d5</errorID>
      <errorWord>法律、法规</errorWord>
      <group>L1_Word</group>
      <groupName>字词问题</groupName>
      <ability>L2_Typo</ability>
      <abilityName>字词错误</abilityName>
      <candidateList>
        <item>法律法规</item>
      </candidateList>
      <explain/>
      <paraID>15C5CC8B</paraID>
      <start>31</start>
      <end>36</end>
      <status>unmodified</status>
      <modifiedWord/>
      <trackRevisions>false</trackRevisions>
    </reviewItem>
    <reviewItem>
      <errorID>8e598e57-8956-4c1c-a5f9-ca15644b8829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60449EA6</paraID>
      <start>0</start>
      <end>2</end>
      <status>unmodified</status>
      <modifiedWord/>
      <trackRevisions>false</trackRevisions>
    </reviewItem>
    <reviewItem>
      <errorID>2c62eb64-04ba-4862-bf23-872af7464917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43874250</paraID>
      <start>0</start>
      <end>2</end>
      <status>unmodified</status>
      <modifiedWord/>
      <trackRevisions>false</trackRevisions>
    </reviewItem>
    <reviewItem>
      <errorID>3707f56a-2f71-42ca-891e-f0d534f45169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3707C224</paraID>
      <start>0</start>
      <end>2</end>
      <status>unmodified</status>
      <modifiedWord/>
      <trackRevisions>false</trackRevisions>
    </reviewItem>
    <reviewItem>
      <errorID>65c70ccd-4cad-4134-9bd4-1c93747df449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3FAFB911</paraID>
      <start>0</start>
      <end>2</end>
      <status>unmodified</status>
      <modifiedWord/>
      <trackRevisions>false</trackRevisions>
    </reviewItem>
    <reviewItem>
      <errorID>dbc69405-4bf0-4f2c-aa2d-068837b8f7c9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53085B6F</paraID>
      <start>0</start>
      <end>2</end>
      <status>unmodified</status>
      <modifiedWord/>
      <trackRevisions>false</trackRevisions>
    </reviewItem>
    <reviewItem>
      <errorID>e4b3ee57-3a25-49e5-bcdf-a760b90ce74c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2A897AE</paraID>
      <start>0</start>
      <end>2</end>
      <status>unmodified</status>
      <modifiedWord/>
      <trackRevisions>false</trackRevisions>
    </reviewItem>
    <reviewItem>
      <errorID>5ed97153-1390-4bde-b32b-e899c7a3e4d6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546A42B2</paraID>
      <start>0</start>
      <end>2</end>
      <status>unmodified</status>
      <modifiedWord/>
      <trackRevisions>false</trackRevisions>
    </reviewItem>
    <reviewItem>
      <errorID>2ab204bc-9620-4be9-840c-88058ee473b8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506A90CF</paraID>
      <start>0</start>
      <end>2</end>
      <status>unmodified</status>
      <modifiedWord/>
      <trackRevisions>false</trackRevisions>
    </reviewItem>
    <reviewItem>
      <errorID>bf09fc18-b75f-4249-890f-d049d30e7db8</errorID>
      <errorWord>法律、法规</errorWord>
      <group>L1_Word</group>
      <groupName>字词问题</groupName>
      <ability>L2_Typo</ability>
      <abilityName>字词错误</abilityName>
      <candidateList>
        <item>法律法规</item>
      </candidateList>
      <explain/>
      <paraID>506A90CF</paraID>
      <start>92</start>
      <end>97</end>
      <status>unmodified</status>
      <modifiedWord/>
      <trackRevisions>false</trackRevisions>
    </reviewItem>
    <reviewItem>
      <errorID>547b2bfe-4d3d-465a-809f-70ebd0fe5a2e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5F453B96</paraID>
      <start>0</start>
      <end>2</end>
      <status>unmodified</status>
      <modifiedWord/>
      <trackRevisions>false</trackRevisions>
    </reviewItem>
    <reviewItem>
      <errorID>742848d0-dcfc-42f0-a661-1cdf39f2c34c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4894660</paraID>
      <start>0</start>
      <end>2</end>
      <status>unmodified</status>
      <modifiedWord/>
      <trackRevisions>false</trackRevisions>
    </reviewItem>
    <reviewItem>
      <errorID>b79a5bf4-d3fb-4a4e-a3dc-1f58d52d3346</errorID>
      <errorWord>法律、法规</errorWord>
      <group>L1_Word</group>
      <groupName>字词问题</groupName>
      <ability>L2_Typo</ability>
      <abilityName>字词错误</abilityName>
      <candidateList>
        <item>法律法规</item>
      </candidateList>
      <explain/>
      <paraID> 4894660</paraID>
      <start>88</start>
      <end>93</end>
      <status>unmodified</status>
      <modifiedWord/>
      <trackRevisions>false</trackRevisions>
    </reviewItem>
    <reviewItem>
      <errorID>a616d46c-97cc-4b6c-8ff5-bf2ce1913acd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10A0D7AA</paraID>
      <start>0</start>
      <end>2</end>
      <status>unmodified</status>
      <modifiedWord/>
      <trackRevisions>false</trackRevisions>
    </reviewItem>
    <reviewItem>
      <errorID>d904e7b5-45c7-4808-9f27-e41984138113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57E4A7C</paraID>
      <start>0</start>
      <end>2</end>
      <status>unmodified</status>
      <modifiedWord/>
      <trackRevisions>false</trackRevisions>
    </reviewItem>
    <reviewItem>
      <errorID>8fc9d189-ed44-4cd8-95de-0f68ad600db8</errorID>
      <errorWord>法律、法规</errorWord>
      <group>L1_Word</group>
      <groupName>字词问题</groupName>
      <ability>L2_Typo</ability>
      <abilityName>字词错误</abilityName>
      <candidateList>
        <item>法律法规</item>
      </candidateList>
      <explain/>
      <paraID> 57E4A7C</paraID>
      <start>88</start>
      <end>93</end>
      <status>unmodified</status>
      <modifiedWord/>
      <trackRevisions>false</trackRevisions>
    </reviewItem>
    <reviewItem>
      <errorID>257fb150-9994-4526-8940-310c3af2ca25</errorID>
      <errorWord>求</errorWord>
      <group>L1_Word</group>
      <groupName>字词问题</groupName>
      <ability>L2_Typo</ability>
      <abilityName>字词错误</abilityName>
      <candidateList>
        <item>求和</item>
      </candidateList>
      <explain/>
      <paraID>13735ABE</paraID>
      <start>53</start>
      <end>54</end>
      <status>unmodified</status>
      <modifiedWord/>
      <trackRevisions>false</trackRevisions>
    </reviewItem>
    <reviewItem>
      <errorID>c635df5c-901a-4343-b1e5-b4ab0952748e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1C335392</paraID>
      <start>0</start>
      <end>2</end>
      <status>unmodified</status>
      <modifiedWord/>
      <trackRevisions>false</trackRevisions>
    </reviewItem>
    <reviewItem>
      <errorID>c02b4bea-5cd9-4b42-8c95-22ac6b16f767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7819DA3B</paraID>
      <start>0</start>
      <end>2</end>
      <status>unmodified</status>
      <modifiedWord/>
      <trackRevisions>false</trackRevisions>
    </reviewItem>
    <reviewItem>
      <errorID>ed7c5fa9-f888-4ba8-91e7-5090e8eaff8c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12D6139B</paraID>
      <start>0</start>
      <end>2</end>
      <status>unmodified</status>
      <modifiedWord/>
      <trackRevisions>false</trackRevisions>
    </reviewItem>
    <reviewItem>
      <errorID>c3035e75-ff8c-473b-8b3f-e0d8ca3c8761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39BAD2B0</paraID>
      <start>0</start>
      <end>2</end>
      <status>unmodified</status>
      <modifiedWord/>
      <trackRevisions>false</trackRevisions>
    </reviewItem>
    <reviewItem>
      <errorID>9a8259d8-6a1d-4ed4-a1af-ae0d873550bc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1DB6BF0D</paraID>
      <start>0</start>
      <end>2</end>
      <status>unmodified</status>
      <modifiedWord/>
      <trackRevisions>false</trackRevisions>
    </reviewItem>
    <reviewItem>
      <errorID>4259b338-0f07-4ec1-b51d-6886e510158d</errorID>
      <errorWord>排水</errorWord>
      <group>L1_Word</group>
      <groupName>字词问题</groupName>
      <ability>L2_Typo</ability>
      <abilityName>字词错误</abilityName>
      <candidateList>
        <item>污水</item>
      </candidateList>
      <explain/>
      <paraID>1DB6BF0D</paraID>
      <start>179</start>
      <end>181</end>
      <status>unmodified</status>
      <modifiedWord/>
      <trackRevisions>false</trackRevisions>
    </reviewItem>
    <reviewItem>
      <errorID>47fd6fa0-b946-462d-b03d-624f506e3431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6CC0C80</paraID>
      <start>0</start>
      <end>2</end>
      <status>unmodified</status>
      <modifiedWord/>
      <trackRevisions>false</trackRevisions>
    </reviewItem>
    <reviewItem>
      <errorID>292ce9f6-a8cb-4e02-ad2d-e829dc4f07b4</errorID>
      <errorWord>期</errorWord>
      <group>L1_Word</group>
      <groupName>字词问题</groupName>
      <ability>L2_Typo</ability>
      <abilityName>字词错误</abilityName>
      <candidateList>
        <item>期间</item>
      </candidateList>
      <explain>〈名〉某个时期里面：农忙～｜春节～｜抗战～。</explain>
      <paraID>511E3B33</paraID>
      <start>2</start>
      <end>4</end>
      <status>modified</status>
      <modifiedWord>期间</modifiedWord>
      <trackRevisions>false</trackRevisions>
    </reviewItem>
    <reviewItem>
      <errorID>7502f63a-a51c-42d1-ae5b-469f449ec741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3885F532</paraID>
      <start>77</start>
      <end>80</end>
      <status>ignored</status>
      <modifiedWord/>
      <trackRevisions>false</trackRevisions>
    </reviewItem>
    <reviewItem>
      <errorID>2dc67066-517d-482b-915c-2d1ffbd5b5fc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3885F532</paraID>
      <start>87</start>
      <end>90</end>
      <status>ignored</status>
      <modifiedWord/>
      <trackRevisions>false</trackRevisions>
    </reviewItem>
    <reviewItem>
      <errorID>c3406e2e-90fa-4fac-b9e1-bb5723c6ef38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1EFD81D7</paraID>
      <start>0</start>
      <end>2</end>
      <status>unmodified</status>
      <modifiedWord/>
      <trackRevisions>false</trackRevisions>
    </reviewItem>
    <reviewItem>
      <errorID>23a547f0-573d-4f8a-bbcb-fec5e3131373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796DD898</paraID>
      <start>0</start>
      <end>2</end>
      <status>unmodified</status>
      <modifiedWord/>
      <trackRevisions>false</trackRevisions>
    </reviewItem>
    <reviewItem>
      <errorID>f7d92aa5-1804-4941-a1ab-5e267248b7c5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61B2ABF</paraID>
      <start>0</start>
      <end>2</end>
      <status>unmodified</status>
      <modifiedWord/>
      <trackRevisions>false</trackRevisions>
    </reviewItem>
    <reviewItem>
      <errorID>ed46ade3-3bbf-41a1-8540-4deed28bb517</errorID>
      <errorWord>法律、法规</errorWord>
      <group>L1_Word</group>
      <groupName>字词问题</groupName>
      <ability>L2_Typo</ability>
      <abilityName>字词错误</abilityName>
      <candidateList>
        <item>法律法规</item>
      </candidateList>
      <explain/>
      <paraID>1999E8FB</paraID>
      <start>3</start>
      <end>8</end>
      <status>unmodified</status>
      <modifiedWord/>
      <trackRevisions>false</trackRevisions>
    </reviewItem>
    <reviewItem>
      <errorID>1310e145-0cba-4661-af6f-58566c26633f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53EC4721</paraID>
      <start>0</start>
      <end>2</end>
      <status>unmodified</status>
      <modifiedWord/>
      <trackRevisions>false</trackRevisions>
    </reviewItem>
    <reviewItem>
      <errorID>366a4bd1-205b-4fc5-871e-6ac505bd2575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2A71A823</paraID>
      <start>0</start>
      <end>2</end>
      <status>unmodified</status>
      <modifiedWord/>
      <trackRevisions>false</trackRevisions>
    </reviewItem>
    <reviewItem>
      <errorID>3937c41d-ba32-4af9-b5c0-25d21325db69</errorID>
      <errorWord>,</errorWord>
      <group>L1_Format</group>
      <groupName>格式问题</groupName>
      <ability>L2_HalfPunc</ability>
      <abilityName>全半角检查</abilityName>
      <candidateList>
        <item>，</item>
      </candidateList>
      <explain>文本全半角错误。</explain>
      <paraID>2EF688CD</paraID>
      <start>84</start>
      <end>85</end>
      <status>unmodified</status>
      <modifiedWord/>
      <trackRevisions>false</trackRevisions>
    </reviewItem>
    <reviewItem>
      <errorID>05cb48c5-91be-43aa-8cee-b2da02b7dabb</errorID>
      <errorWord>噪音</errorWord>
      <group>L1_Word</group>
      <groupName>字词问题</groupName>
      <ability>L2_Alias</ability>
      <abilityName>也作/曾用词</abilityName>
      <candidateList>
        <item>噪声</item>
      </candidateList>
      <explain>词汇[噪音]为不规范表述或旧称，其规范书面表述为[噪声]。</explain>
      <paraID>41762D8B</paraID>
      <start>7</start>
      <end>9</end>
      <status>unmodified</status>
      <modifiedWord/>
      <trackRevisions>false</trackRevisions>
    </reviewItem>
    <reviewItem>
      <errorID>2238ab58-6595-4a4e-92ac-a6475fa70b79</errorID>
      <errorWord>程</errorWord>
      <group>L1_Word</group>
      <groupName>字词问题</groupName>
      <ability>L2_Typo</ability>
      <abilityName>字词错误</abilityName>
      <candidateList>
        <item>程中</item>
      </candidateList>
      <explain/>
      <paraID>3C34F1AF</paraID>
      <start>29</start>
      <end>30</end>
      <status>unmodified</status>
      <modifiedWord/>
      <trackRevisions>false</trackRevisions>
    </reviewItem>
    <reviewItem>
      <errorID>398932a9-bc2c-44c8-8133-c9dfe3d9fe16</errorID>
      <errorWord>程</errorWord>
      <group>L1_Word</group>
      <groupName>字词问题</groupName>
      <ability>L2_Typo</ability>
      <abilityName>字词错误</abilityName>
      <candidateList>
        <item>程中</item>
      </candidateList>
      <explain/>
      <paraID>3C34F1AF</paraID>
      <start>75</start>
      <end>76</end>
      <status>unmodified</status>
      <modifiedWord/>
      <trackRevisions>false</trackRevisions>
    </reviewItem>
    <reviewItem>
      <errorID>d1f7cb17-cfd2-48c7-aeeb-0ed9a6f34005</errorID>
      <errorWord>，</errorWord>
      <group>L1_Word</group>
      <groupName>字词问题</groupName>
      <ability>L2_Typo</ability>
      <abilityName>字词错误</abilityName>
      <candidateList>
        <item>，由</item>
      </candidateList>
      <explain/>
      <paraID>54B3D3D0</paraID>
      <start>21</start>
      <end>22</end>
      <status>unmodified</status>
      <modifiedWord/>
      <trackRevisions>false</trackRevisions>
    </reviewItem>
    <reviewItem>
      <errorID>2260cb14-4957-4f4f-9dc0-30dfe60e82db</errorID>
      <errorWord>-</errorWord>
      <group>L1_Format</group>
      <groupName>格式问题</groupName>
      <ability>L2_HalfPunc</ability>
      <abilityName>全半角检查</abilityName>
      <candidateList>
        <item>－</item>
      </candidateList>
      <explain>文本全半角错误。</explain>
      <paraID>28853671</paraID>
      <start>92</start>
      <end>93</end>
      <status>unmodified</status>
      <modifiedWord/>
      <trackRevisions>false</trackRevisions>
    </reviewItem>
    <reviewItem>
      <errorID>3f452e06-8aef-470a-8cb9-f65a1db9f808</errorID>
      <errorWord>-</errorWord>
      <group>L1_Format</group>
      <groupName>格式问题</groupName>
      <ability>L2_HalfPunc</ability>
      <abilityName>全半角检查</abilityName>
      <candidateList>
        <item>－</item>
      </candidateList>
      <explain>文本全半角错误。</explain>
      <paraID>28853671</paraID>
      <start>95</start>
      <end>96</end>
      <status>unmodified</status>
      <modifiedWord/>
      <trackRevisions>false</trackRevisions>
    </reviewItem>
    <reviewItem>
      <errorID>5fc5d5b5-828a-43d0-9e12-e01e8954738f</errorID>
      <errorWord>-</errorWord>
      <group>L1_Format</group>
      <groupName>格式问题</groupName>
      <ability>L2_HalfPunc</ability>
      <abilityName>全半角检查</abilityName>
      <candidateList>
        <item>－</item>
      </candidateList>
      <explain>文本全半角错误。</explain>
      <paraID>28853671</paraID>
      <start>98</start>
      <end>99</end>
      <status>unmodified</status>
      <modifiedWord/>
      <trackRevisions>false</trackRevisions>
    </reviewItem>
    <reviewItem>
      <errorID>63aaf447-f608-4fea-9b8b-c06250779264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7D4601A0</paraID>
      <start>0</start>
      <end>2</end>
      <status>unmodified</status>
      <modifiedWord/>
      <trackRevisions>false</trackRevisions>
    </reviewItem>
    <reviewItem>
      <errorID>27a02325-24e4-41f1-b9b6-68d5ab001c72</errorID>
      <errorWord>，</errorWord>
      <group>L1_Word</group>
      <groupName>字词问题</groupName>
      <ability>L2_Typo</ability>
      <abilityName>字词错误</abilityName>
      <candidateList>
        <item>，因</item>
      </candidateList>
      <explain/>
      <paraID>4DEAC9E6</paraID>
      <start>93</start>
      <end>94</end>
      <status>unmodified</status>
      <modifiedWord/>
      <trackRevisions>false</trackRevisions>
    </reviewItem>
    <reviewItem>
      <errorID>f0d199c7-5d63-4273-91fb-93674d59bce3</errorID>
      <errorWord>新疆维吾尔自治区环境保护条例</errorWord>
      <group>L1_Knowledge</group>
      <groupName>知识性问题</groupName>
      <ability>L2_Knowledge</ability>
      <abilityName>其他知识</abilityName>
      <candidateList>
        <item>《新疆维吾尔自治区环境保护条例》</item>
      </candidateList>
      <explain>完整法律法规名称需要加书名号，请注意检查。</explain>
      <paraID>47B3FBDB</paraID>
      <start>0</start>
      <end>14</end>
      <status>unmodified</status>
      <modifiedWord/>
      <trackRevisions>false</trackRevisions>
    </reviewItem>
    <reviewItem>
      <errorID>e6ca8274-f61a-44ec-858f-e7e0321279bc</errorID>
      <errorWord>项目标准</errorWord>
      <group>L1_Knowledge</group>
      <groupName>知识性问题</groupName>
      <ability>L2_Term</ability>
      <abilityName>专业术语</abilityName>
      <candidateList>
        <item>项目核准</item>
      </candidateList>
      <explain/>
      <paraID>1617417B</paraID>
      <start>105</start>
      <end>109</end>
      <status>unmodified</status>
      <modifiedWord/>
      <trackRevisions>false</trackRevisions>
    </reviewItem>
    <reviewItem>
      <errorID>d2fbedff-4406-4b56-bace-175e9fc23296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4131F0CF</paraID>
      <start>0</start>
      <end>2</end>
      <status>modified</status>
      <modifiedWord>1.</modifiedWord>
      <trackRevisions>false</trackRevisions>
    </reviewItem>
    <reviewItem>
      <errorID>fb67182a-efb5-47ba-ba8c-01755aa460c1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33F00EAA</paraID>
      <start>0</start>
      <end>2</end>
      <status>modified</status>
      <modifiedWord>2.</modifiedWord>
      <trackRevisions>false</trackRevisions>
    </reviewItem>
    <reviewItem>
      <errorID>88e5bd96-5271-4a0a-a590-64eb0603bfff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1B5E2CBA</paraID>
      <start>18</start>
      <end>19</end>
      <status>modified</status>
      <modifiedWord>—</modifiedWord>
      <trackRevisions>false</trackRevisions>
    </reviewItem>
    <reviewItem>
      <errorID>5b58633f-ae62-4b2c-b348-328d4e06ac8a</errorID>
      <errorWord>-</errorWord>
      <group>L1_Format</group>
      <groupName>格式问题</groupName>
      <ability>L2_HalfPunc</ability>
      <abilityName>全半角检查</abilityName>
      <candidateList>
        <item>－</item>
      </candidateList>
      <explain>文本全半角错误。</explain>
      <paraID> 6E69E2F</paraID>
      <start>110</start>
      <end>111</end>
      <status>modified</status>
      <modifiedWord>－</modifiedWord>
      <trackRevisions>false</trackRevisions>
    </reviewItem>
    <reviewItem>
      <errorID>b6e415a7-acec-48d1-a6f1-f37664617fa0</errorID>
      <errorWord>绿色发展的理念</errorWord>
      <group>L1_Political</group>
      <groupName>政治性问题</groupName>
      <ability>L2_Keyword</ability>
      <abilityName>固定表述</abilityName>
      <candidateList>
        <item>绿色发展理念</item>
      </candidateList>
      <explain>词汇“绿色发展理念”在特定场景下为固定表述形式，请确认此处的“绿色发展的理念”是否存在不当。</explain>
      <paraID>584F36E8</paraID>
      <start>63</start>
      <end>69</end>
      <status>modified</status>
      <modifiedWord>绿色发展理念</modifiedWord>
      <trackRevisions>false</trackRevisions>
    </reviewItem>
    <reviewItem>
      <errorID>dcf7097e-cc37-4da9-b7b1-2593b043d560</errorID>
      <errorWord>;</errorWord>
      <group>L1_Format</group>
      <groupName>格式问题</groupName>
      <ability>L2_HalfPunc</ability>
      <abilityName>全半角检查</abilityName>
      <candidateList>
        <item>；</item>
      </candidateList>
      <explain>文本全半角错误。</explain>
      <paraID>78B9BDF4</paraID>
      <start>78</start>
      <end>79</end>
      <status>modified</status>
      <modifiedWord>；</modifiedWord>
      <trackRevisions>false</trackRevisions>
    </reviewItem>
    <reviewItem>
      <errorID>ecf24ff8-0ed8-4911-aeb2-5cabdc54ef00</errorID>
      <errorWord>;</errorWord>
      <group>L1_Format</group>
      <groupName>格式问题</groupName>
      <ability>L2_HalfPunc</ability>
      <abilityName>全半角检查</abilityName>
      <candidateList>
        <item>；</item>
      </candidateList>
      <explain>文本全半角错误。</explain>
      <paraID>78B9BDF4</paraID>
      <start>110</start>
      <end>111</end>
      <status>modified</status>
      <modifiedWord>；</modifiedWord>
      <trackRevisions>false</trackRevisions>
    </reviewItem>
    <reviewItem>
      <errorID>cd580f15-2562-44ce-a8fe-601146dcab30</errorID>
      <errorWord>;</errorWord>
      <group>L1_Format</group>
      <groupName>格式问题</groupName>
      <ability>L2_HalfPunc</ability>
      <abilityName>全半角检查</abilityName>
      <candidateList>
        <item>；</item>
      </candidateList>
      <explain>文本全半角错误。</explain>
      <paraID>78B9BDF4</paraID>
      <start>158</start>
      <end>159</end>
      <status>modified</status>
      <modifiedWord>；</modifiedWord>
      <trackRevisions>false</trackRevisions>
    </reviewItem>
    <reviewItem>
      <errorID>235c9ad8-c428-413e-8abf-a82c9d1472a4</errorID>
      <errorWord>;</errorWord>
      <group>L1_Format</group>
      <groupName>格式问题</groupName>
      <ability>L2_HalfPunc</ability>
      <abilityName>全半角检查</abilityName>
      <candidateList>
        <item>；</item>
      </candidateList>
      <explain>文本全半角错误。</explain>
      <paraID>78B9BDF4</paraID>
      <start>228</start>
      <end>229</end>
      <status>modified</status>
      <modifiedWord>；</modifiedWord>
      <trackRevisions>false</trackRevisions>
    </reviewItem>
    <reviewItem>
      <errorID>e951e0af-f2e8-4ccb-9aee-2038498f0cb0</errorID>
      <errorWord>绿色发展的理念</errorWord>
      <group>L1_Political</group>
      <groupName>政治性问题</groupName>
      <ability>L2_Keyword</ability>
      <abilityName>固定表述</abilityName>
      <candidateList>
        <item>绿色发展理念</item>
      </candidateList>
      <explain>词汇“绿色发展理念”在特定场景下为固定表述形式，请确认此处的“绿色发展的理念”是否存在不当。</explain>
      <paraID> 18F4979</paraID>
      <start>166</start>
      <end>172</end>
      <status>modified</status>
      <modifiedWord>绿色发展理念</modifiedWord>
      <trackRevisions>false</trackRevisions>
    </reviewItem>
    <reviewItem>
      <errorID>e1d19e8d-f670-489a-a1bd-764369ec70be</errorID>
      <errorWord>》</errorWord>
      <group>L1_Word</group>
      <groupName>字词问题</groupName>
      <ability>L2_Typo</ability>
      <abilityName>字词错误</abilityName>
      <candidateList>
        <item>》和</item>
      </candidateList>
      <explain/>
      <paraID>76BAC119</paraID>
      <start>17</start>
      <end>19</end>
      <status>modified</status>
      <modifiedWord>》和</modifiedWord>
      <trackRevisions>false</trackRevisions>
    </reviewItem>
    <reviewItem>
      <errorID>db214609-3f98-46d6-a2e1-fcdf80eda27e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4CAABB78</paraID>
      <start>0</start>
      <end>2</end>
      <status>modified</status>
      <modifiedWord>1.</modifiedWord>
      <trackRevisions>false</trackRevisions>
    </reviewItem>
    <reviewItem>
      <errorID>fa7eae1f-8493-4a19-9704-045e0d1ec2b2</errorID>
      <errorWord>全面遮盖</errorWord>
      <group>L1_Political</group>
      <groupName>政治性问题</groupName>
      <ability>L2_Keyword</ability>
      <abilityName>固定表述</abilityName>
      <candidateList>
        <item>全面覆盖</item>
      </candidateList>
      <explain>词汇“全面覆盖”在特定场景下为固定表述形式，请确认此处的“全面遮盖”是否存在不当。</explain>
      <paraID> A45ECE6</paraID>
      <start>27</start>
      <end>31</end>
      <status>ignored</status>
      <modifiedWord/>
      <trackRevisions>false</trackRevisions>
    </reviewItem>
    <reviewItem>
      <errorID>11a02935-70b5-4b15-91bf-6294c0597fce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56A83A6E</paraID>
      <start>0</start>
      <end>2</end>
      <status>modified</status>
      <modifiedWord>2.</modifiedWord>
      <trackRevisions>false</trackRevisions>
    </reviewItem>
    <reviewItem>
      <errorID>1150bfe9-c427-4403-8f8a-2cad6975fda0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5A75123B</paraID>
      <start>4</start>
      <end>5</end>
      <status>modified</status>
      <modifiedWord>—</modifiedWord>
      <trackRevisions>false</trackRevisions>
    </reviewItem>
    <reviewItem>
      <errorID>cadcf57e-9913-434b-9505-d6528d65004e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23CE7EF5</paraID>
      <start>0</start>
      <end>2</end>
      <status>modified</status>
      <modifiedWord>3.</modifiedWord>
      <trackRevisions>false</trackRevisions>
    </reviewItem>
    <reviewItem>
      <errorID>e0905875-f0e7-4208-87ee-cd4a109f9b8e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1E8CD657</paraID>
      <start>0</start>
      <end>2</end>
      <status>modified</status>
      <modifiedWord>4.</modifiedWord>
      <trackRevisions>false</trackRevisions>
    </reviewItem>
    <reviewItem>
      <errorID>ce7bd724-a4cd-4932-b04e-2391e49eff9a</errorID>
      <errorWord>-</errorWord>
      <group>L1_Format</group>
      <groupName>格式问题</groupName>
      <ability>L2_HalfPunc</ability>
      <abilityName>全半角检查</abilityName>
      <candidateList>
        <item>－</item>
      </candidateList>
      <explain>文本全半角错误。</explain>
      <paraID>7B74FCF6</paraID>
      <start>35</start>
      <end>36</end>
      <status>modified</status>
      <modifiedWord>－</modifiedWord>
      <trackRevisions>false</trackRevisions>
    </reviewItem>
    <reviewItem>
      <errorID>2e06ff61-c374-4e1c-abbf-6ab9d0c3d1ef</errorID>
      <errorWord>具</errorWord>
      <group>L1_Word</group>
      <groupName>字词问题</groupName>
      <ability>L2_Typo</ability>
      <abilityName>字词错误</abilityName>
      <candidateList>
        <item>具有</item>
      </candidateList>
      <explain>〈动〉有（多用于抽象事物）：～信心｜～伟大的意义。</explain>
      <paraID>7B74FCF6</paraID>
      <start>161</start>
      <end>163</end>
      <status>modified</status>
      <modifiedWord>具有</modifiedWord>
      <trackRevisions>false</trackRevisions>
    </reviewItem>
    <reviewItem>
      <errorID>21b03374-07c8-4a5c-a320-c5fd96d9f7d5</errorID>
      <errorWord>1.0-2.5%</errorWord>
      <group>L1_Knowledge</group>
      <groupName>知识性问题</groupName>
      <ability>L2_Knowledge</ability>
      <abilityName>其他知识</abilityName>
      <candidateList>
        <item>1.0%—2.5%</item>
      </candidateList>
      <explain>1. “1.0-2.5%”中的单位“%”仅出现在后一个数字上，容易引起歧义；根据《现代汉语标点符号数字用法规范手册》，数字表示范围两边需要使用统一的格式。2. 根据标点国标 4.13 中的规则，数字、时间或地域连接符应使用（视觉上更长的）“—”或“～”。</explain>
      <paraID>73B26FCA</paraID>
      <start>26</start>
      <end>35</end>
      <status>modified</status>
      <modifiedWord>1.0%—2.5%</modifiedWord>
      <trackRevisions>false</trackRevisions>
    </reviewItem>
    <reviewItem>
      <errorID>6ba85a45-8465-4ad5-b442-91e5ec0c81b3</errorID>
      <errorWord>结品性</errorWord>
      <group>L1_Word</group>
      <groupName>字词问题</groupName>
      <ability>L2_Typo</ability>
      <abilityName>字词错误</abilityName>
      <candidateList>
        <item>结晶性</item>
      </candidateList>
      <explain/>
      <paraID>73B26FCA</paraID>
      <start>64</start>
      <end>67</end>
      <status>modified</status>
      <modifiedWord>结晶性</modifiedWord>
      <trackRevisions>false</trackRevisions>
    </reviewItem>
    <reviewItem>
      <errorID>8cb50206-1bac-42a5-bbc7-5cb3774ad7bd</errorID>
      <errorWord>1~4%</errorWord>
      <group>L1_Knowledge</group>
      <groupName>知识性问题</groupName>
      <ability>L2_Knowledge</ability>
      <abilityName>其他知识</abilityName>
      <candidateList>
        <item>1%～4%</item>
      </candidateList>
      <explain>1. “1~4%”中的单位“%”仅出现在后一个数字上，容易引起歧义；根据《现代汉语标点符号数字用法规范手册》，数字表示范围两边需要使用统一的格式。2. 根据标点国标 4.13 中的规则，数字、时间或地域连接符应使用（视觉上更长的）“—”或“～”。</explain>
      <paraID>73B26FCA</paraID>
      <start>123</start>
      <end>128</end>
      <status>modified</status>
      <modifiedWord>1%～4%</modifiedWord>
      <trackRevisions>false</trackRevisions>
    </reviewItem>
    <reviewItem>
      <errorID>85a68317-863e-4993-95d3-31ed57b8c226</errorID>
      <errorWord>结品</errorWord>
      <group>L1_Word</group>
      <groupName>字词问题</groupName>
      <ability>L2_Typo</ability>
      <abilityName>字词错误</abilityName>
      <candidateList>
        <item>结晶</item>
      </candidateList>
      <explain/>
      <paraID>73B26FCA</paraID>
      <start>377</start>
      <end>379</end>
      <status>modified</status>
      <modifiedWord>结晶</modifiedWord>
      <trackRevisions>false</trackRevisions>
    </reviewItem>
    <reviewItem>
      <errorID>b9f978ff-76d8-4283-9ad1-1221dbe9b3ae</errorID>
      <errorWord>1.8~2.5%</errorWord>
      <group>L1_Knowledge</group>
      <groupName>知识性问题</groupName>
      <ability>L2_Knowledge</ability>
      <abilityName>其他知识</abilityName>
      <candidateList>
        <item>1.8%～2.5%</item>
      </candidateList>
      <explain>1. “1.8~2.5%”中的单位“%”仅出现在后一个数字上，容易引起歧义；根据《现代汉语标点符号数字用法规范手册》，数字表示范围两边需要使用统一的格式。2. 根据标点国标 4.13 中的规则，数字、时间或地域连接符应使用（视觉上更长的）“—”或“～”。</explain>
      <paraID>73B26FCA</paraID>
      <start>393</start>
      <end>402</end>
      <status>modified</status>
      <modifiedWord>1.8%～2.5%</modifiedWord>
      <trackRevisions>false</trackRevisions>
    </reviewItem>
    <reviewItem>
      <errorID>b87d9453-9e04-42cc-ac53-5ec7dba359e5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4E3F5D09</paraID>
      <start>0</start>
      <end>2</end>
      <status>modified</status>
      <modifiedWord>3.</modifiedWord>
      <trackRevisions>false</trackRevisions>
    </reviewItem>
    <reviewItem>
      <errorID>d30fe551-2b7c-4249-be6d-1bd666272c3a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6E87F007</paraID>
      <start>79</start>
      <end>80</end>
      <status>modified</status>
      <modifiedWord>—</modifiedWord>
      <trackRevisions>false</trackRevisions>
    </reviewItem>
    <reviewItem>
      <errorID>411c630d-0635-4bf5-b313-9ca0ad0b1665</errorID>
      <errorWord>主要以废旧物资回收企业为主</errorWord>
      <group>L1_Word</group>
      <groupName>字词问题</groupName>
      <ability>L2_Typo</ability>
      <abilityName>字词错误</abilityName>
      <candidateList>
        <item>以废旧物资回收企业为主</item>
      </candidateList>
      <explain/>
      <paraID>3A86E807</paraID>
      <start>56</start>
      <end>67</end>
      <status>modified</status>
      <modifiedWord>以废旧物资回收企业为主</modifiedWord>
      <trackRevisions>false</trackRevisions>
    </reviewItem>
    <reviewItem>
      <errorID>de227942-023b-4fb6-b1a8-293184b3b555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7F883B27</paraID>
      <start>0</start>
      <end>2</end>
      <status>modified</status>
      <modifiedWord>1.</modifiedWord>
      <trackRevisions>false</trackRevisions>
    </reviewItem>
    <reviewItem>
      <errorID>95563e8c-9c75-4840-9bf7-4f01f513b2d2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7566B1D4</paraID>
      <start>0</start>
      <end>2</end>
      <status>modified</status>
      <modifiedWord>2.</modifiedWord>
      <trackRevisions>false</trackRevisions>
    </reviewItem>
    <reviewItem>
      <errorID>505c119a-74fe-4ec3-91d4-ccb78368b954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2A7ABBD3</paraID>
      <start>0</start>
      <end>2</end>
      <status>modified</status>
      <modifiedWord>3.</modifiedWord>
      <trackRevisions>false</trackRevisions>
    </reviewItem>
    <reviewItem>
      <errorID>160ef510-288f-461e-8259-704847aec5ae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A41DAF9</paraID>
      <start>0</start>
      <end>2</end>
      <status>modified</status>
      <modifiedWord>4.</modifiedWord>
      <trackRevisions>false</trackRevisions>
    </reviewItem>
    <reviewItem>
      <errorID>cdb4cbd5-770c-4184-97ea-8c2cdf52e00e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5A4FDEB5</paraID>
      <start>0</start>
      <end>2</end>
      <status>modified</status>
      <modifiedWord>1.</modifiedWord>
      <trackRevisions>false</trackRevisions>
    </reviewItem>
    <reviewItem>
      <errorID>0cc08e3a-3a44-46a5-a386-ca36ac04455c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76224333</paraID>
      <start>0</start>
      <end>2</end>
      <status>modified</status>
      <modifiedWord>2.</modifiedWord>
      <trackRevisions>false</trackRevisions>
    </reviewItem>
    <reviewItem>
      <errorID>6425e6cd-cba6-4cb8-98ee-d25a6392446f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1941C04F</paraID>
      <start>0</start>
      <end>2</end>
      <status>modified</status>
      <modifiedWord>3.</modifiedWord>
      <trackRevisions>false</trackRevisions>
    </reviewItem>
    <reviewItem>
      <errorID>946e6583-5463-4b90-aca5-f323b00daecb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3E7F53C5</paraID>
      <start>0</start>
      <end>2</end>
      <status>modified</status>
      <modifiedWord>4.</modifiedWord>
      <trackRevisions>false</trackRevisions>
    </reviewItem>
    <reviewItem>
      <errorID>58283438-bf90-429a-a903-3d627a890929</errorID>
      <errorWord>外逸</errorWord>
      <group>L1_Word</group>
      <groupName>字词问题</groupName>
      <ability>L2_Typo</ability>
      <abilityName>字词错误</abilityName>
      <candidateList>
        <item>外溢</item>
      </candidateList>
      <explain/>
      <paraID>6FF78884</paraID>
      <start>122</start>
      <end>124</end>
      <status>modified</status>
      <modifiedWord>外溢</modifiedWord>
      <trackRevisions>false</trackRevisions>
    </reviewItem>
    <reviewItem>
      <errorID>1f2dac9e-6cba-46aa-996c-44f2f631dbf7</errorID>
      <errorWord>生活废水</errorWord>
      <group>L1_Knowledge</group>
      <groupName>知识性问题</groupName>
      <ability>L2_Term</ability>
      <abilityName>专业术语</abilityName>
      <candidateList>
        <item>生活污水</item>
      </candidateList>
      <explain/>
      <paraID>4B6041C2</paraID>
      <start>3</start>
      <end>7</end>
      <status>modified</status>
      <modifiedWord>生活污水</modifiedWord>
      <trackRevisions>false</trackRevisions>
    </reviewItem>
    <reviewItem>
      <errorID>435a0cf1-f093-4aa5-ad7a-b1b8d2138a80</errorID>
      <errorWord>噪音</errorWord>
      <group>L1_Word</group>
      <groupName>字词问题</groupName>
      <ability>L2_Alias</ability>
      <abilityName>也作/曾用词</abilityName>
      <candidateList>
        <item>噪声</item>
      </candidateList>
      <explain>词汇[噪音]为不规范表述或旧称，其规范书面表述为[噪声]。</explain>
      <paraID>2312F9E1</paraID>
      <start>25</start>
      <end>27</end>
      <status>modified</status>
      <modifiedWord>噪声</modifiedWord>
      <trackRevisions>false</trackRevisions>
    </reviewItem>
    <reviewItem>
      <errorID>c0b1e11c-6b69-46a4-9766-cbbdc7ed0714</errorID>
      <errorWord>-</errorWord>
      <group>L1_Format</group>
      <groupName>格式问题</groupName>
      <ability>L2_HalfPunc</ability>
      <abilityName>全半角检查</abilityName>
      <candidateList>
        <item>－</item>
      </candidateList>
      <explain>文本全半角错误。</explain>
      <paraID>5D056452</paraID>
      <start>97</start>
      <end>98</end>
      <status>modified</status>
      <modifiedWord>－</modifiedWord>
      <trackRevisions>false</trackRevisions>
    </reviewItem>
    <reviewItem>
      <errorID>33b6d142-bf89-4d4e-86e8-43d930500f0d</errorID>
      <errorWord>的颗粒物</errorWord>
      <group>L1_Knowledge</group>
      <groupName>知识性问题</groupName>
      <ability>L2_Term</ability>
      <abilityName>专业术语</abilityName>
      <candidateList>
        <item>细颗粒物</item>
      </candidateList>
      <explain/>
      <paraID>5217642A</paraID>
      <start>6</start>
      <end>10</end>
      <status>ignored</status>
      <modifiedWord/>
      <trackRevisions>false</trackRevisions>
    </reviewItem>
    <reviewItem>
      <errorID>9ce3b8c1-f189-4f9e-bc59-5b454d9d2193</errorID>
      <errorWord>部分</errorWord>
      <group>L1_Word</group>
      <groupName>字词问题</groupName>
      <ability>L2_Typo</ability>
      <abilityName>字词错误</abilityName>
      <candidateList>
        <item>部门</item>
      </candidateList>
      <explain>〈名〉组成某一整体的部分或单位：工业～｜文教～｜～经济学（如工业经济学、农业经济学）｜一本书要经过编辑、出版、印刷、发行等～，然后才能跟读者见面。</explain>
      <paraID>2DB74B78</paraID>
      <start>23</start>
      <end>25</end>
      <status>modified</status>
      <modifiedWord>部门</modifiedWord>
      <trackRevisions>false</trackRevisions>
    </reviewItem>
    <reviewItem>
      <errorID>4d6c99a2-3aec-45c5-9542-e1b6c632388a</errorID>
      <errorWord>)</errorWord>
      <group>L1_Format</group>
      <groupName>格式问题</groupName>
      <ability>L2_HalfPunc</ability>
      <abilityName>全半角检查</abilityName>
      <candidateList>
        <item>）</item>
      </candidateList>
      <explain>文本全半角错误。</explain>
      <paraID>3A92593D</paraID>
      <start>122</start>
      <end>123</end>
      <status>modified</status>
      <modifiedWord>）</modifiedWord>
      <trackRevisions>false</trackRevisions>
    </reviewItem>
    <reviewItem>
      <errorID>8df7f226-69d4-4d8f-b099-dda91dbf6c15</errorID>
      <errorWord>源源</errorWord>
      <group>L1_Word</group>
      <groupName>字词问题</groupName>
      <ability>L2_Typo</ability>
      <abilityName>字词错误</abilityName>
      <candidateList>
        <item>源</item>
      </candidateList>
      <explain/>
      <paraID>2269E1D9</paraID>
      <start>1</start>
      <end>3</end>
      <status>ignored</status>
      <modifiedWord/>
      <trackRevisions>false</trackRevisions>
    </reviewItem>
    <reviewItem>
      <errorID>94288226-786b-45bc-8ee5-4a4fd4f2db75</errorID>
      <errorWord>（</errorWord>
      <group>L1_Punc</group>
      <groupName>标点问题</groupName>
      <ability>L2_Punc</ability>
      <abilityName>标点符号检查</abilityName>
      <candidateList>
        <item/>
      </candidateList>
      <explain>同一形式括号套用。</explain>
      <paraID>2114D360</paraID>
      <start>4</start>
      <end>5</end>
      <status>unmodified</status>
      <modifiedWord/>
      <trackRevisions>false</trackRevisions>
    </reviewItem>
    <reviewItem>
      <errorID>9b61919f-27f5-463e-8d8c-af1d09d37759</errorID>
      <errorWord>)</errorWord>
      <group>L1_Punc</group>
      <groupName>标点问题</groupName>
      <ability>L2_Punc</ability>
      <abilityName>标点符号检查</abilityName>
      <candidateList/>
      <explain>同一形式括号套用。</explain>
      <paraID>2114D360</paraID>
      <start>9</start>
      <end>10</end>
      <status>unmodified</status>
      <modifiedWord/>
      <trackRevisions>false</trackRevisions>
    </reviewItem>
    <reviewItem>
      <errorID>37e61a5e-8fcc-451f-ba98-66d43de08bd3</errorID>
      <errorWord>）</errorWord>
      <group>L1_Punc</group>
      <groupName>标点问题</groupName>
      <ability>L2_Punc</ability>
      <abilityName>标点符号检查</abilityName>
      <candidateList/>
      <explain>同一形式括号套用。</explain>
      <paraID>2114D360</paraID>
      <start>10</start>
      <end>11</end>
      <status>unmodified</status>
      <modifiedWord/>
      <trackRevisions>false</trackRevisions>
    </reviewItem>
    <reviewItem>
      <errorID>715d87d2-32d2-4931-bf0a-d3a0f52deebf</errorID>
      <errorWord>，</errorWord>
      <group>L1_Format</group>
      <groupName>格式问题</groupName>
      <ability>L2_HalfPunc</ability>
      <abilityName>全半角检查</abilityName>
      <candidateList>
        <item>, </item>
      </candidateList>
      <explain>文本全半角错误。</explain>
      <paraID>46D0542B</paraID>
      <start>1</start>
      <end>3</end>
      <status>modified</status>
      <modifiedWord>, </modifiedWord>
      <trackRevisions>false</trackRevisions>
    </reviewItem>
    <reviewItem>
      <errorID>89701ead-f089-40d4-9b00-398953cc469f</errorID>
      <errorWord>，</errorWord>
      <group>L1_Format</group>
      <groupName>格式问题</groupName>
      <ability>L2_HalfPunc</ability>
      <abilityName>全半角检查</abilityName>
      <candidateList>
        <item>, </item>
      </candidateList>
      <explain>文本全半角错误。</explain>
      <paraID>2D328424</paraID>
      <start>1</start>
      <end>3</end>
      <status>modified</status>
      <modifiedWord>, </modifiedWord>
      <trackRevisions>false</trackRevisions>
    </reviewItem>
    <reviewItem>
      <errorID>299764d8-beb9-4a88-84b6-3b7c4999c504</errorID>
      <errorWord>法律、法规</errorWord>
      <group>L1_Word</group>
      <groupName>字词问题</groupName>
      <ability>L2_Typo</ability>
      <abilityName>字词错误</abilityName>
      <candidateList>
        <item>法律法规</item>
      </candidateList>
      <explain/>
      <paraID>528BDD03</paraID>
      <start>39</start>
      <end>43</end>
      <status>modified</status>
      <modifiedWord>法律法规</modifiedWord>
      <trackRevisions>false</trackRevisions>
    </reviewItem>
    <reviewItem>
      <errorID>4a519faf-2116-44ec-95c2-6fd8fbd4b72a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A4D458A</paraID>
      <start>99</start>
      <end>101</end>
      <status>modified</status>
      <modifiedWord>》《</modifiedWord>
      <trackRevisions>false</trackRevisions>
    </reviewItem>
    <reviewItem>
      <errorID>f168c69e-b722-4c99-8e13-a3702bd3eee5</errorID>
      <errorWord>要求来</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 B3D7A35</paraID>
      <start>29</start>
      <end>31</end>
      <status>modified</status>
      <modifiedWord>要求</modifiedWord>
      <trackRevisions>false</trackRevisions>
    </reviewItem>
    <reviewItem>
      <errorID>43207bca-6894-40fd-829a-098616302806</errorID>
      <errorWord>建</errorWord>
      <group>L1_Word</group>
      <groupName>字词问题</groupName>
      <ability>L2_Typo</ability>
      <abilityName>字词错误</abilityName>
      <candidateList>
        <item>建设</item>
      </candidateList>
      <explain>〈动〉创立新事业；增加新设施：经济～｜～家园｜～现代化强国◇组织～｜思想～。</explain>
      <paraID>5085E87E</paraID>
      <start>2</start>
      <end>4</end>
      <status>modified</status>
      <modifiedWord>建设</modifiedWord>
      <trackRevisions>false</trackRevisions>
    </reviewItem>
    <reviewItem>
      <errorID>b041be3f-cd19-4b73-8462-48098b0f2a17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584FD319</paraID>
      <start>0</start>
      <end>2</end>
      <status>modified</status>
      <modifiedWord>1.</modifiedWord>
      <trackRevisions>false</trackRevisions>
    </reviewItem>
    <reviewItem>
      <errorID>48589b11-cff0-4c86-a8c8-17c3d469747c</errorID>
      <errorWord>;</errorWord>
      <group>L1_Format</group>
      <groupName>格式问题</groupName>
      <ability>L2_HalfPunc</ability>
      <abilityName>全半角检查</abilityName>
      <candidateList>
        <item>；</item>
      </candidateList>
      <explain>文本全半角错误。</explain>
      <paraID>584FD319</paraID>
      <start>12</start>
      <end>13</end>
      <status>modified</status>
      <modifiedWord>；</modifiedWord>
      <trackRevisions>false</trackRevisions>
    </reviewItem>
    <reviewItem>
      <errorID>c16965b9-90c4-4181-aa89-e1ac5a474f8f</errorID>
      <errorWord>:</errorWord>
      <group>L1_Format</group>
      <groupName>格式问题</groupName>
      <ability>L2_HalfPunc</ability>
      <abilityName>全半角检查</abilityName>
      <candidateList>
        <item>：</item>
      </candidateList>
      <explain>文本全半角错误。</explain>
      <paraID>584FD319</paraID>
      <start>15</start>
      <end>16</end>
      <status>modified</status>
      <modifiedWord>：</modifiedWord>
      <trackRevisions>false</trackRevisions>
    </reviewItem>
    <reviewItem>
      <errorID>5e208b9c-6afb-4211-8b45-0d6b92d1d103</errorID>
      <errorWord>:</errorWord>
      <group>L1_Format</group>
      <groupName>格式问题</groupName>
      <ability>L2_HalfPunc</ability>
      <abilityName>全半角检查</abilityName>
      <candidateList>
        <item>：</item>
      </candidateList>
      <explain>文本全半角错误。</explain>
      <paraID> 96239C8</paraID>
      <start>2</start>
      <end>3</end>
      <status>modified</status>
      <modifiedWord>：</modifiedWord>
      <trackRevisions>false</trackRevisions>
    </reviewItem>
    <reviewItem>
      <errorID>156889ca-8963-4b1d-9f27-3bc9bc6d45f0</errorID>
      <errorWord>:</errorWord>
      <group>L1_Format</group>
      <groupName>格式问题</groupName>
      <ability>L2_HalfPunc</ability>
      <abilityName>全半角检查</abilityName>
      <candidateList>
        <item>：</item>
      </candidateList>
      <explain>文本全半角错误。</explain>
      <paraID> 96239C8</paraID>
      <start>11</start>
      <end>12</end>
      <status>modified</status>
      <modifiedWord>：</modifiedWord>
      <trackRevisions>false</trackRevisions>
    </reviewItem>
    <reviewItem>
      <errorID>fe9cb79b-df09-4c84-bf71-4964aa8760a2</errorID>
      <errorWord>:</errorWord>
      <group>L1_Format</group>
      <groupName>格式问题</groupName>
      <ability>L2_HalfPunc</ability>
      <abilityName>全半角检查</abilityName>
      <candidateList>
        <item>：</item>
      </candidateList>
      <explain>文本全半角错误。</explain>
      <paraID> 96239C8</paraID>
      <start>19</start>
      <end>20</end>
      <status>modified</status>
      <modifiedWord>：</modifiedWord>
      <trackRevisions>false</trackRevisions>
    </reviewItem>
    <reviewItem>
      <errorID>921bbc7b-743f-4144-9be5-bbd709df42b3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184F5D04</paraID>
      <start>0</start>
      <end>2</end>
      <status>modified</status>
      <modifiedWord>2.</modifiedWord>
      <trackRevisions>false</trackRevisions>
    </reviewItem>
    <reviewItem>
      <errorID>a4f9d659-6736-46c8-a7ec-1e72a1ba3847</errorID>
      <errorWord>:</errorWord>
      <group>L1_Format</group>
      <groupName>格式问题</groupName>
      <ability>L2_HalfPunc</ability>
      <abilityName>全半角检查</abilityName>
      <candidateList>
        <item>：</item>
      </candidateList>
      <explain>文本全半角错误。</explain>
      <paraID>184F5D04</paraID>
      <start>6</start>
      <end>7</end>
      <status>modified</status>
      <modifiedWord>：</modifiedWord>
      <trackRevisions>false</trackRevisions>
    </reviewItem>
    <reviewItem>
      <errorID>792b7f2f-9a43-4289-bc9d-fa9a457236ea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61E9043C</paraID>
      <start>0</start>
      <end>2</end>
      <status>modified</status>
      <modifiedWord>1.</modifiedWord>
      <trackRevisions>false</trackRevisions>
    </reviewItem>
    <reviewItem>
      <errorID>4e612478-307e-4450-8d77-d61acc3c54d7</errorID>
      <errorWord>(</errorWord>
      <group>L1_Format</group>
      <groupName>格式问题</groupName>
      <ability>L2_HalfPunc</ability>
      <abilityName>全半角检查</abilityName>
      <candidateList>
        <item>（</item>
      </candidateList>
      <explain>文本全半角错误。</explain>
      <paraID>61E9043C</paraID>
      <start>26</start>
      <end>27</end>
      <status>modified</status>
      <modifiedWord>（</modifiedWord>
      <trackRevisions>false</trackRevisions>
    </reviewItem>
    <reviewItem>
      <errorID>20a9afdb-1f60-4494-a4cb-6734131323a5</errorID>
      <errorWord>)</errorWord>
      <group>L1_Format</group>
      <groupName>格式问题</groupName>
      <ability>L2_HalfPunc</ability>
      <abilityName>全半角检查</abilityName>
      <candidateList>
        <item>）</item>
      </candidateList>
      <explain>文本全半角错误。</explain>
      <paraID>61E9043C</paraID>
      <start>35</start>
      <end>36</end>
      <status>modified</status>
      <modifiedWord>）</modifiedWord>
      <trackRevisions>false</trackRevisions>
    </reviewItem>
    <reviewItem>
      <errorID>2d089e5d-58c4-416a-8224-920377d25922</errorID>
      <errorWord>(</errorWord>
      <group>L1_Format</group>
      <groupName>格式问题</groupName>
      <ability>L2_HalfPunc</ability>
      <abilityName>全半角检查</abilityName>
      <candidateList>
        <item>（</item>
      </candidateList>
      <explain>文本全半角错误。</explain>
      <paraID>61E9043C</paraID>
      <start>60</start>
      <end>61</end>
      <status>modified</status>
      <modifiedWord>（</modifiedWord>
      <trackRevisions>false</trackRevisions>
    </reviewItem>
    <reviewItem>
      <errorID>b64637b3-a1dd-4067-a815-2e4db00e3ff0</errorID>
      <errorWord>)</errorWord>
      <group>L1_Format</group>
      <groupName>格式问题</groupName>
      <ability>L2_HalfPunc</ability>
      <abilityName>全半角检查</abilityName>
      <candidateList>
        <item>）</item>
      </candidateList>
      <explain>文本全半角错误。</explain>
      <paraID>61E9043C</paraID>
      <start>70</start>
      <end>71</end>
      <status>modified</status>
      <modifiedWord>）</modifiedWord>
      <trackRevisions>false</trackRevisions>
    </reviewItem>
    <reviewItem>
      <errorID>a6968c19-bc77-4614-b126-930ed58867d6</errorID>
      <errorWord>(</errorWord>
      <group>L1_Format</group>
      <groupName>格式问题</groupName>
      <ability>L2_HalfPunc</ability>
      <abilityName>全半角检查</abilityName>
      <candidateList>
        <item>（</item>
      </candidateList>
      <explain>文本全半角错误。</explain>
      <paraID>61E9043C</paraID>
      <start>87</start>
      <end>88</end>
      <status>modified</status>
      <modifiedWord>（</modifiedWord>
      <trackRevisions>false</trackRevisions>
    </reviewItem>
    <reviewItem>
      <errorID>87eef429-1ce4-42a0-8011-91260c1b8939</errorID>
      <errorWord>)</errorWord>
      <group>L1_Format</group>
      <groupName>格式问题</groupName>
      <ability>L2_HalfPunc</ability>
      <abilityName>全半角检查</abilityName>
      <candidateList>
        <item>）</item>
      </candidateList>
      <explain>文本全半角错误。</explain>
      <paraID>61E9043C</paraID>
      <start>93</start>
      <end>94</end>
      <status>modified</status>
      <modifiedWord>）</modifiedWord>
      <trackRevisions>false</trackRevisions>
    </reviewItem>
    <reviewItem>
      <errorID>0e3a400b-ca78-4f9f-bb64-afe91fe3f245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4354597F</paraID>
      <start>0</start>
      <end>2</end>
      <status>modified</status>
      <modifiedWord>2.</modifiedWord>
      <trackRevisions>false</trackRevisions>
    </reviewItem>
    <reviewItem>
      <errorID>b52527fb-d901-4873-92d7-2e4630d3d04a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15FA45F7</paraID>
      <start>0</start>
      <end>2</end>
      <status>modified</status>
      <modifiedWord>3.</modifiedWord>
      <trackRevisions>false</trackRevisions>
    </reviewItem>
    <reviewItem>
      <errorID>90834cca-c134-49ec-ab35-493eb2b9bd0e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3D5ACCA1</paraID>
      <start>0</start>
      <end>2</end>
      <status>modified</status>
      <modifiedWord>4.</modifiedWord>
      <trackRevisions>false</trackRevisions>
    </reviewItem>
    <reviewItem>
      <errorID>2e00159a-34e2-425e-966e-f5ba34f2c5ba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4A47CF37</paraID>
      <start>0</start>
      <end>2</end>
      <status>modified</status>
      <modifiedWord>1.</modifiedWord>
      <trackRevisions>false</trackRevisions>
    </reviewItem>
    <reviewItem>
      <errorID>4128b791-5060-4c37-93aa-4539feaeb18e</errorID>
      <errorWord>(</errorWord>
      <group>L1_Format</group>
      <groupName>格式问题</groupName>
      <ability>L2_HalfPunc</ability>
      <abilityName>全半角检查</abilityName>
      <candidateList>
        <item>（</item>
      </candidateList>
      <explain>文本全半角错误。</explain>
      <paraID>3FE55BD4</paraID>
      <start>24</start>
      <end>25</end>
      <status>modified</status>
      <modifiedWord>（</modifiedWord>
      <trackRevisions>false</trackRevisions>
    </reviewItem>
    <reviewItem>
      <errorID>932ce88f-ed15-4ca6-87c8-35d710aae920</errorID>
      <errorWord>)</errorWord>
      <group>L1_Format</group>
      <groupName>格式问题</groupName>
      <ability>L2_HalfPunc</ability>
      <abilityName>全半角检查</abilityName>
      <candidateList>
        <item>）</item>
      </candidateList>
      <explain>文本全半角错误。</explain>
      <paraID>3FE55BD4</paraID>
      <start>34</start>
      <end>35</end>
      <status>modified</status>
      <modifiedWord>）</modifiedWord>
      <trackRevisions>false</trackRevisions>
    </reviewItem>
    <reviewItem>
      <errorID>32bd7555-64d0-4906-8f90-9cf3fafb687f</errorID>
      <errorWord>(</errorWord>
      <group>L1_Format</group>
      <groupName>格式问题</groupName>
      <ability>L2_HalfPunc</ability>
      <abilityName>全半角检查</abilityName>
      <candidateList>
        <item>（</item>
      </candidateList>
      <explain>文本全半角错误。</explain>
      <paraID>3FE55BD4</paraID>
      <start>54</start>
      <end>55</end>
      <status>modified</status>
      <modifiedWord>（</modifiedWord>
      <trackRevisions>false</trackRevisions>
    </reviewItem>
    <reviewItem>
      <errorID>37ee4e76-9a24-4dca-b94a-5e41a7bfd22d</errorID>
      <errorWord>)</errorWord>
      <group>L1_Format</group>
      <groupName>格式问题</groupName>
      <ability>L2_HalfPunc</ability>
      <abilityName>全半角检查</abilityName>
      <candidateList>
        <item>）</item>
      </candidateList>
      <explain>文本全半角错误。</explain>
      <paraID>3FE55BD4</paraID>
      <start>60</start>
      <end>61</end>
      <status>modified</status>
      <modifiedWord>）</modifiedWord>
      <trackRevisions>false</trackRevisions>
    </reviewItem>
    <reviewItem>
      <errorID>ef46723b-5161-4116-9439-8ed1d196d660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5D00AE9A</paraID>
      <start>0</start>
      <end>2</end>
      <status>modified</status>
      <modifiedWord>2.</modifiedWord>
      <trackRevisions>false</trackRevisions>
    </reviewItem>
    <reviewItem>
      <errorID>c08d3ae0-09e4-42d1-8401-af814ef611ca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27DCDFBB</paraID>
      <start>0</start>
      <end>2</end>
      <status>modified</status>
      <modifiedWord>3.</modifiedWord>
      <trackRevisions>false</trackRevisions>
    </reviewItem>
    <reviewItem>
      <errorID>64fb9d15-90db-4dec-824f-998d9f31c34d</errorID>
      <errorWord>(</errorWord>
      <group>L1_Format</group>
      <groupName>格式问题</groupName>
      <ability>L2_HalfPunc</ability>
      <abilityName>全半角检查</abilityName>
      <candidateList>
        <item>（</item>
      </candidateList>
      <explain>文本全半角错误。</explain>
      <paraID>5F7FDAFA</paraID>
      <start>10</start>
      <end>11</end>
      <status>modified</status>
      <modifiedWord>（</modifiedWord>
      <trackRevisions>false</trackRevisions>
    </reviewItem>
    <reviewItem>
      <errorID>069a7b8e-a788-407f-a358-97d5bc1e18c1</errorID>
      <errorWord>)</errorWord>
      <group>L1_Format</group>
      <groupName>格式问题</groupName>
      <ability>L2_HalfPunc</ability>
      <abilityName>全半角检查</abilityName>
      <candidateList>
        <item>）</item>
      </candidateList>
      <explain>文本全半角错误。</explain>
      <paraID>5F7FDAFA</paraID>
      <start>25</start>
      <end>26</end>
      <status>modified</status>
      <modifiedWord>）</modifiedWord>
      <trackRevisions>false</trackRevisions>
    </reviewItem>
    <reviewItem>
      <errorID>f5e53bc6-94ee-4303-b35d-8cca4c602098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4700A50D</paraID>
      <start>0</start>
      <end>2</end>
      <status>modified</status>
      <modifiedWord>4.</modifiedWord>
      <trackRevisions>false</trackRevisions>
    </reviewItem>
    <reviewItem>
      <errorID>719bc158-e6c1-4b5d-9199-fe4c589b0871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3DD65</paraID>
      <start>0</start>
      <end>2</end>
      <status>modified</status>
      <modifiedWord>1.</modifiedWord>
      <trackRevisions>false</trackRevisions>
    </reviewItem>
    <reviewItem>
      <errorID>9409bee9-64a7-4303-974f-f02a85e778c5</errorID>
      <errorWord>(</errorWord>
      <group>L1_Format</group>
      <groupName>格式问题</groupName>
      <ability>L2_HalfPunc</ability>
      <abilityName>全半角检查</abilityName>
      <candidateList>
        <item>（</item>
      </candidateList>
      <explain>文本全半角错误。</explain>
      <paraID>   3DD65</paraID>
      <start>28</start>
      <end>29</end>
      <status>modified</status>
      <modifiedWord>（</modifiedWord>
      <trackRevisions>false</trackRevisions>
    </reviewItem>
    <reviewItem>
      <errorID>8d93afc4-0de9-4f55-adca-bdacc47fe11f</errorID>
      <errorWord>)</errorWord>
      <group>L1_Format</group>
      <groupName>格式问题</groupName>
      <ability>L2_HalfPunc</ability>
      <abilityName>全半角检查</abilityName>
      <candidateList>
        <item>）</item>
      </candidateList>
      <explain>文本全半角错误。</explain>
      <paraID>   3DD65</paraID>
      <start>38</start>
      <end>39</end>
      <status>modified</status>
      <modifiedWord>）</modifiedWord>
      <trackRevisions>false</trackRevisions>
    </reviewItem>
    <reviewItem>
      <errorID>9a27a9ac-f211-4a09-85f8-bd467d3c2671</errorID>
      <errorWord>(</errorWord>
      <group>L1_Format</group>
      <groupName>格式问题</groupName>
      <ability>L2_HalfPunc</ability>
      <abilityName>全半角检查</abilityName>
      <candidateList>
        <item>（</item>
      </candidateList>
      <explain>文本全半角错误。</explain>
      <paraID>   3DD65</paraID>
      <start>60</start>
      <end>61</end>
      <status>modified</status>
      <modifiedWord>（</modifiedWord>
      <trackRevisions>false</trackRevisions>
    </reviewItem>
    <reviewItem>
      <errorID>0cf31a5a-802d-46af-8fec-07c65b6f0171</errorID>
      <errorWord>)</errorWord>
      <group>L1_Format</group>
      <groupName>格式问题</groupName>
      <ability>L2_HalfPunc</ability>
      <abilityName>全半角检查</abilityName>
      <candidateList>
        <item>）</item>
      </candidateList>
      <explain>文本全半角错误。</explain>
      <paraID>   3DD65</paraID>
      <start>66</start>
      <end>67</end>
      <status>modified</status>
      <modifiedWord>）</modifiedWord>
      <trackRevisions>false</trackRevisions>
    </reviewItem>
    <reviewItem>
      <errorID>fbc9aae8-c679-4af6-8617-70c5732cc860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2F510B8A</paraID>
      <start>0</start>
      <end>2</end>
      <status>modified</status>
      <modifiedWord>2.</modifiedWord>
      <trackRevisions>false</trackRevisions>
    </reviewItem>
    <reviewItem>
      <errorID>ba3ad3c3-c8f1-4a21-b160-29408d1810b2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5334682D</paraID>
      <start>0</start>
      <end>2</end>
      <status>modified</status>
      <modifiedWord>3.</modifiedWord>
      <trackRevisions>false</trackRevisions>
    </reviewItem>
    <reviewItem>
      <errorID>09d23045-ef66-4d81-a878-94570e7570ab</errorID>
      <errorWord>:</errorWord>
      <group>L1_Format</group>
      <groupName>格式问题</groupName>
      <ability>L2_HalfPunc</ability>
      <abilityName>全半角检查</abilityName>
      <candidateList>
        <item>：</item>
      </candidateList>
      <explain>文本全半角错误。</explain>
      <paraID>5334682D</paraID>
      <start>4</start>
      <end>5</end>
      <status>modified</status>
      <modifiedWord>：</modifiedWord>
      <trackRevisions>false</trackRevisions>
    </reviewItem>
    <reviewItem>
      <errorID>355b8409-9542-4bcc-8968-8b3bcda85555</errorID>
      <errorWord>)</errorWord>
      <group>L1_Format</group>
      <groupName>格式问题</groupName>
      <ability>L2_HalfPunc</ability>
      <abilityName>全半角检查</abilityName>
      <candidateList>
        <item>）</item>
      </candidateList>
      <explain>文本全半角错误。</explain>
      <paraID>1C8D731C</paraID>
      <start>10</start>
      <end>11</end>
      <status>modified</status>
      <modifiedWord>）</modifiedWord>
      <trackRevisions>false</trackRevisions>
    </reviewItem>
    <reviewItem>
      <errorID>7e3e6921-35e4-4e65-ad29-326e4f2107fb</errorID>
      <errorWord>～</errorWord>
      <group>L1_Format</group>
      <groupName>格式问题</groupName>
      <ability>L2_HalfPunc</ability>
      <abilityName>全半角检查</abilityName>
      <candidateList>
        <item>~</item>
      </candidateList>
      <explain>文本全半角错误。</explain>
      <paraID>574BEE03</paraID>
      <start>3</start>
      <end>4</end>
      <status>modified</status>
      <modifiedWord>~</modifiedWord>
      <trackRevisions>false</trackRevisions>
    </reviewItem>
    <reviewItem>
      <errorID>12b4d597-c442-484e-91e3-84fa0b31be9f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5BB3913C</paraID>
      <start>0</start>
      <end>2</end>
      <status>modified</status>
      <modifiedWord>3.</modifiedWord>
      <trackRevisions>false</trackRevisions>
    </reviewItem>
    <reviewItem>
      <errorID>6fb31ada-f53b-489f-a874-ef20a90ab6a3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73277A71</paraID>
      <start>0</start>
      <end>2</end>
      <status>modified</status>
      <modifiedWord>4.</modifiedWord>
      <trackRevisions>false</trackRevisions>
    </reviewItem>
    <reviewItem>
      <errorID>361739b0-cfdf-4f56-8dd0-3d3f7cd5d2c3</errorID>
      <errorWord>须</errorWord>
      <group>L1_Word</group>
      <groupName>字词问题</groupName>
      <ability>L2_Typo</ability>
      <abilityName>字词错误</abilityName>
      <candidateList>
        <item>须以</item>
      </candidateList>
      <explain/>
      <paraID> D2A44B0</paraID>
      <start>6</start>
      <end>8</end>
      <status>modified</status>
      <modifiedWord>须以</modifiedWord>
      <trackRevisions>false</trackRevisions>
    </reviewItem>
    <reviewItem>
      <errorID>3a8cb5f1-0bfa-4db1-be3f-ff163e1fdc5c</errorID>
      <errorWord>管理要</errorWord>
      <group>L1_Word</group>
      <groupName>字词问题</groupName>
      <ability>L2_Typo</ability>
      <abilityName>字词错误</abilityName>
      <candidateList>
        <item>管理</item>
      </candidateList>
      <explain>〈动〉❶负责某项工作使顺利进行：～财务｜～国家大事。❷保管和料理：～图书｜公园～处。❸照管并约束（人或动物）：～罪犯｜～牲口。</explain>
      <paraID>2E3E2B84</paraID>
      <start>5</start>
      <end>7</end>
      <status>modified</status>
      <modifiedWord>管理</modifiedWord>
      <trackRevisions>false</trackRevisions>
    </reviewItem>
    <reviewItem>
      <errorID>57434610-e395-4901-a065-9ec73570409a</errorID>
      <errorWord>部</errorWord>
      <group>L1_Word</group>
      <groupName>字词问题</groupName>
      <ability>L2_Typo</ability>
      <abilityName>字词错误</abilityName>
      <candidateList>
        <item/>
      </candidateList>
      <explain/>
      <paraID>5413926C</paraID>
      <start>51</start>
      <end>52</end>
      <status>ignored</status>
      <modifiedWord/>
      <trackRevisions>false</trackRevisions>
    </reviewItem>
    <reviewItem>
      <errorID>74bda38a-9f61-4e50-8110-f10ef10131a3</errorID>
      <errorWord>接受</errorWord>
      <group>L1_Word</group>
      <groupName>字词问题</groupName>
      <ability>L2_Typo</ability>
      <abilityName>字词错误</abilityName>
      <candidateList>
        <item>接收</item>
      </candidateList>
      <explain>存在发音相同字词的误用。</explain>
      <paraID>365611C9</paraID>
      <start>1</start>
      <end>3</end>
      <status>ignored</status>
      <modifiedWord/>
      <trackRevisions>false</trackRevisions>
    </reviewItem>
    <reviewItem>
      <errorID>d8930c4b-0c0a-4b5e-8087-174ed731c36b</errorID>
      <errorWord>接受</errorWord>
      <group>L1_Word</group>
      <groupName>字词问题</groupName>
      <ability>L2_Typo</ability>
      <abilityName>字词错误</abilityName>
      <candidateList>
        <item>接收</item>
      </candidateList>
      <explain>存在发音相同字词的误用。</explain>
      <paraID>365611C9</paraID>
      <start>23</start>
      <end>25</end>
      <status>unmodified</status>
      <modifiedWord/>
      <trackRevisions>false</trackRevisions>
    </reviewItem>
    <reviewItem>
      <errorID>5e4b4081-bfe7-49e4-ba7f-7c4957a64a4a</errorID>
      <errorWord>接受</errorWord>
      <group>L1_Word</group>
      <groupName>字词问题</groupName>
      <ability>L2_Typo</ability>
      <abilityName>字词错误</abilityName>
      <candidateList>
        <item>接收</item>
      </candidateList>
      <explain>存在发音相同字词的误用。</explain>
      <paraID>365611C9</paraID>
      <start>42</start>
      <end>44</end>
      <status>unmodified</status>
      <modifiedWord/>
      <trackRevisions>false</trackRevisions>
    </reviewItem>
    <reviewItem>
      <errorID>5aff2c59-c2d6-4f04-8437-a4ea0fd2f850</errorID>
      <errorWord>接受</errorWord>
      <group>L1_Word</group>
      <groupName>字词问题</groupName>
      <ability>L2_Typo</ability>
      <abilityName>字词错误</abilityName>
      <candidateList>
        <item>接收</item>
      </candidateList>
      <explain>存在发音相同字词的误用。</explain>
      <paraID>1EF52DBA</paraID>
      <start>47</start>
      <end>49</end>
      <status>unmodified</status>
      <modifiedWord/>
      <trackRevisions>false</trackRevisions>
    </reviewItem>
    <reviewItem>
      <errorID>07abda4f-4711-461c-a351-1929942f33ed</errorID>
      <errorWord>撒漏</errorWord>
      <group>L1_Word</group>
      <groupName>字词问题</groupName>
      <ability>L2_Typo</ability>
      <abilityName>字词错误</abilityName>
      <candidateList>
        <item>泄漏</item>
      </candidateList>
      <explain/>
      <paraID>6A337A75</paraID>
      <start>32</start>
      <end>34</end>
      <status>modified</status>
      <modifiedWord>泄漏</modifiedWord>
      <trackRevisions>false</trackRevisions>
    </reviewItem>
    <reviewItem>
      <errorID>bb10ac97-b85f-409d-a210-844a75d0ba09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68AFC69E</paraID>
      <start>73</start>
      <end>74</end>
      <status>modified</status>
      <modifiedWord>—</modifiedWord>
      <trackRevisions>false</trackRevisions>
    </reviewItem>
    <reviewItem>
      <errorID>e11e16ea-1b3b-4282-be85-43e8af943057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965FFFA</paraID>
      <start>0</start>
      <end>2</end>
      <status>modified</status>
      <modifiedWord>1.</modifiedWord>
      <trackRevisions>false</trackRevisions>
    </reviewItem>
    <reviewItem>
      <errorID>26050984-cbfc-49b0-a748-cd06ea4faebf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5C0B639E</paraID>
      <start>0</start>
      <end>2</end>
      <status>modified</status>
      <modifiedWord>2.</modifiedWord>
      <trackRevisions>false</trackRevisions>
    </reviewItem>
    <reviewItem>
      <errorID>6622c1bd-526f-439b-aba7-72ebd301229f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7185ECA0</paraID>
      <start>0</start>
      <end>2</end>
      <status>modified</status>
      <modifiedWord>3.</modifiedWord>
      <trackRevisions>false</trackRevisions>
    </reviewItem>
    <reviewItem>
      <errorID>d75a4842-a29f-4b13-949d-dce3baad1b27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8C1B4F4</paraID>
      <start>0</start>
      <end>2</end>
      <status>modified</status>
      <modifiedWord>4.</modifiedWord>
      <trackRevisions>false</trackRevisions>
    </reviewItem>
    <reviewItem>
      <errorID>e4436881-2ba3-4e4d-b93d-3c305e355515</errorID>
      <errorWord>，</errorWord>
      <group>L1_Word</group>
      <groupName>字词问题</groupName>
      <ability>L2_Typo</ability>
      <abilityName>字词错误</abilityName>
      <candidateList>
        <item>，对</item>
      </candidateList>
      <explain/>
      <paraID>  E207B5</paraID>
      <start>115</start>
      <end>117</end>
      <status>modified</status>
      <modifiedWord>，对</modifiedWord>
      <trackRevisions>false</trackRevisions>
    </reviewItem>
    <reviewItem>
      <errorID>0dbd4c2a-1033-46d6-8485-c8dc5ad1edac</errorID>
      <errorWord>泄露</errorWord>
      <group>L1_Word</group>
      <groupName>字词问题</groupName>
      <ability>L2_Typo</ability>
      <abilityName>字词错误</abilityName>
      <candidateList>
        <item>泄漏</item>
      </candidateList>
      <explain>存在发音相同字词的误用。</explain>
      <paraID>2F8222EF</paraID>
      <start>66</start>
      <end>68</end>
      <status>modified</status>
      <modifiedWord>泄漏</modifiedWord>
      <trackRevisions>false</trackRevisions>
    </reviewItem>
    <reviewItem>
      <errorID>795a061e-f892-4db4-9e9f-56f338c6edf8</errorID>
      <errorWord>应付</errorWord>
      <group>L1_Word</group>
      <groupName>字词问题</groupName>
      <ability>L2_Typo</ability>
      <abilityName>字词错误</abilityName>
      <candidateList>
        <item>应对</item>
      </candidateList>
      <explain/>
      <paraID>70BEBD4D</paraID>
      <start>168</start>
      <end>170</end>
      <status>modified</status>
      <modifiedWord>应对</modifiedWord>
      <trackRevisions>false</trackRevisions>
    </reviewItem>
    <reviewItem>
      <errorID>b957de28-e32f-47c3-81cb-78e0a9fdbacc</errorID>
      <errorWord>(</errorWord>
      <group>L1_Format</group>
      <groupName>格式问题</groupName>
      <ability>L2_HalfPunc</ability>
      <abilityName>全半角检查</abilityName>
      <candidateList>
        <item>（</item>
      </candidateList>
      <explain>文本全半角错误。</explain>
      <paraID>3FBB957E</paraID>
      <start>3</start>
      <end>4</end>
      <status>modified</status>
      <modifiedWord>（</modifiedWord>
      <trackRevisions>false</trackRevisions>
    </reviewItem>
    <reviewItem>
      <errorID>1d2c0103-e43a-4ee7-a174-76d1ca6513d7</errorID>
      <errorWord>)</errorWord>
      <group>L1_Format</group>
      <groupName>格式问题</groupName>
      <ability>L2_HalfPunc</ability>
      <abilityName>全半角检查</abilityName>
      <candidateList>
        <item>）</item>
      </candidateList>
      <explain>文本全半角错误。</explain>
      <paraID>3FBB957E</paraID>
      <start>9</start>
      <end>10</end>
      <status>modified</status>
      <modifiedWord>）</modifiedWord>
      <trackRevisions>false</trackRevisions>
    </reviewItem>
    <reviewItem>
      <errorID>5273064d-9889-4096-980e-9a5c170f7979</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630B2D9C</paraID>
      <start>83</start>
      <end>85</end>
      <status>modified</status>
      <modifiedWord>可以</modifiedWord>
      <trackRevisions>false</trackRevisions>
    </reviewItem>
    <reviewItem>
      <errorID>cb5a6780-4e4b-40bb-8125-b157bfc5bb89</errorID>
      <errorWord>法律、法规</errorWord>
      <group>L1_Word</group>
      <groupName>字词问题</groupName>
      <ability>L2_Typo</ability>
      <abilityName>字词错误</abilityName>
      <candidateList>
        <item>法律法规</item>
      </candidateList>
      <explain/>
      <paraID>14EC5D2F</paraID>
      <start>24</start>
      <end>28</end>
      <status>modified</status>
      <modifiedWord>法律法规</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B1870-EC49-489B-9513-BF2807B3B293}">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97371F5D-9C92-44C6-BC70-2AD070C02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TotalTime>
  <Pages>103</Pages>
  <Words>12975</Words>
  <Characters>73964</Characters>
  <Application>Microsoft Office Word</Application>
  <DocSecurity>0</DocSecurity>
  <Lines>616</Lines>
  <Paragraphs>173</Paragraphs>
  <ScaleCrop>false</ScaleCrop>
  <Company/>
  <LinksUpToDate>false</LinksUpToDate>
  <CharactersWithSpaces>86766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鲍 宏岩</dc:creator>
  <cp:lastModifiedBy>MyPC</cp:lastModifiedBy>
  <cp:revision>552</cp:revision>
  <cp:lastPrinted>2026-08-19T05:11:00Z</cp:lastPrinted>
  <dcterms:created xsi:type="dcterms:W3CDTF">2026-01-15T11:11:00Z</dcterms:created>
  <dcterms:modified xsi:type="dcterms:W3CDTF">2026-09-23T03:12:00Z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EB925094AD6E438DBFF4C9017B149CDA_13</vt:lpwstr>
  </property>
  <property fmtid="{D5CDD505-2E9C-101B-9397-08002B2CF9AE}" pid="4" name="KSOTemplateDocerSaveRecord">
    <vt:lpwstr>eyJoZGlkIjoiMTZmZGQ1YjY3YWE4ZjQxNzM3Mjc0MGM1ZTljYWMwNWUiLCJ1c2VySWQiOiIxMDA3OTkxOTU3In0=</vt:lpwstr>
  </property>
</Properties>
</file>