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45A76">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Times New Roman" w:hAnsi="Times New Roman" w:eastAsia="宋体" w:cs="Times New Roman"/>
          <w:color w:val="auto"/>
          <w:sz w:val="28"/>
          <w:szCs w:val="28"/>
          <w:highlight w:val="none"/>
          <w:lang w:val="en-US" w:eastAsia="zh-CN"/>
        </w:rPr>
      </w:pPr>
    </w:p>
    <w:p w14:paraId="0365D924">
      <w:pPr>
        <w:rPr>
          <w:rFonts w:hint="eastAsia" w:ascii="仿宋_GB2312" w:hAnsi="仿宋_GB2312" w:eastAsia="仿宋_GB2312" w:cs="仿宋_GB2312"/>
          <w:color w:val="auto"/>
          <w:sz w:val="36"/>
          <w:szCs w:val="36"/>
          <w:lang w:eastAsia="zh-CN"/>
        </w:rPr>
      </w:pPr>
      <w:bookmarkStart w:id="0" w:name="_Hlk57883707"/>
    </w:p>
    <w:p w14:paraId="51F6FB98">
      <w:pPr>
        <w:rPr>
          <w:rFonts w:ascii="仿宋_GB2312" w:hAnsi="仿宋_GB2312" w:eastAsia="仿宋_GB2312" w:cs="仿宋_GB2312"/>
          <w:color w:val="auto"/>
          <w:sz w:val="36"/>
          <w:szCs w:val="36"/>
        </w:rPr>
      </w:pPr>
    </w:p>
    <w:p w14:paraId="6A65DB26">
      <w:pPr>
        <w:rPr>
          <w:rFonts w:ascii="仿宋_GB2312" w:hAnsi="仿宋_GB2312" w:eastAsia="仿宋_GB2312" w:cs="仿宋_GB2312"/>
          <w:color w:val="auto"/>
          <w:sz w:val="36"/>
          <w:szCs w:val="36"/>
        </w:rPr>
      </w:pPr>
    </w:p>
    <w:bookmarkEnd w:id="0"/>
    <w:p w14:paraId="045300E0">
      <w:pPr>
        <w:bidi w:val="0"/>
        <w:jc w:val="center"/>
        <w:outlineLvl w:val="0"/>
        <w:rPr>
          <w:rFonts w:hint="eastAsia" w:ascii="Times New Roman" w:hAnsi="Times New Roman" w:eastAsia="宋体" w:cs="Times New Roman"/>
          <w:b/>
          <w:bCs/>
          <w:color w:val="auto"/>
          <w:sz w:val="60"/>
          <w:szCs w:val="60"/>
        </w:rPr>
      </w:pPr>
      <w:r>
        <w:rPr>
          <w:rFonts w:hint="eastAsia" w:ascii="Times New Roman" w:hAnsi="Times New Roman" w:eastAsia="宋体" w:cs="Times New Roman"/>
          <w:b/>
          <w:bCs/>
          <w:color w:val="auto"/>
          <w:sz w:val="60"/>
          <w:szCs w:val="60"/>
        </w:rPr>
        <w:t>建设项目</w:t>
      </w:r>
      <w:r>
        <w:rPr>
          <w:rFonts w:hint="eastAsia" w:cs="Times New Roman"/>
          <w:b/>
          <w:bCs/>
          <w:color w:val="auto"/>
          <w:sz w:val="60"/>
          <w:szCs w:val="60"/>
          <w:lang w:val="en-US" w:eastAsia="zh-CN"/>
        </w:rPr>
        <w:t>生态</w:t>
      </w:r>
      <w:r>
        <w:rPr>
          <w:rFonts w:hint="eastAsia" w:ascii="Times New Roman" w:hAnsi="Times New Roman" w:eastAsia="宋体" w:cs="Times New Roman"/>
          <w:b/>
          <w:bCs/>
          <w:color w:val="auto"/>
          <w:sz w:val="60"/>
          <w:szCs w:val="60"/>
        </w:rPr>
        <w:t>环境影响报告表</w:t>
      </w:r>
    </w:p>
    <w:p w14:paraId="563F9FD4">
      <w:pPr>
        <w:adjustRightInd w:val="0"/>
        <w:snapToGrid w:val="0"/>
        <w:spacing w:before="192" w:beforeLines="80"/>
        <w:jc w:val="center"/>
        <w:rPr>
          <w:rFonts w:hint="eastAsia" w:ascii="Times New Roman" w:hAnsi="Times New Roman" w:eastAsia="宋体" w:cs="Times New Roman"/>
          <w:bCs/>
          <w:color w:val="auto"/>
          <w:sz w:val="48"/>
          <w:szCs w:val="48"/>
        </w:rPr>
      </w:pPr>
      <w:r>
        <w:rPr>
          <w:rFonts w:hint="eastAsia" w:ascii="Times New Roman" w:hAnsi="Times New Roman" w:eastAsia="宋体" w:cs="Times New Roman"/>
          <w:bCs/>
          <w:color w:val="auto"/>
          <w:sz w:val="48"/>
          <w:szCs w:val="48"/>
        </w:rPr>
        <w:t>（生态影响类）</w:t>
      </w:r>
    </w:p>
    <w:p w14:paraId="0301FA51">
      <w:pPr>
        <w:adjustRightInd w:val="0"/>
        <w:snapToGrid w:val="0"/>
        <w:spacing w:line="288" w:lineRule="auto"/>
        <w:jc w:val="center"/>
        <w:outlineLvl w:val="0"/>
        <w:rPr>
          <w:rFonts w:ascii="华文仿宋" w:hAnsi="华文仿宋" w:eastAsia="华文仿宋" w:cs="华文仿宋"/>
          <w:color w:val="auto"/>
          <w:kern w:val="44"/>
          <w:sz w:val="44"/>
          <w:szCs w:val="44"/>
        </w:rPr>
      </w:pPr>
      <w:bookmarkStart w:id="1" w:name="_Hlk57883728"/>
    </w:p>
    <w:p w14:paraId="7657D48A">
      <w:pPr>
        <w:jc w:val="center"/>
        <w:rPr>
          <w:rFonts w:eastAsia="仿宋"/>
          <w:color w:val="auto"/>
          <w:sz w:val="52"/>
          <w:szCs w:val="52"/>
        </w:rPr>
      </w:pPr>
    </w:p>
    <w:p w14:paraId="2B60DEE1">
      <w:pPr>
        <w:ind w:firstLine="1040"/>
        <w:rPr>
          <w:rFonts w:eastAsia="仿宋"/>
          <w:color w:val="auto"/>
          <w:sz w:val="44"/>
          <w:szCs w:val="44"/>
        </w:rPr>
      </w:pPr>
    </w:p>
    <w:p w14:paraId="706357AD">
      <w:pPr>
        <w:ind w:firstLine="1040"/>
        <w:rPr>
          <w:rFonts w:eastAsia="仿宋"/>
          <w:color w:val="auto"/>
          <w:sz w:val="44"/>
          <w:szCs w:val="44"/>
        </w:rPr>
      </w:pPr>
    </w:p>
    <w:p w14:paraId="68E8FEF2">
      <w:pPr>
        <w:ind w:firstLine="1040"/>
        <w:rPr>
          <w:rFonts w:eastAsia="仿宋"/>
          <w:color w:val="auto"/>
          <w:sz w:val="28"/>
          <w:szCs w:val="28"/>
        </w:rPr>
      </w:pPr>
    </w:p>
    <w:bookmarkEnd w:id="1"/>
    <w:p w14:paraId="19BF7A7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u w:val="single"/>
          <w:lang w:val="en-US" w:eastAsia="zh-CN"/>
        </w:rPr>
      </w:pPr>
      <w:r>
        <w:rPr>
          <w:rFonts w:hint="eastAsia" w:ascii="Times New Roman" w:hAnsi="Times New Roman" w:eastAsia="宋体" w:cs="Times New Roman"/>
          <w:color w:val="auto"/>
          <w:sz w:val="32"/>
          <w:szCs w:val="32"/>
        </w:rPr>
        <w:t>项目名称：</w:t>
      </w:r>
      <w:r>
        <w:rPr>
          <w:rFonts w:hint="eastAsia" w:cs="Times New Roman"/>
          <w:color w:val="auto"/>
          <w:sz w:val="32"/>
          <w:szCs w:val="32"/>
          <w:u w:val="single"/>
          <w:lang w:val="en-US" w:eastAsia="zh-CN"/>
        </w:rPr>
        <w:t xml:space="preserve">     尉犁5区块龙口101井油气勘探项目</w:t>
      </w:r>
      <w:r>
        <w:rPr>
          <w:rFonts w:hint="eastAsia" w:ascii="Times New Roman" w:hAnsi="Times New Roman" w:eastAsia="宋体" w:cs="Times New Roman"/>
          <w:color w:val="auto"/>
          <w:sz w:val="32"/>
          <w:szCs w:val="32"/>
          <w:u w:val="single"/>
          <w:lang w:val="en-US" w:eastAsia="zh-CN"/>
        </w:rPr>
        <w:t xml:space="preserve">   </w:t>
      </w:r>
      <w:r>
        <w:rPr>
          <w:rFonts w:hint="eastAsia"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val="en-US" w:eastAsia="zh-CN"/>
        </w:rPr>
        <w:t xml:space="preserve">  </w:t>
      </w:r>
    </w:p>
    <w:p w14:paraId="613C62B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lang w:val="en-US" w:eastAsia="zh-CN"/>
        </w:rPr>
      </w:pPr>
      <w:r>
        <w:rPr>
          <w:rFonts w:hint="eastAsia" w:ascii="Times New Roman" w:hAnsi="Times New Roman" w:eastAsia="宋体" w:cs="Times New Roman"/>
          <w:color w:val="auto"/>
          <w:sz w:val="32"/>
          <w:szCs w:val="32"/>
        </w:rPr>
        <w:t>建设单位（盖章）：</w:t>
      </w:r>
      <w:r>
        <w:rPr>
          <w:rFonts w:hint="eastAsia" w:ascii="Times New Roman" w:hAnsi="Times New Roman" w:eastAsia="宋体" w:cs="Times New Roman"/>
          <w:strike w:val="0"/>
          <w:dstrike w:val="0"/>
          <w:color w:val="auto"/>
          <w:sz w:val="32"/>
          <w:szCs w:val="32"/>
          <w:u w:val="single"/>
          <w:lang w:eastAsia="zh-CN"/>
        </w:rPr>
        <w:t>中能北方（尉犁）油气勘探开发有限责任公司</w:t>
      </w:r>
      <w:r>
        <w:rPr>
          <w:rFonts w:hint="eastAsia" w:ascii="Times New Roman" w:hAnsi="Times New Roman" w:eastAsia="宋体" w:cs="Times New Roman"/>
          <w:strike w:val="0"/>
          <w:dstrike w:val="0"/>
          <w:color w:val="auto"/>
          <w:sz w:val="32"/>
          <w:szCs w:val="32"/>
          <w:u w:val="single"/>
          <w:lang w:val="en-US" w:eastAsia="zh-CN"/>
        </w:rPr>
        <w:t xml:space="preserve">   </w:t>
      </w:r>
      <w:r>
        <w:rPr>
          <w:rFonts w:hint="eastAsia" w:cs="Times New Roman"/>
          <w:strike w:val="0"/>
          <w:dstrike w:val="0"/>
          <w:color w:val="auto"/>
          <w:sz w:val="32"/>
          <w:szCs w:val="32"/>
          <w:u w:val="single"/>
          <w:lang w:val="en-US" w:eastAsia="zh-CN"/>
        </w:rPr>
        <w:t xml:space="preserve">                                                  </w:t>
      </w:r>
    </w:p>
    <w:p w14:paraId="0027C13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32"/>
          <w:szCs w:val="32"/>
          <w:lang w:val="en-US"/>
        </w:rPr>
      </w:pPr>
      <w:r>
        <w:rPr>
          <w:rFonts w:hint="eastAsia" w:ascii="Times New Roman" w:hAnsi="Times New Roman" w:eastAsia="宋体" w:cs="Times New Roman"/>
          <w:color w:val="auto"/>
          <w:sz w:val="32"/>
          <w:szCs w:val="32"/>
        </w:rPr>
        <w:t>编制日期：</w:t>
      </w:r>
      <w:r>
        <w:rPr>
          <w:rFonts w:hint="eastAsia" w:ascii="Times New Roman" w:hAnsi="Times New Roman" w:eastAsia="宋体" w:cs="Times New Roman"/>
          <w:color w:val="auto"/>
          <w:sz w:val="32"/>
          <w:szCs w:val="32"/>
          <w:u w:val="single"/>
          <w:lang w:val="en-US" w:eastAsia="zh-CN"/>
        </w:rPr>
        <w:t xml:space="preserve">             2026年</w:t>
      </w:r>
      <w:r>
        <w:rPr>
          <w:rFonts w:hint="eastAsia" w:cs="Times New Roman"/>
          <w:color w:val="auto"/>
          <w:sz w:val="32"/>
          <w:szCs w:val="32"/>
          <w:u w:val="single"/>
          <w:lang w:val="en-US" w:eastAsia="zh-CN"/>
        </w:rPr>
        <w:t>10</w:t>
      </w:r>
      <w:r>
        <w:rPr>
          <w:rFonts w:hint="eastAsia" w:ascii="Times New Roman" w:hAnsi="Times New Roman" w:eastAsia="宋体" w:cs="Times New Roman"/>
          <w:color w:val="auto"/>
          <w:sz w:val="32"/>
          <w:szCs w:val="32"/>
          <w:u w:val="single"/>
          <w:lang w:val="en-US" w:eastAsia="zh-CN"/>
        </w:rPr>
        <w:t xml:space="preserve">月                     </w:t>
      </w:r>
    </w:p>
    <w:p w14:paraId="7726A0D3">
      <w:pPr>
        <w:adjustRightInd w:val="0"/>
        <w:snapToGrid w:val="0"/>
        <w:spacing w:line="288" w:lineRule="auto"/>
        <w:ind w:firstLine="1040"/>
        <w:rPr>
          <w:rFonts w:ascii="仿宋_GB2312" w:eastAsia="仿宋_GB2312"/>
          <w:color w:val="auto"/>
          <w:sz w:val="36"/>
          <w:szCs w:val="36"/>
        </w:rPr>
      </w:pPr>
    </w:p>
    <w:p w14:paraId="3456F153">
      <w:pPr>
        <w:adjustRightInd w:val="0"/>
        <w:snapToGrid w:val="0"/>
        <w:spacing w:line="288" w:lineRule="auto"/>
        <w:ind w:firstLine="1040"/>
        <w:rPr>
          <w:rFonts w:hint="eastAsia" w:ascii="仿宋_GB2312" w:eastAsia="仿宋_GB2312"/>
          <w:color w:val="auto"/>
          <w:sz w:val="36"/>
          <w:szCs w:val="36"/>
        </w:rPr>
      </w:pPr>
    </w:p>
    <w:p w14:paraId="206ACDC7">
      <w:pPr>
        <w:adjustRightInd w:val="0"/>
        <w:snapToGrid w:val="0"/>
        <w:spacing w:line="288" w:lineRule="auto"/>
        <w:ind w:firstLine="1040"/>
        <w:rPr>
          <w:rFonts w:hint="eastAsia" w:ascii="仿宋_GB2312" w:eastAsia="仿宋_GB2312"/>
          <w:color w:val="auto"/>
          <w:sz w:val="36"/>
          <w:szCs w:val="36"/>
        </w:rPr>
      </w:pPr>
    </w:p>
    <w:p w14:paraId="34145BF3">
      <w:pPr>
        <w:pStyle w:val="28"/>
        <w:rPr>
          <w:rFonts w:hint="eastAsia"/>
          <w:color w:val="auto"/>
        </w:rPr>
      </w:pPr>
    </w:p>
    <w:p w14:paraId="339272D8">
      <w:pPr>
        <w:adjustRightInd w:val="0"/>
        <w:snapToGrid w:val="0"/>
        <w:spacing w:line="288" w:lineRule="auto"/>
        <w:jc w:val="center"/>
        <w:rPr>
          <w:rFonts w:hint="eastAsia" w:ascii="楷体_GB2312" w:eastAsia="楷体_GB2312"/>
          <w:color w:val="auto"/>
          <w:sz w:val="36"/>
          <w:szCs w:val="36"/>
        </w:rPr>
      </w:pPr>
    </w:p>
    <w:p w14:paraId="594AEA1D">
      <w:pPr>
        <w:adjustRightInd w:val="0"/>
        <w:snapToGrid w:val="0"/>
        <w:spacing w:line="288" w:lineRule="auto"/>
        <w:jc w:val="center"/>
        <w:outlineLvl w:val="0"/>
        <w:rPr>
          <w:rFonts w:hint="eastAsia" w:ascii="Times New Roman" w:hAnsi="Times New Roman" w:eastAsia="宋体" w:cs="Times New Roman"/>
          <w:color w:val="auto"/>
          <w:sz w:val="36"/>
          <w:szCs w:val="36"/>
        </w:rPr>
      </w:pPr>
    </w:p>
    <w:p w14:paraId="72190734">
      <w:pPr>
        <w:adjustRightInd w:val="0"/>
        <w:snapToGrid w:val="0"/>
        <w:spacing w:line="288" w:lineRule="auto"/>
        <w:jc w:val="center"/>
        <w:outlineLvl w:val="0"/>
        <w:rPr>
          <w:rFonts w:hint="default" w:ascii="Times New Roman" w:hAnsi="Times New Roman" w:eastAsia="宋体" w:cs="Times New Roman"/>
          <w:color w:val="auto"/>
          <w:sz w:val="36"/>
          <w:szCs w:val="36"/>
          <w:lang w:val="en-US"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宋体" w:cs="Times New Roman"/>
          <w:color w:val="auto"/>
          <w:sz w:val="36"/>
          <w:szCs w:val="36"/>
        </w:rPr>
        <w:t>中华人民共和国生态环境部制</w:t>
      </w:r>
    </w:p>
    <w:p w14:paraId="3128CEB7">
      <w:pPr>
        <w:pStyle w:val="32"/>
        <w:jc w:val="center"/>
        <w:outlineLvl w:val="0"/>
        <w:rPr>
          <w:rFonts w:hint="default" w:ascii="Times New Roman" w:hAnsi="Times New Roman" w:eastAsia="黑体" w:cs="Times New Roman"/>
          <w:snapToGrid w:val="0"/>
          <w:color w:val="auto"/>
          <w:sz w:val="30"/>
          <w:szCs w:val="30"/>
          <w:highlight w:val="none"/>
        </w:rPr>
      </w:pPr>
      <w:bookmarkStart w:id="2" w:name="_Toc32087"/>
      <w:r>
        <w:rPr>
          <w:rFonts w:hint="default" w:ascii="Times New Roman" w:hAnsi="Times New Roman" w:eastAsia="黑体" w:cs="Times New Roman"/>
          <w:snapToGrid w:val="0"/>
          <w:color w:val="auto"/>
          <w:sz w:val="30"/>
          <w:szCs w:val="30"/>
          <w:highlight w:val="none"/>
        </w:rPr>
        <w:t>一、建设项目基本情况</w:t>
      </w:r>
      <w:bookmarkEnd w:id="2"/>
    </w:p>
    <w:tbl>
      <w:tblPr>
        <w:tblStyle w:val="36"/>
        <w:tblW w:w="498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30"/>
        <w:gridCol w:w="1757"/>
        <w:gridCol w:w="2185"/>
        <w:gridCol w:w="2061"/>
        <w:gridCol w:w="2782"/>
        <w:gridCol w:w="24"/>
      </w:tblGrid>
      <w:tr w14:paraId="17497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1D0BF1E4">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3802" w:type="pct"/>
            <w:gridSpan w:val="3"/>
            <w:noWrap w:val="0"/>
            <w:vAlign w:val="center"/>
          </w:tcPr>
          <w:p w14:paraId="603100B9">
            <w:pPr>
              <w:adjustRightInd w:val="0"/>
              <w:snapToGrid w:val="0"/>
              <w:jc w:val="center"/>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尉犁5区块龙口101井油气勘探项目</w:t>
            </w:r>
          </w:p>
        </w:tc>
      </w:tr>
      <w:tr w14:paraId="34D6F1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58DD9F04">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3802" w:type="pct"/>
            <w:gridSpan w:val="3"/>
            <w:noWrap w:val="0"/>
            <w:vAlign w:val="center"/>
          </w:tcPr>
          <w:p w14:paraId="4932F882">
            <w:pPr>
              <w:adjustRightInd w:val="0"/>
              <w:snapToGrid w:val="0"/>
              <w:jc w:val="center"/>
              <w:rPr>
                <w:rFonts w:hint="default" w:ascii="Times New Roman" w:hAnsi="Times New Roman" w:cs="Times New Roman"/>
                <w:color w:val="auto"/>
                <w:sz w:val="24"/>
                <w:szCs w:val="24"/>
                <w:highlight w:val="none"/>
              </w:rPr>
            </w:pPr>
          </w:p>
        </w:tc>
      </w:tr>
      <w:tr w14:paraId="06C0F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3FEAFEB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182" w:type="pct"/>
            <w:noWrap w:val="0"/>
            <w:vAlign w:val="center"/>
          </w:tcPr>
          <w:p w14:paraId="339544BA">
            <w:pPr>
              <w:adjustRightInd w:val="0"/>
              <w:snapToGrid w:val="0"/>
              <w:jc w:val="center"/>
              <w:rPr>
                <w:rFonts w:hint="default" w:ascii="Times New Roman" w:hAnsi="Times New Roman" w:cs="Times New Roman"/>
                <w:color w:val="auto"/>
                <w:sz w:val="24"/>
                <w:szCs w:val="24"/>
                <w:highlight w:val="none"/>
                <w:lang w:val="en-US" w:eastAsia="zh-CN"/>
              </w:rPr>
            </w:pPr>
          </w:p>
        </w:tc>
        <w:tc>
          <w:tcPr>
            <w:tcW w:w="1115" w:type="pct"/>
            <w:noWrap w:val="0"/>
            <w:vAlign w:val="center"/>
          </w:tcPr>
          <w:p w14:paraId="5F9786F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1504" w:type="pct"/>
            <w:noWrap w:val="0"/>
            <w:vAlign w:val="center"/>
          </w:tcPr>
          <w:p w14:paraId="3190041C">
            <w:pPr>
              <w:adjustRightInd w:val="0"/>
              <w:snapToGrid w:val="0"/>
              <w:jc w:val="center"/>
              <w:rPr>
                <w:rFonts w:hint="default" w:ascii="Times New Roman" w:hAnsi="Times New Roman" w:cs="Times New Roman"/>
                <w:color w:val="auto"/>
                <w:sz w:val="24"/>
                <w:szCs w:val="24"/>
                <w:highlight w:val="none"/>
                <w:lang w:val="en-US" w:eastAsia="zh-CN"/>
              </w:rPr>
            </w:pPr>
            <w:bookmarkStart w:id="46" w:name="_GoBack"/>
            <w:bookmarkEnd w:id="46"/>
          </w:p>
        </w:tc>
      </w:tr>
      <w:tr w14:paraId="55E83A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619" w:hRule="atLeast"/>
          <w:jc w:val="center"/>
        </w:trPr>
        <w:tc>
          <w:tcPr>
            <w:tcW w:w="1184" w:type="pct"/>
            <w:gridSpan w:val="2"/>
            <w:noWrap w:val="0"/>
            <w:tcMar>
              <w:top w:w="16" w:type="dxa"/>
              <w:left w:w="16" w:type="dxa"/>
              <w:right w:w="16" w:type="dxa"/>
            </w:tcMar>
            <w:vAlign w:val="center"/>
          </w:tcPr>
          <w:p w14:paraId="0DD1C290">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3802" w:type="pct"/>
            <w:gridSpan w:val="3"/>
            <w:noWrap w:val="0"/>
            <w:vAlign w:val="center"/>
          </w:tcPr>
          <w:p w14:paraId="77A173C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w w:val="100"/>
                <w:sz w:val="24"/>
                <w:szCs w:val="24"/>
                <w:highlight w:val="none"/>
                <w:u w:val="none"/>
                <w:lang w:val="en-US" w:eastAsia="zh-CN"/>
              </w:rPr>
              <w:t>新疆维吾尔自治区巴音郭楞蒙古自治州</w:t>
            </w:r>
            <w:r>
              <w:rPr>
                <w:rFonts w:hint="default" w:ascii="Times New Roman" w:hAnsi="Times New Roman" w:eastAsia="宋体" w:cs="Times New Roman"/>
                <w:color w:val="auto"/>
                <w:sz w:val="24"/>
                <w:szCs w:val="24"/>
                <w:highlight w:val="none"/>
                <w:lang w:val="en-US" w:eastAsia="zh-CN"/>
              </w:rPr>
              <w:t>若羌县354.0度方位，直距约144.41千米</w:t>
            </w:r>
            <w:r>
              <w:rPr>
                <w:rFonts w:hint="eastAsia" w:cs="Times New Roman"/>
                <w:color w:val="auto"/>
                <w:sz w:val="24"/>
                <w:szCs w:val="24"/>
                <w:highlight w:val="none"/>
                <w:lang w:val="en-US" w:eastAsia="zh-CN"/>
              </w:rPr>
              <w:t>。</w:t>
            </w:r>
          </w:p>
        </w:tc>
      </w:tr>
      <w:tr w14:paraId="22D72B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01129FEA">
            <w:pPr>
              <w:adjustRightInd w:val="0"/>
              <w:snapToGrid w:val="0"/>
              <w:jc w:val="center"/>
              <w:rPr>
                <w:rFonts w:hint="default" w:ascii="Times New Roman" w:hAnsi="Times New Roman" w:eastAsia="宋体" w:cs="Times New Roman"/>
                <w:color w:val="auto"/>
                <w:w w:val="100"/>
                <w:sz w:val="24"/>
                <w:szCs w:val="24"/>
                <w:highlight w:val="none"/>
                <w:u w:val="none"/>
                <w:lang w:val="en-US" w:eastAsia="zh-CN"/>
              </w:rPr>
            </w:pPr>
            <w:r>
              <w:rPr>
                <w:rFonts w:hint="default" w:ascii="Times New Roman" w:hAnsi="Times New Roman" w:eastAsia="宋体" w:cs="Times New Roman"/>
                <w:color w:val="auto"/>
                <w:w w:val="100"/>
                <w:sz w:val="24"/>
                <w:szCs w:val="24"/>
                <w:highlight w:val="none"/>
                <w:u w:val="none"/>
                <w:lang w:val="en-US" w:eastAsia="zh-CN"/>
              </w:rPr>
              <w:t>地理坐标</w:t>
            </w:r>
          </w:p>
        </w:tc>
        <w:tc>
          <w:tcPr>
            <w:tcW w:w="3802" w:type="pct"/>
            <w:gridSpan w:val="3"/>
            <w:noWrap w:val="0"/>
            <w:vAlign w:val="center"/>
          </w:tcPr>
          <w:p w14:paraId="3C15D9D4">
            <w:pPr>
              <w:adjustRightInd w:val="0"/>
              <w:snapToGrid w:val="0"/>
              <w:jc w:val="center"/>
              <w:rPr>
                <w:rFonts w:hint="default" w:ascii="Times New Roman" w:hAnsi="Times New Roman" w:eastAsia="宋体" w:cs="Times New Roman"/>
                <w:color w:val="auto"/>
                <w:w w:val="100"/>
                <w:sz w:val="24"/>
                <w:szCs w:val="24"/>
                <w:highlight w:val="none"/>
                <w:u w:val="none"/>
                <w:lang w:val="en-US" w:eastAsia="zh-CN"/>
              </w:rPr>
            </w:pPr>
          </w:p>
        </w:tc>
      </w:tr>
      <w:tr w14:paraId="1904BB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515A128D">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05C7E7EB">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182" w:type="pct"/>
            <w:noWrap w:val="0"/>
            <w:vAlign w:val="center"/>
          </w:tcPr>
          <w:p w14:paraId="64F9808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四十六、专业技术服务业99陆地矿产资源地质勘查（含油气资源勘探）</w:t>
            </w:r>
          </w:p>
        </w:tc>
        <w:tc>
          <w:tcPr>
            <w:tcW w:w="1115" w:type="pct"/>
            <w:noWrap w:val="0"/>
            <w:vAlign w:val="center"/>
          </w:tcPr>
          <w:p w14:paraId="7A38D2A4">
            <w:pPr>
              <w:keepNext w:val="0"/>
              <w:keepLines w:val="0"/>
              <w:pageBreakBefore w:val="0"/>
              <w:widowControl w:val="0"/>
              <w:kinsoku/>
              <w:wordWrap/>
              <w:overflowPunct/>
              <w:topLinePunct w:val="0"/>
              <w:autoSpaceDE/>
              <w:autoSpaceDN/>
              <w:bidi w:val="0"/>
              <w:adjustRightInd w:val="0"/>
              <w:snapToGrid w:val="0"/>
              <w:ind w:left="0" w:left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用地（用海）面积（m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）/长度（km）</w:t>
            </w:r>
          </w:p>
        </w:tc>
        <w:tc>
          <w:tcPr>
            <w:tcW w:w="1504" w:type="pct"/>
            <w:noWrap w:val="0"/>
            <w:vAlign w:val="center"/>
          </w:tcPr>
          <w:p w14:paraId="00E96D7C">
            <w:pPr>
              <w:keepNext w:val="0"/>
              <w:keepLines w:val="0"/>
              <w:pageBreakBefore w:val="0"/>
              <w:widowControl w:val="0"/>
              <w:kinsoku/>
              <w:wordWrap/>
              <w:overflowPunct/>
              <w:topLinePunct w:val="0"/>
              <w:autoSpaceDE/>
              <w:autoSpaceDN/>
              <w:bidi w:val="0"/>
              <w:adjustRightInd w:val="0"/>
              <w:snapToGrid w:val="0"/>
              <w:ind w:left="0" w:left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21463m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eastAsia="zh-CN"/>
              </w:rPr>
              <w:t>（临时占地）</w:t>
            </w:r>
          </w:p>
        </w:tc>
      </w:tr>
      <w:tr w14:paraId="67657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467A5C4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182" w:type="pct"/>
            <w:noWrap w:val="0"/>
            <w:vAlign w:val="center"/>
          </w:tcPr>
          <w:p w14:paraId="4D7AF7A8">
            <w:pPr>
              <w:adjustRightInd w:val="0"/>
              <w:snapToGrid w:val="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34F26ABC">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14:paraId="3108AE3A">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14:paraId="56410751">
            <w:pPr>
              <w:adjustRightInd w:val="0"/>
              <w:snapToGrid w:val="0"/>
              <w:jc w:val="left"/>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1115" w:type="pct"/>
            <w:noWrap w:val="0"/>
            <w:vAlign w:val="center"/>
          </w:tcPr>
          <w:p w14:paraId="7517BC18">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2C735DC9">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1504" w:type="pct"/>
            <w:noWrap w:val="0"/>
            <w:vAlign w:val="center"/>
          </w:tcPr>
          <w:p w14:paraId="47002FD8">
            <w:pPr>
              <w:adjustRightInd w:val="0"/>
              <w:snapToGrid w:val="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14:paraId="1F54582B">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14:paraId="727542E0">
            <w:pPr>
              <w:adjustRightInd w:val="0"/>
              <w:snapToGrid w:val="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14:paraId="0F797D2D">
            <w:pPr>
              <w:adjustRightInd w:val="0"/>
              <w:snapToGrid w:val="0"/>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w:t>
            </w:r>
            <w:r>
              <w:rPr>
                <w:rFonts w:hint="default" w:ascii="Times New Roman" w:hAnsi="Times New Roman" w:cs="Times New Roman"/>
                <w:color w:val="auto"/>
                <w:sz w:val="24"/>
                <w:szCs w:val="24"/>
                <w:highlight w:val="none"/>
              </w:rPr>
              <w:t>大变动重新报批项目</w:t>
            </w:r>
          </w:p>
        </w:tc>
      </w:tr>
      <w:tr w14:paraId="3E1E5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90" w:hRule="atLeast"/>
          <w:jc w:val="center"/>
        </w:trPr>
        <w:tc>
          <w:tcPr>
            <w:tcW w:w="1184" w:type="pct"/>
            <w:gridSpan w:val="2"/>
            <w:noWrap w:val="0"/>
            <w:tcMar>
              <w:top w:w="16" w:type="dxa"/>
              <w:left w:w="16" w:type="dxa"/>
              <w:right w:w="16" w:type="dxa"/>
            </w:tcMar>
            <w:vAlign w:val="center"/>
          </w:tcPr>
          <w:p w14:paraId="4C6A784C">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50F41DD9">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备案）部门（选填）</w:t>
            </w:r>
          </w:p>
        </w:tc>
        <w:tc>
          <w:tcPr>
            <w:tcW w:w="1182" w:type="pct"/>
            <w:noWrap w:val="0"/>
            <w:vAlign w:val="center"/>
          </w:tcPr>
          <w:p w14:paraId="148496EB">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若羌县发展和改革委员会</w:t>
            </w:r>
          </w:p>
        </w:tc>
        <w:tc>
          <w:tcPr>
            <w:tcW w:w="1115" w:type="pct"/>
            <w:noWrap w:val="0"/>
            <w:vAlign w:val="center"/>
          </w:tcPr>
          <w:p w14:paraId="71FE8A34">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6674015C">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备案）文号（选填）</w:t>
            </w:r>
          </w:p>
        </w:tc>
        <w:tc>
          <w:tcPr>
            <w:tcW w:w="1504" w:type="pct"/>
            <w:noWrap w:val="0"/>
            <w:vAlign w:val="center"/>
          </w:tcPr>
          <w:p w14:paraId="7EB1DA33">
            <w:pPr>
              <w:keepNext w:val="0"/>
              <w:keepLines w:val="0"/>
              <w:widowControl/>
              <w:suppressLineNumbers w:val="0"/>
              <w:jc w:val="left"/>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2608191726652824000179</w:t>
            </w:r>
          </w:p>
        </w:tc>
      </w:tr>
      <w:tr w14:paraId="4C902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00C2A129">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182" w:type="pct"/>
            <w:noWrap w:val="0"/>
            <w:vAlign w:val="center"/>
          </w:tcPr>
          <w:p w14:paraId="5E702CD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4000</w:t>
            </w:r>
          </w:p>
        </w:tc>
        <w:tc>
          <w:tcPr>
            <w:tcW w:w="1115" w:type="pct"/>
            <w:noWrap w:val="0"/>
            <w:tcMar>
              <w:top w:w="16" w:type="dxa"/>
              <w:left w:w="16" w:type="dxa"/>
              <w:right w:w="16" w:type="dxa"/>
            </w:tcMar>
            <w:vAlign w:val="center"/>
          </w:tcPr>
          <w:p w14:paraId="164D47DB">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1504" w:type="pct"/>
            <w:noWrap w:val="0"/>
            <w:vAlign w:val="center"/>
          </w:tcPr>
          <w:p w14:paraId="3D344C5C">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118</w:t>
            </w:r>
          </w:p>
        </w:tc>
      </w:tr>
      <w:tr w14:paraId="0066E2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1AE87A8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182" w:type="pct"/>
            <w:noWrap w:val="0"/>
            <w:vAlign w:val="center"/>
          </w:tcPr>
          <w:p w14:paraId="41E645E7">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2.95</w:t>
            </w:r>
          </w:p>
        </w:tc>
        <w:tc>
          <w:tcPr>
            <w:tcW w:w="1115" w:type="pct"/>
            <w:noWrap w:val="0"/>
            <w:tcMar>
              <w:top w:w="16" w:type="dxa"/>
              <w:left w:w="16" w:type="dxa"/>
              <w:right w:w="16" w:type="dxa"/>
            </w:tcMar>
            <w:vAlign w:val="center"/>
          </w:tcPr>
          <w:p w14:paraId="2B279504">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1504" w:type="pct"/>
            <w:noWrap w:val="0"/>
            <w:vAlign w:val="center"/>
          </w:tcPr>
          <w:p w14:paraId="4A929D1D">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180天</w:t>
            </w:r>
          </w:p>
        </w:tc>
      </w:tr>
      <w:tr w14:paraId="608CEF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369D9300">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3802" w:type="pct"/>
            <w:gridSpan w:val="3"/>
            <w:noWrap w:val="0"/>
            <w:vAlign w:val="center"/>
          </w:tcPr>
          <w:p w14:paraId="65F3E7CF">
            <w:pPr>
              <w:adjustRightInd w:val="0"/>
              <w:snapToGrid w:val="0"/>
              <w:ind w:firstLine="105"/>
              <w:jc w:val="lef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14:paraId="3370012F">
            <w:pPr>
              <w:adjustRightInd w:val="0"/>
              <w:snapToGrid w:val="0"/>
              <w:ind w:firstLine="92"/>
              <w:jc w:val="lef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 xml:space="preserve"> </w:t>
            </w:r>
          </w:p>
        </w:tc>
      </w:tr>
      <w:tr w14:paraId="69375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606B3454">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3802" w:type="pct"/>
            <w:gridSpan w:val="3"/>
            <w:noWrap w:val="0"/>
            <w:tcMar>
              <w:top w:w="16" w:type="dxa"/>
              <w:left w:w="16" w:type="dxa"/>
              <w:right w:w="16" w:type="dxa"/>
            </w:tcMar>
            <w:vAlign w:val="center"/>
          </w:tcPr>
          <w:p w14:paraId="2412E575">
            <w:pPr>
              <w:autoSpaceDE w:val="0"/>
              <w:autoSpaceDN w:val="0"/>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4799D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0D9899DB">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3802" w:type="pct"/>
            <w:gridSpan w:val="3"/>
            <w:noWrap w:val="0"/>
            <w:tcMar>
              <w:top w:w="16" w:type="dxa"/>
              <w:left w:w="16" w:type="dxa"/>
              <w:right w:w="16" w:type="dxa"/>
            </w:tcMar>
            <w:vAlign w:val="center"/>
          </w:tcPr>
          <w:p w14:paraId="312BE1E7">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文件名称：《塔里木油田“十四五”发展规划》</w:t>
            </w:r>
          </w:p>
          <w:p w14:paraId="5642DC6C">
            <w:pPr>
              <w:widowControl/>
              <w:spacing w:line="300" w:lineRule="auto"/>
              <w:jc w:val="left"/>
              <w:rPr>
                <w:rFonts w:hint="default" w:ascii="Times New Roman" w:hAnsi="Times New Roman" w:eastAsia="宋体" w:cs="Times New Roman"/>
                <w:color w:val="auto"/>
                <w:kern w:val="2"/>
                <w:sz w:val="24"/>
                <w:szCs w:val="24"/>
                <w:highlight w:val="none"/>
                <w:lang w:val="en-US" w:eastAsia="zh-CN" w:bidi="ar-SA"/>
              </w:rPr>
            </w:pPr>
            <w:r>
              <w:rPr>
                <w:rFonts w:hint="eastAsia" w:hAnsi="宋体" w:cs="宋体"/>
                <w:color w:val="auto"/>
                <w:kern w:val="0"/>
                <w:sz w:val="24"/>
                <w:szCs w:val="24"/>
                <w:highlight w:val="none"/>
                <w:lang w:bidi="ar"/>
              </w:rPr>
              <w:t>审查单位：中国石油</w:t>
            </w:r>
            <w:r>
              <w:rPr>
                <w:rFonts w:hint="eastAsia" w:hAnsi="宋体" w:cs="宋体"/>
                <w:color w:val="auto"/>
                <w:kern w:val="0"/>
                <w:sz w:val="24"/>
                <w:szCs w:val="24"/>
                <w:highlight w:val="none"/>
                <w:lang w:eastAsia="zh-CN" w:bidi="ar"/>
              </w:rPr>
              <w:t>天然气</w:t>
            </w:r>
            <w:r>
              <w:rPr>
                <w:rFonts w:hint="eastAsia" w:hAnsi="宋体" w:cs="宋体"/>
                <w:color w:val="auto"/>
                <w:kern w:val="0"/>
                <w:sz w:val="24"/>
                <w:szCs w:val="24"/>
                <w:highlight w:val="none"/>
                <w:lang w:bidi="ar"/>
              </w:rPr>
              <w:t>股份有限公司勘探与生产分公司</w:t>
            </w:r>
          </w:p>
        </w:tc>
      </w:tr>
      <w:tr w14:paraId="69D320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1184" w:type="pct"/>
            <w:gridSpan w:val="2"/>
            <w:noWrap w:val="0"/>
            <w:tcMar>
              <w:top w:w="16" w:type="dxa"/>
              <w:left w:w="16" w:type="dxa"/>
              <w:right w:w="16" w:type="dxa"/>
            </w:tcMar>
            <w:vAlign w:val="center"/>
          </w:tcPr>
          <w:p w14:paraId="0586A7DE">
            <w:pPr>
              <w:autoSpaceDE w:val="0"/>
              <w:autoSpaceDN w:val="0"/>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14:paraId="0D4DE8B9">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3802" w:type="pct"/>
            <w:gridSpan w:val="3"/>
            <w:noWrap w:val="0"/>
            <w:tcMar>
              <w:top w:w="16" w:type="dxa"/>
              <w:left w:w="16" w:type="dxa"/>
              <w:right w:w="16" w:type="dxa"/>
            </w:tcMar>
            <w:vAlign w:val="center"/>
          </w:tcPr>
          <w:p w14:paraId="117CFCBD">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规划环境影响评价文件名称：《塔里木油田“十四五”发展规划环境影响报告书》</w:t>
            </w:r>
          </w:p>
          <w:p w14:paraId="116755E1">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召集审查机关：新疆维吾尔自治区生态环境厅</w:t>
            </w:r>
          </w:p>
          <w:p w14:paraId="2F458D43">
            <w:pPr>
              <w:widowControl/>
              <w:spacing w:line="300" w:lineRule="auto"/>
              <w:jc w:val="left"/>
              <w:rPr>
                <w:rFonts w:hint="eastAsia" w:hAnsi="宋体" w:cs="宋体"/>
                <w:color w:val="auto"/>
                <w:kern w:val="0"/>
                <w:sz w:val="24"/>
                <w:szCs w:val="24"/>
                <w:highlight w:val="none"/>
                <w:lang w:bidi="ar"/>
              </w:rPr>
            </w:pPr>
            <w:r>
              <w:rPr>
                <w:rFonts w:hint="eastAsia" w:hAnsi="宋体" w:cs="宋体"/>
                <w:color w:val="auto"/>
                <w:kern w:val="0"/>
                <w:sz w:val="24"/>
                <w:szCs w:val="24"/>
                <w:highlight w:val="none"/>
                <w:lang w:bidi="ar"/>
              </w:rPr>
              <w:t>审查文件名称：关于《塔里木油田“十四五”发展规划环境影响报告书》的审查意见</w:t>
            </w:r>
          </w:p>
          <w:p w14:paraId="578620BE">
            <w:pPr>
              <w:adjustRightInd w:val="0"/>
              <w:snapToGrid w:val="0"/>
              <w:jc w:val="left"/>
              <w:rPr>
                <w:rFonts w:hint="default" w:ascii="Times New Roman" w:hAnsi="Times New Roman" w:eastAsia="宋体" w:cs="Times New Roman"/>
                <w:color w:val="auto"/>
                <w:kern w:val="2"/>
                <w:sz w:val="24"/>
                <w:szCs w:val="24"/>
                <w:highlight w:val="none"/>
                <w:lang w:val="en-US" w:eastAsia="zh-CN" w:bidi="ar-SA"/>
              </w:rPr>
            </w:pPr>
            <w:r>
              <w:rPr>
                <w:rFonts w:hint="eastAsia" w:hAnsi="宋体" w:cs="宋体"/>
                <w:color w:val="auto"/>
                <w:kern w:val="0"/>
                <w:sz w:val="24"/>
                <w:szCs w:val="24"/>
                <w:highlight w:val="none"/>
                <w:lang w:bidi="ar"/>
              </w:rPr>
              <w:t>审查文件文号：新环审〔2022〕214号</w:t>
            </w:r>
          </w:p>
        </w:tc>
      </w:tr>
      <w:tr w14:paraId="23C31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12" w:type="pct"/>
          <w:trHeight w:val="454" w:hRule="atLeast"/>
          <w:jc w:val="center"/>
        </w:trPr>
        <w:tc>
          <w:tcPr>
            <w:tcW w:w="233" w:type="pct"/>
            <w:noWrap w:val="0"/>
            <w:tcMar>
              <w:top w:w="16" w:type="dxa"/>
              <w:left w:w="16" w:type="dxa"/>
              <w:right w:w="16" w:type="dxa"/>
            </w:tcMar>
            <w:vAlign w:val="center"/>
          </w:tcPr>
          <w:p w14:paraId="0C770A4B">
            <w:pPr>
              <w:autoSpaceDE w:val="0"/>
              <w:autoSpaceDN w:val="0"/>
              <w:adjustRightInd w:val="0"/>
              <w:snapToGrid w:val="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w:t>
            </w:r>
            <w:r>
              <w:rPr>
                <w:rFonts w:hint="default" w:ascii="Times New Roman" w:hAnsi="Times New Roman" w:cs="Times New Roman"/>
                <w:color w:val="auto"/>
                <w:sz w:val="24"/>
                <w:szCs w:val="24"/>
                <w:highlight w:val="none"/>
              </w:rPr>
              <w:t>规划环境影响评价</w:t>
            </w:r>
            <w:r>
              <w:rPr>
                <w:rFonts w:hint="default" w:ascii="Times New Roman" w:hAnsi="Times New Roman" w:cs="Times New Roman"/>
                <w:color w:val="auto"/>
                <w:kern w:val="0"/>
                <w:sz w:val="24"/>
                <w:szCs w:val="24"/>
                <w:highlight w:val="none"/>
              </w:rPr>
              <w:t>符合性分析</w:t>
            </w:r>
          </w:p>
        </w:tc>
        <w:tc>
          <w:tcPr>
            <w:tcW w:w="4753" w:type="pct"/>
            <w:gridSpan w:val="4"/>
            <w:noWrap w:val="0"/>
            <w:tcMar>
              <w:top w:w="16" w:type="dxa"/>
              <w:left w:w="16" w:type="dxa"/>
              <w:right w:w="16" w:type="dxa"/>
            </w:tcMar>
            <w:vAlign w:val="center"/>
          </w:tcPr>
          <w:p w14:paraId="52AC79F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本项目与《塔里木油田“十四五”发展规划》《塔里木油田“十四五”发展规划环境影响报告书》及审查意见的符合性分析见表1</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w:t>
            </w:r>
          </w:p>
          <w:p w14:paraId="7374ADEF">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Times New Roman" w:hAnsi="宋体" w:cs="宋体"/>
                <w:b/>
                <w:bCs/>
                <w:color w:val="auto"/>
                <w:kern w:val="0"/>
                <w:sz w:val="21"/>
                <w:szCs w:val="21"/>
                <w:highlight w:val="none"/>
                <w:lang w:val="en-US" w:eastAsia="zh-CN" w:bidi="ar"/>
              </w:rPr>
            </w:pPr>
            <w:r>
              <w:rPr>
                <w:rFonts w:hint="default" w:ascii="Times New Roman" w:hAnsi="宋体" w:cs="宋体"/>
                <w:b/>
                <w:bCs/>
                <w:color w:val="auto"/>
                <w:kern w:val="0"/>
                <w:sz w:val="21"/>
                <w:szCs w:val="21"/>
                <w:highlight w:val="none"/>
                <w:lang w:val="en-US" w:eastAsia="zh-CN" w:bidi="ar"/>
              </w:rPr>
              <w:t>表1</w:t>
            </w:r>
            <w:r>
              <w:rPr>
                <w:rFonts w:hint="eastAsia" w:ascii="Times New Roman" w:hAnsi="宋体" w:cs="宋体"/>
                <w:b/>
                <w:bCs/>
                <w:color w:val="auto"/>
                <w:kern w:val="0"/>
                <w:sz w:val="21"/>
                <w:szCs w:val="21"/>
                <w:highlight w:val="none"/>
                <w:lang w:val="en-US" w:eastAsia="zh-CN" w:bidi="ar"/>
              </w:rPr>
              <w:t>-1</w:t>
            </w:r>
            <w:r>
              <w:rPr>
                <w:rFonts w:hint="default" w:ascii="Times New Roman" w:hAnsi="宋体" w:cs="宋体"/>
                <w:b/>
                <w:bCs/>
                <w:color w:val="auto"/>
                <w:kern w:val="0"/>
                <w:sz w:val="21"/>
                <w:szCs w:val="21"/>
                <w:highlight w:val="none"/>
                <w:lang w:val="en-US" w:eastAsia="zh-CN" w:bidi="ar"/>
              </w:rPr>
              <w:t xml:space="preserve"> 与规划及规划环评文件符合性分析表</w:t>
            </w:r>
          </w:p>
          <w:tbl>
            <w:tblPr>
              <w:tblStyle w:val="3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82"/>
              <w:gridCol w:w="4115"/>
              <w:gridCol w:w="3247"/>
              <w:gridCol w:w="586"/>
            </w:tblGrid>
            <w:tr w14:paraId="1349E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48" w:type="pct"/>
                  <w:noWrap w:val="0"/>
                  <w:vAlign w:val="center"/>
                </w:tcPr>
                <w:p w14:paraId="1939E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文件</w:t>
                  </w:r>
                </w:p>
                <w:p w14:paraId="68552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名称</w:t>
                  </w:r>
                </w:p>
              </w:tc>
              <w:tc>
                <w:tcPr>
                  <w:tcW w:w="2356" w:type="pct"/>
                  <w:noWrap w:val="0"/>
                  <w:vAlign w:val="center"/>
                </w:tcPr>
                <w:p w14:paraId="60F009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文件要求</w:t>
                  </w:r>
                </w:p>
              </w:tc>
              <w:tc>
                <w:tcPr>
                  <w:tcW w:w="1859" w:type="pct"/>
                  <w:noWrap w:val="0"/>
                  <w:vAlign w:val="center"/>
                </w:tcPr>
                <w:p w14:paraId="7F193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w:t>
                  </w:r>
                </w:p>
              </w:tc>
              <w:tc>
                <w:tcPr>
                  <w:tcW w:w="335" w:type="pct"/>
                  <w:noWrap w:val="0"/>
                  <w:vAlign w:val="center"/>
                </w:tcPr>
                <w:p w14:paraId="24F293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符合性</w:t>
                  </w:r>
                </w:p>
              </w:tc>
            </w:tr>
            <w:tr w14:paraId="3A466A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54" w:hRule="atLeast"/>
                <w:jc w:val="center"/>
              </w:trPr>
              <w:tc>
                <w:tcPr>
                  <w:tcW w:w="448" w:type="pct"/>
                  <w:noWrap w:val="0"/>
                  <w:vAlign w:val="center"/>
                </w:tcPr>
                <w:p w14:paraId="2BC34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《塔里木油田“十四五”发展规划》</w:t>
                  </w:r>
                </w:p>
              </w:tc>
              <w:tc>
                <w:tcPr>
                  <w:tcW w:w="2356" w:type="pct"/>
                  <w:noWrap w:val="0"/>
                  <w:vAlign w:val="center"/>
                </w:tcPr>
                <w:p w14:paraId="2C1DA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“十四五期间”持续上产，着力推进“库车山前</w:t>
                  </w:r>
                  <w:r>
                    <w:rPr>
                      <w:rFonts w:hint="eastAsia" w:cs="Times New Roman"/>
                      <w:b w:val="0"/>
                      <w:bCs w:val="0"/>
                      <w:color w:val="auto"/>
                      <w:kern w:val="0"/>
                      <w:sz w:val="21"/>
                      <w:szCs w:val="21"/>
                      <w:highlight w:val="none"/>
                      <w:lang w:val="en-US" w:eastAsia="zh-CN" w:bidi="ar"/>
                    </w:rPr>
                    <w:t>天然气</w:t>
                  </w:r>
                  <w:r>
                    <w:rPr>
                      <w:rFonts w:hint="eastAsia" w:ascii="Times New Roman" w:hAnsi="Times New Roman" w:eastAsia="宋体" w:cs="Times New Roman"/>
                      <w:b w:val="0"/>
                      <w:bCs w:val="0"/>
                      <w:color w:val="auto"/>
                      <w:kern w:val="0"/>
                      <w:sz w:val="21"/>
                      <w:szCs w:val="21"/>
                      <w:highlight w:val="none"/>
                      <w:lang w:val="en-US" w:eastAsia="zh-CN" w:bidi="ar"/>
                    </w:rPr>
                    <w:t>、塔北-塔中原油”两大根据地，实施老油气田综合治理、新油气田效益建产和油气田精益生产，努力实现原油产量稳中上升和</w:t>
                  </w:r>
                  <w:r>
                    <w:rPr>
                      <w:rFonts w:hint="eastAsia" w:cs="Times New Roman"/>
                      <w:b w:val="0"/>
                      <w:bCs w:val="0"/>
                      <w:color w:val="auto"/>
                      <w:kern w:val="0"/>
                      <w:sz w:val="21"/>
                      <w:szCs w:val="21"/>
                      <w:highlight w:val="none"/>
                      <w:lang w:val="en-US" w:eastAsia="zh-CN" w:bidi="ar"/>
                    </w:rPr>
                    <w:t>天然气</w:t>
                  </w:r>
                  <w:r>
                    <w:rPr>
                      <w:rFonts w:hint="eastAsia" w:ascii="Times New Roman" w:hAnsi="Times New Roman" w:eastAsia="宋体" w:cs="Times New Roman"/>
                      <w:b w:val="0"/>
                      <w:bCs w:val="0"/>
                      <w:color w:val="auto"/>
                      <w:kern w:val="0"/>
                      <w:sz w:val="21"/>
                      <w:szCs w:val="21"/>
                      <w:highlight w:val="none"/>
                      <w:lang w:val="en-US" w:eastAsia="zh-CN" w:bidi="ar"/>
                    </w:rPr>
                    <w:t>快速上产。到2025年实现年产</w:t>
                  </w:r>
                  <w:r>
                    <w:rPr>
                      <w:rFonts w:hint="eastAsia" w:cs="Times New Roman"/>
                      <w:b w:val="0"/>
                      <w:bCs w:val="0"/>
                      <w:color w:val="auto"/>
                      <w:kern w:val="0"/>
                      <w:sz w:val="21"/>
                      <w:szCs w:val="21"/>
                      <w:highlight w:val="none"/>
                      <w:lang w:val="en-US" w:eastAsia="zh-CN" w:bidi="ar"/>
                    </w:rPr>
                    <w:t>天然气</w:t>
                  </w:r>
                  <w:r>
                    <w:rPr>
                      <w:rFonts w:hint="eastAsia" w:ascii="Times New Roman" w:hAnsi="Times New Roman" w:eastAsia="宋体" w:cs="Times New Roman"/>
                      <w:b w:val="0"/>
                      <w:bCs w:val="0"/>
                      <w:color w:val="auto"/>
                      <w:kern w:val="0"/>
                      <w:sz w:val="21"/>
                      <w:szCs w:val="21"/>
                      <w:highlight w:val="none"/>
                      <w:lang w:val="en-US" w:eastAsia="zh-CN" w:bidi="ar"/>
                    </w:rPr>
                    <w:t>360亿方，石油液体880万吨，产量当量3750万吨。</w:t>
                  </w:r>
                </w:p>
              </w:tc>
              <w:tc>
                <w:tcPr>
                  <w:tcW w:w="1859" w:type="pct"/>
                  <w:noWrap w:val="0"/>
                  <w:vAlign w:val="center"/>
                </w:tcPr>
                <w:p w14:paraId="1ABE72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本项目属于油气勘探项目，为实现油气产量稳中上升和</w:t>
                  </w:r>
                  <w:r>
                    <w:rPr>
                      <w:rFonts w:hint="eastAsia" w:cs="Times New Roman"/>
                      <w:b w:val="0"/>
                      <w:bCs w:val="0"/>
                      <w:color w:val="auto"/>
                      <w:kern w:val="0"/>
                      <w:sz w:val="21"/>
                      <w:szCs w:val="21"/>
                      <w:highlight w:val="none"/>
                      <w:lang w:val="en-US" w:eastAsia="zh-CN" w:bidi="ar"/>
                    </w:rPr>
                    <w:t>天然气</w:t>
                  </w:r>
                  <w:r>
                    <w:rPr>
                      <w:rFonts w:hint="eastAsia" w:ascii="Times New Roman" w:hAnsi="Times New Roman" w:eastAsia="宋体" w:cs="Times New Roman"/>
                      <w:b w:val="0"/>
                      <w:bCs w:val="0"/>
                      <w:color w:val="auto"/>
                      <w:kern w:val="0"/>
                      <w:sz w:val="21"/>
                      <w:szCs w:val="21"/>
                      <w:highlight w:val="none"/>
                      <w:lang w:val="en-US" w:eastAsia="zh-CN" w:bidi="ar"/>
                    </w:rPr>
                    <w:t>快速上产，做好前期勘探准备。符合《塔里木油田“十四五”发展规划》</w:t>
                  </w:r>
                </w:p>
              </w:tc>
              <w:tc>
                <w:tcPr>
                  <w:tcW w:w="335" w:type="pct"/>
                  <w:noWrap w:val="0"/>
                  <w:vAlign w:val="center"/>
                </w:tcPr>
                <w:p w14:paraId="276BF5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r w14:paraId="02B97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862" w:hRule="atLeast"/>
                <w:jc w:val="center"/>
              </w:trPr>
              <w:tc>
                <w:tcPr>
                  <w:tcW w:w="448" w:type="pct"/>
                  <w:vMerge w:val="restart"/>
                  <w:noWrap w:val="0"/>
                  <w:vAlign w:val="center"/>
                </w:tcPr>
                <w:p w14:paraId="2CD53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《塔里木油田“十四五”发展规划环境影响报告书》及审查意见</w:t>
                  </w:r>
                </w:p>
              </w:tc>
              <w:tc>
                <w:tcPr>
                  <w:tcW w:w="2356" w:type="pct"/>
                  <w:noWrap w:val="0"/>
                  <w:vAlign w:val="center"/>
                </w:tcPr>
                <w:p w14:paraId="2DECE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废液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w:t>
                  </w:r>
                </w:p>
                <w:p w14:paraId="537D8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藏注水水质推荐指标及分析方法》（SY/T5329）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1859" w:type="pct"/>
                  <w:noWrap w:val="0"/>
                  <w:vAlign w:val="center"/>
                </w:tcPr>
                <w:p w14:paraId="0ABFAA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本项目不涉及运营期，单口井钻井期测试放喷时间一般为10d，采用放喷管线接至放喷池点火放空，施工活动范围区域开阔，气象扩散条件好，对区域环境空气产生影响可接受。</w:t>
                  </w:r>
                  <w:r>
                    <w:rPr>
                      <w:rFonts w:hint="default" w:ascii="Times New Roman" w:hAnsi="Times New Roman" w:eastAsia="宋体" w:cs="Times New Roman"/>
                      <w:b w:val="0"/>
                      <w:bCs w:val="0"/>
                      <w:color w:val="auto"/>
                      <w:kern w:val="0"/>
                      <w:sz w:val="21"/>
                      <w:szCs w:val="21"/>
                      <w:highlight w:val="none"/>
                      <w:lang w:val="en-US" w:eastAsia="zh-CN" w:bidi="ar"/>
                    </w:rPr>
                    <w:t>酸化</w:t>
                  </w:r>
                  <w:r>
                    <w:rPr>
                      <w:rFonts w:hint="eastAsia" w:ascii="Times New Roman" w:hAnsi="Times New Roman" w:eastAsia="宋体" w:cs="Times New Roman"/>
                      <w:b w:val="0"/>
                      <w:bCs w:val="0"/>
                      <w:color w:val="auto"/>
                      <w:kern w:val="0"/>
                      <w:sz w:val="21"/>
                      <w:szCs w:val="21"/>
                      <w:highlight w:val="none"/>
                      <w:lang w:val="en-US" w:eastAsia="zh-CN" w:bidi="ar"/>
                    </w:rPr>
                    <w:t>压裂返排液采用专用废液收集罐暂存，定期运至新疆腾疆环保科技有限公司处置；生活污水经井场撬装式污水处理装置处理后，水质达到《农村生活污水处理排放标准》（DB654275-2019）表2的B级标准，用于荒漠灌溉；岩屑随钻井泥浆带出，采用泥浆固控系统收集，泥浆排入泥浆罐循环使用，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含油废物、废烧碱包装袋、废防渗材料及废机油在危废贮存点暂存，定期由有处理资质的单位接收妥善处置；含油废物、废烧碱包装袋、废防渗材料及废机油在危废贮存点暂存，定期由有处理资质的单位接收妥善处置；生活垃圾</w:t>
                  </w:r>
                  <w:r>
                    <w:rPr>
                      <w:rFonts w:hint="eastAsia" w:cs="Times New Roman"/>
                      <w:b w:val="0"/>
                      <w:bCs w:val="0"/>
                      <w:color w:val="auto"/>
                      <w:kern w:val="0"/>
                      <w:sz w:val="21"/>
                      <w:szCs w:val="21"/>
                      <w:highlight w:val="none"/>
                      <w:lang w:val="en-US" w:eastAsia="zh-CN" w:bidi="ar"/>
                    </w:rPr>
                    <w:t>交当地垃圾中转站处理</w:t>
                  </w:r>
                </w:p>
              </w:tc>
              <w:tc>
                <w:tcPr>
                  <w:tcW w:w="335" w:type="pct"/>
                  <w:noWrap w:val="0"/>
                  <w:vAlign w:val="center"/>
                </w:tcPr>
                <w:p w14:paraId="74EDAC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r w14:paraId="7F992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48" w:type="pct"/>
                  <w:vMerge w:val="continue"/>
                  <w:noWrap w:val="0"/>
                  <w:vAlign w:val="center"/>
                </w:tcPr>
                <w:p w14:paraId="3ACE9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Times New Roman"/>
                      <w:b w:val="0"/>
                      <w:bCs w:val="0"/>
                      <w:color w:val="auto"/>
                      <w:kern w:val="0"/>
                      <w:sz w:val="21"/>
                      <w:szCs w:val="21"/>
                      <w:highlight w:val="none"/>
                      <w:lang w:val="en-US" w:eastAsia="zh-CN" w:bidi="ar"/>
                    </w:rPr>
                  </w:pPr>
                </w:p>
              </w:tc>
              <w:tc>
                <w:tcPr>
                  <w:tcW w:w="2356" w:type="pct"/>
                  <w:noWrap w:val="0"/>
                  <w:vAlign w:val="center"/>
                </w:tcPr>
                <w:p w14:paraId="7F7C9F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p>
              </w:tc>
              <w:tc>
                <w:tcPr>
                  <w:tcW w:w="1859" w:type="pct"/>
                  <w:noWrap w:val="0"/>
                  <w:vAlign w:val="center"/>
                </w:tcPr>
                <w:p w14:paraId="1786E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严格控制施工作业带，严禁在施工场地外随意行车、乱碾乱压，钻井工作结束后施工单位负责做到工完、料净、场地清，施工结束后及时进行场地平整、恢复，同时报告中提出洒水抑尘、砾石压覆等防沙治沙措施，保证生态功能不退化</w:t>
                  </w:r>
                  <w:r>
                    <w:rPr>
                      <w:rFonts w:hint="eastAsia" w:cs="Times New Roman"/>
                      <w:b w:val="0"/>
                      <w:bCs w:val="0"/>
                      <w:color w:val="auto"/>
                      <w:kern w:val="0"/>
                      <w:sz w:val="21"/>
                      <w:szCs w:val="21"/>
                      <w:highlight w:val="none"/>
                      <w:lang w:val="en-US" w:eastAsia="zh-CN" w:bidi="ar"/>
                    </w:rPr>
                    <w:t>。</w:t>
                  </w:r>
                </w:p>
              </w:tc>
              <w:tc>
                <w:tcPr>
                  <w:tcW w:w="335" w:type="pct"/>
                  <w:noWrap w:val="0"/>
                  <w:vAlign w:val="center"/>
                </w:tcPr>
                <w:p w14:paraId="2E4031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符合</w:t>
                  </w:r>
                </w:p>
              </w:tc>
            </w:tr>
          </w:tbl>
          <w:p w14:paraId="39E6FD0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lang w:val="en-US" w:eastAsia="zh-CN"/>
              </w:rPr>
            </w:pPr>
            <w:r>
              <w:rPr>
                <w:rFonts w:hint="default" w:ascii="Times New Roman" w:hAnsi="Times New Roman" w:eastAsia="宋体" w:cs="Times New Roman"/>
                <w:color w:val="auto"/>
                <w:sz w:val="24"/>
                <w:szCs w:val="24"/>
                <w:highlight w:val="none"/>
                <w:lang w:val="en-US" w:eastAsia="zh-CN"/>
              </w:rPr>
              <w:t>综上所述，本项目符合《塔里木油田“十四五”发展规划》《塔里木油田“十四五”发展规划环境影响报告书》及审查意见中相关要求。</w:t>
            </w:r>
          </w:p>
        </w:tc>
      </w:tr>
      <w:tr w14:paraId="57C52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06" w:hRule="atLeast"/>
          <w:jc w:val="center"/>
        </w:trPr>
        <w:tc>
          <w:tcPr>
            <w:tcW w:w="233" w:type="pct"/>
            <w:noWrap w:val="0"/>
            <w:tcMar>
              <w:top w:w="16" w:type="dxa"/>
              <w:left w:w="16" w:type="dxa"/>
              <w:right w:w="16" w:type="dxa"/>
            </w:tcMar>
            <w:vAlign w:val="center"/>
          </w:tcPr>
          <w:p w14:paraId="11B7B83B">
            <w:pPr>
              <w:autoSpaceDE w:val="0"/>
              <w:autoSpaceDN w:val="0"/>
              <w:adjustRightInd w:val="0"/>
              <w:snapToGrid w:val="0"/>
              <w:jc w:val="center"/>
              <w:rPr>
                <w:rFonts w:hint="default" w:ascii="Times New Roman" w:hAnsi="Times New Roman" w:eastAsia="宋体" w:cs="Times New Roman"/>
                <w:color w:val="auto"/>
                <w:kern w:val="0"/>
                <w:sz w:val="24"/>
                <w:szCs w:val="24"/>
                <w:highlight w:val="none"/>
              </w:rPr>
            </w:pPr>
            <w:bookmarkStart w:id="3" w:name="_Hlk56690880"/>
            <w:r>
              <w:rPr>
                <w:rFonts w:hint="default" w:ascii="Times New Roman" w:hAnsi="Times New Roman" w:eastAsia="宋体" w:cs="Times New Roman"/>
                <w:color w:val="auto"/>
                <w:kern w:val="0"/>
                <w:sz w:val="24"/>
                <w:szCs w:val="24"/>
                <w:highlight w:val="none"/>
              </w:rPr>
              <w:t>其他符合性分析</w:t>
            </w:r>
            <w:bookmarkEnd w:id="3"/>
          </w:p>
        </w:tc>
        <w:tc>
          <w:tcPr>
            <w:tcW w:w="4766" w:type="pct"/>
            <w:gridSpan w:val="5"/>
            <w:noWrap w:val="0"/>
            <w:tcMar>
              <w:top w:w="16" w:type="dxa"/>
              <w:left w:w="16" w:type="dxa"/>
              <w:right w:w="16" w:type="dxa"/>
            </w:tcMar>
            <w:vAlign w:val="top"/>
          </w:tcPr>
          <w:p w14:paraId="1791A21D">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产业政策符合性分析</w:t>
            </w:r>
          </w:p>
          <w:p w14:paraId="5E5CCA9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勘探是当前国民经济的重要基础产业和支柱产业，根据《产业结构调整指导目录（2024年本）》鼓励类中“七、石油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1．石油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开采：常规石油、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勘探与开采，页岩气、页岩油、致密油（气）、油砂、</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水合物等非常规资源勘探开发”。本项目为油气资源勘探项目，符合国家鼓励类的产业政策。</w:t>
            </w:r>
          </w:p>
          <w:p w14:paraId="4109F1E1">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jc w:val="both"/>
              <w:textAlignment w:val="auto"/>
              <w:rPr>
                <w:rFonts w:hint="default" w:ascii="Times New Roman" w:hAnsi="Times New Roman" w:eastAsia="宋体" w:cs="Times New Roman"/>
                <w:b/>
                <w:bCs/>
                <w:color w:val="auto"/>
                <w:kern w:val="0"/>
                <w:sz w:val="24"/>
                <w:szCs w:val="24"/>
                <w:highlight w:val="none"/>
              </w:rPr>
            </w:pP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kern w:val="0"/>
                <w:sz w:val="24"/>
                <w:szCs w:val="24"/>
                <w:highlight w:val="none"/>
              </w:rPr>
              <w:t>与“生态环境分区管控</w:t>
            </w:r>
            <w:r>
              <w:rPr>
                <w:rFonts w:hint="default" w:ascii="Times New Roman" w:hAnsi="Times New Roman" w:eastAsia="宋体" w:cs="Times New Roman"/>
                <w:b/>
                <w:bCs/>
                <w:color w:val="auto"/>
                <w:kern w:val="0"/>
                <w:sz w:val="24"/>
                <w:szCs w:val="24"/>
                <w:highlight w:val="none"/>
                <w:lang w:val="en-US" w:eastAsia="zh-CN"/>
              </w:rPr>
              <w:t>方案</w:t>
            </w:r>
            <w:r>
              <w:rPr>
                <w:rFonts w:hint="default" w:ascii="Times New Roman" w:hAnsi="Times New Roman" w:eastAsia="宋体" w:cs="Times New Roman"/>
                <w:b/>
                <w:bCs/>
                <w:color w:val="auto"/>
                <w:kern w:val="0"/>
                <w:sz w:val="24"/>
                <w:szCs w:val="24"/>
                <w:highlight w:val="none"/>
              </w:rPr>
              <w:t>”的符合性分析</w:t>
            </w:r>
          </w:p>
          <w:p w14:paraId="3908640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位于新疆维吾尔自治区巴音郭楞蒙古自治州</w:t>
            </w:r>
            <w:r>
              <w:rPr>
                <w:rFonts w:hint="eastAsia" w:cs="Times New Roman"/>
                <w:color w:val="auto"/>
                <w:sz w:val="24"/>
                <w:szCs w:val="24"/>
                <w:highlight w:val="none"/>
                <w:lang w:val="en-US" w:eastAsia="zh-CN"/>
              </w:rPr>
              <w:t>若羌</w:t>
            </w:r>
            <w:r>
              <w:rPr>
                <w:rFonts w:hint="default" w:ascii="Times New Roman" w:hAnsi="Times New Roman" w:eastAsia="宋体" w:cs="Times New Roman"/>
                <w:color w:val="auto"/>
                <w:sz w:val="24"/>
                <w:szCs w:val="24"/>
                <w:highlight w:val="none"/>
                <w:lang w:val="en-US" w:eastAsia="zh-CN"/>
              </w:rPr>
              <w:t>县境内，属于天山南坡片区。</w:t>
            </w:r>
          </w:p>
          <w:p w14:paraId="3F74423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202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年</w:t>
            </w:r>
            <w:r>
              <w:rPr>
                <w:rFonts w:hint="default"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lang w:eastAsia="zh-CN"/>
              </w:rPr>
              <w:t>月</w:t>
            </w:r>
            <w:r>
              <w:rPr>
                <w:rFonts w:hint="default" w:ascii="Times New Roman" w:hAnsi="Times New Roman" w:eastAsia="宋体" w:cs="Times New Roman"/>
                <w:color w:val="auto"/>
                <w:sz w:val="24"/>
                <w:szCs w:val="24"/>
                <w:highlight w:val="none"/>
                <w:lang w:val="en-US" w:eastAsia="zh-CN"/>
              </w:rPr>
              <w:t>15日，新疆维吾尔自治区生态环境厅</w:t>
            </w:r>
            <w:r>
              <w:rPr>
                <w:rFonts w:hint="default" w:ascii="Times New Roman" w:hAnsi="Times New Roman" w:eastAsia="宋体" w:cs="Times New Roman"/>
                <w:color w:val="auto"/>
                <w:sz w:val="24"/>
                <w:szCs w:val="24"/>
                <w:highlight w:val="none"/>
                <w:lang w:eastAsia="zh-CN"/>
              </w:rPr>
              <w:t>发布了《</w:t>
            </w:r>
            <w:r>
              <w:rPr>
                <w:rFonts w:hint="default" w:ascii="Times New Roman" w:hAnsi="Times New Roman" w:eastAsia="宋体" w:cs="Times New Roman"/>
                <w:color w:val="auto"/>
                <w:sz w:val="24"/>
                <w:szCs w:val="24"/>
                <w:highlight w:val="none"/>
                <w:lang w:val="en-US" w:eastAsia="zh-CN"/>
              </w:rPr>
              <w:t>关于印发〈新疆维吾尔自治区生态环境分区管控动态更新成果〉的通知</w:t>
            </w:r>
            <w:r>
              <w:rPr>
                <w:rFonts w:hint="default" w:ascii="Times New Roman" w:hAnsi="Times New Roman" w:eastAsia="宋体" w:cs="Times New Roman"/>
                <w:color w:val="auto"/>
                <w:sz w:val="24"/>
                <w:szCs w:val="24"/>
                <w:highlight w:val="none"/>
                <w:lang w:eastAsia="zh-CN"/>
              </w:rPr>
              <w:t>》（新</w:t>
            </w:r>
            <w:r>
              <w:rPr>
                <w:rFonts w:hint="default" w:ascii="Times New Roman" w:hAnsi="Times New Roman" w:eastAsia="宋体" w:cs="Times New Roman"/>
                <w:color w:val="auto"/>
                <w:sz w:val="24"/>
                <w:szCs w:val="24"/>
                <w:highlight w:val="none"/>
                <w:lang w:val="en-US" w:eastAsia="zh-CN"/>
              </w:rPr>
              <w:t>环环评发</w:t>
            </w:r>
            <w:r>
              <w:rPr>
                <w:rFonts w:hint="default" w:ascii="Times New Roman" w:hAnsi="Times New Roman" w:eastAsia="宋体" w:cs="Times New Roman"/>
                <w:color w:val="auto"/>
                <w:sz w:val="24"/>
                <w:szCs w:val="24"/>
                <w:highlight w:val="none"/>
                <w:lang w:eastAsia="zh-CN"/>
              </w:rPr>
              <w:t>〔20</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157</w:t>
            </w:r>
            <w:r>
              <w:rPr>
                <w:rFonts w:hint="default" w:ascii="Times New Roman" w:hAnsi="Times New Roman" w:eastAsia="宋体" w:cs="Times New Roman"/>
                <w:color w:val="auto"/>
                <w:sz w:val="24"/>
                <w:szCs w:val="24"/>
                <w:highlight w:val="none"/>
                <w:lang w:eastAsia="zh-CN"/>
              </w:rPr>
              <w:t>号）。</w:t>
            </w:r>
            <w:r>
              <w:rPr>
                <w:rFonts w:hint="default" w:ascii="Times New Roman" w:hAnsi="Times New Roman" w:eastAsia="宋体" w:cs="Times New Roman"/>
                <w:color w:val="auto"/>
                <w:sz w:val="24"/>
                <w:szCs w:val="24"/>
                <w:highlight w:val="none"/>
                <w:lang w:val="en-US" w:eastAsia="zh-CN"/>
              </w:rPr>
              <w:t>本项目与动态更新成果符合性分析见表1-</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，与天山南坡总体规划符合性分析见表1-</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p>
          <w:p w14:paraId="38002EC9">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val="en-US" w:eastAsia="zh-CN"/>
              </w:rPr>
              <w:t xml:space="preserve">  与新疆维吾尔自治区生态环境分区管控动态更新成果符合性分析一览表</w:t>
            </w: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80"/>
              <w:gridCol w:w="4230"/>
              <w:gridCol w:w="2720"/>
              <w:gridCol w:w="704"/>
            </w:tblGrid>
            <w:tr w14:paraId="70DC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045" w:type="pct"/>
                  <w:gridSpan w:val="3"/>
                  <w:tcBorders>
                    <w:tl2br w:val="nil"/>
                    <w:tr2bl w:val="nil"/>
                  </w:tcBorders>
                  <w:noWrap w:val="0"/>
                  <w:tcMar>
                    <w:top w:w="0" w:type="dxa"/>
                    <w:left w:w="0" w:type="dxa"/>
                    <w:bottom w:w="0" w:type="dxa"/>
                    <w:right w:w="0" w:type="dxa"/>
                  </w:tcMar>
                  <w:vAlign w:val="center"/>
                </w:tcPr>
                <w:p w14:paraId="4F629AB7">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要求</w:t>
                  </w:r>
                </w:p>
              </w:tc>
              <w:tc>
                <w:tcPr>
                  <w:tcW w:w="1552" w:type="pct"/>
                  <w:tcBorders>
                    <w:tl2br w:val="nil"/>
                    <w:tr2bl w:val="nil"/>
                  </w:tcBorders>
                  <w:noWrap w:val="0"/>
                  <w:tcMar>
                    <w:top w:w="0" w:type="dxa"/>
                    <w:left w:w="0" w:type="dxa"/>
                    <w:bottom w:w="0" w:type="dxa"/>
                    <w:right w:w="0" w:type="dxa"/>
                  </w:tcMar>
                  <w:vAlign w:val="center"/>
                </w:tcPr>
                <w:p w14:paraId="74B9F29A">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本项目采取的相关措施</w:t>
                  </w:r>
                </w:p>
              </w:tc>
              <w:tc>
                <w:tcPr>
                  <w:tcW w:w="402" w:type="pct"/>
                  <w:tcBorders>
                    <w:tl2br w:val="nil"/>
                    <w:tr2bl w:val="nil"/>
                  </w:tcBorders>
                  <w:noWrap w:val="0"/>
                  <w:tcMar>
                    <w:top w:w="0" w:type="dxa"/>
                    <w:left w:w="0" w:type="dxa"/>
                    <w:bottom w:w="0" w:type="dxa"/>
                    <w:right w:w="0" w:type="dxa"/>
                  </w:tcMar>
                  <w:vAlign w:val="center"/>
                </w:tcPr>
                <w:p w14:paraId="011A1312">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符合性</w:t>
                  </w:r>
                </w:p>
              </w:tc>
            </w:tr>
            <w:tr w14:paraId="3433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14:paraId="033BFA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生态保护红线</w:t>
                  </w:r>
                </w:p>
              </w:tc>
              <w:tc>
                <w:tcPr>
                  <w:tcW w:w="2413" w:type="pct"/>
                  <w:tcBorders>
                    <w:tl2br w:val="nil"/>
                    <w:tr2bl w:val="nil"/>
                  </w:tcBorders>
                  <w:noWrap w:val="0"/>
                  <w:tcMar>
                    <w:top w:w="0" w:type="dxa"/>
                    <w:left w:w="0" w:type="dxa"/>
                    <w:bottom w:w="0" w:type="dxa"/>
                    <w:right w:w="0" w:type="dxa"/>
                  </w:tcMar>
                  <w:vAlign w:val="center"/>
                </w:tcPr>
                <w:p w14:paraId="5EF07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按照“生态功能不降低、面积不减少、性质不改变”的基本要求，对划定的生态保护红线实施严格管控，保障和维护国家生态安全的底线和生命线</w:t>
                  </w:r>
                </w:p>
              </w:tc>
              <w:tc>
                <w:tcPr>
                  <w:tcW w:w="1552" w:type="pct"/>
                  <w:tcBorders>
                    <w:tl2br w:val="nil"/>
                    <w:tr2bl w:val="nil"/>
                  </w:tcBorders>
                  <w:noWrap w:val="0"/>
                  <w:tcMar>
                    <w:top w:w="0" w:type="dxa"/>
                    <w:left w:w="0" w:type="dxa"/>
                    <w:bottom w:w="0" w:type="dxa"/>
                    <w:right w:w="0" w:type="dxa"/>
                  </w:tcMar>
                  <w:vAlign w:val="center"/>
                </w:tcPr>
                <w:p w14:paraId="21C29E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本项目不在生态保护红线范围内</w:t>
                  </w:r>
                </w:p>
              </w:tc>
              <w:tc>
                <w:tcPr>
                  <w:tcW w:w="402" w:type="pct"/>
                  <w:tcBorders>
                    <w:tl2br w:val="nil"/>
                    <w:tr2bl w:val="nil"/>
                  </w:tcBorders>
                  <w:noWrap w:val="0"/>
                  <w:tcMar>
                    <w:top w:w="0" w:type="dxa"/>
                    <w:left w:w="0" w:type="dxa"/>
                    <w:bottom w:w="0" w:type="dxa"/>
                    <w:right w:w="0" w:type="dxa"/>
                  </w:tcMar>
                  <w:vAlign w:val="center"/>
                </w:tcPr>
                <w:p w14:paraId="28FA2F48">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符合</w:t>
                  </w:r>
                </w:p>
              </w:tc>
            </w:tr>
            <w:tr w14:paraId="0F02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14:paraId="03F5C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环境质量底线</w:t>
                  </w:r>
                </w:p>
              </w:tc>
              <w:tc>
                <w:tcPr>
                  <w:tcW w:w="2413" w:type="pct"/>
                  <w:tcBorders>
                    <w:tl2br w:val="nil"/>
                    <w:tr2bl w:val="nil"/>
                  </w:tcBorders>
                  <w:noWrap w:val="0"/>
                  <w:tcMar>
                    <w:top w:w="0" w:type="dxa"/>
                    <w:left w:w="0" w:type="dxa"/>
                    <w:bottom w:w="0" w:type="dxa"/>
                    <w:right w:w="0" w:type="dxa"/>
                  </w:tcMar>
                  <w:vAlign w:val="center"/>
                </w:tcPr>
                <w:p w14:paraId="367B5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552" w:type="pct"/>
                  <w:tcBorders>
                    <w:tl2br w:val="nil"/>
                    <w:tr2bl w:val="nil"/>
                  </w:tcBorders>
                  <w:noWrap w:val="0"/>
                  <w:tcMar>
                    <w:top w:w="0" w:type="dxa"/>
                    <w:left w:w="0" w:type="dxa"/>
                    <w:bottom w:w="0" w:type="dxa"/>
                    <w:right w:w="0" w:type="dxa"/>
                  </w:tcMar>
                  <w:vAlign w:val="center"/>
                </w:tcPr>
                <w:p w14:paraId="43E1B5E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eastAsia="zh-CN"/>
                    </w:rPr>
                    <w:t>本项目针对各类污染物已采取相应治理和处置措施，污染物能达标排放，在采取相应措施后各类污染物排放均能够满足相关标准要求，符合环境质量底线的要求，不会对环境质量底线产生冲击。</w:t>
                  </w:r>
                </w:p>
              </w:tc>
              <w:tc>
                <w:tcPr>
                  <w:tcW w:w="402" w:type="pct"/>
                  <w:tcBorders>
                    <w:tl2br w:val="nil"/>
                    <w:tr2bl w:val="nil"/>
                  </w:tcBorders>
                  <w:noWrap w:val="0"/>
                  <w:tcMar>
                    <w:top w:w="0" w:type="dxa"/>
                    <w:left w:w="0" w:type="dxa"/>
                    <w:bottom w:w="0" w:type="dxa"/>
                    <w:right w:w="0" w:type="dxa"/>
                  </w:tcMar>
                  <w:vAlign w:val="center"/>
                </w:tcPr>
                <w:p w14:paraId="1466F9C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14:paraId="7B4B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1" w:type="pct"/>
                  <w:gridSpan w:val="2"/>
                  <w:tcBorders>
                    <w:tl2br w:val="nil"/>
                    <w:tr2bl w:val="nil"/>
                  </w:tcBorders>
                  <w:noWrap w:val="0"/>
                  <w:tcMar>
                    <w:top w:w="0" w:type="dxa"/>
                    <w:left w:w="0" w:type="dxa"/>
                    <w:bottom w:w="0" w:type="dxa"/>
                    <w:right w:w="0" w:type="dxa"/>
                  </w:tcMar>
                  <w:vAlign w:val="center"/>
                </w:tcPr>
                <w:p w14:paraId="76CE28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资源利用上限</w:t>
                  </w:r>
                </w:p>
              </w:tc>
              <w:tc>
                <w:tcPr>
                  <w:tcW w:w="2413" w:type="pct"/>
                  <w:tcBorders>
                    <w:tl2br w:val="nil"/>
                    <w:tr2bl w:val="nil"/>
                  </w:tcBorders>
                  <w:noWrap w:val="0"/>
                  <w:tcMar>
                    <w:top w:w="0" w:type="dxa"/>
                    <w:left w:w="0" w:type="dxa"/>
                    <w:bottom w:w="0" w:type="dxa"/>
                    <w:right w:w="0" w:type="dxa"/>
                  </w:tcMar>
                  <w:vAlign w:val="center"/>
                </w:tcPr>
                <w:p w14:paraId="67C8C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强化节约集约利用，持续提升资源能源利用效率，水资源、土地资源、能源消耗等达到国家、自治区下达的总量和强度控制目标。加快区域低碳发展，积极推动乌鲁木齐市、昌吉市、伊宁市、和田市等4个国家级低碳试点城市发挥低碳试点示范和引领作用。</w:t>
                  </w:r>
                </w:p>
              </w:tc>
              <w:tc>
                <w:tcPr>
                  <w:tcW w:w="1552" w:type="pct"/>
                  <w:tcBorders>
                    <w:tl2br w:val="nil"/>
                    <w:tr2bl w:val="nil"/>
                  </w:tcBorders>
                  <w:noWrap w:val="0"/>
                  <w:tcMar>
                    <w:top w:w="0" w:type="dxa"/>
                    <w:left w:w="0" w:type="dxa"/>
                    <w:bottom w:w="0" w:type="dxa"/>
                    <w:right w:w="0" w:type="dxa"/>
                  </w:tcMar>
                  <w:vAlign w:val="center"/>
                </w:tcPr>
                <w:p w14:paraId="558E3E9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eastAsia="zh-CN"/>
                    </w:rPr>
                    <w:t>本项目</w:t>
                  </w:r>
                  <w:r>
                    <w:rPr>
                      <w:rFonts w:hint="default" w:ascii="Times New Roman" w:hAnsi="Times New Roman" w:eastAsia="宋体" w:cs="Times New Roman"/>
                      <w:b w:val="0"/>
                      <w:bCs w:val="0"/>
                      <w:color w:val="auto"/>
                      <w:kern w:val="0"/>
                      <w:sz w:val="21"/>
                      <w:szCs w:val="21"/>
                      <w:highlight w:val="none"/>
                    </w:rPr>
                    <w:t>施工过程中消耗水量</w:t>
                  </w:r>
                  <w:r>
                    <w:rPr>
                      <w:rFonts w:hint="default" w:ascii="Times New Roman" w:hAnsi="Times New Roman" w:eastAsia="宋体" w:cs="Times New Roman"/>
                      <w:b w:val="0"/>
                      <w:bCs w:val="0"/>
                      <w:color w:val="auto"/>
                      <w:kern w:val="0"/>
                      <w:sz w:val="21"/>
                      <w:szCs w:val="21"/>
                      <w:highlight w:val="none"/>
                      <w:lang w:val="en-US" w:eastAsia="zh-CN"/>
                    </w:rPr>
                    <w:t>较少，</w:t>
                  </w:r>
                  <w:r>
                    <w:rPr>
                      <w:rFonts w:hint="default" w:ascii="Times New Roman" w:hAnsi="Times New Roman" w:eastAsia="宋体" w:cs="Times New Roman"/>
                      <w:b w:val="0"/>
                      <w:bCs w:val="0"/>
                      <w:color w:val="auto"/>
                      <w:kern w:val="0"/>
                      <w:sz w:val="21"/>
                      <w:szCs w:val="21"/>
                      <w:highlight w:val="none"/>
                    </w:rPr>
                    <w:t>全为临时占地，占用土地面积较小</w:t>
                  </w:r>
                  <w:r>
                    <w:rPr>
                      <w:rFonts w:hint="default" w:ascii="Times New Roman" w:hAnsi="Times New Roman" w:eastAsia="宋体" w:cs="Times New Roman"/>
                      <w:b w:val="0"/>
                      <w:bCs w:val="0"/>
                      <w:color w:val="auto"/>
                      <w:kern w:val="0"/>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14:paraId="307A33AF">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4485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pct"/>
                  <w:gridSpan w:val="2"/>
                  <w:tcBorders>
                    <w:tl2br w:val="nil"/>
                    <w:tr2bl w:val="nil"/>
                  </w:tcBorders>
                  <w:noWrap w:val="0"/>
                  <w:tcMar>
                    <w:top w:w="0" w:type="dxa"/>
                    <w:left w:w="0" w:type="dxa"/>
                    <w:bottom w:w="0" w:type="dxa"/>
                    <w:right w:w="0" w:type="dxa"/>
                  </w:tcMar>
                  <w:vAlign w:val="center"/>
                </w:tcPr>
                <w:p w14:paraId="0F69F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环境管控单元</w:t>
                  </w:r>
                </w:p>
              </w:tc>
              <w:tc>
                <w:tcPr>
                  <w:tcW w:w="2413" w:type="pct"/>
                  <w:tcBorders>
                    <w:tl2br w:val="nil"/>
                    <w:tr2bl w:val="nil"/>
                  </w:tcBorders>
                  <w:noWrap w:val="0"/>
                  <w:tcMar>
                    <w:top w:w="0" w:type="dxa"/>
                    <w:left w:w="0" w:type="dxa"/>
                    <w:bottom w:w="0" w:type="dxa"/>
                    <w:right w:w="0" w:type="dxa"/>
                  </w:tcMar>
                  <w:vAlign w:val="center"/>
                </w:tcPr>
                <w:p w14:paraId="5CF6B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自治区划定环境管控单元，分为优先保护单元、重点管控单元和一般管控单元三类，实施分类管控。优先保护单元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重点管控单元主要包括城镇建成区、工业园区和开发强度大、污染物排放强度高的工业聚集区等。重点管控单元要着力优化空间布局，不断提升资源利用效率，有针对性地加强污染物排放管控和环境风险管控，解决生态环境质量不达标、生态环境风险高等问题。一般管控单元主要包括优先保护单元和重点管控单元之外的其他区域。一般管控单元主要落实生态环境保护基本要求，推动区域环境质量持续改善</w:t>
                  </w:r>
                </w:p>
              </w:tc>
              <w:tc>
                <w:tcPr>
                  <w:tcW w:w="1552" w:type="pct"/>
                  <w:tcBorders>
                    <w:tl2br w:val="nil"/>
                    <w:tr2bl w:val="nil"/>
                  </w:tcBorders>
                  <w:noWrap w:val="0"/>
                  <w:tcMar>
                    <w:top w:w="0" w:type="dxa"/>
                    <w:left w:w="0" w:type="dxa"/>
                    <w:bottom w:w="0" w:type="dxa"/>
                    <w:right w:w="0" w:type="dxa"/>
                  </w:tcMar>
                  <w:vAlign w:val="center"/>
                </w:tcPr>
                <w:p w14:paraId="09E3686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项目位于若羌县，</w:t>
                  </w:r>
                  <w:r>
                    <w:rPr>
                      <w:rFonts w:hint="default" w:ascii="Times New Roman" w:hAnsi="Times New Roman" w:eastAsia="宋体" w:cs="Times New Roman"/>
                      <w:b w:val="0"/>
                      <w:bCs w:val="0"/>
                      <w:color w:val="auto"/>
                      <w:kern w:val="0"/>
                      <w:sz w:val="21"/>
                      <w:szCs w:val="21"/>
                      <w:highlight w:val="none"/>
                      <w:lang w:eastAsia="zh-CN"/>
                    </w:rPr>
                    <w:t>本项目</w:t>
                  </w:r>
                  <w:r>
                    <w:rPr>
                      <w:rFonts w:hint="default" w:ascii="Times New Roman" w:hAnsi="Times New Roman" w:eastAsia="宋体" w:cs="Times New Roman"/>
                      <w:b w:val="0"/>
                      <w:bCs w:val="0"/>
                      <w:color w:val="auto"/>
                      <w:kern w:val="0"/>
                      <w:sz w:val="21"/>
                      <w:szCs w:val="21"/>
                      <w:highlight w:val="none"/>
                      <w:lang w:val="en-US" w:eastAsia="zh-CN"/>
                    </w:rPr>
                    <w:t>仅涉及施工期，</w:t>
                  </w:r>
                  <w:r>
                    <w:rPr>
                      <w:rFonts w:hint="default" w:ascii="Times New Roman" w:hAnsi="Times New Roman" w:eastAsia="宋体" w:cs="Times New Roman"/>
                      <w:b w:val="0"/>
                      <w:bCs w:val="0"/>
                      <w:color w:val="auto"/>
                      <w:kern w:val="0"/>
                      <w:sz w:val="21"/>
                      <w:szCs w:val="21"/>
                      <w:highlight w:val="none"/>
                    </w:rPr>
                    <w:t>通过采取完善的</w:t>
                  </w:r>
                  <w:r>
                    <w:rPr>
                      <w:rFonts w:hint="default" w:ascii="Times New Roman" w:hAnsi="Times New Roman" w:eastAsia="宋体" w:cs="Times New Roman"/>
                      <w:b w:val="0"/>
                      <w:bCs w:val="0"/>
                      <w:color w:val="auto"/>
                      <w:kern w:val="0"/>
                      <w:sz w:val="21"/>
                      <w:szCs w:val="21"/>
                      <w:highlight w:val="none"/>
                      <w:lang w:val="en-US" w:eastAsia="zh-CN"/>
                    </w:rPr>
                    <w:t>大气</w:t>
                  </w:r>
                  <w:r>
                    <w:rPr>
                      <w:rFonts w:hint="default" w:ascii="Times New Roman" w:hAnsi="Times New Roman" w:eastAsia="宋体" w:cs="Times New Roman"/>
                      <w:b w:val="0"/>
                      <w:bCs w:val="0"/>
                      <w:color w:val="auto"/>
                      <w:kern w:val="0"/>
                      <w:sz w:val="21"/>
                      <w:szCs w:val="21"/>
                      <w:highlight w:val="none"/>
                    </w:rPr>
                    <w:t>污染治理措施，不会对</w:t>
                  </w:r>
                  <w:r>
                    <w:rPr>
                      <w:rFonts w:hint="default" w:ascii="Times New Roman" w:hAnsi="Times New Roman" w:eastAsia="宋体" w:cs="Times New Roman"/>
                      <w:b w:val="0"/>
                      <w:bCs w:val="0"/>
                      <w:color w:val="auto"/>
                      <w:kern w:val="0"/>
                      <w:sz w:val="21"/>
                      <w:szCs w:val="21"/>
                      <w:highlight w:val="none"/>
                      <w:lang w:val="en-US" w:eastAsia="zh-CN"/>
                    </w:rPr>
                    <w:t>项目</w:t>
                  </w:r>
                  <w:r>
                    <w:rPr>
                      <w:rFonts w:hint="default" w:ascii="Times New Roman" w:hAnsi="Times New Roman" w:eastAsia="宋体" w:cs="Times New Roman"/>
                      <w:b w:val="0"/>
                      <w:bCs w:val="0"/>
                      <w:color w:val="auto"/>
                      <w:kern w:val="0"/>
                      <w:sz w:val="21"/>
                      <w:szCs w:val="21"/>
                      <w:highlight w:val="none"/>
                    </w:rPr>
                    <w:t>周围大气环境、地表水环境、声环境、地下水、土壤环境产生明显影响</w:t>
                  </w:r>
                  <w:r>
                    <w:rPr>
                      <w:rFonts w:hint="default" w:ascii="Times New Roman" w:hAnsi="Times New Roman" w:eastAsia="宋体" w:cs="Times New Roman"/>
                      <w:b w:val="0"/>
                      <w:bCs w:val="0"/>
                      <w:color w:val="auto"/>
                      <w:kern w:val="0"/>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14:paraId="6B76D824">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7C54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14:paraId="20F99E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A1空间布局约束</w:t>
                  </w:r>
                </w:p>
              </w:tc>
              <w:tc>
                <w:tcPr>
                  <w:tcW w:w="388" w:type="pct"/>
                  <w:tcBorders>
                    <w:tl2br w:val="nil"/>
                    <w:tr2bl w:val="nil"/>
                  </w:tcBorders>
                  <w:noWrap w:val="0"/>
                  <w:tcMar>
                    <w:top w:w="0" w:type="dxa"/>
                    <w:left w:w="0" w:type="dxa"/>
                    <w:bottom w:w="0" w:type="dxa"/>
                    <w:right w:w="0" w:type="dxa"/>
                  </w:tcMar>
                  <w:vAlign w:val="center"/>
                </w:tcPr>
                <w:p w14:paraId="1D7FA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A1.1禁止开发建设的活动</w:t>
                  </w:r>
                </w:p>
              </w:tc>
              <w:tc>
                <w:tcPr>
                  <w:tcW w:w="2413" w:type="pct"/>
                  <w:tcBorders>
                    <w:tl2br w:val="nil"/>
                    <w:tr2bl w:val="nil"/>
                  </w:tcBorders>
                  <w:noWrap w:val="0"/>
                  <w:tcMar>
                    <w:top w:w="0" w:type="dxa"/>
                    <w:left w:w="0" w:type="dxa"/>
                    <w:bottom w:w="0" w:type="dxa"/>
                    <w:right w:w="0" w:type="dxa"/>
                  </w:tcMar>
                  <w:vAlign w:val="center"/>
                </w:tcPr>
                <w:p w14:paraId="5AAEB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〔A1.1-1〕禁止新建、扩建《产业结构调整指导目录（2024年本）》中淘汰类项目。禁止引入《市场准入负面清单（2022年版）》禁止准入类事项。</w:t>
                  </w:r>
                </w:p>
                <w:p w14:paraId="4AC5EC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〔A1.1-2〕禁止建设不符合国家和自治区环境保护标准的项目。</w:t>
                  </w:r>
                </w:p>
                <w:p w14:paraId="193C82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〔A1.1-3〕禁止在饮用水水源保护区、风景名胜区、自然保护区的核心区和缓冲区、城镇居民区、文化教育科学研究区等人口集中区域以及</w:t>
                  </w:r>
                  <w:r>
                    <w:rPr>
                      <w:rFonts w:hint="default" w:ascii="Times New Roman" w:hAnsi="Times New Roman" w:eastAsia="宋体" w:cs="Times New Roman"/>
                      <w:b w:val="0"/>
                      <w:bCs w:val="0"/>
                      <w:color w:val="auto"/>
                      <w:sz w:val="21"/>
                      <w:szCs w:val="21"/>
                      <w:highlight w:val="none"/>
                      <w:lang w:eastAsia="zh-CN"/>
                    </w:rPr>
                    <w:t>法律法规</w:t>
                  </w:r>
                  <w:r>
                    <w:rPr>
                      <w:rFonts w:hint="default" w:ascii="Times New Roman" w:hAnsi="Times New Roman" w:eastAsia="宋体" w:cs="Times New Roman"/>
                      <w:b w:val="0"/>
                      <w:bCs w:val="0"/>
                      <w:color w:val="auto"/>
                      <w:sz w:val="21"/>
                      <w:szCs w:val="21"/>
                      <w:highlight w:val="none"/>
                    </w:rPr>
                    <w:t>规定的其他禁止养殖区域建设畜禽养殖场、养殖小区。</w:t>
                  </w:r>
                </w:p>
                <w:p w14:paraId="698033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〔A1.1-4〕禁止在水源涵养区、地下水源、饮用水源、自然保护区、风景名胜区、森林公园、重要湿地及人群密集区等生态敏感区域内进行煤炭、石油、</w:t>
                  </w:r>
                  <w:r>
                    <w:rPr>
                      <w:rFonts w:hint="eastAsia" w:cs="Times New Roman"/>
                      <w:b w:val="0"/>
                      <w:bCs w:val="0"/>
                      <w:color w:val="auto"/>
                      <w:sz w:val="21"/>
                      <w:szCs w:val="21"/>
                      <w:highlight w:val="none"/>
                      <w:lang w:eastAsia="zh-CN"/>
                    </w:rPr>
                    <w:t>天然气</w:t>
                  </w:r>
                  <w:r>
                    <w:rPr>
                      <w:rFonts w:hint="default" w:ascii="Times New Roman" w:hAnsi="Times New Roman" w:eastAsia="宋体" w:cs="Times New Roman"/>
                      <w:b w:val="0"/>
                      <w:bCs w:val="0"/>
                      <w:color w:val="auto"/>
                      <w:sz w:val="21"/>
                      <w:szCs w:val="21"/>
                      <w:highlight w:val="none"/>
                    </w:rPr>
                    <w:t>开发。</w:t>
                  </w:r>
                </w:p>
                <w:p w14:paraId="6D6FC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-5〕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w:t>
                  </w:r>
                </w:p>
                <w:p w14:paraId="6007A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552" w:type="pct"/>
                  <w:tcBorders>
                    <w:tl2br w:val="nil"/>
                    <w:tr2bl w:val="nil"/>
                  </w:tcBorders>
                  <w:noWrap w:val="0"/>
                  <w:tcMar>
                    <w:top w:w="0" w:type="dxa"/>
                    <w:left w:w="0" w:type="dxa"/>
                    <w:bottom w:w="0" w:type="dxa"/>
                    <w:right w:w="0" w:type="dxa"/>
                  </w:tcMar>
                  <w:vAlign w:val="center"/>
                </w:tcPr>
                <w:p w14:paraId="61D3B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本项目为油气资源勘探项目，属于“七、石油</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1．石油</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开采：常规石油、</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勘探与开采，页岩气、页岩油、致密油（气）、油砂、</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水合物等非常规资源勘探开发”项目，属于《产业结构调整指导目录（2024年本）》中的鼓励类项目，符合国家当前产业政策要求；不属于《市场准入负面清单（2025年版）》（发改体改规〔2025〕466号）中禁止准入类项目；不属于“三高”项目；项目所在区域不属于国家和自治区大气污染联防联控区域；本项目不处于</w:t>
                  </w:r>
                  <w:r>
                    <w:rPr>
                      <w:rFonts w:hint="default" w:ascii="Times New Roman" w:hAnsi="Times New Roman" w:eastAsia="宋体" w:cs="Times New Roman"/>
                      <w:b w:val="0"/>
                      <w:bCs w:val="0"/>
                      <w:color w:val="auto"/>
                      <w:sz w:val="21"/>
                      <w:szCs w:val="21"/>
                      <w:highlight w:val="none"/>
                    </w:rPr>
                    <w:t>水源涵养区、地下水源、饮用水源、自然保护区、风景名胜区、森林公园、重要湿地及人群密集区等生态</w:t>
                  </w:r>
                  <w:r>
                    <w:rPr>
                      <w:rFonts w:hint="default" w:ascii="Times New Roman" w:hAnsi="Times New Roman" w:eastAsia="宋体" w:cs="Times New Roman"/>
                      <w:b w:val="0"/>
                      <w:bCs w:val="0"/>
                      <w:color w:val="auto"/>
                      <w:sz w:val="21"/>
                      <w:szCs w:val="21"/>
                      <w:highlight w:val="none"/>
                      <w:lang w:eastAsia="zh-CN"/>
                    </w:rPr>
                    <w:t>敏感区域。</w:t>
                  </w:r>
                </w:p>
              </w:tc>
              <w:tc>
                <w:tcPr>
                  <w:tcW w:w="402" w:type="pct"/>
                  <w:tcBorders>
                    <w:tl2br w:val="nil"/>
                    <w:tr2bl w:val="nil"/>
                  </w:tcBorders>
                  <w:noWrap w:val="0"/>
                  <w:tcMar>
                    <w:top w:w="0" w:type="dxa"/>
                    <w:left w:w="0" w:type="dxa"/>
                    <w:bottom w:w="0" w:type="dxa"/>
                    <w:right w:w="0" w:type="dxa"/>
                  </w:tcMar>
                  <w:vAlign w:val="center"/>
                </w:tcPr>
                <w:p w14:paraId="37F2E718">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3A79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13FCF926">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0B39FD0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A1.2限制开发建设的活动</w:t>
                  </w:r>
                </w:p>
              </w:tc>
              <w:tc>
                <w:tcPr>
                  <w:tcW w:w="2413" w:type="pct"/>
                  <w:tcBorders>
                    <w:tl2br w:val="nil"/>
                    <w:tr2bl w:val="nil"/>
                  </w:tcBorders>
                  <w:noWrap w:val="0"/>
                  <w:tcMar>
                    <w:top w:w="0" w:type="dxa"/>
                    <w:left w:w="0" w:type="dxa"/>
                    <w:bottom w:w="0" w:type="dxa"/>
                    <w:right w:w="0" w:type="dxa"/>
                  </w:tcMar>
                  <w:vAlign w:val="center"/>
                </w:tcPr>
                <w:p w14:paraId="6883B4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-1〕严格控制缺水地区、水污染严重区域和敏感区域高耗水、高污染行业发展。〔A1.2-2〕建设项目用地原则上不得占用永久基本农田，确需占用永久基本农田的建设项目须符合《基本农田保护条例》中相关要求，占用耕地、林地或草地的建设项目须按照国家、自治区相关补偿要求进行补偿。</w:t>
                  </w:r>
                </w:p>
                <w:p w14:paraId="56E83C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〔A1.2-3〕以用途变更为住宅、公共管理与公共服务用地的地块为重点，严格建设用地准入管理和风险管控，未依法完成土壤污染状况调查或风险评估的地块，不得开工建设与风险管控和修复无关的项目。</w:t>
                  </w:r>
                </w:p>
                <w:p w14:paraId="74B8E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〔A1.2-4〕严格控制建设项目占用湿地。因国家和自治区重点建设工程、基础设施建设，以及重点公益性项目建设，确需占用湿地的，应当按照有关</w:t>
                  </w:r>
                  <w:r>
                    <w:rPr>
                      <w:rFonts w:hint="default" w:ascii="Times New Roman" w:hAnsi="Times New Roman" w:eastAsia="宋体" w:cs="Times New Roman"/>
                      <w:b w:val="0"/>
                      <w:bCs w:val="0"/>
                      <w:color w:val="auto"/>
                      <w:sz w:val="21"/>
                      <w:szCs w:val="21"/>
                      <w:highlight w:val="none"/>
                      <w:lang w:eastAsia="zh-CN"/>
                    </w:rPr>
                    <w:t>法律法规</w:t>
                  </w:r>
                  <w:r>
                    <w:rPr>
                      <w:rFonts w:hint="default" w:ascii="Times New Roman" w:hAnsi="Times New Roman" w:eastAsia="宋体" w:cs="Times New Roman"/>
                      <w:b w:val="0"/>
                      <w:bCs w:val="0"/>
                      <w:color w:val="auto"/>
                      <w:sz w:val="21"/>
                      <w:szCs w:val="21"/>
                      <w:highlight w:val="none"/>
                    </w:rPr>
                    <w:t>规定的权限和程序办理批准手续。</w:t>
                  </w:r>
                </w:p>
                <w:p w14:paraId="74644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〔A1.2-5〕严格管控自然保护地范围内非生态活动，稳妥推进核心区内居民、耕地有序退出，矿权依法依规退出。</w:t>
                  </w:r>
                </w:p>
              </w:tc>
              <w:tc>
                <w:tcPr>
                  <w:tcW w:w="1552" w:type="pct"/>
                  <w:tcBorders>
                    <w:tl2br w:val="nil"/>
                    <w:tr2bl w:val="nil"/>
                  </w:tcBorders>
                  <w:noWrap w:val="0"/>
                  <w:tcMar>
                    <w:top w:w="0" w:type="dxa"/>
                    <w:left w:w="0" w:type="dxa"/>
                    <w:bottom w:w="0" w:type="dxa"/>
                    <w:right w:w="0" w:type="dxa"/>
                  </w:tcMar>
                  <w:vAlign w:val="center"/>
                </w:tcPr>
                <w:p w14:paraId="042D39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本项目不占用永久基本农田；不占用湿地；不涉及自然保护地</w:t>
                  </w:r>
                  <w:r>
                    <w:rPr>
                      <w:rFonts w:hint="default" w:ascii="Times New Roman" w:hAnsi="Times New Roman" w:eastAsia="宋体" w:cs="Times New Roman"/>
                      <w:b w:val="0"/>
                      <w:bCs w:val="0"/>
                      <w:lang w:eastAsia="zh-CN"/>
                    </w:rPr>
                    <w:t>。</w:t>
                  </w:r>
                </w:p>
              </w:tc>
              <w:tc>
                <w:tcPr>
                  <w:tcW w:w="402" w:type="pct"/>
                  <w:tcBorders>
                    <w:tl2br w:val="nil"/>
                    <w:tr2bl w:val="nil"/>
                  </w:tcBorders>
                  <w:noWrap w:val="0"/>
                  <w:tcMar>
                    <w:top w:w="0" w:type="dxa"/>
                    <w:left w:w="0" w:type="dxa"/>
                    <w:bottom w:w="0" w:type="dxa"/>
                    <w:right w:w="0" w:type="dxa"/>
                  </w:tcMar>
                  <w:vAlign w:val="center"/>
                </w:tcPr>
                <w:p w14:paraId="6F1E7B14">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符合</w:t>
                  </w:r>
                </w:p>
              </w:tc>
            </w:tr>
            <w:tr w14:paraId="1886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59E8FADB">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59412C13">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A1.3不符合空间布局要求活动的退出要求</w:t>
                  </w:r>
                </w:p>
              </w:tc>
              <w:tc>
                <w:tcPr>
                  <w:tcW w:w="2413" w:type="pct"/>
                  <w:tcBorders>
                    <w:tl2br w:val="nil"/>
                    <w:tr2bl w:val="nil"/>
                  </w:tcBorders>
                  <w:noWrap w:val="0"/>
                  <w:tcMar>
                    <w:top w:w="0" w:type="dxa"/>
                    <w:left w:w="0" w:type="dxa"/>
                    <w:bottom w:w="0" w:type="dxa"/>
                    <w:right w:w="0" w:type="dxa"/>
                  </w:tcMar>
                  <w:vAlign w:val="center"/>
                </w:tcPr>
                <w:p w14:paraId="1397E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〔A1.3-1〕任何单位和个人不得在水源涵养区、饮用水水源保护区内和河流、湖泊、水库周围建设重化工、涉重金属等工业污染项目；对已建成的工业污染项目，当地人民政府应当组织限期搬迁。</w:t>
                  </w:r>
                </w:p>
                <w:p w14:paraId="6B6140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〔A1.3-2〕对不符合国家产业政策、严重污染水环境的生产项目全部予以取缔。</w:t>
                  </w:r>
                </w:p>
                <w:p w14:paraId="76BC2B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〔A1.3-3〕根据《产业结构调整指导目录》《限期淘汰产生严重污染环境的工业固体废物的落后生产工艺设备名录》等要求，配合有关部门依法淘汰烧结</w:t>
                  </w:r>
                  <w:r>
                    <w:rPr>
                      <w:rFonts w:hint="default" w:ascii="Times New Roman" w:hAnsi="Times New Roman" w:eastAsia="宋体" w:cs="Times New Roman"/>
                      <w:b w:val="0"/>
                      <w:bCs w:val="0"/>
                      <w:color w:val="auto"/>
                      <w:sz w:val="21"/>
                      <w:szCs w:val="21"/>
                      <w:highlight w:val="none"/>
                      <w:lang w:eastAsia="zh-CN"/>
                    </w:rPr>
                    <w:t>－鼓风炉</w:t>
                  </w:r>
                  <w:r>
                    <w:rPr>
                      <w:rFonts w:hint="default" w:ascii="Times New Roman" w:hAnsi="Times New Roman" w:eastAsia="宋体" w:cs="Times New Roman"/>
                      <w:b w:val="0"/>
                      <w:bCs w:val="0"/>
                      <w:color w:val="auto"/>
                      <w:sz w:val="21"/>
                      <w:szCs w:val="21"/>
                      <w:highlight w:val="none"/>
                    </w:rPr>
                    <w:t>炼铅等涉重金属落后产能和化解过剩产能。严格执行生态环境保护等相关法规标准，推动经整改仍达不到要求的产能依法依规关闭退出。</w:t>
                  </w:r>
                </w:p>
                <w:p w14:paraId="6C6E05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〔A1.3-4〕城市建成区、重点流域内已建成投产化工企业和危险化学品生产企业应加快退城入园，搬入化工园区前企业不应实施改扩建工程扩大生产规模。</w:t>
                  </w:r>
                </w:p>
              </w:tc>
              <w:tc>
                <w:tcPr>
                  <w:tcW w:w="1552" w:type="pct"/>
                  <w:tcBorders>
                    <w:tl2br w:val="nil"/>
                    <w:tr2bl w:val="nil"/>
                  </w:tcBorders>
                  <w:noWrap w:val="0"/>
                  <w:tcMar>
                    <w:top w:w="0" w:type="dxa"/>
                    <w:left w:w="0" w:type="dxa"/>
                    <w:bottom w:w="0" w:type="dxa"/>
                    <w:right w:w="0" w:type="dxa"/>
                  </w:tcMar>
                  <w:vAlign w:val="center"/>
                </w:tcPr>
                <w:p w14:paraId="08E082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本项目属于油气资源勘探项目，不属于重化工、重金属等工业污染项目。本项目不涉及</w:t>
                  </w:r>
                  <w:r>
                    <w:rPr>
                      <w:rFonts w:hint="default" w:ascii="Times New Roman" w:hAnsi="Times New Roman" w:eastAsia="宋体" w:cs="Times New Roman"/>
                      <w:b w:val="0"/>
                      <w:bCs w:val="0"/>
                      <w:color w:val="auto"/>
                      <w:sz w:val="21"/>
                      <w:szCs w:val="21"/>
                      <w:highlight w:val="none"/>
                    </w:rPr>
                    <w:t>水源涵养区、饮用水水源保护区</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kern w:val="0"/>
                      <w:sz w:val="21"/>
                      <w:szCs w:val="21"/>
                      <w:highlight w:val="none"/>
                      <w:lang w:val="en-US" w:eastAsia="zh-CN" w:bidi="ar"/>
                    </w:rPr>
                    <w:t>符合国家产业政策，为鼓励类项目。</w:t>
                  </w:r>
                </w:p>
              </w:tc>
              <w:tc>
                <w:tcPr>
                  <w:tcW w:w="402" w:type="pct"/>
                  <w:tcBorders>
                    <w:tl2br w:val="nil"/>
                    <w:tr2bl w:val="nil"/>
                  </w:tcBorders>
                  <w:noWrap w:val="0"/>
                  <w:tcMar>
                    <w:top w:w="0" w:type="dxa"/>
                    <w:left w:w="0" w:type="dxa"/>
                    <w:bottom w:w="0" w:type="dxa"/>
                    <w:right w:w="0" w:type="dxa"/>
                  </w:tcMar>
                  <w:vAlign w:val="center"/>
                </w:tcPr>
                <w:p w14:paraId="5ED32CB3">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14:paraId="7027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6ED4998F">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1E1929CC">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w:t>
                  </w:r>
                  <w:r>
                    <w:rPr>
                      <w:rFonts w:hint="default" w:ascii="Times New Roman" w:hAnsi="Times New Roman" w:eastAsia="宋体" w:cs="Times New Roman"/>
                      <w:b w:val="0"/>
                      <w:bCs w:val="0"/>
                      <w:color w:val="auto"/>
                      <w:sz w:val="21"/>
                      <w:szCs w:val="21"/>
                      <w:highlight w:val="none"/>
                      <w:lang w:eastAsia="zh-CN"/>
                    </w:rPr>
                    <w:t>其他</w:t>
                  </w:r>
                  <w:r>
                    <w:rPr>
                      <w:rFonts w:hint="default" w:ascii="Times New Roman" w:hAnsi="Times New Roman" w:eastAsia="宋体" w:cs="Times New Roman"/>
                      <w:b w:val="0"/>
                      <w:bCs w:val="0"/>
                      <w:color w:val="auto"/>
                      <w:sz w:val="21"/>
                      <w:szCs w:val="21"/>
                      <w:highlight w:val="none"/>
                    </w:rPr>
                    <w:t>布局要求</w:t>
                  </w:r>
                </w:p>
              </w:tc>
              <w:tc>
                <w:tcPr>
                  <w:tcW w:w="2413" w:type="pct"/>
                  <w:tcBorders>
                    <w:tl2br w:val="nil"/>
                    <w:tr2bl w:val="nil"/>
                  </w:tcBorders>
                  <w:noWrap w:val="0"/>
                  <w:tcMar>
                    <w:top w:w="0" w:type="dxa"/>
                    <w:left w:w="0" w:type="dxa"/>
                    <w:bottom w:w="0" w:type="dxa"/>
                    <w:right w:w="0" w:type="dxa"/>
                  </w:tcMar>
                  <w:vAlign w:val="center"/>
                </w:tcPr>
                <w:p w14:paraId="58038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p w14:paraId="3DB51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〔A1.4-2〕新建、扩建石化、化工、焦化、有色金属冶炼、平板玻璃项目应布设在依法合规设立并经规划环评的产业园区。</w:t>
                  </w:r>
                </w:p>
                <w:p w14:paraId="10E3EB3C">
                  <w:pPr>
                    <w:pStyle w:val="15"/>
                    <w:keepNext w:val="0"/>
                    <w:keepLines w:val="0"/>
                    <w:widowControl/>
                    <w:suppressLineNumbers w:val="0"/>
                    <w:spacing w:before="0" w:beforeAutospacing="0" w:after="0" w:afterAutospacing="0"/>
                    <w:ind w:left="0" w:leftChars="0" w:right="0" w:firstLine="0" w:firstLineChars="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552" w:type="pct"/>
                  <w:tcBorders>
                    <w:tl2br w:val="nil"/>
                    <w:tr2bl w:val="nil"/>
                  </w:tcBorders>
                  <w:noWrap w:val="0"/>
                  <w:tcMar>
                    <w:top w:w="0" w:type="dxa"/>
                    <w:left w:w="0" w:type="dxa"/>
                    <w:bottom w:w="0" w:type="dxa"/>
                    <w:right w:w="0" w:type="dxa"/>
                  </w:tcMar>
                  <w:vAlign w:val="center"/>
                </w:tcPr>
                <w:p w14:paraId="7A91B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本项目符合</w:t>
                  </w:r>
                  <w:r>
                    <w:rPr>
                      <w:rFonts w:hint="default" w:ascii="Times New Roman" w:hAnsi="Times New Roman" w:eastAsia="宋体" w:cs="Times New Roman"/>
                      <w:b w:val="0"/>
                      <w:bCs w:val="0"/>
                      <w:color w:val="auto"/>
                      <w:sz w:val="21"/>
                      <w:szCs w:val="21"/>
                      <w:highlight w:val="none"/>
                    </w:rPr>
                    <w:t>国家、自治区主体功能区规划、生态环境功能区划、国民经济发展规划、产业发展规划、国土空间规划</w:t>
                  </w:r>
                </w:p>
              </w:tc>
              <w:tc>
                <w:tcPr>
                  <w:tcW w:w="402" w:type="pct"/>
                  <w:tcBorders>
                    <w:tl2br w:val="nil"/>
                    <w:tr2bl w:val="nil"/>
                  </w:tcBorders>
                  <w:noWrap w:val="0"/>
                  <w:tcMar>
                    <w:top w:w="0" w:type="dxa"/>
                    <w:left w:w="0" w:type="dxa"/>
                    <w:bottom w:w="0" w:type="dxa"/>
                    <w:right w:w="0" w:type="dxa"/>
                  </w:tcMar>
                  <w:vAlign w:val="center"/>
                </w:tcPr>
                <w:p w14:paraId="323DFD2F">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r w14:paraId="2B7D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14:paraId="5D2F2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A2污染物排放管控</w:t>
                  </w:r>
                </w:p>
              </w:tc>
              <w:tc>
                <w:tcPr>
                  <w:tcW w:w="388" w:type="pct"/>
                  <w:vMerge w:val="restart"/>
                  <w:tcBorders>
                    <w:tl2br w:val="nil"/>
                    <w:tr2bl w:val="nil"/>
                  </w:tcBorders>
                  <w:noWrap w:val="0"/>
                  <w:tcMar>
                    <w:top w:w="0" w:type="dxa"/>
                    <w:left w:w="0" w:type="dxa"/>
                    <w:bottom w:w="0" w:type="dxa"/>
                    <w:right w:w="0" w:type="dxa"/>
                  </w:tcMar>
                  <w:vAlign w:val="center"/>
                </w:tcPr>
                <w:p w14:paraId="02AF8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A2.1污染物削减/替代要求</w:t>
                  </w:r>
                </w:p>
              </w:tc>
              <w:tc>
                <w:tcPr>
                  <w:tcW w:w="2413" w:type="pct"/>
                  <w:tcBorders>
                    <w:tl2br w:val="nil"/>
                    <w:tr2bl w:val="nil"/>
                  </w:tcBorders>
                  <w:noWrap w:val="0"/>
                  <w:tcMar>
                    <w:top w:w="0" w:type="dxa"/>
                    <w:left w:w="0" w:type="dxa"/>
                    <w:bottom w:w="0" w:type="dxa"/>
                    <w:right w:w="0" w:type="dxa"/>
                  </w:tcMar>
                  <w:vAlign w:val="center"/>
                </w:tcPr>
                <w:p w14:paraId="661202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2.1-1〕新、改、扩建重点行业建设项目应符合“三线一单”、产业政策、区域环评、规划环评和行业环境准入管控要求。重点区域的新、改、扩建重点行业建设项目应遵循重点重金属污染物排放“减量替代”原则。</w:t>
                  </w:r>
                </w:p>
              </w:tc>
              <w:tc>
                <w:tcPr>
                  <w:tcW w:w="1552" w:type="pct"/>
                  <w:tcBorders>
                    <w:tl2br w:val="nil"/>
                    <w:tr2bl w:val="nil"/>
                  </w:tcBorders>
                  <w:noWrap w:val="0"/>
                  <w:tcMar>
                    <w:top w:w="0" w:type="dxa"/>
                    <w:left w:w="0" w:type="dxa"/>
                    <w:bottom w:w="0" w:type="dxa"/>
                    <w:right w:w="0" w:type="dxa"/>
                  </w:tcMar>
                  <w:vAlign w:val="center"/>
                </w:tcPr>
                <w:p w14:paraId="4E036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本项目无运营期，符合自治区</w:t>
                  </w:r>
                  <w:r>
                    <w:rPr>
                      <w:rFonts w:hint="default" w:ascii="Times New Roman" w:hAnsi="Times New Roman" w:eastAsia="宋体" w:cs="Times New Roman"/>
                      <w:b w:val="0"/>
                      <w:bCs w:val="0"/>
                      <w:color w:val="auto"/>
                      <w:sz w:val="21"/>
                      <w:szCs w:val="21"/>
                      <w:highlight w:val="none"/>
                    </w:rPr>
                    <w:t>产业政策、区域环评、规划环评和行业环境准入管控要求</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kern w:val="0"/>
                      <w:sz w:val="21"/>
                      <w:szCs w:val="21"/>
                      <w:highlight w:val="none"/>
                      <w:lang w:val="en-US" w:eastAsia="zh-CN" w:bidi="ar"/>
                    </w:rPr>
                    <w:t>本项目属于常规石油、</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勘探项目</w:t>
                  </w:r>
                  <w:r>
                    <w:rPr>
                      <w:rFonts w:hint="default" w:ascii="Times New Roman" w:hAnsi="Times New Roman" w:eastAsia="宋体" w:cs="Times New Roman"/>
                      <w:b w:val="0"/>
                      <w:bCs w:val="0"/>
                      <w:color w:val="auto"/>
                      <w:sz w:val="21"/>
                      <w:szCs w:val="21"/>
                      <w:highlight w:val="none"/>
                    </w:rPr>
                    <w:t>。</w:t>
                  </w:r>
                </w:p>
              </w:tc>
              <w:tc>
                <w:tcPr>
                  <w:tcW w:w="402" w:type="pct"/>
                  <w:tcBorders>
                    <w:tl2br w:val="nil"/>
                    <w:tr2bl w:val="nil"/>
                  </w:tcBorders>
                  <w:noWrap w:val="0"/>
                  <w:tcMar>
                    <w:top w:w="0" w:type="dxa"/>
                    <w:left w:w="0" w:type="dxa"/>
                    <w:bottom w:w="0" w:type="dxa"/>
                    <w:right w:w="0" w:type="dxa"/>
                  </w:tcMar>
                  <w:vAlign w:val="center"/>
                </w:tcPr>
                <w:p w14:paraId="573C23A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7677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33432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p>
              </w:tc>
              <w:tc>
                <w:tcPr>
                  <w:tcW w:w="388" w:type="pct"/>
                  <w:vMerge w:val="continue"/>
                  <w:tcBorders>
                    <w:tl2br w:val="nil"/>
                    <w:tr2bl w:val="nil"/>
                  </w:tcBorders>
                  <w:noWrap w:val="0"/>
                  <w:tcMar>
                    <w:top w:w="0" w:type="dxa"/>
                    <w:left w:w="0" w:type="dxa"/>
                    <w:bottom w:w="0" w:type="dxa"/>
                    <w:right w:w="0" w:type="dxa"/>
                  </w:tcMar>
                  <w:vAlign w:val="center"/>
                </w:tcPr>
                <w:p w14:paraId="4A362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p>
              </w:tc>
              <w:tc>
                <w:tcPr>
                  <w:tcW w:w="2413" w:type="pct"/>
                  <w:tcBorders>
                    <w:tl2br w:val="nil"/>
                    <w:tr2bl w:val="nil"/>
                  </w:tcBorders>
                  <w:noWrap w:val="0"/>
                  <w:tcMar>
                    <w:top w:w="0" w:type="dxa"/>
                    <w:left w:w="0" w:type="dxa"/>
                    <w:bottom w:w="0" w:type="dxa"/>
                    <w:right w:w="0" w:type="dxa"/>
                  </w:tcMar>
                  <w:vAlign w:val="center"/>
                </w:tcPr>
                <w:p w14:paraId="1DAE7E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〔A2.1-2〕</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〔A2.1-4〕</w:t>
                  </w:r>
                </w:p>
              </w:tc>
              <w:tc>
                <w:tcPr>
                  <w:tcW w:w="1552" w:type="pct"/>
                  <w:tcBorders>
                    <w:tl2br w:val="nil"/>
                    <w:tr2bl w:val="nil"/>
                  </w:tcBorders>
                  <w:noWrap w:val="0"/>
                  <w:tcMar>
                    <w:top w:w="0" w:type="dxa"/>
                    <w:left w:w="0" w:type="dxa"/>
                    <w:bottom w:w="0" w:type="dxa"/>
                    <w:right w:w="0" w:type="dxa"/>
                  </w:tcMar>
                  <w:vAlign w:val="center"/>
                </w:tcPr>
                <w:p w14:paraId="0B47B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14:paraId="1EF05B8D">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14:paraId="484B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303F7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bookmarkStart w:id="4" w:name="OLE_LINK18" w:colFirst="4" w:colLast="5"/>
                </w:p>
              </w:tc>
              <w:tc>
                <w:tcPr>
                  <w:tcW w:w="388" w:type="pct"/>
                  <w:vMerge w:val="restart"/>
                  <w:tcBorders>
                    <w:tl2br w:val="nil"/>
                    <w:tr2bl w:val="nil"/>
                  </w:tcBorders>
                  <w:noWrap w:val="0"/>
                  <w:tcMar>
                    <w:top w:w="0" w:type="dxa"/>
                    <w:left w:w="0" w:type="dxa"/>
                    <w:bottom w:w="0" w:type="dxa"/>
                    <w:right w:w="0" w:type="dxa"/>
                  </w:tcMar>
                  <w:vAlign w:val="center"/>
                </w:tcPr>
                <w:p w14:paraId="0E91A057">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w:t>
                  </w:r>
                  <w:r>
                    <w:rPr>
                      <w:rFonts w:hint="default"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rPr>
                    <w:t>污染控制措施要求</w:t>
                  </w:r>
                </w:p>
              </w:tc>
              <w:tc>
                <w:tcPr>
                  <w:tcW w:w="2413" w:type="pct"/>
                  <w:tcBorders>
                    <w:tl2br w:val="nil"/>
                    <w:tr2bl w:val="nil"/>
                  </w:tcBorders>
                  <w:noWrap w:val="0"/>
                  <w:tcMar>
                    <w:top w:w="0" w:type="dxa"/>
                    <w:left w:w="0" w:type="dxa"/>
                    <w:bottom w:w="0" w:type="dxa"/>
                    <w:right w:w="0" w:type="dxa"/>
                  </w:tcMar>
                  <w:vAlign w:val="center"/>
                </w:tcPr>
                <w:p w14:paraId="17735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〔A2.2-1〕</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〔A2.2-3〕</w:t>
                  </w:r>
                </w:p>
              </w:tc>
              <w:tc>
                <w:tcPr>
                  <w:tcW w:w="1552" w:type="pct"/>
                  <w:tcBorders>
                    <w:tl2br w:val="nil"/>
                    <w:tr2bl w:val="nil"/>
                  </w:tcBorders>
                  <w:noWrap w:val="0"/>
                  <w:tcMar>
                    <w:top w:w="0" w:type="dxa"/>
                    <w:left w:w="0" w:type="dxa"/>
                    <w:bottom w:w="0" w:type="dxa"/>
                    <w:right w:w="0" w:type="dxa"/>
                  </w:tcMar>
                  <w:vAlign w:val="center"/>
                </w:tcPr>
                <w:p w14:paraId="34548E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14:paraId="64D91CF8">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w:t>
                  </w:r>
                </w:p>
              </w:tc>
            </w:tr>
            <w:bookmarkEnd w:id="4"/>
            <w:tr w14:paraId="4815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5EC1F044">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vMerge w:val="continue"/>
                  <w:tcBorders>
                    <w:tl2br w:val="nil"/>
                    <w:tr2bl w:val="nil"/>
                  </w:tcBorders>
                  <w:noWrap w:val="0"/>
                  <w:tcMar>
                    <w:top w:w="0" w:type="dxa"/>
                    <w:left w:w="0" w:type="dxa"/>
                    <w:bottom w:w="0" w:type="dxa"/>
                    <w:right w:w="0" w:type="dxa"/>
                  </w:tcMar>
                  <w:vAlign w:val="center"/>
                </w:tcPr>
                <w:p w14:paraId="25FED66C">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2413" w:type="pct"/>
                  <w:tcBorders>
                    <w:tl2br w:val="nil"/>
                    <w:tr2bl w:val="nil"/>
                  </w:tcBorders>
                  <w:noWrap w:val="0"/>
                  <w:tcMar>
                    <w:top w:w="0" w:type="dxa"/>
                    <w:left w:w="0" w:type="dxa"/>
                    <w:bottom w:w="0" w:type="dxa"/>
                    <w:right w:w="0" w:type="dxa"/>
                  </w:tcMar>
                  <w:vAlign w:val="center"/>
                </w:tcPr>
                <w:p w14:paraId="21692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〔A2.2-4〕强化用水定额管理。推进地下水超采综合治理。开展河湖生态流量（水量）确定工作，强化生态用水保障。</w:t>
                  </w:r>
                </w:p>
                <w:p w14:paraId="64AA97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p w14:paraId="02404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552" w:type="pct"/>
                  <w:tcBorders>
                    <w:tl2br w:val="nil"/>
                    <w:tr2bl w:val="nil"/>
                  </w:tcBorders>
                  <w:noWrap w:val="0"/>
                  <w:tcMar>
                    <w:top w:w="0" w:type="dxa"/>
                    <w:left w:w="0" w:type="dxa"/>
                    <w:bottom w:w="0" w:type="dxa"/>
                    <w:right w:w="0" w:type="dxa"/>
                  </w:tcMar>
                  <w:vAlign w:val="center"/>
                </w:tcPr>
                <w:p w14:paraId="1637B2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本项目不涉及伊犁河流域、额尔齐斯河流域、博斯腾湖流域、额敏河流域等敏感区域；本项目采取防渗等措施不会对周边地表水造成污染；本项目为常规石油、</w:t>
                  </w:r>
                  <w:r>
                    <w:rPr>
                      <w:rFonts w:hint="eastAsia" w:cs="Times New Roman"/>
                      <w:b w:val="0"/>
                      <w:bCs w:val="0"/>
                      <w:color w:val="auto"/>
                      <w:kern w:val="0"/>
                      <w:sz w:val="21"/>
                      <w:szCs w:val="21"/>
                      <w:highlight w:val="none"/>
                      <w:lang w:val="en-US" w:eastAsia="zh-CN" w:bidi="ar"/>
                    </w:rPr>
                    <w:t>天然气</w:t>
                  </w:r>
                  <w:r>
                    <w:rPr>
                      <w:rFonts w:hint="default" w:ascii="Times New Roman" w:hAnsi="Times New Roman" w:eastAsia="宋体" w:cs="Times New Roman"/>
                      <w:b w:val="0"/>
                      <w:bCs w:val="0"/>
                      <w:color w:val="auto"/>
                      <w:kern w:val="0"/>
                      <w:sz w:val="21"/>
                      <w:szCs w:val="21"/>
                      <w:highlight w:val="none"/>
                      <w:lang w:val="en-US" w:eastAsia="zh-CN" w:bidi="ar"/>
                    </w:rPr>
                    <w:t>勘探项目，本项目无历史遗留污染场地；本项目不涉及种植业。</w:t>
                  </w:r>
                </w:p>
              </w:tc>
              <w:tc>
                <w:tcPr>
                  <w:tcW w:w="402" w:type="pct"/>
                  <w:tcBorders>
                    <w:tl2br w:val="nil"/>
                    <w:tr2bl w:val="nil"/>
                  </w:tcBorders>
                  <w:noWrap w:val="0"/>
                  <w:tcMar>
                    <w:top w:w="0" w:type="dxa"/>
                    <w:left w:w="0" w:type="dxa"/>
                    <w:bottom w:w="0" w:type="dxa"/>
                    <w:right w:w="0" w:type="dxa"/>
                  </w:tcMar>
                  <w:vAlign w:val="center"/>
                </w:tcPr>
                <w:p w14:paraId="1C3A53D4">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4ED4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74BEBC5C">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vMerge w:val="continue"/>
                  <w:tcBorders>
                    <w:tl2br w:val="nil"/>
                    <w:tr2bl w:val="nil"/>
                  </w:tcBorders>
                  <w:noWrap w:val="0"/>
                  <w:tcMar>
                    <w:top w:w="0" w:type="dxa"/>
                    <w:left w:w="0" w:type="dxa"/>
                    <w:bottom w:w="0" w:type="dxa"/>
                    <w:right w:w="0" w:type="dxa"/>
                  </w:tcMar>
                  <w:vAlign w:val="center"/>
                </w:tcPr>
                <w:p w14:paraId="1582CDEA">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2413" w:type="pct"/>
                  <w:tcBorders>
                    <w:tl2br w:val="nil"/>
                    <w:tr2bl w:val="nil"/>
                  </w:tcBorders>
                  <w:noWrap w:val="0"/>
                  <w:tcMar>
                    <w:top w:w="0" w:type="dxa"/>
                    <w:left w:w="0" w:type="dxa"/>
                    <w:bottom w:w="0" w:type="dxa"/>
                    <w:right w:w="0" w:type="dxa"/>
                  </w:tcMar>
                  <w:vAlign w:val="center"/>
                </w:tcPr>
                <w:p w14:paraId="1E1A26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〔A2.2-7〕</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〔A2.2-9〕</w:t>
                  </w:r>
                </w:p>
              </w:tc>
              <w:tc>
                <w:tcPr>
                  <w:tcW w:w="1552" w:type="pct"/>
                  <w:tcBorders>
                    <w:tl2br w:val="nil"/>
                    <w:tr2bl w:val="nil"/>
                  </w:tcBorders>
                  <w:noWrap w:val="0"/>
                  <w:tcMar>
                    <w:top w:w="0" w:type="dxa"/>
                    <w:left w:w="0" w:type="dxa"/>
                    <w:bottom w:w="0" w:type="dxa"/>
                    <w:right w:w="0" w:type="dxa"/>
                  </w:tcMar>
                  <w:vAlign w:val="center"/>
                </w:tcPr>
                <w:p w14:paraId="3E56C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本项目不涉及。</w:t>
                  </w:r>
                </w:p>
              </w:tc>
              <w:tc>
                <w:tcPr>
                  <w:tcW w:w="402" w:type="pct"/>
                  <w:tcBorders>
                    <w:tl2br w:val="nil"/>
                    <w:tr2bl w:val="nil"/>
                  </w:tcBorders>
                  <w:noWrap w:val="0"/>
                  <w:tcMar>
                    <w:top w:w="0" w:type="dxa"/>
                    <w:left w:w="0" w:type="dxa"/>
                    <w:bottom w:w="0" w:type="dxa"/>
                    <w:right w:w="0" w:type="dxa"/>
                  </w:tcMar>
                  <w:vAlign w:val="center"/>
                </w:tcPr>
                <w:p w14:paraId="564F801A">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w:t>
                  </w:r>
                </w:p>
              </w:tc>
            </w:tr>
            <w:tr w14:paraId="515B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tcBorders>
                    <w:tl2br w:val="nil"/>
                    <w:tr2bl w:val="nil"/>
                  </w:tcBorders>
                  <w:noWrap w:val="0"/>
                  <w:tcMar>
                    <w:top w:w="0" w:type="dxa"/>
                    <w:left w:w="0" w:type="dxa"/>
                    <w:bottom w:w="0" w:type="dxa"/>
                    <w:right w:w="0" w:type="dxa"/>
                  </w:tcMar>
                  <w:vAlign w:val="center"/>
                </w:tcPr>
                <w:p w14:paraId="43291E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A3环境风险管控</w:t>
                  </w:r>
                </w:p>
              </w:tc>
              <w:tc>
                <w:tcPr>
                  <w:tcW w:w="388" w:type="pct"/>
                  <w:tcBorders>
                    <w:tl2br w:val="nil"/>
                    <w:tr2bl w:val="nil"/>
                  </w:tcBorders>
                  <w:noWrap w:val="0"/>
                  <w:tcMar>
                    <w:top w:w="0" w:type="dxa"/>
                    <w:left w:w="0" w:type="dxa"/>
                    <w:bottom w:w="0" w:type="dxa"/>
                    <w:right w:w="0" w:type="dxa"/>
                  </w:tcMar>
                  <w:vAlign w:val="center"/>
                </w:tcPr>
                <w:p w14:paraId="762B9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A3.1人居环境要求</w:t>
                  </w:r>
                </w:p>
              </w:tc>
              <w:tc>
                <w:tcPr>
                  <w:tcW w:w="2413" w:type="pct"/>
                  <w:tcBorders>
                    <w:tl2br w:val="nil"/>
                    <w:tr2bl w:val="nil"/>
                  </w:tcBorders>
                  <w:noWrap w:val="0"/>
                  <w:tcMar>
                    <w:top w:w="0" w:type="dxa"/>
                    <w:left w:w="0" w:type="dxa"/>
                    <w:bottom w:w="0" w:type="dxa"/>
                    <w:right w:w="0" w:type="dxa"/>
                  </w:tcMar>
                  <w:vAlign w:val="center"/>
                </w:tcPr>
                <w:p w14:paraId="65866F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〔A3.1-1〕建立和完善重污染天气兵地联合应急预案、预报预警应急机制和会商联动机制。“乌—昌—石”区域内可能影响相邻行政区域大气环境的项目，兵地间、城市间必须相互征求意见。</w:t>
                  </w:r>
                </w:p>
                <w:p w14:paraId="5F5D0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〔A3.1-2〕对跨国境河流、涉及县级及以上集中式饮用水水源地的河流、其他重要环境敏感目标的河流，建立健全流域上下游突发水污染事件</w:t>
                  </w:r>
                  <w:r>
                    <w:rPr>
                      <w:rFonts w:hint="default" w:ascii="Times New Roman" w:hAnsi="Times New Roman" w:eastAsia="宋体" w:cs="Times New Roman"/>
                      <w:b w:val="0"/>
                      <w:bCs w:val="0"/>
                      <w:color w:val="auto"/>
                      <w:sz w:val="21"/>
                      <w:szCs w:val="21"/>
                      <w:highlight w:val="none"/>
                      <w:lang w:eastAsia="zh-CN"/>
                    </w:rPr>
                    <w:t>联防联控机制</w:t>
                  </w:r>
                  <w:r>
                    <w:rPr>
                      <w:rFonts w:hint="default" w:ascii="Times New Roman" w:hAnsi="Times New Roman" w:eastAsia="宋体" w:cs="Times New Roman"/>
                      <w:b w:val="0"/>
                      <w:bCs w:val="0"/>
                      <w:color w:val="auto"/>
                      <w:sz w:val="21"/>
                      <w:szCs w:val="21"/>
                      <w:highlight w:val="none"/>
                    </w:rPr>
                    <w:t>，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r>
                    <w:rPr>
                      <w:rFonts w:hint="default" w:ascii="Times New Roman" w:hAnsi="Times New Roman" w:eastAsia="宋体" w:cs="Times New Roman"/>
                      <w:b w:val="0"/>
                      <w:bCs w:val="0"/>
                      <w:color w:val="auto"/>
                      <w:kern w:val="2"/>
                      <w:sz w:val="21"/>
                      <w:szCs w:val="21"/>
                      <w:highlight w:val="none"/>
                      <w:lang w:val="en-US" w:eastAsia="zh-CN" w:bidi="ar-SA"/>
                    </w:rPr>
                    <w:t>〔A3.1-3〕强化重污染天气监测预报预警能力，建立和完善重污染天气兵地联合应急预案、预警应急机制和会商联动机制，加强轻、中度污染天气管控。</w:t>
                  </w:r>
                </w:p>
              </w:tc>
              <w:tc>
                <w:tcPr>
                  <w:tcW w:w="1552" w:type="pct"/>
                  <w:tcBorders>
                    <w:tl2br w:val="nil"/>
                    <w:tr2bl w:val="nil"/>
                  </w:tcBorders>
                  <w:noWrap w:val="0"/>
                  <w:tcMar>
                    <w:top w:w="0" w:type="dxa"/>
                    <w:left w:w="0" w:type="dxa"/>
                    <w:bottom w:w="0" w:type="dxa"/>
                    <w:right w:w="0" w:type="dxa"/>
                  </w:tcMar>
                  <w:vAlign w:val="center"/>
                </w:tcPr>
                <w:p w14:paraId="4DE7A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val="en-US" w:eastAsia="zh-CN" w:bidi="ar"/>
                    </w:rPr>
                    <w:t>本项目所在区域属于PM</w:t>
                  </w:r>
                  <w:r>
                    <w:rPr>
                      <w:rFonts w:hint="default" w:ascii="Times New Roman" w:hAnsi="Times New Roman" w:eastAsia="宋体" w:cs="Times New Roman"/>
                      <w:b w:val="0"/>
                      <w:bCs w:val="0"/>
                      <w:color w:val="auto"/>
                      <w:kern w:val="0"/>
                      <w:sz w:val="21"/>
                      <w:szCs w:val="21"/>
                      <w:highlight w:val="none"/>
                      <w:vertAlign w:val="subscript"/>
                      <w:lang w:val="en-US" w:eastAsia="zh-CN" w:bidi="ar"/>
                    </w:rPr>
                    <w:t>2.5</w:t>
                  </w:r>
                  <w:r>
                    <w:rPr>
                      <w:rFonts w:hint="default" w:ascii="Times New Roman" w:hAnsi="Times New Roman" w:eastAsia="宋体" w:cs="Times New Roman"/>
                      <w:b w:val="0"/>
                      <w:bCs w:val="0"/>
                      <w:color w:val="auto"/>
                      <w:kern w:val="0"/>
                      <w:sz w:val="21"/>
                      <w:szCs w:val="21"/>
                      <w:highlight w:val="none"/>
                      <w:lang w:val="en-US" w:eastAsia="zh-CN" w:bidi="ar"/>
                    </w:rPr>
                    <w:t>、PM</w:t>
                  </w:r>
                  <w:r>
                    <w:rPr>
                      <w:rFonts w:hint="default" w:ascii="Times New Roman" w:hAnsi="Times New Roman" w:eastAsia="宋体" w:cs="Times New Roman"/>
                      <w:b w:val="0"/>
                      <w:bCs w:val="0"/>
                      <w:color w:val="auto"/>
                      <w:kern w:val="0"/>
                      <w:sz w:val="21"/>
                      <w:szCs w:val="21"/>
                      <w:highlight w:val="none"/>
                      <w:vertAlign w:val="subscript"/>
                      <w:lang w:val="en-US" w:eastAsia="zh-CN" w:bidi="ar"/>
                    </w:rPr>
                    <w:t>10</w:t>
                  </w:r>
                  <w:r>
                    <w:rPr>
                      <w:rFonts w:hint="default" w:ascii="Times New Roman" w:hAnsi="Times New Roman" w:eastAsia="宋体" w:cs="Times New Roman"/>
                      <w:b w:val="0"/>
                      <w:bCs w:val="0"/>
                      <w:color w:val="auto"/>
                      <w:kern w:val="0"/>
                      <w:sz w:val="21"/>
                      <w:szCs w:val="21"/>
                      <w:highlight w:val="none"/>
                      <w:lang w:val="en-US" w:eastAsia="zh-CN" w:bidi="ar"/>
                    </w:rPr>
                    <w:t>年平均浓度不达标城市，</w:t>
                  </w:r>
                  <w:r>
                    <w:rPr>
                      <w:rFonts w:hint="default" w:ascii="Times New Roman" w:hAnsi="Times New Roman" w:eastAsia="宋体" w:cs="Times New Roman"/>
                      <w:b w:val="0"/>
                      <w:bCs w:val="0"/>
                      <w:color w:val="auto"/>
                      <w:sz w:val="21"/>
                      <w:szCs w:val="21"/>
                      <w:highlight w:val="none"/>
                      <w:lang w:val="en-US" w:eastAsia="zh-CN"/>
                    </w:rPr>
                    <w:t>本项目不涉及</w:t>
                  </w:r>
                  <w:r>
                    <w:rPr>
                      <w:rFonts w:hint="default" w:ascii="Times New Roman" w:hAnsi="Times New Roman" w:eastAsia="宋体" w:cs="Times New Roman"/>
                      <w:b w:val="0"/>
                      <w:bCs w:val="0"/>
                      <w:color w:val="auto"/>
                      <w:sz w:val="21"/>
                      <w:szCs w:val="21"/>
                      <w:highlight w:val="none"/>
                    </w:rPr>
                    <w:t>县级及以上集中式饮用水水源地的河流、其他重要环境敏感目标的河流</w:t>
                  </w:r>
                  <w:r>
                    <w:rPr>
                      <w:rFonts w:hint="default" w:ascii="Times New Roman" w:hAnsi="Times New Roman" w:eastAsia="宋体" w:cs="Times New Roman"/>
                      <w:b w:val="0"/>
                      <w:bCs w:val="0"/>
                      <w:color w:val="auto"/>
                      <w:sz w:val="21"/>
                      <w:szCs w:val="21"/>
                      <w:highlight w:val="none"/>
                      <w:lang w:eastAsia="zh-CN"/>
                    </w:rPr>
                    <w:t>。</w:t>
                  </w:r>
                </w:p>
              </w:tc>
              <w:tc>
                <w:tcPr>
                  <w:tcW w:w="402" w:type="pct"/>
                  <w:tcBorders>
                    <w:tl2br w:val="nil"/>
                    <w:tr2bl w:val="nil"/>
                  </w:tcBorders>
                  <w:noWrap w:val="0"/>
                  <w:tcMar>
                    <w:top w:w="0" w:type="dxa"/>
                    <w:left w:w="0" w:type="dxa"/>
                    <w:bottom w:w="0" w:type="dxa"/>
                    <w:right w:w="0" w:type="dxa"/>
                  </w:tcMar>
                  <w:vAlign w:val="center"/>
                </w:tcPr>
                <w:p w14:paraId="21633F8C">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3B7E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restart"/>
                  <w:tcBorders>
                    <w:tl2br w:val="nil"/>
                    <w:tr2bl w:val="nil"/>
                  </w:tcBorders>
                  <w:noWrap w:val="0"/>
                  <w:tcMar>
                    <w:top w:w="0" w:type="dxa"/>
                    <w:left w:w="0" w:type="dxa"/>
                    <w:bottom w:w="0" w:type="dxa"/>
                    <w:right w:w="0" w:type="dxa"/>
                  </w:tcMar>
                  <w:vAlign w:val="center"/>
                </w:tcPr>
                <w:p w14:paraId="73CC4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A4资源利用要求</w:t>
                  </w:r>
                </w:p>
              </w:tc>
              <w:tc>
                <w:tcPr>
                  <w:tcW w:w="388" w:type="pct"/>
                  <w:tcBorders>
                    <w:tl2br w:val="nil"/>
                    <w:tr2bl w:val="nil"/>
                  </w:tcBorders>
                  <w:noWrap w:val="0"/>
                  <w:tcMar>
                    <w:top w:w="0" w:type="dxa"/>
                    <w:left w:w="0" w:type="dxa"/>
                    <w:bottom w:w="0" w:type="dxa"/>
                    <w:right w:w="0" w:type="dxa"/>
                  </w:tcMar>
                  <w:vAlign w:val="center"/>
                </w:tcPr>
                <w:p w14:paraId="707719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A4.1水资源</w:t>
                  </w:r>
                </w:p>
              </w:tc>
              <w:tc>
                <w:tcPr>
                  <w:tcW w:w="2413" w:type="pct"/>
                  <w:tcBorders>
                    <w:tl2br w:val="nil"/>
                    <w:tr2bl w:val="nil"/>
                  </w:tcBorders>
                  <w:noWrap w:val="0"/>
                  <w:tcMar>
                    <w:top w:w="0" w:type="dxa"/>
                    <w:left w:w="0" w:type="dxa"/>
                    <w:bottom w:w="0" w:type="dxa"/>
                    <w:right w:w="0" w:type="dxa"/>
                  </w:tcMar>
                  <w:vAlign w:val="center"/>
                </w:tcPr>
                <w:p w14:paraId="6E4783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〔A4.1-1〕自治区用水总量2025年、2030年控制在国家下达的指标内。</w:t>
                  </w:r>
                </w:p>
                <w:p w14:paraId="672BD5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〔A4.1-2〕加大城镇污水再生利用工程建设力度，推进区域再生水循环利用，到2025年，城市生活污水再生利用率力争达到60%。</w:t>
                  </w:r>
                </w:p>
                <w:p w14:paraId="2AA691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〔A4.1-3〕加强农村水利基础设施建设，推进农村供水保障工程，农村自来水普及率、集中供水率分别达到99.3%、99.7%。</w:t>
                  </w:r>
                </w:p>
                <w:p w14:paraId="5DB17A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〔A4.1-4〕地下水资源利用实行总量控制和水位控制。取用地下水资源，应当按照国家和自治区有关规定申请取水许可。地下水利用应当以浅层地下水为主。</w:t>
                  </w:r>
                </w:p>
              </w:tc>
              <w:tc>
                <w:tcPr>
                  <w:tcW w:w="1552" w:type="pct"/>
                  <w:tcBorders>
                    <w:tl2br w:val="nil"/>
                    <w:tr2bl w:val="nil"/>
                  </w:tcBorders>
                  <w:noWrap w:val="0"/>
                  <w:tcMar>
                    <w:top w:w="0" w:type="dxa"/>
                    <w:left w:w="0" w:type="dxa"/>
                    <w:bottom w:w="0" w:type="dxa"/>
                    <w:right w:w="0" w:type="dxa"/>
                  </w:tcMar>
                  <w:vAlign w:val="center"/>
                </w:tcPr>
                <w:p w14:paraId="416799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本项目用水主要为施工期用水，用水量较少，对施工期废水进行综合利用，节约了水资源，对区域水资源消耗较小。</w:t>
                  </w:r>
                </w:p>
              </w:tc>
              <w:tc>
                <w:tcPr>
                  <w:tcW w:w="402" w:type="pct"/>
                  <w:tcBorders>
                    <w:tl2br w:val="nil"/>
                    <w:tr2bl w:val="nil"/>
                  </w:tcBorders>
                  <w:noWrap w:val="0"/>
                  <w:tcMar>
                    <w:top w:w="0" w:type="dxa"/>
                    <w:left w:w="0" w:type="dxa"/>
                    <w:bottom w:w="0" w:type="dxa"/>
                    <w:right w:w="0" w:type="dxa"/>
                  </w:tcMar>
                  <w:vAlign w:val="center"/>
                </w:tcPr>
                <w:p w14:paraId="194AF252">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5229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1A997EB0">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7AD9422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A4.2土地资源</w:t>
                  </w:r>
                </w:p>
              </w:tc>
              <w:tc>
                <w:tcPr>
                  <w:tcW w:w="2413" w:type="pct"/>
                  <w:tcBorders>
                    <w:tl2br w:val="nil"/>
                    <w:tr2bl w:val="nil"/>
                  </w:tcBorders>
                  <w:noWrap w:val="0"/>
                  <w:tcMar>
                    <w:top w:w="0" w:type="dxa"/>
                    <w:left w:w="0" w:type="dxa"/>
                    <w:bottom w:w="0" w:type="dxa"/>
                    <w:right w:w="0" w:type="dxa"/>
                  </w:tcMar>
                  <w:vAlign w:val="center"/>
                </w:tcPr>
                <w:p w14:paraId="04FA62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〔A4.2-1〕土地资源上线指标控制在最终批复的国土空间规划控制指标内。</w:t>
                  </w:r>
                </w:p>
              </w:tc>
              <w:tc>
                <w:tcPr>
                  <w:tcW w:w="1552" w:type="pct"/>
                  <w:tcBorders>
                    <w:tl2br w:val="nil"/>
                    <w:tr2bl w:val="nil"/>
                  </w:tcBorders>
                  <w:noWrap w:val="0"/>
                  <w:tcMar>
                    <w:top w:w="0" w:type="dxa"/>
                    <w:left w:w="0" w:type="dxa"/>
                    <w:bottom w:w="0" w:type="dxa"/>
                    <w:right w:w="0" w:type="dxa"/>
                  </w:tcMar>
                  <w:vAlign w:val="center"/>
                </w:tcPr>
                <w:p w14:paraId="2EF413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本项目占地为临时占地，严格控制施工作业范围。</w:t>
                  </w:r>
                </w:p>
              </w:tc>
              <w:tc>
                <w:tcPr>
                  <w:tcW w:w="402" w:type="pct"/>
                  <w:tcBorders>
                    <w:tl2br w:val="nil"/>
                    <w:tr2bl w:val="nil"/>
                  </w:tcBorders>
                  <w:noWrap w:val="0"/>
                  <w:tcMar>
                    <w:top w:w="0" w:type="dxa"/>
                    <w:left w:w="0" w:type="dxa"/>
                    <w:bottom w:w="0" w:type="dxa"/>
                    <w:right w:w="0" w:type="dxa"/>
                  </w:tcMar>
                  <w:vAlign w:val="center"/>
                </w:tcPr>
                <w:p w14:paraId="3F876121">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0BB5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73E793C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10A8342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A4.3能源利用</w:t>
                  </w:r>
                </w:p>
              </w:tc>
              <w:tc>
                <w:tcPr>
                  <w:tcW w:w="2413" w:type="pct"/>
                  <w:tcBorders>
                    <w:tl2br w:val="nil"/>
                    <w:tr2bl w:val="nil"/>
                  </w:tcBorders>
                  <w:noWrap w:val="0"/>
                  <w:tcMar>
                    <w:top w:w="0" w:type="dxa"/>
                    <w:left w:w="0" w:type="dxa"/>
                    <w:bottom w:w="0" w:type="dxa"/>
                    <w:right w:w="0" w:type="dxa"/>
                  </w:tcMar>
                  <w:vAlign w:val="center"/>
                </w:tcPr>
                <w:p w14:paraId="1DB510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〔A4.3-1〕单位地区生产总值二氧化碳排放降低水平完成国家下达指标。</w:t>
                  </w:r>
                </w:p>
                <w:p w14:paraId="61119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〔A4.3-2〕到2025年，自治区万元国内生产总值能耗比2020年下降14.5%。</w:t>
                  </w:r>
                </w:p>
                <w:p w14:paraId="5F132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〔A4.3-3〕到2025年，非化石能源占一次能源消费比重达18%以上。</w:t>
                  </w:r>
                </w:p>
                <w:p w14:paraId="5ED35C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〔A4.3-4〕鼓励使用清洁能源或电厂热力、工业余热等替代锅炉、炉窑燃料用煤。</w:t>
                  </w:r>
                </w:p>
                <w:p w14:paraId="2212A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〔A4.3-5〕以碳达峰碳中和工作为引领，着力提高能源资源利用效率。引导重点行业深入实施清洁生产改造，钢铁、建材、石油化工等重点行业以及其他行业重点用能单位持续开展节能降耗。</w:t>
                  </w:r>
                </w:p>
                <w:p w14:paraId="0DFA8E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〔A4.3-6〕深入推进碳达峰碳中和行动。推动能源清洁低碳转型，加强能耗“双控”管理，优化能源消费结构。新增原料用能不纳入能源消费总量控制。持续推进散煤整治。</w:t>
                  </w:r>
                </w:p>
              </w:tc>
              <w:tc>
                <w:tcPr>
                  <w:tcW w:w="1552" w:type="pct"/>
                  <w:tcBorders>
                    <w:tl2br w:val="nil"/>
                    <w:tr2bl w:val="nil"/>
                  </w:tcBorders>
                  <w:noWrap w:val="0"/>
                  <w:tcMar>
                    <w:top w:w="0" w:type="dxa"/>
                    <w:left w:w="0" w:type="dxa"/>
                    <w:bottom w:w="0" w:type="dxa"/>
                    <w:right w:w="0" w:type="dxa"/>
                  </w:tcMar>
                  <w:vAlign w:val="center"/>
                </w:tcPr>
                <w:p w14:paraId="0D28D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kern w:val="0"/>
                      <w:sz w:val="21"/>
                      <w:szCs w:val="21"/>
                      <w:highlight w:val="none"/>
                      <w:lang w:val="en-US" w:eastAsia="zh-CN" w:bidi="ar"/>
                    </w:rPr>
                    <w:t>本项目无运营期，无加热炉</w:t>
                  </w:r>
                </w:p>
              </w:tc>
              <w:tc>
                <w:tcPr>
                  <w:tcW w:w="402" w:type="pct"/>
                  <w:tcBorders>
                    <w:tl2br w:val="nil"/>
                    <w:tr2bl w:val="nil"/>
                  </w:tcBorders>
                  <w:noWrap w:val="0"/>
                  <w:tcMar>
                    <w:top w:w="0" w:type="dxa"/>
                    <w:left w:w="0" w:type="dxa"/>
                    <w:bottom w:w="0" w:type="dxa"/>
                    <w:right w:w="0" w:type="dxa"/>
                  </w:tcMar>
                  <w:vAlign w:val="center"/>
                </w:tcPr>
                <w:p w14:paraId="01B307FC">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062B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1680D3C3">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2258845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A4.4禁燃区要求</w:t>
                  </w:r>
                </w:p>
              </w:tc>
              <w:tc>
                <w:tcPr>
                  <w:tcW w:w="2413" w:type="pct"/>
                  <w:tcBorders>
                    <w:tl2br w:val="nil"/>
                    <w:tr2bl w:val="nil"/>
                  </w:tcBorders>
                  <w:noWrap w:val="0"/>
                  <w:tcMar>
                    <w:top w:w="0" w:type="dxa"/>
                    <w:left w:w="0" w:type="dxa"/>
                    <w:bottom w:w="0" w:type="dxa"/>
                    <w:right w:w="0" w:type="dxa"/>
                  </w:tcMar>
                  <w:vAlign w:val="center"/>
                </w:tcPr>
                <w:p w14:paraId="01140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〔A4.4-1〕在禁燃区内，禁止销售、燃用高污染燃料；禁止新建、扩建燃用高污染燃料的设施。已建成的，应当在规定期限内改用清洁能源。</w:t>
                  </w:r>
                </w:p>
              </w:tc>
              <w:tc>
                <w:tcPr>
                  <w:tcW w:w="1552" w:type="pct"/>
                  <w:tcBorders>
                    <w:tl2br w:val="nil"/>
                    <w:tr2bl w:val="nil"/>
                  </w:tcBorders>
                  <w:noWrap w:val="0"/>
                  <w:tcMar>
                    <w:top w:w="0" w:type="dxa"/>
                    <w:left w:w="0" w:type="dxa"/>
                    <w:bottom w:w="0" w:type="dxa"/>
                    <w:right w:w="0" w:type="dxa"/>
                  </w:tcMar>
                  <w:vAlign w:val="center"/>
                </w:tcPr>
                <w:p w14:paraId="0882C2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本项目无运营期，无加热炉</w:t>
                  </w:r>
                </w:p>
              </w:tc>
              <w:tc>
                <w:tcPr>
                  <w:tcW w:w="402" w:type="pct"/>
                  <w:tcBorders>
                    <w:tl2br w:val="nil"/>
                    <w:tr2bl w:val="nil"/>
                  </w:tcBorders>
                  <w:noWrap w:val="0"/>
                  <w:tcMar>
                    <w:top w:w="0" w:type="dxa"/>
                    <w:left w:w="0" w:type="dxa"/>
                    <w:bottom w:w="0" w:type="dxa"/>
                    <w:right w:w="0" w:type="dxa"/>
                  </w:tcMar>
                  <w:vAlign w:val="center"/>
                </w:tcPr>
                <w:p w14:paraId="0F94A95B">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符合</w:t>
                  </w:r>
                </w:p>
              </w:tc>
            </w:tr>
            <w:tr w14:paraId="5A93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 w:type="pct"/>
                  <w:vMerge w:val="continue"/>
                  <w:tcBorders>
                    <w:tl2br w:val="nil"/>
                    <w:tr2bl w:val="nil"/>
                  </w:tcBorders>
                  <w:noWrap w:val="0"/>
                  <w:tcMar>
                    <w:top w:w="0" w:type="dxa"/>
                    <w:left w:w="0" w:type="dxa"/>
                    <w:bottom w:w="0" w:type="dxa"/>
                    <w:right w:w="0" w:type="dxa"/>
                  </w:tcMar>
                  <w:vAlign w:val="center"/>
                </w:tcPr>
                <w:p w14:paraId="1F643BF9">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p>
              </w:tc>
              <w:tc>
                <w:tcPr>
                  <w:tcW w:w="388" w:type="pct"/>
                  <w:tcBorders>
                    <w:tl2br w:val="nil"/>
                    <w:tr2bl w:val="nil"/>
                  </w:tcBorders>
                  <w:noWrap w:val="0"/>
                  <w:tcMar>
                    <w:top w:w="0" w:type="dxa"/>
                    <w:left w:w="0" w:type="dxa"/>
                    <w:bottom w:w="0" w:type="dxa"/>
                    <w:right w:w="0" w:type="dxa"/>
                  </w:tcMar>
                  <w:vAlign w:val="center"/>
                </w:tcPr>
                <w:p w14:paraId="52AF6C7A">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A4.5资源综合利用</w:t>
                  </w:r>
                </w:p>
              </w:tc>
              <w:tc>
                <w:tcPr>
                  <w:tcW w:w="2413" w:type="pct"/>
                  <w:tcBorders>
                    <w:tl2br w:val="nil"/>
                    <w:tr2bl w:val="nil"/>
                  </w:tcBorders>
                  <w:noWrap w:val="0"/>
                  <w:tcMar>
                    <w:top w:w="0" w:type="dxa"/>
                    <w:left w:w="0" w:type="dxa"/>
                    <w:bottom w:w="0" w:type="dxa"/>
                    <w:right w:w="0" w:type="dxa"/>
                  </w:tcMar>
                  <w:vAlign w:val="center"/>
                </w:tcPr>
                <w:p w14:paraId="3C06FD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A4.5-2〕推动工业固废按元素价值综合开发利用，加快推进尾矿（共伴生矿）、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p w14:paraId="553E20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p w14:paraId="2B2196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1552" w:type="pct"/>
                  <w:tcBorders>
                    <w:tl2br w:val="nil"/>
                    <w:tr2bl w:val="nil"/>
                  </w:tcBorders>
                  <w:noWrap w:val="0"/>
                  <w:tcMar>
                    <w:top w:w="0" w:type="dxa"/>
                    <w:left w:w="0" w:type="dxa"/>
                    <w:bottom w:w="0" w:type="dxa"/>
                    <w:right w:w="0" w:type="dxa"/>
                  </w:tcMar>
                  <w:vAlign w:val="center"/>
                </w:tcPr>
                <w:p w14:paraId="1F3E3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b w:val="0"/>
                      <w:bCs w:val="0"/>
                      <w:color w:val="auto"/>
                      <w:sz w:val="21"/>
                      <w:szCs w:val="21"/>
                      <w:highlight w:val="none"/>
                      <w:u w:val="none"/>
                      <w:lang w:val="en-US" w:eastAsia="zh-CN"/>
                    </w:rPr>
                    <w:t>；危险废物贮存于危废暂存点，定期从施工现场交有资质单位处置；生活垃圾集中收集，定期送至当地生活垃圾转运站处理。</w:t>
                  </w:r>
                </w:p>
              </w:tc>
              <w:tc>
                <w:tcPr>
                  <w:tcW w:w="402" w:type="pct"/>
                  <w:tcBorders>
                    <w:tl2br w:val="nil"/>
                    <w:tr2bl w:val="nil"/>
                  </w:tcBorders>
                  <w:noWrap w:val="0"/>
                  <w:tcMar>
                    <w:top w:w="0" w:type="dxa"/>
                    <w:left w:w="0" w:type="dxa"/>
                    <w:bottom w:w="0" w:type="dxa"/>
                    <w:right w:w="0" w:type="dxa"/>
                  </w:tcMar>
                  <w:vAlign w:val="center"/>
                </w:tcPr>
                <w:p w14:paraId="20D62772">
                  <w:pPr>
                    <w:pStyle w:val="1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w:t>
                  </w:r>
                </w:p>
              </w:tc>
            </w:tr>
          </w:tbl>
          <w:p w14:paraId="62D24EE9">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lang w:val="en-US" w:eastAsia="zh-CN"/>
              </w:rPr>
              <w:t xml:space="preserve">   本项目与天山南坡片区总体管控要求符合性分析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89"/>
              <w:gridCol w:w="3671"/>
              <w:gridCol w:w="703"/>
            </w:tblGrid>
            <w:tr w14:paraId="7ACA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4" w:type="pct"/>
                  <w:tcBorders>
                    <w:tl2br w:val="nil"/>
                    <w:tr2bl w:val="nil"/>
                  </w:tcBorders>
                  <w:noWrap w:val="0"/>
                  <w:vAlign w:val="center"/>
                </w:tcPr>
                <w:p w14:paraId="1E4CD73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管控要求</w:t>
                  </w:r>
                </w:p>
              </w:tc>
              <w:tc>
                <w:tcPr>
                  <w:tcW w:w="2094" w:type="pct"/>
                  <w:tcBorders>
                    <w:tl2br w:val="nil"/>
                    <w:tr2bl w:val="nil"/>
                  </w:tcBorders>
                  <w:noWrap w:val="0"/>
                  <w:vAlign w:val="center"/>
                </w:tcPr>
                <w:p w14:paraId="2E843F1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本项目</w:t>
                  </w:r>
                </w:p>
              </w:tc>
              <w:tc>
                <w:tcPr>
                  <w:tcW w:w="401" w:type="pct"/>
                  <w:tcBorders>
                    <w:tl2br w:val="nil"/>
                    <w:tr2bl w:val="nil"/>
                  </w:tcBorders>
                  <w:noWrap w:val="0"/>
                  <w:vAlign w:val="center"/>
                </w:tcPr>
                <w:p w14:paraId="7CEAFDA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符合性</w:t>
                  </w:r>
                </w:p>
              </w:tc>
            </w:tr>
            <w:tr w14:paraId="381A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4" w:type="pct"/>
                  <w:tcBorders>
                    <w:tl2br w:val="nil"/>
                    <w:tr2bl w:val="nil"/>
                  </w:tcBorders>
                  <w:noWrap w:val="0"/>
                  <w:vAlign w:val="center"/>
                </w:tcPr>
                <w:p w14:paraId="3ED0D5E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2094" w:type="pct"/>
                  <w:tcBorders>
                    <w:tl2br w:val="nil"/>
                    <w:tr2bl w:val="nil"/>
                  </w:tcBorders>
                  <w:noWrap w:val="0"/>
                  <w:vAlign w:val="center"/>
                </w:tcPr>
                <w:p w14:paraId="1564FEA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本项目不在托木尔峰和天山南坡中段冰雪水源及生物多样性保护生态功能区</w:t>
                  </w:r>
                </w:p>
              </w:tc>
              <w:tc>
                <w:tcPr>
                  <w:tcW w:w="401" w:type="pct"/>
                  <w:tcBorders>
                    <w:tl2br w:val="nil"/>
                    <w:tr2bl w:val="nil"/>
                  </w:tcBorders>
                  <w:noWrap w:val="0"/>
                  <w:vAlign w:val="center"/>
                </w:tcPr>
                <w:p w14:paraId="38AE38A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14:paraId="2DDE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4" w:type="pct"/>
                  <w:tcBorders>
                    <w:tl2br w:val="nil"/>
                    <w:tr2bl w:val="nil"/>
                  </w:tcBorders>
                  <w:noWrap w:val="0"/>
                  <w:vAlign w:val="center"/>
                </w:tcPr>
                <w:p w14:paraId="20334A7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重点做好塔里木盆地北缘荒漠化防治。加强荒漠植被及河岸荒漠林保护，规范油气勘探开发作业，建立油田和公路扰动区域工程与生物相结合的防风固沙体系，逐步形成生态屏障。</w:t>
                  </w:r>
                </w:p>
              </w:tc>
              <w:tc>
                <w:tcPr>
                  <w:tcW w:w="2094" w:type="pct"/>
                  <w:tcBorders>
                    <w:tl2br w:val="nil"/>
                    <w:tr2bl w:val="nil"/>
                  </w:tcBorders>
                  <w:noWrap w:val="0"/>
                  <w:vAlign w:val="center"/>
                </w:tcPr>
                <w:p w14:paraId="6B360B3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本项目地处</w:t>
                  </w:r>
                  <w:r>
                    <w:rPr>
                      <w:rFonts w:hint="eastAsia" w:cs="Times New Roman"/>
                      <w:bCs/>
                      <w:color w:val="auto"/>
                      <w:kern w:val="0"/>
                      <w:sz w:val="21"/>
                      <w:szCs w:val="21"/>
                      <w:highlight w:val="none"/>
                      <w:lang w:val="en-US" w:eastAsia="zh-CN"/>
                    </w:rPr>
                    <w:t>若羌县</w:t>
                  </w:r>
                  <w:r>
                    <w:rPr>
                      <w:rFonts w:hint="default" w:ascii="Times New Roman" w:hAnsi="Times New Roman" w:eastAsia="宋体" w:cs="Times New Roman"/>
                      <w:bCs/>
                      <w:color w:val="auto"/>
                      <w:kern w:val="0"/>
                      <w:sz w:val="21"/>
                      <w:szCs w:val="21"/>
                      <w:highlight w:val="none"/>
                    </w:rPr>
                    <w:t>，施工过程中严格控制施工占地，</w:t>
                  </w:r>
                  <w:r>
                    <w:rPr>
                      <w:rFonts w:hint="default" w:ascii="Times New Roman" w:hAnsi="Times New Roman" w:eastAsia="宋体" w:cs="Times New Roman"/>
                      <w:bCs/>
                      <w:color w:val="auto"/>
                      <w:kern w:val="0"/>
                      <w:sz w:val="21"/>
                      <w:szCs w:val="21"/>
                      <w:highlight w:val="none"/>
                      <w:lang w:val="en-US" w:eastAsia="zh-CN"/>
                    </w:rPr>
                    <w:t>项目油气勘探结束后</w:t>
                  </w:r>
                  <w:r>
                    <w:rPr>
                      <w:rFonts w:hint="default" w:ascii="Times New Roman" w:hAnsi="Times New Roman" w:eastAsia="宋体" w:cs="Times New Roman"/>
                      <w:bCs/>
                      <w:color w:val="auto"/>
                      <w:kern w:val="0"/>
                      <w:sz w:val="21"/>
                      <w:szCs w:val="21"/>
                      <w:highlight w:val="none"/>
                    </w:rPr>
                    <w:t>，采取措施及时恢复临时占地</w:t>
                  </w:r>
                  <w:r>
                    <w:rPr>
                      <w:rFonts w:hint="default" w:ascii="Times New Roman" w:hAnsi="Times New Roman" w:eastAsia="宋体" w:cs="Times New Roman"/>
                      <w:bCs/>
                      <w:color w:val="auto"/>
                      <w:kern w:val="0"/>
                      <w:sz w:val="21"/>
                      <w:szCs w:val="21"/>
                      <w:highlight w:val="none"/>
                      <w:lang w:val="en-US" w:eastAsia="zh-CN"/>
                    </w:rPr>
                    <w:t>和河道</w:t>
                  </w:r>
                  <w:r>
                    <w:rPr>
                      <w:rFonts w:hint="default" w:ascii="Times New Roman" w:hAnsi="Times New Roman" w:eastAsia="宋体" w:cs="Times New Roman"/>
                      <w:bCs/>
                      <w:color w:val="auto"/>
                      <w:kern w:val="0"/>
                      <w:sz w:val="21"/>
                      <w:szCs w:val="21"/>
                      <w:highlight w:val="none"/>
                    </w:rPr>
                    <w:t>，对施工作业带进行生态恢复，尽可能减少</w:t>
                  </w:r>
                  <w:r>
                    <w:rPr>
                      <w:rFonts w:hint="default" w:ascii="Times New Roman" w:hAnsi="Times New Roman" w:eastAsia="宋体" w:cs="Times New Roman"/>
                      <w:bCs/>
                      <w:color w:val="auto"/>
                      <w:kern w:val="0"/>
                      <w:sz w:val="21"/>
                      <w:szCs w:val="21"/>
                      <w:highlight w:val="none"/>
                      <w:lang w:val="en-US" w:eastAsia="zh-CN"/>
                    </w:rPr>
                    <w:t>本项目</w:t>
                  </w:r>
                  <w:r>
                    <w:rPr>
                      <w:rFonts w:hint="default" w:ascii="Times New Roman" w:hAnsi="Times New Roman" w:eastAsia="宋体" w:cs="Times New Roman"/>
                      <w:bCs/>
                      <w:color w:val="auto"/>
                      <w:kern w:val="0"/>
                      <w:sz w:val="21"/>
                      <w:szCs w:val="21"/>
                      <w:highlight w:val="none"/>
                    </w:rPr>
                    <w:t>对区域生态环境的影响。</w:t>
                  </w:r>
                </w:p>
              </w:tc>
              <w:tc>
                <w:tcPr>
                  <w:tcW w:w="401" w:type="pct"/>
                  <w:tcBorders>
                    <w:tl2br w:val="nil"/>
                    <w:tr2bl w:val="nil"/>
                  </w:tcBorders>
                  <w:noWrap w:val="0"/>
                  <w:vAlign w:val="center"/>
                </w:tcPr>
                <w:p w14:paraId="7FF2E17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符合</w:t>
                  </w:r>
                </w:p>
              </w:tc>
            </w:tr>
            <w:tr w14:paraId="3147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4" w:type="pct"/>
                  <w:tcBorders>
                    <w:tl2br w:val="nil"/>
                    <w:tr2bl w:val="nil"/>
                  </w:tcBorders>
                  <w:noWrap w:val="0"/>
                  <w:vAlign w:val="center"/>
                </w:tcPr>
                <w:p w14:paraId="605F66E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推进塔里木河流域用水结构调整，维护塔里木河、博斯腾湖基本生态用水。</w:t>
                  </w:r>
                </w:p>
              </w:tc>
              <w:tc>
                <w:tcPr>
                  <w:tcW w:w="2094" w:type="pct"/>
                  <w:tcBorders>
                    <w:tl2br w:val="nil"/>
                    <w:tr2bl w:val="nil"/>
                  </w:tcBorders>
                  <w:noWrap w:val="0"/>
                  <w:vAlign w:val="center"/>
                </w:tcPr>
                <w:p w14:paraId="46446FE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本项目</w:t>
                  </w:r>
                  <w:r>
                    <w:rPr>
                      <w:rFonts w:hint="default" w:ascii="Times New Roman" w:hAnsi="Times New Roman" w:eastAsia="宋体" w:cs="Times New Roman"/>
                      <w:bCs/>
                      <w:color w:val="auto"/>
                      <w:kern w:val="0"/>
                      <w:sz w:val="21"/>
                      <w:szCs w:val="21"/>
                      <w:highlight w:val="none"/>
                      <w:lang w:val="en-US" w:eastAsia="zh-CN"/>
                    </w:rPr>
                    <w:t>不涉及塔里木河流域、博斯腾湖</w:t>
                  </w:r>
                  <w:r>
                    <w:rPr>
                      <w:rFonts w:hint="default" w:ascii="Times New Roman" w:hAnsi="Times New Roman" w:eastAsia="宋体" w:cs="Times New Roman"/>
                      <w:bCs/>
                      <w:color w:val="auto"/>
                      <w:kern w:val="0"/>
                      <w:sz w:val="21"/>
                      <w:szCs w:val="21"/>
                      <w:highlight w:val="none"/>
                    </w:rPr>
                    <w:t>。</w:t>
                  </w:r>
                </w:p>
              </w:tc>
              <w:tc>
                <w:tcPr>
                  <w:tcW w:w="401" w:type="pct"/>
                  <w:tcBorders>
                    <w:tl2br w:val="nil"/>
                    <w:tr2bl w:val="nil"/>
                  </w:tcBorders>
                  <w:noWrap w:val="0"/>
                  <w:vAlign w:val="center"/>
                </w:tcPr>
                <w:p w14:paraId="1DFD698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r w14:paraId="1F96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4" w:type="pct"/>
                  <w:tcBorders>
                    <w:tl2br w:val="nil"/>
                    <w:tr2bl w:val="nil"/>
                  </w:tcBorders>
                  <w:noWrap w:val="0"/>
                  <w:vAlign w:val="center"/>
                </w:tcPr>
                <w:p w14:paraId="39382B9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加强塔里木河流域水环境风险管控。加大博斯腾湖污染源头达标排放治理和监督力度，实施博斯腾湖综合治理。</w:t>
                  </w:r>
                </w:p>
              </w:tc>
              <w:tc>
                <w:tcPr>
                  <w:tcW w:w="2094" w:type="pct"/>
                  <w:tcBorders>
                    <w:tl2br w:val="nil"/>
                    <w:tr2bl w:val="nil"/>
                  </w:tcBorders>
                  <w:noWrap w:val="0"/>
                  <w:vAlign w:val="center"/>
                </w:tcPr>
                <w:p w14:paraId="112898B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本项目已提出一系列环境风险防范措施及应急要求</w:t>
                  </w:r>
                </w:p>
              </w:tc>
              <w:tc>
                <w:tcPr>
                  <w:tcW w:w="401" w:type="pct"/>
                  <w:tcBorders>
                    <w:tl2br w:val="nil"/>
                    <w:tr2bl w:val="nil"/>
                  </w:tcBorders>
                  <w:noWrap w:val="0"/>
                  <w:vAlign w:val="center"/>
                </w:tcPr>
                <w:p w14:paraId="440FC6D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符合</w:t>
                  </w:r>
                </w:p>
              </w:tc>
            </w:tr>
          </w:tbl>
          <w:p w14:paraId="260E9C8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2024年12月</w:t>
            </w:r>
            <w:r>
              <w:rPr>
                <w:rFonts w:hint="default" w:ascii="Times New Roman" w:hAnsi="Times New Roman" w:eastAsia="宋体" w:cs="Times New Roman"/>
                <w:color w:val="auto"/>
                <w:sz w:val="24"/>
                <w:szCs w:val="24"/>
                <w:lang w:eastAsia="zh-CN"/>
              </w:rPr>
              <w:t>巴州人民政府办公室发布了《关于印发巴音郭楞蒙古自治州“三线一单”生态环境分区管控动态更新成果（2023年）的通知》（巴政办发〔2024〕32号）。本项目</w:t>
            </w:r>
            <w:r>
              <w:rPr>
                <w:rFonts w:hint="default" w:ascii="Times New Roman" w:hAnsi="Times New Roman" w:eastAsia="宋体" w:cs="Times New Roman"/>
                <w:color w:val="auto"/>
                <w:sz w:val="24"/>
                <w:szCs w:val="24"/>
                <w:lang w:val="en-US" w:eastAsia="zh-CN"/>
              </w:rPr>
              <w:t>位于ZH65282410008若羌县一般生态空间（</w:t>
            </w:r>
            <w:r>
              <w:rPr>
                <w:rFonts w:hint="eastAsia" w:cs="Times New Roman"/>
                <w:color w:val="auto"/>
                <w:sz w:val="24"/>
                <w:szCs w:val="24"/>
                <w:lang w:val="en-US" w:eastAsia="zh-CN"/>
              </w:rPr>
              <w:t>优先保护</w:t>
            </w:r>
            <w:r>
              <w:rPr>
                <w:rFonts w:hint="default" w:ascii="Times New Roman" w:hAnsi="Times New Roman" w:eastAsia="宋体" w:cs="Times New Roman"/>
                <w:color w:val="auto"/>
                <w:sz w:val="24"/>
                <w:szCs w:val="24"/>
                <w:lang w:val="en-US" w:eastAsia="zh-CN"/>
              </w:rPr>
              <w:t>单元），</w:t>
            </w:r>
            <w:r>
              <w:rPr>
                <w:rFonts w:hint="default" w:ascii="Times New Roman" w:hAnsi="Times New Roman" w:eastAsia="宋体" w:cs="Times New Roman"/>
                <w:color w:val="auto"/>
                <w:sz w:val="24"/>
                <w:szCs w:val="24"/>
                <w:lang w:eastAsia="zh-CN"/>
              </w:rPr>
              <w:t>本项目与巴音郭楞蒙古自治州生态环境分区管控方案（2023年版）符合性分析见表1-</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lang w:eastAsia="zh-CN"/>
              </w:rPr>
              <w:t>。管控单元分类位置示意图</w:t>
            </w:r>
            <w:r>
              <w:rPr>
                <w:rFonts w:hint="default" w:ascii="Times New Roman" w:hAnsi="Times New Roman" w:eastAsia="宋体" w:cs="Times New Roman"/>
                <w:color w:val="auto"/>
                <w:sz w:val="24"/>
                <w:szCs w:val="24"/>
                <w:lang w:val="en-US" w:eastAsia="zh-CN"/>
              </w:rPr>
              <w:t>见附图1-1。</w:t>
            </w:r>
          </w:p>
          <w:p w14:paraId="571754AE">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本项目与若羌县具体环境管控单元准入清单一览表</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85"/>
              <w:gridCol w:w="4034"/>
              <w:gridCol w:w="2562"/>
              <w:gridCol w:w="784"/>
            </w:tblGrid>
            <w:tr w14:paraId="75FC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790" w:type="pct"/>
                  <w:tcBorders>
                    <w:tl2br w:val="nil"/>
                    <w:tr2bl w:val="nil"/>
                  </w:tcBorders>
                  <w:noWrap w:val="0"/>
                  <w:vAlign w:val="center"/>
                </w:tcPr>
                <w:p w14:paraId="72F4BD5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基本信息</w:t>
                  </w:r>
                </w:p>
              </w:tc>
              <w:tc>
                <w:tcPr>
                  <w:tcW w:w="2300" w:type="pct"/>
                  <w:tcBorders>
                    <w:tl2br w:val="nil"/>
                    <w:tr2bl w:val="nil"/>
                  </w:tcBorders>
                  <w:noWrap w:val="0"/>
                  <w:vAlign w:val="center"/>
                </w:tcPr>
                <w:p w14:paraId="5D51673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5"/>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空间布局约束</w:t>
                  </w:r>
                </w:p>
              </w:tc>
              <w:tc>
                <w:tcPr>
                  <w:tcW w:w="1461" w:type="pct"/>
                  <w:tcBorders>
                    <w:tl2br w:val="nil"/>
                    <w:tr2bl w:val="nil"/>
                  </w:tcBorders>
                  <w:noWrap w:val="0"/>
                  <w:vAlign w:val="center"/>
                </w:tcPr>
                <w:p w14:paraId="5F4B624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本项目</w:t>
                  </w:r>
                </w:p>
              </w:tc>
              <w:tc>
                <w:tcPr>
                  <w:tcW w:w="447" w:type="pct"/>
                  <w:tcBorders>
                    <w:tl2br w:val="nil"/>
                    <w:tr2bl w:val="nil"/>
                  </w:tcBorders>
                  <w:noWrap w:val="0"/>
                  <w:vAlign w:val="center"/>
                </w:tcPr>
                <w:p w14:paraId="4833FDF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rPr>
                    <w:t>符合性</w:t>
                  </w:r>
                </w:p>
              </w:tc>
            </w:tr>
            <w:tr w14:paraId="6379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790" w:type="pct"/>
                  <w:tcBorders>
                    <w:tl2br w:val="nil"/>
                    <w:tr2bl w:val="nil"/>
                  </w:tcBorders>
                  <w:noWrap w:val="0"/>
                  <w:vAlign w:val="center"/>
                </w:tcPr>
                <w:p w14:paraId="237E52D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ZH65282410008若羌县一般生态空间（优先保护单元）</w:t>
                  </w:r>
                </w:p>
              </w:tc>
              <w:tc>
                <w:tcPr>
                  <w:tcW w:w="2300" w:type="pct"/>
                  <w:tcBorders>
                    <w:tl2br w:val="nil"/>
                    <w:tr2bl w:val="nil"/>
                  </w:tcBorders>
                  <w:noWrap w:val="0"/>
                  <w:vAlign w:val="center"/>
                </w:tcPr>
                <w:p w14:paraId="5F6D5A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宋体" w:cs="Times New Roman"/>
                      <w:color w:val="auto"/>
                      <w:spacing w:val="5"/>
                      <w:kern w:val="0"/>
                      <w:sz w:val="21"/>
                      <w:szCs w:val="21"/>
                      <w:highlight w:val="none"/>
                      <w:lang w:val="en-US" w:eastAsia="zh-CN" w:bidi="ar"/>
                    </w:rPr>
                  </w:pPr>
                  <w:r>
                    <w:rPr>
                      <w:rFonts w:hint="default" w:ascii="Times New Roman" w:hAnsi="Times New Roman" w:eastAsia="宋体" w:cs="Times New Roman"/>
                      <w:color w:val="auto"/>
                      <w:spacing w:val="5"/>
                      <w:kern w:val="0"/>
                      <w:sz w:val="21"/>
                      <w:szCs w:val="21"/>
                      <w:highlight w:val="none"/>
                      <w:lang w:val="en-US" w:eastAsia="zh-CN" w:bidi="ar"/>
                    </w:rPr>
                    <w:t>严格执行主体功能区划，明确不同功能区的环境准入条件和污染物排放标准；限制开发区，坚持保护优先，严格限制高污染项目，允许已列入规划的矿产项目、现有矿山企业，景区旅游开发项目以及水库、机场、公路、工业园区等项目合理开发。科学制定并严格实施县域规划，形成有利于污染物处理及扩散的区域空间格局。</w:t>
                  </w:r>
                </w:p>
              </w:tc>
              <w:tc>
                <w:tcPr>
                  <w:tcW w:w="1461" w:type="pct"/>
                  <w:tcBorders>
                    <w:tl2br w:val="nil"/>
                    <w:tr2bl w:val="nil"/>
                  </w:tcBorders>
                  <w:noWrap w:val="0"/>
                  <w:vAlign w:val="center"/>
                </w:tcPr>
                <w:p w14:paraId="52AAB09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根据《新疆维吾尔自治区主体功能区规划》，本工程位于国家级重点生态功能区，不在新疆维吾尔自治区主体功能区规划划定的禁止开发区，主要目的是勘探油气资源</w:t>
                  </w:r>
                  <w:r>
                    <w:rPr>
                      <w:rFonts w:hint="eastAsia" w:cs="Times New Roman"/>
                      <w:color w:val="auto"/>
                      <w:kern w:val="0"/>
                      <w:sz w:val="21"/>
                      <w:szCs w:val="21"/>
                      <w:highlight w:val="none"/>
                      <w:lang w:val="en-US" w:eastAsia="zh-CN" w:bidi="ar"/>
                    </w:rPr>
                    <w:t>，与区域主体功能区划目标相协调</w:t>
                  </w:r>
                </w:p>
              </w:tc>
              <w:tc>
                <w:tcPr>
                  <w:tcW w:w="447" w:type="pct"/>
                  <w:tcBorders>
                    <w:tl2br w:val="nil"/>
                    <w:tr2bl w:val="nil"/>
                  </w:tcBorders>
                  <w:noWrap w:val="0"/>
                  <w:vAlign w:val="center"/>
                </w:tcPr>
                <w:p w14:paraId="7E8B6AF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spacing w:val="5"/>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符合</w:t>
                  </w:r>
                </w:p>
              </w:tc>
            </w:tr>
          </w:tbl>
          <w:p w14:paraId="39F092EE">
            <w:pPr>
              <w:pStyle w:val="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相关生态环境保护法律法规和政策符合性分析</w:t>
            </w:r>
          </w:p>
          <w:p w14:paraId="137FB1E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相关政策符合性分析见表1-</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w:t>
            </w:r>
          </w:p>
          <w:p w14:paraId="7B1C57FA">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ascii="Times New Roman" w:hAnsi="Times New Roman" w:eastAsia="宋体"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相关生态环境保护法律法规政策符合性分析一览表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26"/>
              <w:gridCol w:w="1234"/>
              <w:gridCol w:w="3142"/>
              <w:gridCol w:w="2895"/>
              <w:gridCol w:w="265"/>
            </w:tblGrid>
            <w:tr w14:paraId="1C68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noWrap w:val="0"/>
                  <w:vAlign w:val="center"/>
                </w:tcPr>
                <w:p w14:paraId="4D4AFD3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文件名称</w:t>
                  </w:r>
                </w:p>
              </w:tc>
              <w:tc>
                <w:tcPr>
                  <w:tcW w:w="704" w:type="pct"/>
                  <w:noWrap w:val="0"/>
                  <w:vAlign w:val="center"/>
                </w:tcPr>
                <w:p w14:paraId="0C5A6FC9">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类别</w:t>
                  </w:r>
                </w:p>
              </w:tc>
              <w:tc>
                <w:tcPr>
                  <w:tcW w:w="1792" w:type="pct"/>
                  <w:noWrap w:val="0"/>
                  <w:vAlign w:val="center"/>
                </w:tcPr>
                <w:p w14:paraId="5760FA04">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文件要求</w:t>
                  </w:r>
                </w:p>
              </w:tc>
              <w:tc>
                <w:tcPr>
                  <w:tcW w:w="1652" w:type="pct"/>
                  <w:noWrap w:val="0"/>
                  <w:vAlign w:val="center"/>
                </w:tcPr>
                <w:p w14:paraId="0A4A7C7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本项目</w:t>
                  </w:r>
                </w:p>
              </w:tc>
              <w:tc>
                <w:tcPr>
                  <w:tcW w:w="151" w:type="pct"/>
                  <w:noWrap w:val="0"/>
                  <w:vAlign w:val="center"/>
                </w:tcPr>
                <w:p w14:paraId="6550B47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b w:val="0"/>
                      <w:bCs w:val="0"/>
                      <w:snapToGrid w:val="0"/>
                      <w:color w:val="auto"/>
                      <w:spacing w:val="0"/>
                      <w:kern w:val="0"/>
                      <w:sz w:val="21"/>
                      <w:szCs w:val="21"/>
                      <w:highlight w:val="none"/>
                    </w:rPr>
                  </w:pPr>
                  <w:r>
                    <w:rPr>
                      <w:rFonts w:hint="default" w:ascii="Times New Roman" w:hAnsi="Times New Roman" w:eastAsia="宋体" w:cs="Times New Roman"/>
                      <w:b w:val="0"/>
                      <w:bCs w:val="0"/>
                      <w:snapToGrid w:val="0"/>
                      <w:color w:val="auto"/>
                      <w:spacing w:val="0"/>
                      <w:kern w:val="0"/>
                      <w:sz w:val="21"/>
                      <w:szCs w:val="21"/>
                      <w:highlight w:val="none"/>
                    </w:rPr>
                    <w:t>符合性</w:t>
                  </w:r>
                </w:p>
              </w:tc>
            </w:tr>
            <w:tr w14:paraId="0652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restart"/>
                  <w:noWrap w:val="0"/>
                  <w:vAlign w:val="center"/>
                </w:tcPr>
                <w:p w14:paraId="3FE83A45">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《关于进一步加强石油</w:t>
                  </w:r>
                  <w:r>
                    <w:rPr>
                      <w:rFonts w:hint="eastAsia" w:cs="Times New Roman"/>
                      <w:snapToGrid w:val="0"/>
                      <w:color w:val="auto"/>
                      <w:spacing w:val="0"/>
                      <w:kern w:val="0"/>
                      <w:sz w:val="21"/>
                      <w:szCs w:val="21"/>
                      <w:highlight w:val="none"/>
                      <w:lang w:eastAsia="zh-CN"/>
                    </w:rPr>
                    <w:t>天然气</w:t>
                  </w:r>
                  <w:r>
                    <w:rPr>
                      <w:rFonts w:hint="default" w:ascii="Times New Roman" w:hAnsi="Times New Roman" w:eastAsia="宋体" w:cs="Times New Roman"/>
                      <w:snapToGrid w:val="0"/>
                      <w:color w:val="auto"/>
                      <w:spacing w:val="0"/>
                      <w:kern w:val="0"/>
                      <w:sz w:val="21"/>
                      <w:szCs w:val="21"/>
                      <w:highlight w:val="none"/>
                    </w:rPr>
                    <w:t>行业环境影响评价管理的通知》（环办环评函〔2019〕910号</w:t>
                  </w:r>
                  <w:r>
                    <w:rPr>
                      <w:rFonts w:hint="default" w:ascii="Times New Roman" w:hAnsi="Times New Roman" w:cs="Times New Roman"/>
                      <w:snapToGrid w:val="0"/>
                      <w:color w:val="auto"/>
                      <w:spacing w:val="0"/>
                      <w:kern w:val="0"/>
                      <w:sz w:val="21"/>
                      <w:szCs w:val="21"/>
                      <w:highlight w:val="none"/>
                      <w:lang w:eastAsia="zh-CN"/>
                    </w:rPr>
                    <w:t>）</w:t>
                  </w:r>
                </w:p>
              </w:tc>
              <w:tc>
                <w:tcPr>
                  <w:tcW w:w="704" w:type="pct"/>
                  <w:noWrap w:val="0"/>
                  <w:vAlign w:val="center"/>
                </w:tcPr>
                <w:p w14:paraId="59E0F6AC">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二、深化项目环评“放管服”改革</w:t>
                  </w:r>
                </w:p>
              </w:tc>
              <w:tc>
                <w:tcPr>
                  <w:tcW w:w="1792" w:type="pct"/>
                  <w:noWrap w:val="0"/>
                  <w:vAlign w:val="center"/>
                </w:tcPr>
                <w:p w14:paraId="74C18AD1">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（五</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未确定产能建设规模的陆地油气开采新区块，建设勘探井应当依法编制环境影响报告表。海洋油气勘探工程应当填报环境影响登记表并进行备案。确定产能建设规模后，原则上不得以勘探名义继续开展单井环评。勘探井转为生产井的，可以纳入区块环评。自2021年1月1日起，原则上不以单井形式开展环评。过渡期间，项目建设单位可以根据实际情况，报批区块环评或单井环评。在本通知印发前已经取得环评批复、不在海洋生态环境敏感区内、未纳入油气开采区块产能建设项目环评且排污量未超出原环评批复排放总量的海洋油气开发工程调整井项目，实施环境影响登记表备案管理</w:t>
                  </w:r>
                  <w:r>
                    <w:rPr>
                      <w:rFonts w:hint="default" w:ascii="Times New Roman" w:hAnsi="Times New Roman" w:cs="Times New Roman"/>
                      <w:snapToGrid w:val="0"/>
                      <w:color w:val="auto"/>
                      <w:spacing w:val="0"/>
                      <w:kern w:val="0"/>
                      <w:sz w:val="21"/>
                      <w:szCs w:val="21"/>
                      <w:highlight w:val="none"/>
                      <w:lang w:eastAsia="zh-CN"/>
                    </w:rPr>
                    <w:t>。</w:t>
                  </w:r>
                </w:p>
              </w:tc>
              <w:tc>
                <w:tcPr>
                  <w:tcW w:w="1652" w:type="pct"/>
                  <w:noWrap w:val="0"/>
                  <w:vAlign w:val="center"/>
                </w:tcPr>
                <w:p w14:paraId="5A969AA8">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color w:val="auto"/>
                      <w:spacing w:val="0"/>
                      <w:sz w:val="21"/>
                      <w:szCs w:val="21"/>
                      <w:highlight w:val="none"/>
                    </w:rPr>
                    <w:t>本项目属于石油勘探钻井工程，</w:t>
                  </w:r>
                  <w:r>
                    <w:rPr>
                      <w:rFonts w:hint="default" w:ascii="Times New Roman" w:hAnsi="Times New Roman" w:eastAsia="宋体" w:cs="Times New Roman"/>
                      <w:snapToGrid w:val="0"/>
                      <w:color w:val="auto"/>
                      <w:spacing w:val="0"/>
                      <w:kern w:val="0"/>
                      <w:sz w:val="21"/>
                      <w:szCs w:val="21"/>
                      <w:highlight w:val="none"/>
                    </w:rPr>
                    <w:t>项目实施的目的为确定区域油气产能建设规模（包括储量及质量</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。若测试放喷过程中发现油气资源储量可供开采，需转为生产井的，按相关环保法律法规等要求对地面工程建设开展相应环境影响评价工作</w:t>
                  </w:r>
                  <w:r>
                    <w:rPr>
                      <w:rFonts w:hint="default" w:ascii="Times New Roman" w:hAnsi="Times New Roman" w:eastAsia="宋体" w:cs="Times New Roman"/>
                      <w:color w:val="auto"/>
                      <w:spacing w:val="0"/>
                      <w:sz w:val="21"/>
                      <w:szCs w:val="21"/>
                      <w:highlight w:val="none"/>
                    </w:rPr>
                    <w:t>。</w:t>
                  </w:r>
                </w:p>
              </w:tc>
              <w:tc>
                <w:tcPr>
                  <w:tcW w:w="151" w:type="pct"/>
                  <w:noWrap w:val="0"/>
                  <w:vAlign w:val="center"/>
                </w:tcPr>
                <w:p w14:paraId="191892DC">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5A4D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129CACCF">
                  <w:pPr>
                    <w:keepNext w:val="0"/>
                    <w:keepLines w:val="0"/>
                    <w:pageBreakBefore w:val="0"/>
                    <w:widowControl/>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restart"/>
                  <w:noWrap w:val="0"/>
                  <w:vAlign w:val="center"/>
                </w:tcPr>
                <w:p w14:paraId="00E30911">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三、强化生态环境保护措施</w:t>
                  </w:r>
                </w:p>
              </w:tc>
              <w:tc>
                <w:tcPr>
                  <w:tcW w:w="1792" w:type="pct"/>
                  <w:noWrap w:val="0"/>
                  <w:vAlign w:val="center"/>
                </w:tcPr>
                <w:p w14:paraId="0E94C3A0">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（十一</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r>
                    <w:rPr>
                      <w:rFonts w:hint="default" w:ascii="Times New Roman" w:hAnsi="Times New Roman" w:cs="Times New Roman"/>
                      <w:snapToGrid w:val="0"/>
                      <w:color w:val="auto"/>
                      <w:spacing w:val="0"/>
                      <w:kern w:val="0"/>
                      <w:sz w:val="21"/>
                      <w:szCs w:val="21"/>
                      <w:highlight w:val="none"/>
                      <w:lang w:eastAsia="zh-CN"/>
                    </w:rPr>
                    <w:t>。</w:t>
                  </w:r>
                </w:p>
              </w:tc>
              <w:tc>
                <w:tcPr>
                  <w:tcW w:w="1652" w:type="pct"/>
                  <w:noWrap w:val="0"/>
                  <w:vAlign w:val="center"/>
                </w:tcPr>
                <w:p w14:paraId="42E57EB2">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本项目施工周期较短，报告中已提出施工过程中严格控制施工范围，减少施工占地的措施，要求施工结束后及时进行恢复清理，落实报告中提出的生态保护措施，避免对区域生态环境造成影响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7DCF2BC3">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03BC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45912C4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continue"/>
                  <w:noWrap w:val="0"/>
                  <w:vAlign w:val="center"/>
                </w:tcPr>
                <w:p w14:paraId="77A872C3">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14:paraId="06F3F538">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（十四</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油气企业应当加强风险防控，按规定编制突发环境事件应急预案，报所在地生态环境主管部门备案。海洋油气勘探开发溢油应急计划报相关海域生态环境监督管理局备案。</w:t>
                  </w:r>
                </w:p>
              </w:tc>
              <w:tc>
                <w:tcPr>
                  <w:tcW w:w="1652" w:type="pct"/>
                  <w:noWrap w:val="0"/>
                  <w:vAlign w:val="center"/>
                </w:tcPr>
                <w:p w14:paraId="4ACBA150">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cs="Times New Roman"/>
                      <w:snapToGrid w:val="0"/>
                      <w:color w:val="auto"/>
                      <w:spacing w:val="0"/>
                      <w:kern w:val="0"/>
                      <w:sz w:val="21"/>
                      <w:szCs w:val="21"/>
                      <w:highlight w:val="none"/>
                      <w:lang w:val="en-US" w:eastAsia="zh-CN"/>
                    </w:rPr>
                    <w:t>勘探井</w:t>
                  </w:r>
                  <w:r>
                    <w:rPr>
                      <w:rFonts w:hint="default" w:ascii="Times New Roman" w:hAnsi="Times New Roman" w:eastAsia="宋体" w:cs="Times New Roman"/>
                      <w:snapToGrid w:val="0"/>
                      <w:color w:val="auto"/>
                      <w:spacing w:val="0"/>
                      <w:kern w:val="0"/>
                      <w:sz w:val="21"/>
                      <w:szCs w:val="21"/>
                      <w:highlight w:val="none"/>
                    </w:rPr>
                    <w:t>钻井工程按规定编制突发环境事件应急预案</w:t>
                  </w:r>
                  <w:r>
                    <w:rPr>
                      <w:rFonts w:hint="default" w:ascii="Times New Roman" w:hAnsi="Times New Roman" w:cs="Times New Roman"/>
                      <w:snapToGrid w:val="0"/>
                      <w:color w:val="auto"/>
                      <w:spacing w:val="0"/>
                      <w:kern w:val="0"/>
                      <w:sz w:val="21"/>
                      <w:szCs w:val="21"/>
                      <w:highlight w:val="none"/>
                      <w:lang w:val="en-US" w:eastAsia="zh-CN"/>
                    </w:rPr>
                    <w:t>并在当地生态环境部门备案，定期开展应急演练</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391575A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080E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0E95E177">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continue"/>
                  <w:noWrap w:val="0"/>
                  <w:vAlign w:val="bottom"/>
                </w:tcPr>
                <w:p w14:paraId="0012B26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14:paraId="33EC24D9">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shd w:val="clear" w:color="auto" w:fill="FFFFFF"/>
                      <w:lang w:bidi="ar"/>
                    </w:rPr>
                    <w:t>（</w:t>
                  </w:r>
                  <w:r>
                    <w:rPr>
                      <w:rFonts w:hint="default" w:ascii="Times New Roman" w:hAnsi="Times New Roman" w:eastAsia="宋体" w:cs="Times New Roman"/>
                      <w:snapToGrid w:val="0"/>
                      <w:color w:val="auto"/>
                      <w:spacing w:val="0"/>
                      <w:kern w:val="0"/>
                      <w:sz w:val="21"/>
                      <w:szCs w:val="21"/>
                      <w:highlight w:val="none"/>
                    </w:rPr>
                    <w:t>十五</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油气企业应当切实落实生态环境保护主体责任，进一步健全生态环境保护管理体系和制度，充分发挥企业内部生态环境保护部门作用，健全健康、安全与环境（HSE</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管理体系，加强督促检查，推动所属油气田落实规划、建设、运营、退役等环节生态环境保护措施。项目正式开工后，油气开采企业应当每年向具有管辖权的生态环境主管部门书面报告工程实施或变动情况、生态环境保护工作情况，涉及自然保护地和生态保护红线的，应当说明工程实施的合法合规性和对自然生态系统、主要保护对象等的实际影响，接受生态环境主管部门依法监管。</w:t>
                  </w:r>
                </w:p>
              </w:tc>
              <w:tc>
                <w:tcPr>
                  <w:tcW w:w="1652" w:type="pct"/>
                  <w:noWrap w:val="0"/>
                  <w:vAlign w:val="center"/>
                </w:tcPr>
                <w:p w14:paraId="22D143C5">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本项目按照规划要求落实生态环保措施，报告中已提出施工过程中严格控制施工范围，减少施工占地的措施，要求施工结束后及时进行恢复清理，落实报告中提出的生态保护措施，避免对区域生态环境造成影响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1E99CD58">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5BD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116AD89B">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noWrap w:val="0"/>
                  <w:vAlign w:val="center"/>
                </w:tcPr>
                <w:p w14:paraId="7809102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四、加强事中事后监管</w:t>
                  </w:r>
                </w:p>
              </w:tc>
              <w:tc>
                <w:tcPr>
                  <w:tcW w:w="1792" w:type="pct"/>
                  <w:noWrap w:val="0"/>
                  <w:vAlign w:val="center"/>
                </w:tcPr>
                <w:p w14:paraId="280F1002">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（二十</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工程设施退役，建设单位或生产经营单位应当按照相关要求，采取有效生态环境保护措施。同时，按照《中华人民共和国土壤污染防治法》《土壤环境质量 建设用地土壤污染风险管控标准（试行</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》（GB 36600</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的要求，对永久停用、拆除或弃置的各类井、管道等工程设施落实封堵、土壤及地下水修复、生态修复等措施。海洋油气勘探开发活动终止后，相关设施需要在海上弃置的，应当拆除可能造成海洋环境污染损害或者影响海洋资源开发利用的部分，并参照有关海洋倾倒废弃物管理的规定进行。拆除时，应当编制拆除环境保护方案，采取必要的措施，防止对海洋环境造成污染和损害</w:t>
                  </w:r>
                  <w:r>
                    <w:rPr>
                      <w:rFonts w:hint="default" w:ascii="Times New Roman" w:hAnsi="Times New Roman" w:cs="Times New Roman"/>
                      <w:snapToGrid w:val="0"/>
                      <w:color w:val="auto"/>
                      <w:spacing w:val="0"/>
                      <w:kern w:val="0"/>
                      <w:sz w:val="21"/>
                      <w:szCs w:val="21"/>
                      <w:highlight w:val="none"/>
                      <w:lang w:eastAsia="zh-CN"/>
                    </w:rPr>
                    <w:t>。</w:t>
                  </w:r>
                </w:p>
              </w:tc>
              <w:tc>
                <w:tcPr>
                  <w:tcW w:w="1652" w:type="pct"/>
                  <w:noWrap w:val="0"/>
                  <w:vAlign w:val="center"/>
                </w:tcPr>
                <w:p w14:paraId="76283744">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本项目为勘探井，钻井结束后，若测试放喷显示无工业开采价值，需封井，井场临时占地恢复，落实各项生态保护措施</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7185CA5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473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restart"/>
                  <w:noWrap w:val="0"/>
                  <w:vAlign w:val="center"/>
                </w:tcPr>
                <w:p w14:paraId="46CE1863">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《钻前工程及井场布置技术要求》</w:t>
                  </w:r>
                  <w:r>
                    <w:rPr>
                      <w:rFonts w:hint="default" w:ascii="Times New Roman" w:hAnsi="Times New Roman" w:cs="Times New Roman"/>
                      <w:snapToGrid w:val="0"/>
                      <w:color w:val="auto"/>
                      <w:spacing w:val="0"/>
                      <w:kern w:val="0"/>
                      <w:sz w:val="21"/>
                      <w:szCs w:val="21"/>
                      <w:highlight w:val="none"/>
                      <w:lang w:eastAsia="zh-CN"/>
                    </w:rPr>
                    <w:t>（</w:t>
                  </w:r>
                  <w:r>
                    <w:rPr>
                      <w:rFonts w:hint="default" w:ascii="Times New Roman" w:hAnsi="Times New Roman" w:eastAsia="宋体" w:cs="Times New Roman"/>
                      <w:snapToGrid w:val="0"/>
                      <w:color w:val="auto"/>
                      <w:spacing w:val="0"/>
                      <w:kern w:val="0"/>
                      <w:sz w:val="21"/>
                      <w:szCs w:val="21"/>
                      <w:highlight w:val="none"/>
                    </w:rPr>
                    <w:t>SY/T5466-2013</w:t>
                  </w:r>
                  <w:r>
                    <w:rPr>
                      <w:rFonts w:hint="default" w:ascii="Times New Roman" w:hAnsi="Times New Roman" w:cs="Times New Roman"/>
                      <w:snapToGrid w:val="0"/>
                      <w:color w:val="auto"/>
                      <w:spacing w:val="0"/>
                      <w:kern w:val="0"/>
                      <w:sz w:val="21"/>
                      <w:szCs w:val="21"/>
                      <w:highlight w:val="none"/>
                      <w:lang w:eastAsia="zh-CN"/>
                    </w:rPr>
                    <w:t>）</w:t>
                  </w:r>
                </w:p>
              </w:tc>
              <w:tc>
                <w:tcPr>
                  <w:tcW w:w="704" w:type="pct"/>
                  <w:vMerge w:val="restart"/>
                  <w:noWrap w:val="0"/>
                  <w:vAlign w:val="center"/>
                </w:tcPr>
                <w:p w14:paraId="51075C1C">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3.1井场选择原则</w:t>
                  </w:r>
                </w:p>
              </w:tc>
              <w:tc>
                <w:tcPr>
                  <w:tcW w:w="1792" w:type="pct"/>
                  <w:noWrap w:val="0"/>
                  <w:vAlign w:val="center"/>
                </w:tcPr>
                <w:p w14:paraId="529D73E1">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井场应避开滑坡、泥石流等不良地段，在河滩、海滩地区应避开汛、潮期进行钻前施工。</w:t>
                  </w:r>
                </w:p>
              </w:tc>
              <w:tc>
                <w:tcPr>
                  <w:tcW w:w="1652" w:type="pct"/>
                  <w:noWrap w:val="0"/>
                  <w:vAlign w:val="center"/>
                </w:tcPr>
                <w:p w14:paraId="528E6883">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本项目井场</w:t>
                  </w:r>
                  <w:r>
                    <w:rPr>
                      <w:rFonts w:hint="eastAsia" w:cs="Times New Roman"/>
                      <w:snapToGrid w:val="0"/>
                      <w:color w:val="auto"/>
                      <w:spacing w:val="0"/>
                      <w:kern w:val="0"/>
                      <w:sz w:val="21"/>
                      <w:szCs w:val="21"/>
                      <w:highlight w:val="none"/>
                      <w:lang w:eastAsia="zh-CN"/>
                    </w:rPr>
                    <w:t>不存</w:t>
                  </w:r>
                  <w:r>
                    <w:rPr>
                      <w:rFonts w:hint="default" w:ascii="Times New Roman" w:hAnsi="Times New Roman" w:eastAsia="宋体" w:cs="Times New Roman"/>
                      <w:snapToGrid w:val="0"/>
                      <w:color w:val="auto"/>
                      <w:spacing w:val="0"/>
                      <w:kern w:val="0"/>
                      <w:sz w:val="21"/>
                      <w:szCs w:val="21"/>
                      <w:highlight w:val="none"/>
                    </w:rPr>
                    <w:t>在滑坡、泥石流等不良地段，也不属于河滩地区</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55D5665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525C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4C8AD83B">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continue"/>
                  <w:noWrap w:val="0"/>
                  <w:vAlign w:val="center"/>
                </w:tcPr>
                <w:p w14:paraId="577A965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14:paraId="09425AB4">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满足防洪、防喷、防爆、防毒、防冻等安全要求。</w:t>
                  </w:r>
                </w:p>
              </w:tc>
              <w:tc>
                <w:tcPr>
                  <w:tcW w:w="1652" w:type="pct"/>
                  <w:noWrap w:val="0"/>
                  <w:vAlign w:val="center"/>
                </w:tcPr>
                <w:p w14:paraId="03476D7A">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项目选址满足防喷、防爆、防毒、防冻等安全要求，在做好防范措施的前提下，洪水不会对井场造成影响</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6338D4E9">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0EAA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5EA4B60A">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restart"/>
                  <w:noWrap w:val="0"/>
                  <w:vAlign w:val="center"/>
                </w:tcPr>
                <w:p w14:paraId="701E6BAC">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3.2井位的确定</w:t>
                  </w:r>
                </w:p>
              </w:tc>
              <w:tc>
                <w:tcPr>
                  <w:tcW w:w="1792" w:type="pct"/>
                  <w:noWrap w:val="0"/>
                  <w:vAlign w:val="center"/>
                </w:tcPr>
                <w:p w14:paraId="092A122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油、气井井口距离高压线及其他永久性设施不小于75m，距民宅不小于100m，距铁路、高速公路不小于200m，距学校、医院和大型油库等人口密集性、高危性场所不小于500m。</w:t>
                  </w:r>
                </w:p>
              </w:tc>
              <w:tc>
                <w:tcPr>
                  <w:tcW w:w="1652" w:type="pct"/>
                  <w:noWrap w:val="0"/>
                  <w:vAlign w:val="center"/>
                </w:tcPr>
                <w:p w14:paraId="3B14CE50">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项目井口75m范围内无高压线及其他永久性设施，100m范围内无民宅，200m范围内无铁路、高速公路，</w:t>
                  </w:r>
                  <w:r>
                    <w:rPr>
                      <w:rFonts w:hint="default" w:ascii="Times New Roman" w:hAnsi="Times New Roman" w:cs="Times New Roman"/>
                      <w:snapToGrid w:val="0"/>
                      <w:color w:val="auto"/>
                      <w:spacing w:val="0"/>
                      <w:kern w:val="0"/>
                      <w:sz w:val="21"/>
                      <w:szCs w:val="21"/>
                      <w:highlight w:val="none"/>
                      <w:lang w:val="en-US" w:eastAsia="zh-CN"/>
                    </w:rPr>
                    <w:t>5</w:t>
                  </w:r>
                  <w:r>
                    <w:rPr>
                      <w:rFonts w:hint="default" w:ascii="Times New Roman" w:hAnsi="Times New Roman" w:eastAsia="宋体" w:cs="Times New Roman"/>
                      <w:snapToGrid w:val="0"/>
                      <w:color w:val="auto"/>
                      <w:spacing w:val="0"/>
                      <w:kern w:val="0"/>
                      <w:sz w:val="21"/>
                      <w:szCs w:val="21"/>
                      <w:highlight w:val="none"/>
                    </w:rPr>
                    <w:t>00m范围内无学校、医院和大型油库等人口</w:t>
                  </w:r>
                  <w:r>
                    <w:rPr>
                      <w:rFonts w:hint="eastAsia" w:cs="Times New Roman"/>
                      <w:snapToGrid w:val="0"/>
                      <w:color w:val="auto"/>
                      <w:spacing w:val="0"/>
                      <w:kern w:val="0"/>
                      <w:sz w:val="21"/>
                      <w:szCs w:val="21"/>
                      <w:highlight w:val="none"/>
                      <w:lang w:eastAsia="zh-CN"/>
                    </w:rPr>
                    <w:t>密集型</w:t>
                  </w:r>
                  <w:r>
                    <w:rPr>
                      <w:rFonts w:hint="default" w:ascii="Times New Roman" w:hAnsi="Times New Roman" w:eastAsia="宋体" w:cs="Times New Roman"/>
                      <w:snapToGrid w:val="0"/>
                      <w:color w:val="auto"/>
                      <w:spacing w:val="0"/>
                      <w:kern w:val="0"/>
                      <w:sz w:val="21"/>
                      <w:szCs w:val="21"/>
                      <w:highlight w:val="none"/>
                    </w:rPr>
                    <w:t>、高危性场所</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50F18A7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B02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02BA0178">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continue"/>
                  <w:noWrap w:val="0"/>
                  <w:vAlign w:val="center"/>
                </w:tcPr>
                <w:p w14:paraId="2718D2A0">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14:paraId="689F72C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在地下矿产采掘区钻井，井筒与采掘坑道、矿井坑道之间的距离不小于100m。</w:t>
                  </w:r>
                </w:p>
              </w:tc>
              <w:tc>
                <w:tcPr>
                  <w:tcW w:w="1652" w:type="pct"/>
                  <w:noWrap w:val="0"/>
                  <w:vAlign w:val="center"/>
                </w:tcPr>
                <w:p w14:paraId="0A786C92">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本项目钻井区不是地下矿产采掘区</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35E4CDA8">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6AEA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6B91BCA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704" w:type="pct"/>
                  <w:vMerge w:val="continue"/>
                  <w:noWrap w:val="0"/>
                  <w:vAlign w:val="center"/>
                </w:tcPr>
                <w:p w14:paraId="373C4EF8">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noWrap w:val="0"/>
                  <w:vAlign w:val="center"/>
                </w:tcPr>
                <w:p w14:paraId="1B8E5E2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井口距堤坝、水库的位置应根据国家水利部门的有关规定执行。</w:t>
                  </w:r>
                </w:p>
              </w:tc>
              <w:tc>
                <w:tcPr>
                  <w:tcW w:w="1652" w:type="pct"/>
                  <w:noWrap w:val="0"/>
                  <w:vAlign w:val="center"/>
                </w:tcPr>
                <w:p w14:paraId="77AB5CF9">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本项目井口周边不涉及堤坝、水库</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3A26C88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DD2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5E24D6D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《石油</w:t>
                  </w:r>
                  <w:r>
                    <w:rPr>
                      <w:rFonts w:hint="eastAsia" w:cs="Times New Roman"/>
                      <w:snapToGrid w:val="0"/>
                      <w:color w:val="auto"/>
                      <w:spacing w:val="0"/>
                      <w:kern w:val="0"/>
                      <w:sz w:val="21"/>
                      <w:szCs w:val="21"/>
                      <w:highlight w:val="none"/>
                      <w:lang w:eastAsia="zh-CN"/>
                    </w:rPr>
                    <w:t>天然气</w:t>
                  </w:r>
                  <w:r>
                    <w:rPr>
                      <w:rFonts w:hint="default" w:ascii="Times New Roman" w:hAnsi="Times New Roman" w:eastAsia="宋体" w:cs="Times New Roman"/>
                      <w:snapToGrid w:val="0"/>
                      <w:color w:val="auto"/>
                      <w:spacing w:val="0"/>
                      <w:kern w:val="0"/>
                      <w:sz w:val="21"/>
                      <w:szCs w:val="21"/>
                      <w:highlight w:val="none"/>
                    </w:rPr>
                    <w:t>开采业污染防治技术政策》（公告 2012年第18号</w:t>
                  </w:r>
                  <w:r>
                    <w:rPr>
                      <w:rFonts w:hint="default" w:ascii="Times New Roman" w:hAnsi="Times New Roman" w:cs="Times New Roman"/>
                      <w:snapToGrid w:val="0"/>
                      <w:color w:val="auto"/>
                      <w:spacing w:val="0"/>
                      <w:kern w:val="0"/>
                      <w:sz w:val="21"/>
                      <w:szCs w:val="21"/>
                      <w:highlight w:val="none"/>
                      <w:lang w:eastAsia="zh-CN"/>
                    </w:rPr>
                    <w:t>）</w:t>
                  </w:r>
                </w:p>
              </w:tc>
              <w:tc>
                <w:tcPr>
                  <w:tcW w:w="1792" w:type="pct"/>
                  <w:shd w:val="clear" w:color="auto" w:fill="auto"/>
                  <w:noWrap w:val="0"/>
                  <w:vAlign w:val="center"/>
                </w:tcPr>
                <w:p w14:paraId="7102C053">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在钻井过程中，鼓励采用环境友好的钻井液体系；配备完善的固控设备，钻井液循环率达到95%以上</w:t>
                  </w:r>
                  <w:r>
                    <w:rPr>
                      <w:rFonts w:hint="default" w:ascii="Times New Roman" w:hAnsi="Times New Roman" w:eastAsia="宋体" w:cs="Times New Roman"/>
                      <w:color w:val="auto"/>
                      <w:sz w:val="21"/>
                      <w:szCs w:val="21"/>
                      <w:lang w:eastAsia="zh-CN"/>
                    </w:rPr>
                    <w:t>。</w:t>
                  </w:r>
                </w:p>
              </w:tc>
              <w:tc>
                <w:tcPr>
                  <w:tcW w:w="1652" w:type="pct"/>
                  <w:shd w:val="clear" w:color="auto" w:fill="auto"/>
                  <w:noWrap w:val="0"/>
                  <w:vAlign w:val="center"/>
                </w:tcPr>
                <w:p w14:paraId="69173A69">
                  <w:pPr>
                    <w:pStyle w:val="82"/>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p>
              </w:tc>
              <w:tc>
                <w:tcPr>
                  <w:tcW w:w="151" w:type="pct"/>
                  <w:noWrap w:val="0"/>
                  <w:vAlign w:val="center"/>
                </w:tcPr>
                <w:p w14:paraId="4A26DA73">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1974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07DD0DE4">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14:paraId="513986D1">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固体废物收集、贮存、处理处置设施应按照标准要求采取防渗措施</w:t>
                  </w:r>
                  <w:r>
                    <w:rPr>
                      <w:rFonts w:hint="default" w:ascii="Times New Roman" w:hAnsi="Times New Roman" w:eastAsia="宋体" w:cs="Times New Roman"/>
                      <w:color w:val="auto"/>
                      <w:sz w:val="21"/>
                      <w:szCs w:val="21"/>
                      <w:lang w:eastAsia="zh-CN"/>
                    </w:rPr>
                    <w:t>。</w:t>
                  </w:r>
                </w:p>
              </w:tc>
              <w:tc>
                <w:tcPr>
                  <w:tcW w:w="1652" w:type="pct"/>
                  <w:shd w:val="clear" w:color="auto" w:fill="auto"/>
                  <w:noWrap w:val="0"/>
                  <w:vAlign w:val="center"/>
                </w:tcPr>
                <w:p w14:paraId="54104ED5">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rPr>
                    <w:t>含油废物</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废弃包装材料及</w:t>
                  </w:r>
                  <w:r>
                    <w:rPr>
                      <w:rFonts w:hint="default" w:ascii="Times New Roman" w:hAnsi="Times New Roman" w:eastAsia="宋体" w:cs="Times New Roman"/>
                      <w:color w:val="auto"/>
                      <w:sz w:val="21"/>
                      <w:szCs w:val="21"/>
                    </w:rPr>
                    <w:t>废防渗材料等危险废物暂存于</w:t>
                  </w:r>
                  <w:r>
                    <w:rPr>
                      <w:rFonts w:hint="default" w:ascii="Times New Roman" w:hAnsi="Times New Roman" w:eastAsia="宋体" w:cs="Times New Roman"/>
                      <w:color w:val="auto"/>
                      <w:sz w:val="21"/>
                      <w:szCs w:val="21"/>
                      <w:lang w:eastAsia="zh-CN"/>
                    </w:rPr>
                    <w:t>危险废物贮存点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按照防渗要求采取防渗措施</w:t>
                  </w:r>
                  <w:r>
                    <w:rPr>
                      <w:rFonts w:hint="default" w:ascii="Times New Roman" w:hAnsi="Times New Roman" w:eastAsia="宋体" w:cs="Times New Roman"/>
                      <w:color w:val="auto"/>
                      <w:sz w:val="21"/>
                      <w:szCs w:val="21"/>
                    </w:rPr>
                    <w:t>。</w:t>
                  </w:r>
                </w:p>
              </w:tc>
              <w:tc>
                <w:tcPr>
                  <w:tcW w:w="151" w:type="pct"/>
                  <w:noWrap w:val="0"/>
                  <w:vAlign w:val="center"/>
                </w:tcPr>
                <w:p w14:paraId="62C74D86">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7516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469A897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14:paraId="7C05A068">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井下作业过程中，酸化液和压裂液宜集中配制，酸化残液、压裂残液和返排液应回收利用或进行无害化处置，压裂放喷返排入罐率应达到100%。酸化、压裂作业和试油（气）过程应采取防喷、地面管线防刺、防漏、防溢等措施</w:t>
                  </w:r>
                  <w:r>
                    <w:rPr>
                      <w:rFonts w:hint="default" w:ascii="Times New Roman" w:hAnsi="Times New Roman" w:eastAsia="宋体" w:cs="Times New Roman"/>
                      <w:color w:val="auto"/>
                      <w:sz w:val="21"/>
                      <w:szCs w:val="21"/>
                      <w:lang w:eastAsia="zh-CN"/>
                    </w:rPr>
                    <w:t>。</w:t>
                  </w:r>
                </w:p>
              </w:tc>
              <w:tc>
                <w:tcPr>
                  <w:tcW w:w="1652" w:type="pct"/>
                  <w:shd w:val="clear" w:color="auto" w:fill="auto"/>
                  <w:noWrap w:val="0"/>
                  <w:vAlign w:val="center"/>
                </w:tcPr>
                <w:p w14:paraId="27EC07E7">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highlight w:val="none"/>
                      <w:lang w:val="en-US" w:eastAsia="zh-CN"/>
                    </w:rPr>
                    <w:t>酸化压</w:t>
                  </w:r>
                  <w:r>
                    <w:rPr>
                      <w:rFonts w:hint="default" w:ascii="Times New Roman" w:hAnsi="Times New Roman" w:eastAsia="宋体" w:cs="Times New Roman"/>
                      <w:color w:val="auto"/>
                      <w:sz w:val="21"/>
                      <w:szCs w:val="21"/>
                      <w:lang w:val="en-US" w:eastAsia="zh-CN"/>
                    </w:rPr>
                    <w:t>裂反排液采用专用废液收集罐收集，</w:t>
                  </w:r>
                  <w:r>
                    <w:rPr>
                      <w:rFonts w:hint="default" w:ascii="Times New Roman" w:hAnsi="Times New Roman" w:eastAsia="宋体" w:cs="Times New Roman"/>
                      <w:color w:val="auto"/>
                      <w:sz w:val="21"/>
                      <w:szCs w:val="21"/>
                      <w:highlight w:val="none"/>
                      <w:lang w:val="en-US" w:eastAsia="zh-CN"/>
                    </w:rPr>
                    <w:t>运至新疆腾疆环保科技有限公司处置；</w:t>
                  </w:r>
                  <w:r>
                    <w:rPr>
                      <w:rFonts w:hint="default" w:ascii="Times New Roman" w:hAnsi="Times New Roman" w:eastAsia="宋体" w:cs="Times New Roman"/>
                      <w:color w:val="auto"/>
                      <w:sz w:val="21"/>
                      <w:szCs w:val="21"/>
                    </w:rPr>
                    <w:t>试油（气）过程采取</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防喷、地面管线防刺、防漏、防溢等措施。</w:t>
                  </w:r>
                </w:p>
              </w:tc>
              <w:tc>
                <w:tcPr>
                  <w:tcW w:w="151" w:type="pct"/>
                  <w:noWrap w:val="0"/>
                  <w:vAlign w:val="center"/>
                </w:tcPr>
                <w:p w14:paraId="33D949F8">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892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1F4F3DF7">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14:paraId="20B733EA">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油气田企业应对勘探开发过程进行环境风险因素识别，制定突发环境事件应急预案并定期进行演练。应开展特征污染物监测工作，采取环境风险防范和应急措施，防止发生由突发性油气泄漏产生的环境事故</w:t>
                  </w:r>
                  <w:r>
                    <w:rPr>
                      <w:rFonts w:hint="default" w:ascii="Times New Roman" w:hAnsi="Times New Roman" w:eastAsia="宋体" w:cs="Times New Roman"/>
                      <w:color w:val="auto"/>
                      <w:sz w:val="21"/>
                      <w:szCs w:val="21"/>
                      <w:lang w:eastAsia="zh-CN"/>
                    </w:rPr>
                    <w:t>。</w:t>
                  </w:r>
                </w:p>
              </w:tc>
              <w:tc>
                <w:tcPr>
                  <w:tcW w:w="1652" w:type="pct"/>
                  <w:shd w:val="clear" w:color="auto" w:fill="auto"/>
                  <w:noWrap w:val="0"/>
                  <w:vAlign w:val="center"/>
                </w:tcPr>
                <w:p w14:paraId="6D4796F2">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本项目</w:t>
                  </w:r>
                  <w:r>
                    <w:rPr>
                      <w:rFonts w:hint="default" w:ascii="Times New Roman" w:hAnsi="Times New Roman" w:eastAsia="宋体" w:cs="Times New Roman"/>
                      <w:color w:val="auto"/>
                      <w:sz w:val="21"/>
                      <w:szCs w:val="21"/>
                    </w:rPr>
                    <w:t>根据《企业事业单位突发环境事件应急预案备案管理办法（试行）》（环发〔2015〕4号）、《新疆维吾尔自治区突发环境事件应急预案编制导则（试行）》中的要求，编制环境应急预案并备案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从而对环境风险进行有效防治。</w:t>
                  </w:r>
                </w:p>
              </w:tc>
              <w:tc>
                <w:tcPr>
                  <w:tcW w:w="151" w:type="pct"/>
                  <w:noWrap w:val="0"/>
                  <w:vAlign w:val="center"/>
                </w:tcPr>
                <w:p w14:paraId="36CA6D58">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6525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373CC98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p>
              </w:tc>
              <w:tc>
                <w:tcPr>
                  <w:tcW w:w="1792" w:type="pct"/>
                  <w:shd w:val="clear" w:color="auto" w:fill="auto"/>
                  <w:noWrap w:val="0"/>
                  <w:vAlign w:val="center"/>
                </w:tcPr>
                <w:p w14:paraId="2CD9C6FE">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在钻井和井下作业过程中，鼓励污油、污水进入生产流程循环利用，未进入生产流程的污油、污水应采用固液分离、废水处理</w:t>
                  </w:r>
                  <w:r>
                    <w:rPr>
                      <w:rFonts w:hint="default" w:ascii="Times New Roman" w:hAnsi="Times New Roman" w:eastAsia="宋体" w:cs="Times New Roman"/>
                      <w:color w:val="auto"/>
                      <w:sz w:val="21"/>
                      <w:szCs w:val="21"/>
                      <w:lang w:val="en-US" w:eastAsia="zh-CN"/>
                    </w:rPr>
                    <w:t>撬装式</w:t>
                  </w:r>
                  <w:r>
                    <w:rPr>
                      <w:rFonts w:hint="default" w:ascii="Times New Roman" w:hAnsi="Times New Roman" w:eastAsia="宋体" w:cs="Times New Roman"/>
                      <w:color w:val="auto"/>
                      <w:sz w:val="21"/>
                      <w:szCs w:val="21"/>
                    </w:rPr>
                    <w:t>装置等处理后达标外排</w:t>
                  </w:r>
                  <w:r>
                    <w:rPr>
                      <w:rFonts w:hint="default" w:ascii="Times New Roman" w:hAnsi="Times New Roman" w:eastAsia="宋体" w:cs="Times New Roman"/>
                      <w:color w:val="auto"/>
                      <w:sz w:val="21"/>
                      <w:szCs w:val="21"/>
                      <w:lang w:eastAsia="zh-CN"/>
                    </w:rPr>
                    <w:t>。</w:t>
                  </w:r>
                </w:p>
              </w:tc>
              <w:tc>
                <w:tcPr>
                  <w:tcW w:w="1652" w:type="pct"/>
                  <w:shd w:val="clear" w:color="auto" w:fill="auto"/>
                  <w:noWrap w:val="0"/>
                  <w:vAlign w:val="center"/>
                </w:tcPr>
                <w:p w14:paraId="77107C02">
                  <w:pPr>
                    <w:pStyle w:val="122"/>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sz w:val="21"/>
                      <w:szCs w:val="21"/>
                    </w:rPr>
                    <w:t>。</w:t>
                  </w:r>
                  <w:r>
                    <w:rPr>
                      <w:rFonts w:hint="eastAsia" w:ascii="Times New Roman" w:hAnsi="Times New Roman" w:cs="Times New Roman"/>
                      <w:color w:val="auto"/>
                      <w:sz w:val="21"/>
                      <w:szCs w:val="21"/>
                      <w:lang w:val="en-US" w:eastAsia="zh-CN"/>
                    </w:rPr>
                    <w:t>酸化</w:t>
                  </w:r>
                  <w:r>
                    <w:rPr>
                      <w:rFonts w:hint="default" w:ascii="Times New Roman" w:hAnsi="Times New Roman" w:eastAsia="宋体" w:cs="Times New Roman"/>
                      <w:color w:val="auto"/>
                      <w:sz w:val="21"/>
                      <w:szCs w:val="21"/>
                    </w:rPr>
                    <w:t>压裂返排液采用专用</w:t>
                  </w:r>
                  <w:r>
                    <w:rPr>
                      <w:rFonts w:hint="default" w:ascii="Times New Roman" w:hAnsi="Times New Roman" w:eastAsia="宋体" w:cs="Times New Roman"/>
                      <w:color w:val="auto"/>
                      <w:sz w:val="21"/>
                      <w:szCs w:val="21"/>
                      <w:lang w:val="en-US" w:eastAsia="zh-CN"/>
                    </w:rPr>
                    <w:t>废液</w:t>
                  </w:r>
                  <w:r>
                    <w:rPr>
                      <w:rFonts w:hint="default" w:ascii="Times New Roman" w:hAnsi="Times New Roman" w:eastAsia="宋体" w:cs="Times New Roman"/>
                      <w:color w:val="auto"/>
                      <w:sz w:val="21"/>
                      <w:szCs w:val="21"/>
                    </w:rPr>
                    <w:t>收集罐，拉运至</w:t>
                  </w:r>
                  <w:r>
                    <w:rPr>
                      <w:rFonts w:hint="default" w:ascii="Times New Roman" w:hAnsi="Times New Roman" w:eastAsia="宋体" w:cs="Times New Roman"/>
                      <w:color w:val="auto"/>
                      <w:sz w:val="21"/>
                      <w:szCs w:val="21"/>
                      <w:lang w:eastAsia="zh-CN"/>
                    </w:rPr>
                    <w:t>有资质的单位</w:t>
                  </w:r>
                  <w:r>
                    <w:rPr>
                      <w:rFonts w:hint="default" w:ascii="Times New Roman" w:hAnsi="Times New Roman" w:eastAsia="宋体" w:cs="Times New Roman"/>
                      <w:color w:val="auto"/>
                      <w:sz w:val="21"/>
                      <w:szCs w:val="21"/>
                    </w:rPr>
                    <w:t>处理。</w:t>
                  </w:r>
                </w:p>
              </w:tc>
              <w:tc>
                <w:tcPr>
                  <w:tcW w:w="151" w:type="pct"/>
                  <w:noWrap w:val="0"/>
                  <w:vAlign w:val="center"/>
                </w:tcPr>
                <w:p w14:paraId="1C954F94">
                  <w:pPr>
                    <w:keepNext w:val="0"/>
                    <w:keepLines w:val="0"/>
                    <w:pageBreakBefore w:val="0"/>
                    <w:wordWrap/>
                    <w:overflowPunct/>
                    <w:bidi w:val="0"/>
                    <w:snapToGrid/>
                    <w:spacing w:line="260" w:lineRule="exact"/>
                    <w:jc w:val="center"/>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D61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56A7B2D3">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新疆生态环境保护“十四五”规划</w:t>
                  </w:r>
                </w:p>
              </w:tc>
              <w:tc>
                <w:tcPr>
                  <w:tcW w:w="1792" w:type="pct"/>
                  <w:noWrap w:val="0"/>
                  <w:vAlign w:val="center"/>
                </w:tcPr>
                <w:p w14:paraId="76C89A90">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推进产业转型升级。坚持高质量发展与严格环境准入标准相结合，坚持淘汰落后与鼓励先进相结合，支持产业发展向产业链中下游、价值链中高端迈进，坚持推进产业结构优化调整。全力推动节能环保产业发展，引导产业向绿色生产、清洁生产、循环生产转变，加快推进产业转型升级。支持企业实施智能化改造升级，推动石油开采、石油化工、煤化工、有色金属、钢铁、焦化、建材、农副产品加工等传统产业的重点企业改进工艺、节能降耗、提质增效，促进传统产业绿色化、智能化、高端化发展。</w:t>
                  </w:r>
                </w:p>
              </w:tc>
              <w:tc>
                <w:tcPr>
                  <w:tcW w:w="1652" w:type="pct"/>
                  <w:noWrap w:val="0"/>
                  <w:vAlign w:val="center"/>
                </w:tcPr>
                <w:p w14:paraId="0A004377">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本项目备用柴油发电机使用高标准清洁燃油</w:t>
                  </w:r>
                  <w:r>
                    <w:rPr>
                      <w:rFonts w:hint="default" w:ascii="Times New Roman" w:hAnsi="Times New Roman" w:cs="Times New Roman"/>
                      <w:color w:val="auto"/>
                      <w:spacing w:val="0"/>
                      <w:kern w:val="0"/>
                      <w:sz w:val="21"/>
                      <w:szCs w:val="21"/>
                      <w:highlight w:val="none"/>
                      <w:lang w:eastAsia="zh-CN"/>
                    </w:rPr>
                    <w:t>。</w:t>
                  </w:r>
                </w:p>
              </w:tc>
              <w:tc>
                <w:tcPr>
                  <w:tcW w:w="151" w:type="pct"/>
                  <w:noWrap w:val="0"/>
                  <w:vAlign w:val="center"/>
                </w:tcPr>
                <w:p w14:paraId="177D5485">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14:paraId="1ADA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4B80BD0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2105105E">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提升重点行业领域能效水平。加强高耗能行业企业的能效管理，提高能源利用效率，大力推动钢铁、建材、石油化工等重点行业以及其他行业重点用能单位持续开展节能工作，有效降低单位产品能耗。提高企业能源利用效率，实施重点工艺环节的能效提升改造，树立一批能效领跑、技术先进的示范领军企业。</w:t>
                  </w:r>
                </w:p>
              </w:tc>
              <w:tc>
                <w:tcPr>
                  <w:tcW w:w="1652" w:type="pct"/>
                  <w:noWrap w:val="0"/>
                  <w:vAlign w:val="center"/>
                </w:tcPr>
                <w:p w14:paraId="567029B0">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本项目施工过程中消耗水资源及能源量小，对区域资源造成的影响可接受，备用柴油发电机使用高标准清洁燃油</w:t>
                  </w:r>
                  <w:r>
                    <w:rPr>
                      <w:rFonts w:hint="default" w:ascii="Times New Roman" w:hAnsi="Times New Roman" w:cs="Times New Roman"/>
                      <w:color w:val="auto"/>
                      <w:spacing w:val="0"/>
                      <w:kern w:val="0"/>
                      <w:sz w:val="21"/>
                      <w:szCs w:val="21"/>
                      <w:highlight w:val="none"/>
                      <w:lang w:eastAsia="zh-CN"/>
                    </w:rPr>
                    <w:t>。</w:t>
                  </w:r>
                </w:p>
              </w:tc>
              <w:tc>
                <w:tcPr>
                  <w:tcW w:w="151" w:type="pct"/>
                  <w:noWrap w:val="0"/>
                  <w:vAlign w:val="center"/>
                </w:tcPr>
                <w:p w14:paraId="7821D70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14:paraId="7E3A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623E89DA">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466F1F03">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加强重点行业VOCs治理。实施VOCs排放总量控制，重点推进石油</w:t>
                  </w:r>
                  <w:r>
                    <w:rPr>
                      <w:rFonts w:hint="eastAsia" w:cs="Times New Roman"/>
                      <w:color w:val="auto"/>
                      <w:spacing w:val="0"/>
                      <w:sz w:val="21"/>
                      <w:szCs w:val="21"/>
                      <w:highlight w:val="none"/>
                      <w:lang w:eastAsia="zh-CN"/>
                    </w:rPr>
                    <w:t>天然气</w:t>
                  </w:r>
                  <w:r>
                    <w:rPr>
                      <w:rFonts w:hint="default" w:ascii="Times New Roman" w:hAnsi="Times New Roman" w:eastAsia="宋体" w:cs="Times New Roman"/>
                      <w:color w:val="auto"/>
                      <w:spacing w:val="0"/>
                      <w:sz w:val="21"/>
                      <w:szCs w:val="21"/>
                      <w:highlight w:val="none"/>
                    </w:rPr>
                    <w:t>开采、石化、化工、包装印刷、工业涂装、油品储运销等重点行业排放源以及机动车等移动源VOCs污染防治，加强重点行业、重点企业的精细化管控；全面推进使用低VOCs含量涂料、油墨、胶黏剂、清洗剂等；加强汽修行业VOCs综合治理，加大餐饮油烟污染治理力度，持续削减VOCs排放量。</w:t>
                  </w:r>
                </w:p>
              </w:tc>
              <w:tc>
                <w:tcPr>
                  <w:tcW w:w="1652" w:type="pct"/>
                  <w:noWrap w:val="0"/>
                  <w:vAlign w:val="center"/>
                </w:tcPr>
                <w:p w14:paraId="74172975">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本项目仅测试放喷期间会排放少量VOCs，通过科学计算放喷时间，减少放喷过程中的VOCs排放</w:t>
                  </w:r>
                  <w:r>
                    <w:rPr>
                      <w:rFonts w:hint="default" w:ascii="Times New Roman" w:hAnsi="Times New Roman" w:eastAsia="宋体" w:cs="Times New Roman"/>
                      <w:color w:val="auto"/>
                      <w:spacing w:val="0"/>
                      <w:sz w:val="21"/>
                      <w:szCs w:val="21"/>
                      <w:highlight w:val="none"/>
                      <w:lang w:val="zh-CN"/>
                    </w:rPr>
                    <w:t>，</w:t>
                  </w:r>
                  <w:r>
                    <w:rPr>
                      <w:rFonts w:hint="default" w:ascii="Times New Roman" w:hAnsi="Times New Roman" w:eastAsia="宋体" w:cs="Times New Roman"/>
                      <w:color w:val="auto"/>
                      <w:spacing w:val="0"/>
                      <w:sz w:val="21"/>
                      <w:szCs w:val="21"/>
                      <w:highlight w:val="none"/>
                    </w:rPr>
                    <w:t>且项目地处空旷区域，废气扩散条件好，对周围大气环境产生影响可接受</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7A7F0B0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14:paraId="71A2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2CDC7BEF">
                  <w:pPr>
                    <w:keepNext w:val="0"/>
                    <w:keepLines w:val="0"/>
                    <w:pageBreakBefore w:val="0"/>
                    <w:kinsoku/>
                    <w:wordWrap/>
                    <w:overflowPunct/>
                    <w:topLinePunct w:val="0"/>
                    <w:autoSpaceDE/>
                    <w:autoSpaceDN/>
                    <w:bidi w:val="0"/>
                    <w:adjustRightInd w:val="0"/>
                    <w:spacing w:line="0" w:lineRule="atLeast"/>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10"/>
                      <w:sz w:val="21"/>
                      <w:szCs w:val="21"/>
                      <w:highlight w:val="none"/>
                    </w:rPr>
                    <w:t>《巴音郭楞蒙古自治州生态环境“十四五”规划》</w:t>
                  </w:r>
                </w:p>
              </w:tc>
              <w:tc>
                <w:tcPr>
                  <w:tcW w:w="1792" w:type="pct"/>
                  <w:noWrap w:val="0"/>
                  <w:vAlign w:val="center"/>
                </w:tcPr>
                <w:p w14:paraId="45BF2186">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加强重点行业</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协同控制。深入实施《自治州重点行业挥发性有机物综合治理方案》，切实推进重点行业</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污染治理。重点推进石化、化工、包装印刷、工业涂装等重点行业以及机动车、油品储运销等交通源</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污染防治，加强芳香烃、烯烃、炔烃、醛类等活性强的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排放控制，持续削减重点企业</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排放量。建立健全以改善环境空气质量为核心的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污染防治管理体系，加强石化、煤化工、表面处理、印刷、油气储罐等重点排放行业的精细化管控，持续实施LARD治理。强化新增污染物排放控制，推进</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与NOx等的协同减排，改善环境空气质量。</w:t>
                  </w:r>
                </w:p>
              </w:tc>
              <w:tc>
                <w:tcPr>
                  <w:tcW w:w="1652" w:type="pct"/>
                  <w:noWrap w:val="0"/>
                  <w:vAlign w:val="center"/>
                </w:tcPr>
                <w:p w14:paraId="5B5BD5E2">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10"/>
                      <w:sz w:val="21"/>
                      <w:szCs w:val="21"/>
                      <w:highlight w:val="none"/>
                    </w:rPr>
                    <w:t>本工程仅测试放喷期间会排放少量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w:t>
                  </w:r>
                  <w:r>
                    <w:rPr>
                      <w:rFonts w:hint="default" w:ascii="Times New Roman" w:hAnsi="Times New Roman" w:eastAsia="宋体" w:cs="Times New Roman"/>
                      <w:color w:val="auto"/>
                      <w:spacing w:val="-10"/>
                      <w:sz w:val="21"/>
                      <w:szCs w:val="21"/>
                      <w:highlight w:val="none"/>
                      <w:lang w:val="zh-CN"/>
                    </w:rPr>
                    <w:t>，</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产生量小，且项目地处空旷区域，废气扩散条件好，对大气环境影响可接受</w:t>
                  </w:r>
                </w:p>
              </w:tc>
              <w:tc>
                <w:tcPr>
                  <w:tcW w:w="151" w:type="pct"/>
                  <w:noWrap w:val="0"/>
                  <w:vAlign w:val="center"/>
                </w:tcPr>
                <w:p w14:paraId="200C184A">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14:paraId="5900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6A71C4B5">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6D4DA09C">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有序实施建设用地风险管控和治理修复。推动全州重点行业企业用地土壤污染状况调查成果应用，提升土壤环境监管能力。严格落实建设用地土壤污染风险管控和修复名录制度。以用途变更为住宅、公共管理与公共服务用地的污染地块为重点，严格建设用地准入管理和风险管控。严控土壤重金属污染，加强油</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气</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田开发土壤污染防治，以历史遗留工业企业污染场地为重点，开展治理与修复工程。</w:t>
                  </w:r>
                </w:p>
              </w:tc>
              <w:tc>
                <w:tcPr>
                  <w:tcW w:w="1652" w:type="pct"/>
                  <w:noWrap w:val="0"/>
                  <w:vAlign w:val="center"/>
                </w:tcPr>
                <w:p w14:paraId="108119D9">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10"/>
                      <w:sz w:val="21"/>
                      <w:szCs w:val="21"/>
                      <w:highlight w:val="none"/>
                    </w:rPr>
                    <w:t>本项目废水、固废均妥善处置，并采取了严格的防渗防止土壤和地下水的污染</w:t>
                  </w:r>
                </w:p>
              </w:tc>
              <w:tc>
                <w:tcPr>
                  <w:tcW w:w="151" w:type="pct"/>
                  <w:noWrap w:val="0"/>
                  <w:vAlign w:val="center"/>
                </w:tcPr>
                <w:p w14:paraId="0CAA4332">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14:paraId="58B0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73BC73D0">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43D898EF">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10"/>
                      <w:sz w:val="21"/>
                      <w:szCs w:val="21"/>
                      <w:highlight w:val="none"/>
                    </w:rPr>
                    <w:t>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652" w:type="pct"/>
                  <w:noWrap w:val="0"/>
                  <w:vAlign w:val="center"/>
                </w:tcPr>
                <w:p w14:paraId="1DAD9400">
                  <w:pPr>
                    <w:keepNext w:val="0"/>
                    <w:keepLines w:val="0"/>
                    <w:pageBreakBefore w:val="0"/>
                    <w:kinsoku/>
                    <w:wordWrap/>
                    <w:overflowPunct/>
                    <w:topLinePunct w:val="0"/>
                    <w:autoSpaceDE/>
                    <w:autoSpaceDN/>
                    <w:bidi w:val="0"/>
                    <w:adjustRightInd w:val="0"/>
                    <w:spacing w:line="0" w:lineRule="atLeast"/>
                    <w:textAlignment w:val="auto"/>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10"/>
                      <w:sz w:val="21"/>
                      <w:szCs w:val="21"/>
                      <w:highlight w:val="none"/>
                    </w:rPr>
                    <w:t>测试过程中安装钻采一体化井口装置，完井后，当井没有开采价值时，用水泥固封，同时用铁质保护罩保护井口装置，其余设施将拆除、搬迁。钻井液材料将全部进行回收，不得遗弃在井场；钻井过程中产生的废弃物进行清理。施工单位负责做到工完、料净、场地清，临时占地恢复，场地平整，植被自然恢复</w:t>
                  </w:r>
                </w:p>
              </w:tc>
              <w:tc>
                <w:tcPr>
                  <w:tcW w:w="151" w:type="pct"/>
                  <w:noWrap w:val="0"/>
                  <w:vAlign w:val="center"/>
                </w:tcPr>
                <w:p w14:paraId="16D1AB5C">
                  <w:pPr>
                    <w:keepNext w:val="0"/>
                    <w:keepLines w:val="0"/>
                    <w:pageBreakBefore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10"/>
                      <w:sz w:val="21"/>
                      <w:szCs w:val="21"/>
                      <w:highlight w:val="none"/>
                    </w:rPr>
                    <w:t>符合</w:t>
                  </w:r>
                </w:p>
              </w:tc>
            </w:tr>
            <w:tr w14:paraId="5945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210532F5">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《陆上石油</w:t>
                  </w:r>
                  <w:r>
                    <w:rPr>
                      <w:rFonts w:hint="eastAsia" w:cs="Times New Roman"/>
                      <w:color w:val="auto"/>
                      <w:spacing w:val="0"/>
                      <w:sz w:val="21"/>
                      <w:szCs w:val="21"/>
                      <w:highlight w:val="none"/>
                      <w:lang w:eastAsia="zh-CN"/>
                    </w:rPr>
                    <w:t>天然气</w:t>
                  </w:r>
                  <w:r>
                    <w:rPr>
                      <w:rFonts w:hint="default" w:ascii="Times New Roman" w:hAnsi="Times New Roman" w:eastAsia="宋体" w:cs="Times New Roman"/>
                      <w:color w:val="auto"/>
                      <w:spacing w:val="0"/>
                      <w:sz w:val="21"/>
                      <w:szCs w:val="21"/>
                      <w:highlight w:val="none"/>
                    </w:rPr>
                    <w:t>开采业绿色矿山建设规范》（DZ/T0317-2018</w:t>
                  </w:r>
                  <w:r>
                    <w:rPr>
                      <w:rFonts w:hint="default" w:ascii="Times New Roman" w:hAnsi="Times New Roman" w:cs="Times New Roman"/>
                      <w:color w:val="auto"/>
                      <w:spacing w:val="0"/>
                      <w:sz w:val="21"/>
                      <w:szCs w:val="21"/>
                      <w:highlight w:val="none"/>
                      <w:lang w:eastAsia="zh-CN"/>
                    </w:rPr>
                    <w:t>）</w:t>
                  </w:r>
                </w:p>
              </w:tc>
              <w:tc>
                <w:tcPr>
                  <w:tcW w:w="1792" w:type="pct"/>
                  <w:noWrap w:val="0"/>
                  <w:vAlign w:val="center"/>
                </w:tcPr>
                <w:p w14:paraId="539E52F7">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应遵循矿区油气资源赋存状况、生态环境特征等条件，科学合理地确定开发方案，选择与油气藏类型相适应的先进开采技术和工艺，推广使用成熟、先进的技术装备，严禁使用国家明文规定的限制和淘汰的技术工艺及装备。</w:t>
                  </w:r>
                </w:p>
              </w:tc>
              <w:tc>
                <w:tcPr>
                  <w:tcW w:w="1652" w:type="pct"/>
                  <w:noWrap w:val="0"/>
                  <w:vAlign w:val="center"/>
                </w:tcPr>
                <w:p w14:paraId="1AEC9F91">
                  <w:pPr>
                    <w:keepNext w:val="0"/>
                    <w:keepLines w:val="0"/>
                    <w:pageBreakBefore w:val="0"/>
                    <w:widowControl/>
                    <w:wordWrap/>
                    <w:overflowPunct/>
                    <w:topLinePunct/>
                    <w:bidi w:val="0"/>
                    <w:adjustRightInd w:val="0"/>
                    <w:snapToGrid/>
                    <w:spacing w:line="260" w:lineRule="exact"/>
                    <w:jc w:val="both"/>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本项目为</w:t>
                  </w:r>
                  <w:r>
                    <w:rPr>
                      <w:rFonts w:hint="default" w:ascii="Times New Roman" w:hAnsi="Times New Roman" w:eastAsia="宋体" w:cs="Times New Roman"/>
                      <w:color w:val="auto"/>
                      <w:spacing w:val="0"/>
                      <w:sz w:val="21"/>
                      <w:szCs w:val="21"/>
                      <w:highlight w:val="none"/>
                    </w:rPr>
                    <w:t>油气勘探工程，实施的目的为确定区域油气产能建设规模（包括储量及质量</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。本项目所用技术、工艺和设备不属于国家和自治区明令限制和淘汰的技术、工艺和设备</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2A355FAD">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14:paraId="3192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004A39D8">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3D1976D5">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集约节约利用土地资源，土地利用符合用地指标政策。合理确定站址、场址、管网、路网建设占地规模。</w:t>
                  </w:r>
                </w:p>
              </w:tc>
              <w:tc>
                <w:tcPr>
                  <w:tcW w:w="1652" w:type="pct"/>
                  <w:noWrap w:val="0"/>
                  <w:vAlign w:val="center"/>
                </w:tcPr>
                <w:p w14:paraId="6E186F24">
                  <w:pPr>
                    <w:keepNext w:val="0"/>
                    <w:keepLines w:val="0"/>
                    <w:pageBreakBefore w:val="0"/>
                    <w:widowControl/>
                    <w:wordWrap/>
                    <w:overflowPunct/>
                    <w:topLinePunct/>
                    <w:bidi w:val="0"/>
                    <w:adjustRightInd w:val="0"/>
                    <w:snapToGrid/>
                    <w:spacing w:line="260" w:lineRule="exact"/>
                    <w:jc w:val="both"/>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本项目方案设计基于区块概念设计，合理布置井场，并根据施工需求确定道路占地规模</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69ED0F7E">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14:paraId="63E4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0AF2D3FC">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5418C421">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废液、废气、固体废物应建档分类管理，并清洁化、无害化处置，处置率应达到100%。</w:t>
                  </w:r>
                </w:p>
              </w:tc>
              <w:tc>
                <w:tcPr>
                  <w:tcW w:w="1652" w:type="pct"/>
                  <w:noWrap w:val="0"/>
                  <w:vAlign w:val="center"/>
                </w:tcPr>
                <w:p w14:paraId="59CFBE7A">
                  <w:pPr>
                    <w:keepNext w:val="0"/>
                    <w:keepLines w:val="0"/>
                    <w:pageBreakBefore w:val="0"/>
                    <w:widowControl/>
                    <w:wordWrap/>
                    <w:overflowPunct/>
                    <w:topLinePunct/>
                    <w:bidi w:val="0"/>
                    <w:adjustRightInd w:val="0"/>
                    <w:snapToGrid/>
                    <w:spacing w:line="260" w:lineRule="exact"/>
                    <w:jc w:val="both"/>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本项目废水及固体废物处理及处置措施得当，处置率100%</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71C1DE64">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14:paraId="2ED3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110D7F31">
                  <w:pPr>
                    <w:pStyle w:val="136"/>
                    <w:keepNext w:val="0"/>
                    <w:keepLines w:val="0"/>
                    <w:pageBreakBefore w:val="0"/>
                    <w:wordWrap/>
                    <w:overflowPunct/>
                    <w:bidi w:val="0"/>
                    <w:snapToGrid/>
                    <w:spacing w:line="260" w:lineRule="exact"/>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2545306E">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油气开采过程中产生的落地原油应及时全部回收。</w:t>
                  </w:r>
                </w:p>
              </w:tc>
              <w:tc>
                <w:tcPr>
                  <w:tcW w:w="1652" w:type="pct"/>
                  <w:noWrap w:val="0"/>
                  <w:vAlign w:val="center"/>
                </w:tcPr>
                <w:p w14:paraId="339090C5">
                  <w:pPr>
                    <w:keepNext w:val="0"/>
                    <w:keepLines w:val="0"/>
                    <w:pageBreakBefore w:val="0"/>
                    <w:widowControl/>
                    <w:wordWrap/>
                    <w:overflowPunct/>
                    <w:topLinePunct/>
                    <w:bidi w:val="0"/>
                    <w:adjustRightInd w:val="0"/>
                    <w:snapToGrid/>
                    <w:spacing w:line="260" w:lineRule="exact"/>
                    <w:jc w:val="both"/>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工程施工采取带罐作业，对落地油等进行100%回收</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0BA22EE0">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eastAsia="en-US"/>
                    </w:rPr>
                  </w:pPr>
                  <w:r>
                    <w:rPr>
                      <w:rFonts w:hint="default" w:ascii="Times New Roman" w:hAnsi="Times New Roman" w:eastAsia="宋体" w:cs="Times New Roman"/>
                      <w:snapToGrid w:val="0"/>
                      <w:color w:val="auto"/>
                      <w:spacing w:val="0"/>
                      <w:kern w:val="0"/>
                      <w:sz w:val="21"/>
                      <w:szCs w:val="21"/>
                      <w:highlight w:val="none"/>
                    </w:rPr>
                    <w:t>符合</w:t>
                  </w:r>
                </w:p>
              </w:tc>
            </w:tr>
            <w:tr w14:paraId="3DFB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76F6094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《国务院关于印发＜空气质量持续改善行动计划＞的通知》（国发〔2023〕24号</w:t>
                  </w:r>
                  <w:r>
                    <w:rPr>
                      <w:rFonts w:hint="default" w:ascii="Times New Roman" w:hAnsi="Times New Roman" w:cs="Times New Roman"/>
                      <w:color w:val="auto"/>
                      <w:spacing w:val="0"/>
                      <w:kern w:val="0"/>
                      <w:sz w:val="21"/>
                      <w:szCs w:val="21"/>
                      <w:highlight w:val="none"/>
                      <w:lang w:eastAsia="zh-CN"/>
                    </w:rPr>
                    <w:t>）</w:t>
                  </w:r>
                </w:p>
              </w:tc>
              <w:tc>
                <w:tcPr>
                  <w:tcW w:w="1792" w:type="pct"/>
                  <w:noWrap w:val="0"/>
                  <w:vAlign w:val="center"/>
                </w:tcPr>
                <w:p w14:paraId="2D4FAC66">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652" w:type="pct"/>
                  <w:noWrap w:val="0"/>
                  <w:vAlign w:val="center"/>
                </w:tcPr>
                <w:p w14:paraId="3C6153E5">
                  <w:pPr>
                    <w:keepNext w:val="0"/>
                    <w:keepLines w:val="0"/>
                    <w:pageBreakBefore w:val="0"/>
                    <w:widowControl/>
                    <w:wordWrap/>
                    <w:overflowPunct/>
                    <w:topLinePunct/>
                    <w:bidi w:val="0"/>
                    <w:adjustRightInd w:val="0"/>
                    <w:snapToGrid/>
                    <w:spacing w:line="260" w:lineRule="exact"/>
                    <w:jc w:val="both"/>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本项目不属于</w:t>
                  </w:r>
                  <w:r>
                    <w:rPr>
                      <w:rFonts w:hint="default" w:ascii="Times New Roman" w:hAnsi="Times New Roman" w:eastAsia="宋体" w:cs="Times New Roman"/>
                      <w:color w:val="auto"/>
                      <w:spacing w:val="0"/>
                      <w:kern w:val="0"/>
                      <w:sz w:val="21"/>
                      <w:szCs w:val="21"/>
                      <w:highlight w:val="none"/>
                    </w:rPr>
                    <w:t>高耗能、高排放低水平项目；严格落实了国家产业规划、产业政策、生态环境分区管控方案、规划环评、项目环评等相关要求，采取清洁运输方式</w:t>
                  </w:r>
                  <w:r>
                    <w:rPr>
                      <w:rFonts w:hint="default" w:ascii="Times New Roman" w:hAnsi="Times New Roman" w:cs="Times New Roman"/>
                      <w:color w:val="auto"/>
                      <w:spacing w:val="0"/>
                      <w:kern w:val="0"/>
                      <w:sz w:val="21"/>
                      <w:szCs w:val="21"/>
                      <w:highlight w:val="none"/>
                      <w:lang w:eastAsia="zh-CN"/>
                    </w:rPr>
                    <w:t>。</w:t>
                  </w:r>
                </w:p>
              </w:tc>
              <w:tc>
                <w:tcPr>
                  <w:tcW w:w="151" w:type="pct"/>
                  <w:noWrap w:val="0"/>
                  <w:vAlign w:val="center"/>
                </w:tcPr>
                <w:p w14:paraId="2D884316">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1AD2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33C18CD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14:paraId="75FFF7C9">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深化扬尘污染综合治理。鼓励经济发达地区5000平方米及以上建筑工地安装视频监控并接入当地监管平台；重点区域道路、水务等长距离线性工程实行分段施工。将防治扬尘污染费用纳入工程造价。到2025年，装配式建筑占新建建筑面积比例达30%；地级及以上城市建成区道路机械化清扫率达80%左右，县城达70%左右。对城市公共绿地进行排查建档并采取防尘措施。城市大型煤炭、矿石等干散货码头物料堆场基本完成抑尘设施建设和物料输送系统封闭改造。</w:t>
                  </w:r>
                </w:p>
              </w:tc>
              <w:tc>
                <w:tcPr>
                  <w:tcW w:w="1652" w:type="pct"/>
                  <w:noWrap w:val="0"/>
                  <w:vAlign w:val="center"/>
                </w:tcPr>
                <w:p w14:paraId="270EB2A8">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运输车辆产生的扬尘主要采取洒水降尘。运输车辆减速行驶，为减少道路扬尘影响。对于井场也需定期进行洒水降尘，以降低钻井过程中产生的扬尘对施工人员和周边植被的影响。做到文明施工，防止水泥等的洒落与飘散；避开大风天气进行作业。钻井作业期间应对车辆进行苫盖，以降低扬尘的影响</w:t>
                  </w:r>
                  <w:r>
                    <w:rPr>
                      <w:rFonts w:hint="default" w:ascii="Times New Roman" w:hAnsi="Times New Roman" w:cs="Times New Roman"/>
                      <w:color w:val="auto"/>
                      <w:spacing w:val="0"/>
                      <w:kern w:val="0"/>
                      <w:sz w:val="21"/>
                      <w:szCs w:val="21"/>
                      <w:highlight w:val="none"/>
                      <w:lang w:eastAsia="zh-CN"/>
                    </w:rPr>
                    <w:t>。</w:t>
                  </w:r>
                </w:p>
              </w:tc>
              <w:tc>
                <w:tcPr>
                  <w:tcW w:w="151" w:type="pct"/>
                  <w:noWrap w:val="0"/>
                  <w:vAlign w:val="center"/>
                </w:tcPr>
                <w:p w14:paraId="6FFF3C18">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5E4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59A14A29">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14:paraId="4831A8A7">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推进矿山生态环境综合整治。新建矿山原则上要同步建设铁路专用线或采用其他清洁运输方式。到2025年，京津冀及周边地区原则上不再新建露天矿山（省级矿产资源规划确定的重点开采区或经安全论证不宜采用地下开采方式的除外</w:t>
                  </w:r>
                  <w:r>
                    <w:rPr>
                      <w:rFonts w:hint="default" w:ascii="Times New Roman" w:hAnsi="Times New Roman" w:cs="Times New Roman"/>
                      <w:color w:val="auto"/>
                      <w:spacing w:val="0"/>
                      <w:kern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rPr>
                    <w:t>。对限期整改仍不达标的矿山，根据安全生产、水土保持、生态环境等要求依法关闭。</w:t>
                  </w:r>
                </w:p>
              </w:tc>
              <w:tc>
                <w:tcPr>
                  <w:tcW w:w="1652" w:type="pct"/>
                  <w:noWrap w:val="0"/>
                  <w:vAlign w:val="center"/>
                </w:tcPr>
                <w:p w14:paraId="1AE8247A">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后期根据景观相似原则，对探矿活动造成的土壤、植被和地表景观破坏进行恢复，恢复至原貌</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1527F89C">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457C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077A727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14:paraId="41FE71FA">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强化VOCs全流程、全环节综合治理。鼓励储罐使用低泄漏的呼吸阀、紧急泄压阀，定期开展密封性检测。</w:t>
                  </w:r>
                </w:p>
              </w:tc>
              <w:tc>
                <w:tcPr>
                  <w:tcW w:w="1652" w:type="pct"/>
                  <w:noWrap w:val="0"/>
                  <w:vAlign w:val="center"/>
                </w:tcPr>
                <w:p w14:paraId="4E262190">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snapToGrid w:val="0"/>
                      <w:color w:val="auto"/>
                      <w:spacing w:val="0"/>
                      <w:kern w:val="0"/>
                      <w:sz w:val="21"/>
                      <w:szCs w:val="21"/>
                      <w:highlight w:val="none"/>
                    </w:rPr>
                    <w:t>本项目仅测试放喷期间会排放少量VOCs，通过科学计算放喷时间，减少放喷过程中的VOCs排放</w:t>
                  </w:r>
                  <w:r>
                    <w:rPr>
                      <w:rFonts w:hint="default" w:ascii="Times New Roman" w:hAnsi="Times New Roman" w:eastAsia="宋体" w:cs="Times New Roman"/>
                      <w:snapToGrid w:val="0"/>
                      <w:color w:val="auto"/>
                      <w:spacing w:val="0"/>
                      <w:kern w:val="0"/>
                      <w:sz w:val="21"/>
                      <w:szCs w:val="21"/>
                      <w:highlight w:val="none"/>
                      <w:lang w:val="zh-CN"/>
                    </w:rPr>
                    <w:t>，</w:t>
                  </w:r>
                  <w:r>
                    <w:rPr>
                      <w:rFonts w:hint="default" w:ascii="Times New Roman" w:hAnsi="Times New Roman" w:eastAsia="宋体" w:cs="Times New Roman"/>
                      <w:snapToGrid w:val="0"/>
                      <w:color w:val="auto"/>
                      <w:spacing w:val="0"/>
                      <w:kern w:val="0"/>
                      <w:sz w:val="21"/>
                      <w:szCs w:val="21"/>
                      <w:highlight w:val="none"/>
                    </w:rPr>
                    <w:t>VOCs产生量小，且项目地处空旷区域，废气扩散条件好，对周围大气环境影响可接受</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3171D398">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2C86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483BD38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14:paraId="3127F9F6">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实施城市空气质量达标管理。空气质量未达标的直辖市和设区的市编制实施大气环境质量限期达标规划，明确达标路线图及重点任务，并向社会公开。推进PM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kern w:val="0"/>
                      <w:sz w:val="21"/>
                      <w:szCs w:val="21"/>
                      <w:highlight w:val="none"/>
                    </w:rPr>
                    <w:t>和臭氧协同控制。2020年PM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kern w:val="0"/>
                      <w:sz w:val="21"/>
                      <w:szCs w:val="21"/>
                      <w:highlight w:val="none"/>
                    </w:rPr>
                    <w:t>浓度低于40微克/立方米的未达标城市“十四五”期间实现达标；其他未达标城市明确“十四五”空气质量改善阶段目标。已达标城市巩固改善空气质量。</w:t>
                  </w:r>
                </w:p>
              </w:tc>
              <w:tc>
                <w:tcPr>
                  <w:tcW w:w="1652" w:type="pct"/>
                  <w:noWrap w:val="0"/>
                  <w:vAlign w:val="center"/>
                </w:tcPr>
                <w:p w14:paraId="01630DBD">
                  <w:pPr>
                    <w:keepNext w:val="0"/>
                    <w:keepLines w:val="0"/>
                    <w:pageBreakBefore w:val="0"/>
                    <w:widowControl/>
                    <w:wordWrap/>
                    <w:overflowPunct/>
                    <w:topLinePunct/>
                    <w:bidi w:val="0"/>
                    <w:adjustRightInd w:val="0"/>
                    <w:snapToGrid/>
                    <w:spacing w:line="260" w:lineRule="exact"/>
                    <w:jc w:val="left"/>
                    <w:textAlignment w:val="baseline"/>
                    <w:rPr>
                      <w:rFonts w:hint="default" w:ascii="Times New Roman" w:hAnsi="Times New Roman" w:eastAsia="宋体" w:cs="Times New Roman"/>
                      <w:snapToGrid w:val="0"/>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本项目所在区域属于PM</w:t>
                  </w:r>
                  <w:r>
                    <w:rPr>
                      <w:rFonts w:hint="default" w:ascii="Times New Roman" w:hAnsi="Times New Roman" w:eastAsia="宋体" w:cs="Times New Roman"/>
                      <w:color w:val="auto"/>
                      <w:spacing w:val="0"/>
                      <w:sz w:val="21"/>
                      <w:szCs w:val="21"/>
                      <w:highlight w:val="none"/>
                      <w:vertAlign w:val="subscript"/>
                    </w:rPr>
                    <w:t>2.5</w:t>
                  </w:r>
                  <w:r>
                    <w:rPr>
                      <w:rFonts w:hint="default" w:ascii="Times New Roman" w:hAnsi="Times New Roman" w:eastAsia="宋体" w:cs="Times New Roman"/>
                      <w:color w:val="auto"/>
                      <w:spacing w:val="0"/>
                      <w:sz w:val="21"/>
                      <w:szCs w:val="21"/>
                      <w:highlight w:val="none"/>
                    </w:rPr>
                    <w:t>、PM</w:t>
                  </w:r>
                  <w:r>
                    <w:rPr>
                      <w:rFonts w:hint="default" w:ascii="Times New Roman" w:hAnsi="Times New Roman" w:eastAsia="宋体" w:cs="Times New Roman"/>
                      <w:color w:val="auto"/>
                      <w:spacing w:val="0"/>
                      <w:sz w:val="21"/>
                      <w:szCs w:val="21"/>
                      <w:highlight w:val="none"/>
                      <w:vertAlign w:val="subscript"/>
                    </w:rPr>
                    <w:t>10</w:t>
                  </w:r>
                  <w:r>
                    <w:rPr>
                      <w:rFonts w:hint="default" w:ascii="Times New Roman" w:hAnsi="Times New Roman" w:eastAsia="宋体" w:cs="Times New Roman"/>
                      <w:color w:val="auto"/>
                      <w:spacing w:val="0"/>
                      <w:sz w:val="21"/>
                      <w:szCs w:val="21"/>
                      <w:highlight w:val="none"/>
                    </w:rPr>
                    <w:t>年平均浓度不达标城市，</w:t>
                  </w:r>
                  <w:r>
                    <w:rPr>
                      <w:rFonts w:hint="default" w:ascii="Times New Roman" w:hAnsi="Times New Roman" w:eastAsia="宋体" w:cs="Times New Roman"/>
                      <w:color w:val="auto"/>
                      <w:spacing w:val="0"/>
                      <w:sz w:val="21"/>
                      <w:szCs w:val="21"/>
                      <w:highlight w:val="none"/>
                      <w:lang w:bidi="ar"/>
                    </w:rPr>
                    <w:t>根据《关于在南疆四地州深度贫困地区实施《环境影响评价技术导则大气环境（HJ2.2- 2018</w:t>
                  </w:r>
                  <w:r>
                    <w:rPr>
                      <w:rFonts w:hint="default" w:ascii="Times New Roman" w:hAnsi="Times New Roman" w:cs="Times New Roman"/>
                      <w:color w:val="auto"/>
                      <w:spacing w:val="0"/>
                      <w:sz w:val="21"/>
                      <w:szCs w:val="21"/>
                      <w:highlight w:val="none"/>
                      <w:lang w:eastAsia="zh-CN" w:bidi="ar"/>
                    </w:rPr>
                    <w:t>）</w:t>
                  </w:r>
                  <w:r>
                    <w:rPr>
                      <w:rFonts w:hint="default" w:ascii="Times New Roman" w:hAnsi="Times New Roman" w:eastAsia="宋体" w:cs="Times New Roman"/>
                      <w:color w:val="auto"/>
                      <w:spacing w:val="0"/>
                      <w:sz w:val="21"/>
                      <w:szCs w:val="21"/>
                      <w:highlight w:val="none"/>
                      <w:lang w:bidi="ar"/>
                    </w:rPr>
                    <w:t>》差别化政策有关事宜的复函》环办环评函〔2019〕590号</w:t>
                  </w:r>
                  <w:r>
                    <w:rPr>
                      <w:rFonts w:hint="default" w:ascii="Times New Roman" w:hAnsi="Times New Roman" w:cs="Times New Roman"/>
                      <w:color w:val="auto"/>
                      <w:spacing w:val="0"/>
                      <w:sz w:val="21"/>
                      <w:szCs w:val="21"/>
                      <w:highlight w:val="none"/>
                      <w:lang w:eastAsia="zh-CN" w:bidi="ar"/>
                    </w:rPr>
                    <w:t>）</w:t>
                  </w:r>
                  <w:r>
                    <w:rPr>
                      <w:rFonts w:hint="default" w:ascii="Times New Roman" w:hAnsi="Times New Roman" w:eastAsia="宋体" w:cs="Times New Roman"/>
                      <w:color w:val="auto"/>
                      <w:spacing w:val="0"/>
                      <w:sz w:val="21"/>
                      <w:szCs w:val="21"/>
                      <w:highlight w:val="none"/>
                      <w:lang w:bidi="ar"/>
                    </w:rPr>
                    <w:t>要求对</w:t>
                  </w:r>
                  <w:r>
                    <w:rPr>
                      <w:rFonts w:hint="default" w:ascii="Times New Roman" w:hAnsi="Times New Roman" w:cs="Times New Roman"/>
                      <w:color w:val="auto"/>
                      <w:spacing w:val="0"/>
                      <w:sz w:val="21"/>
                      <w:szCs w:val="21"/>
                      <w:highlight w:val="none"/>
                      <w:lang w:val="en-US" w:eastAsia="zh-CN" w:bidi="ar"/>
                    </w:rPr>
                    <w:t>巴州</w:t>
                  </w:r>
                  <w:r>
                    <w:rPr>
                      <w:rFonts w:hint="default" w:ascii="Times New Roman" w:hAnsi="Times New Roman" w:eastAsia="宋体" w:cs="Times New Roman"/>
                      <w:color w:val="auto"/>
                      <w:spacing w:val="0"/>
                      <w:sz w:val="21"/>
                      <w:szCs w:val="21"/>
                      <w:highlight w:val="none"/>
                      <w:lang w:bidi="ar"/>
                    </w:rPr>
                    <w:t>地区实行环境影响评价差别化政策，可不进行颗粒物区域削减</w:t>
                  </w:r>
                  <w:r>
                    <w:rPr>
                      <w:rFonts w:hint="default" w:ascii="Times New Roman" w:hAnsi="Times New Roman" w:cs="Times New Roman"/>
                      <w:color w:val="auto"/>
                      <w:spacing w:val="0"/>
                      <w:sz w:val="21"/>
                      <w:szCs w:val="21"/>
                      <w:highlight w:val="none"/>
                      <w:lang w:eastAsia="zh-CN" w:bidi="ar"/>
                    </w:rPr>
                    <w:t>。</w:t>
                  </w:r>
                </w:p>
              </w:tc>
              <w:tc>
                <w:tcPr>
                  <w:tcW w:w="151" w:type="pct"/>
                  <w:noWrap w:val="0"/>
                  <w:vAlign w:val="center"/>
                </w:tcPr>
                <w:p w14:paraId="26C0CE16">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38DE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727EE0A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《新疆维吾尔自治区2025年空气质量持续改善行动实施方案》（新政办发〔2024〕58号）</w:t>
                  </w:r>
                </w:p>
              </w:tc>
              <w:tc>
                <w:tcPr>
                  <w:tcW w:w="1792" w:type="pct"/>
                  <w:noWrap w:val="0"/>
                  <w:vAlign w:val="top"/>
                </w:tcPr>
                <w:p w14:paraId="604A3D59">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 级水平。涉及产能置换的项目，被置换产能及设备关停后，新建项目方可投产。</w:t>
                  </w:r>
                </w:p>
              </w:tc>
              <w:tc>
                <w:tcPr>
                  <w:tcW w:w="1652" w:type="pct"/>
                  <w:noWrap w:val="0"/>
                  <w:vAlign w:val="center"/>
                </w:tcPr>
                <w:p w14:paraId="02F5CC52">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本项目不属于“高耗能、高排放、低水平”项目；严格落实了国家产业规划、产业政策、生态环境分区管控方案、规划环评、项目环评等相关要求，采取清洁运输方式。</w:t>
                  </w:r>
                </w:p>
              </w:tc>
              <w:tc>
                <w:tcPr>
                  <w:tcW w:w="151" w:type="pct"/>
                  <w:noWrap w:val="0"/>
                  <w:vAlign w:val="center"/>
                </w:tcPr>
                <w:p w14:paraId="626E9453">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14:paraId="2516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101B7A1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p>
              </w:tc>
              <w:tc>
                <w:tcPr>
                  <w:tcW w:w="1792" w:type="pct"/>
                  <w:noWrap w:val="0"/>
                  <w:vAlign w:val="top"/>
                </w:tcPr>
                <w:p w14:paraId="6C281C9A">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tc>
              <w:tc>
                <w:tcPr>
                  <w:tcW w:w="1652" w:type="pct"/>
                  <w:noWrap w:val="0"/>
                  <w:vAlign w:val="center"/>
                </w:tcPr>
                <w:p w14:paraId="55DA8829">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本项目属于油气勘探钻井工程，属于《产业结构调整指导目录（2024年本）》（国家发展改革委令2023年第7号）中的鼓励类项目；不属于《市场准入负面清单》中禁止准入类项目。</w:t>
                  </w:r>
                </w:p>
              </w:tc>
              <w:tc>
                <w:tcPr>
                  <w:tcW w:w="151" w:type="pct"/>
                  <w:noWrap w:val="0"/>
                  <w:vAlign w:val="center"/>
                </w:tcPr>
                <w:p w14:paraId="5AC1B67F">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14:paraId="7743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34F0D6F4">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p>
              </w:tc>
              <w:tc>
                <w:tcPr>
                  <w:tcW w:w="1792" w:type="pct"/>
                  <w:noWrap w:val="0"/>
                  <w:vAlign w:val="top"/>
                </w:tcPr>
                <w:p w14:paraId="37541AA0">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tc>
              <w:tc>
                <w:tcPr>
                  <w:tcW w:w="1652" w:type="pct"/>
                  <w:noWrap w:val="0"/>
                  <w:vAlign w:val="center"/>
                </w:tcPr>
                <w:p w14:paraId="2DD633A9">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en-US" w:eastAsia="zh-CN"/>
                    </w:rPr>
                    <w:t>后期根据景观相似原则，对探矿活动造成的土壤、植被和地表景观破坏进行恢复，恢复至原貌。</w:t>
                  </w:r>
                </w:p>
              </w:tc>
              <w:tc>
                <w:tcPr>
                  <w:tcW w:w="151" w:type="pct"/>
                  <w:noWrap w:val="0"/>
                  <w:vAlign w:val="center"/>
                </w:tcPr>
                <w:p w14:paraId="770F0212">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14:paraId="7709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noWrap w:val="0"/>
                  <w:vAlign w:val="center"/>
                </w:tcPr>
                <w:p w14:paraId="264397AB">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《关于加快解决当前挥发性有机物治理突出问题的通知》（环大气〔2021〕65号</w:t>
                  </w:r>
                  <w:r>
                    <w:rPr>
                      <w:rFonts w:hint="default" w:ascii="Times New Roman" w:hAnsi="Times New Roman" w:cs="Times New Roman"/>
                      <w:color w:val="auto"/>
                      <w:spacing w:val="0"/>
                      <w:kern w:val="0"/>
                      <w:sz w:val="21"/>
                      <w:szCs w:val="21"/>
                      <w:highlight w:val="none"/>
                      <w:lang w:val="en-US" w:eastAsia="zh-CN"/>
                    </w:rPr>
                    <w:t>）</w:t>
                  </w:r>
                </w:p>
              </w:tc>
              <w:tc>
                <w:tcPr>
                  <w:tcW w:w="1792" w:type="pct"/>
                  <w:noWrap w:val="0"/>
                  <w:vAlign w:val="top"/>
                </w:tcPr>
                <w:p w14:paraId="1EBD6617">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各地要以石油炼制、石油化工、合成树脂等石化行业，有机化工、煤化工、焦化（含兰炭）、制药、农药、涂料、油墨、胶粘剂等化工行业，涉及工业涂装的汽车、家具、零部件、钢结构、彩涂板等行业，包装印刷行业以及油品储运销为重点，并结合本地特色产业，组织企业针对挥发性有机液体储罐、装卸、敞开液面、泄漏检测与修复（LDAR）、废气收集、废气旁路、治理设施、加油站、非正常工况、产品VOCs含量等10个关键环节，认真对照大气污染防治法、排污许可证、相关排放标准和产品VOCs含量限值标准等开展排查整治。</w:t>
                  </w:r>
                </w:p>
              </w:tc>
              <w:tc>
                <w:tcPr>
                  <w:tcW w:w="1652" w:type="pct"/>
                  <w:noWrap w:val="0"/>
                  <w:vAlign w:val="center"/>
                </w:tcPr>
                <w:p w14:paraId="0DF4901D">
                  <w:pPr>
                    <w:keepNext w:val="0"/>
                    <w:keepLines w:val="0"/>
                    <w:pageBreakBefore w:val="0"/>
                    <w:wordWrap/>
                    <w:overflowPunct/>
                    <w:bidi w:val="0"/>
                    <w:adjustRightInd w:val="0"/>
                    <w:snapToGrid/>
                    <w:spacing w:line="260" w:lineRule="exact"/>
                    <w:jc w:val="both"/>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lang w:val="en-US" w:eastAsia="zh-CN"/>
                    </w:rPr>
                    <w:t>本项目属于油气勘探钻井工程，</w:t>
                  </w:r>
                  <w:r>
                    <w:rPr>
                      <w:rFonts w:hint="default" w:ascii="Times New Roman" w:hAnsi="Times New Roman" w:eastAsia="宋体" w:cs="Times New Roman"/>
                      <w:snapToGrid w:val="0"/>
                      <w:color w:val="auto"/>
                      <w:spacing w:val="0"/>
                      <w:kern w:val="0"/>
                      <w:sz w:val="21"/>
                      <w:szCs w:val="21"/>
                      <w:highlight w:val="none"/>
                    </w:rPr>
                    <w:t>仅测试放喷期间会排放少量VOCs，通过科学计算放喷时间，减少放喷过程中的VOCs排放</w:t>
                  </w:r>
                  <w:r>
                    <w:rPr>
                      <w:rFonts w:hint="default" w:ascii="Times New Roman" w:hAnsi="Times New Roman" w:eastAsia="宋体" w:cs="Times New Roman"/>
                      <w:snapToGrid w:val="0"/>
                      <w:color w:val="auto"/>
                      <w:spacing w:val="0"/>
                      <w:kern w:val="0"/>
                      <w:sz w:val="21"/>
                      <w:szCs w:val="21"/>
                      <w:highlight w:val="none"/>
                      <w:lang w:val="zh-CN"/>
                    </w:rPr>
                    <w:t>，</w:t>
                  </w:r>
                  <w:r>
                    <w:rPr>
                      <w:rFonts w:hint="default" w:ascii="Times New Roman" w:hAnsi="Times New Roman" w:eastAsia="宋体" w:cs="Times New Roman"/>
                      <w:snapToGrid w:val="0"/>
                      <w:color w:val="auto"/>
                      <w:spacing w:val="0"/>
                      <w:kern w:val="0"/>
                      <w:sz w:val="21"/>
                      <w:szCs w:val="21"/>
                      <w:highlight w:val="none"/>
                    </w:rPr>
                    <w:t>VOCs产生量小，且项目地处空旷区域，废气扩散条件好，对周围大气环境影响可接受</w:t>
                  </w:r>
                  <w:r>
                    <w:rPr>
                      <w:rFonts w:hint="default" w:ascii="Times New Roman" w:hAnsi="Times New Roman" w:cs="Times New Roman"/>
                      <w:snapToGrid w:val="0"/>
                      <w:color w:val="auto"/>
                      <w:spacing w:val="0"/>
                      <w:kern w:val="0"/>
                      <w:sz w:val="21"/>
                      <w:szCs w:val="21"/>
                      <w:highlight w:val="none"/>
                      <w:lang w:eastAsia="zh-CN"/>
                    </w:rPr>
                    <w:t>。</w:t>
                  </w:r>
                </w:p>
              </w:tc>
              <w:tc>
                <w:tcPr>
                  <w:tcW w:w="151" w:type="pct"/>
                  <w:noWrap w:val="0"/>
                  <w:vAlign w:val="center"/>
                </w:tcPr>
                <w:p w14:paraId="6DBC2067">
                  <w:pPr>
                    <w:keepNext w:val="0"/>
                    <w:keepLines w:val="0"/>
                    <w:pageBreakBefore w:val="0"/>
                    <w:widowControl/>
                    <w:wordWrap/>
                    <w:overflowPunct/>
                    <w:topLinePunct/>
                    <w:bidi w:val="0"/>
                    <w:adjustRightInd w:val="0"/>
                    <w:snapToGrid/>
                    <w:spacing w:line="260" w:lineRule="exact"/>
                    <w:jc w:val="center"/>
                    <w:textAlignment w:val="baseline"/>
                    <w:rPr>
                      <w:rFonts w:hint="default" w:ascii="Times New Roman" w:hAnsi="Times New Roman" w:cs="Times New Roman"/>
                      <w:snapToGrid w:val="0"/>
                      <w:color w:val="auto"/>
                      <w:spacing w:val="0"/>
                      <w:kern w:val="0"/>
                      <w:sz w:val="21"/>
                      <w:szCs w:val="21"/>
                      <w:highlight w:val="none"/>
                      <w:lang w:val="en-US" w:eastAsia="zh-CN"/>
                    </w:rPr>
                  </w:pPr>
                  <w:r>
                    <w:rPr>
                      <w:rFonts w:hint="default" w:ascii="Times New Roman" w:hAnsi="Times New Roman" w:cs="Times New Roman"/>
                      <w:snapToGrid w:val="0"/>
                      <w:color w:val="auto"/>
                      <w:spacing w:val="0"/>
                      <w:kern w:val="0"/>
                      <w:sz w:val="21"/>
                      <w:szCs w:val="21"/>
                      <w:highlight w:val="none"/>
                      <w:lang w:val="en-US" w:eastAsia="zh-CN"/>
                    </w:rPr>
                    <w:t>符合</w:t>
                  </w:r>
                </w:p>
              </w:tc>
            </w:tr>
            <w:tr w14:paraId="4485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34BE2EE8">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《新疆维吾尔自治区重点行业生态环境准入条件（2024年</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sz w:val="21"/>
                      <w:szCs w:val="21"/>
                      <w:highlight w:val="none"/>
                      <w:lang w:val="en-US" w:eastAsia="zh-CN"/>
                    </w:rPr>
                    <w:t>及部分条目说明</w:t>
                  </w:r>
                </w:p>
              </w:tc>
              <w:tc>
                <w:tcPr>
                  <w:tcW w:w="1792" w:type="pct"/>
                  <w:noWrap w:val="0"/>
                  <w:vAlign w:val="center"/>
                </w:tcPr>
                <w:p w14:paraId="45106C50">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sz w:val="21"/>
                      <w:szCs w:val="21"/>
                      <w:highlight w:val="none"/>
                    </w:rPr>
                    <w:t>涉及自然保护地的石油</w:t>
                  </w:r>
                  <w:r>
                    <w:rPr>
                      <w:rFonts w:hint="eastAsia" w:cs="Times New Roman"/>
                      <w:color w:val="auto"/>
                      <w:spacing w:val="0"/>
                      <w:sz w:val="21"/>
                      <w:szCs w:val="21"/>
                      <w:highlight w:val="none"/>
                      <w:lang w:eastAsia="zh-CN"/>
                    </w:rPr>
                    <w:t>天然气</w:t>
                  </w:r>
                  <w:r>
                    <w:rPr>
                      <w:rFonts w:hint="default" w:ascii="Times New Roman" w:hAnsi="Times New Roman" w:eastAsia="宋体" w:cs="Times New Roman"/>
                      <w:color w:val="auto"/>
                      <w:spacing w:val="0"/>
                      <w:sz w:val="21"/>
                      <w:szCs w:val="21"/>
                      <w:highlight w:val="none"/>
                    </w:rPr>
                    <w:t>勘探、开发项目按照国家和自治区有关油气安全保障政策要求执行。</w:t>
                  </w:r>
                </w:p>
              </w:tc>
              <w:tc>
                <w:tcPr>
                  <w:tcW w:w="1652" w:type="pct"/>
                  <w:noWrap w:val="0"/>
                  <w:vAlign w:val="center"/>
                </w:tcPr>
                <w:p w14:paraId="5AB54B65">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本项目不涉及自然保护地</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074C8D3C">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b w:val="0"/>
                      <w:bCs w:val="0"/>
                      <w:color w:val="auto"/>
                      <w:sz w:val="21"/>
                      <w:szCs w:val="21"/>
                      <w:highlight w:val="none"/>
                      <w:lang w:val="en-US" w:eastAsia="zh-CN"/>
                    </w:rPr>
                    <w:t>/</w:t>
                  </w:r>
                </w:p>
              </w:tc>
            </w:tr>
            <w:tr w14:paraId="0025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65E1C38A">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5C3C8582">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sz w:val="21"/>
                      <w:szCs w:val="21"/>
                      <w:highlight w:val="none"/>
                    </w:rPr>
                    <w:t>施工期应当尽量减少施工占地、严格控制施工作业面积、缩短施工时间、选择合理施工方式、落实环境敏感区管控要求以及其他生态环境保护措施，有效降低生态环境影响。</w:t>
                  </w:r>
                </w:p>
              </w:tc>
              <w:tc>
                <w:tcPr>
                  <w:tcW w:w="1652" w:type="pct"/>
                  <w:noWrap w:val="0"/>
                  <w:vAlign w:val="center"/>
                </w:tcPr>
                <w:p w14:paraId="34EE82DE">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本项目施工期严格控制施工作业面积、缩短施工时间，提出水土保持、防风固沙、生态修复的要求，有效降低生态环境影响</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36CFEE47">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sz w:val="21"/>
                      <w:szCs w:val="21"/>
                      <w:highlight w:val="none"/>
                    </w:rPr>
                    <w:t>符合</w:t>
                  </w:r>
                </w:p>
              </w:tc>
            </w:tr>
            <w:tr w14:paraId="341D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6CB207C6">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kern w:val="0"/>
                      <w:sz w:val="21"/>
                      <w:szCs w:val="21"/>
                      <w:highlight w:val="none"/>
                    </w:rPr>
                  </w:pPr>
                </w:p>
              </w:tc>
              <w:tc>
                <w:tcPr>
                  <w:tcW w:w="1792" w:type="pct"/>
                  <w:noWrap w:val="0"/>
                  <w:vAlign w:val="center"/>
                </w:tcPr>
                <w:p w14:paraId="340FF5CD">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陆地油气开发项目产生的废水应经处理后优先回用，无法回用的应满足国家和地方相关污染物排放标准后排放，工业废水回用率应达到90%以上。钻井及储层改造应采用环境友好的油田化学助剂、酸化液、压裂液、钻井液，配备完善的固控设备，钻井液循环率应达到95%以上，压裂废液、酸化废液等井下作业废水应100%返排入罐。</w:t>
                  </w:r>
                </w:p>
              </w:tc>
              <w:tc>
                <w:tcPr>
                  <w:tcW w:w="1652" w:type="pct"/>
                  <w:noWrap w:val="0"/>
                  <w:vAlign w:val="center"/>
                </w:tcPr>
                <w:p w14:paraId="13AAE950">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本项目钻井液循环率达到95%以上，压裂废液、酸化废液等井下作业废水100%返排入罐</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2AE68706">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14:paraId="674A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19AF1645">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41F5764B">
                  <w:pPr>
                    <w:keepNext w:val="0"/>
                    <w:keepLines w:val="0"/>
                    <w:pageBreakBefore w:val="0"/>
                    <w:wordWrap/>
                    <w:overflowPunct/>
                    <w:bidi w:val="0"/>
                    <w:adjustRightInd w:val="0"/>
                    <w:snapToGrid/>
                    <w:spacing w:line="260" w:lineRule="exact"/>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废弃钻井泥浆及岩屑应采取“泥浆不落地”工艺，勘探、开发过程产生的落地原油回收率应达到100%。废弃水基钻井泥浆及岩屑经“泥浆不落地”设备处理后，固相优先综合利用，暂时不利用或者不能利用的，应按照《一般工业固体废物贮存和填埋污染控制标准》</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GB18599</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处置；废弃油基钻井泥浆及岩屑、落地油、清罐底泥、含油污泥、含油清管废渣、油气处理厂过滤吸附介质、废脱汞剂等危险废物，应按照国家有关规定制定危险废物管理计划，建立危险废物管理台账，依法依规自行处置或委托有相应资质的单位无害化处置。固体废物无害化处置率应达到100%。</w:t>
                  </w:r>
                </w:p>
              </w:tc>
              <w:tc>
                <w:tcPr>
                  <w:tcW w:w="1652" w:type="pct"/>
                  <w:noWrap w:val="0"/>
                  <w:vAlign w:val="center"/>
                </w:tcPr>
                <w:p w14:paraId="2FAC00C2">
                  <w:pPr>
                    <w:keepNext w:val="0"/>
                    <w:keepLines w:val="0"/>
                    <w:pageBreakBefore w:val="0"/>
                    <w:wordWrap/>
                    <w:overflowPunct/>
                    <w:autoSpaceDE w:val="0"/>
                    <w:autoSpaceDN w:val="0"/>
                    <w:bidi w:val="0"/>
                    <w:adjustRightInd w:val="0"/>
                    <w:snapToGrid/>
                    <w:spacing w:line="260" w:lineRule="exac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w:t>
                  </w:r>
                  <w:r>
                    <w:rPr>
                      <w:rFonts w:hint="default" w:ascii="Times New Roman" w:hAnsi="Times New Roman" w:eastAsia="宋体" w:cs="Times New Roman"/>
                      <w:color w:val="auto"/>
                      <w:spacing w:val="0"/>
                      <w:sz w:val="21"/>
                      <w:szCs w:val="21"/>
                      <w:highlight w:val="none"/>
                    </w:rPr>
                    <w:t>废弃钻井泥浆及岩屑采用“泥浆不落地”工艺，勘探过程产生的落地原油回收率应达到100%。</w:t>
                  </w: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cs="Times New Roman"/>
                      <w:color w:val="auto"/>
                      <w:spacing w:val="0"/>
                      <w:sz w:val="21"/>
                      <w:szCs w:val="21"/>
                      <w:highlight w:val="none"/>
                      <w:lang w:eastAsia="zh-CN"/>
                    </w:rPr>
                    <w:t>。</w:t>
                  </w:r>
                </w:p>
              </w:tc>
              <w:tc>
                <w:tcPr>
                  <w:tcW w:w="151" w:type="pct"/>
                  <w:noWrap w:val="0"/>
                  <w:vAlign w:val="center"/>
                </w:tcPr>
                <w:p w14:paraId="411D6F1B">
                  <w:pPr>
                    <w:keepNext w:val="0"/>
                    <w:keepLines w:val="0"/>
                    <w:pageBreakBefore w:val="0"/>
                    <w:wordWrap/>
                    <w:overflowPunct/>
                    <w:autoSpaceDE w:val="0"/>
                    <w:autoSpaceDN w:val="0"/>
                    <w:bidi w:val="0"/>
                    <w:adjustRightInd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14:paraId="0C77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30618731">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p>
              </w:tc>
              <w:tc>
                <w:tcPr>
                  <w:tcW w:w="1792" w:type="pct"/>
                  <w:noWrap w:val="0"/>
                  <w:vAlign w:val="center"/>
                </w:tcPr>
                <w:p w14:paraId="6F71619E">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sz w:val="21"/>
                      <w:szCs w:val="21"/>
                      <w:highlight w:val="none"/>
                    </w:rPr>
                  </w:pPr>
                  <w:r>
                    <w:rPr>
                      <w:rFonts w:hint="default" w:ascii="Times New Roman" w:hAnsi="Times New Roman" w:eastAsia="宋体" w:cs="Times New Roman"/>
                      <w:color w:val="auto"/>
                      <w:spacing w:val="0"/>
                      <w:sz w:val="21"/>
                      <w:szCs w:val="21"/>
                      <w:highlight w:val="none"/>
                    </w:rPr>
                    <w:t>对拟退役的废弃井（站</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场、管道、道路等工程设施应进行生态修复，生态修复前应对废弃油（气</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井、管道进行封堵或设施拆除，确保无土壤及地下水环境污染遗留问题、废弃物得到妥善处置。生态修复应满足《矿山生态环境保护与恢复治理技术规范（试行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HJ651</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、《废弃井封井回填技术指南（试行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》《废弃井及长停井处置指南》</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SY/T6646</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、《陆上石油</w:t>
                  </w:r>
                  <w:r>
                    <w:rPr>
                      <w:rFonts w:hint="eastAsia" w:cs="Times New Roman"/>
                      <w:color w:val="auto"/>
                      <w:spacing w:val="0"/>
                      <w:sz w:val="21"/>
                      <w:szCs w:val="21"/>
                      <w:highlight w:val="none"/>
                      <w:lang w:eastAsia="zh-CN"/>
                    </w:rPr>
                    <w:t>天然气</w:t>
                  </w:r>
                  <w:r>
                    <w:rPr>
                      <w:rFonts w:hint="default" w:ascii="Times New Roman" w:hAnsi="Times New Roman" w:eastAsia="宋体" w:cs="Times New Roman"/>
                      <w:color w:val="auto"/>
                      <w:spacing w:val="0"/>
                      <w:sz w:val="21"/>
                      <w:szCs w:val="21"/>
                      <w:highlight w:val="none"/>
                    </w:rPr>
                    <w:t>开采业绿色矿山建设规范》</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DZ/T0317</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等相关要求。</w:t>
                  </w:r>
                </w:p>
              </w:tc>
              <w:tc>
                <w:tcPr>
                  <w:tcW w:w="1652" w:type="pct"/>
                  <w:noWrap w:val="0"/>
                  <w:vAlign w:val="center"/>
                </w:tcPr>
                <w:p w14:paraId="267B1765">
                  <w:pPr>
                    <w:keepNext w:val="0"/>
                    <w:keepLines w:val="0"/>
                    <w:pageBreakBefore w:val="0"/>
                    <w:wordWrap/>
                    <w:overflowPunct/>
                    <w:bidi w:val="0"/>
                    <w:adjustRightInd w:val="0"/>
                    <w:snapToGrid/>
                    <w:spacing w:line="260" w:lineRule="exact"/>
                    <w:rPr>
                      <w:rFonts w:hint="default" w:ascii="Times New Roman" w:hAnsi="Times New Roman" w:eastAsia="宋体" w:cs="Times New Roman"/>
                      <w:snapToGrid w:val="0"/>
                      <w:color w:val="auto"/>
                      <w:spacing w:val="0"/>
                      <w:sz w:val="21"/>
                      <w:szCs w:val="21"/>
                      <w:highlight w:val="none"/>
                    </w:rPr>
                  </w:pPr>
                  <w:r>
                    <w:rPr>
                      <w:rFonts w:hint="default" w:ascii="Times New Roman" w:hAnsi="Times New Roman" w:eastAsia="宋体" w:cs="Times New Roman"/>
                      <w:color w:val="auto"/>
                      <w:spacing w:val="0"/>
                      <w:sz w:val="21"/>
                      <w:szCs w:val="21"/>
                      <w:highlight w:val="none"/>
                    </w:rPr>
                    <w:t>本项目若无油气进行封井，井场生态修复前对井场进行封堵和设施拆除，确保无土壤及地下水环境污染遗留问题、废弃物得到妥善处置。生态修复满足《矿山生态环境保护与恢复治理技术规范（试行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HJ651</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、《废弃井封井回填技术指南（试行</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》《废弃井及长停井处置指南》</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SY/T6646</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、《陆上石油</w:t>
                  </w:r>
                  <w:r>
                    <w:rPr>
                      <w:rFonts w:hint="eastAsia" w:cs="Times New Roman"/>
                      <w:color w:val="auto"/>
                      <w:spacing w:val="0"/>
                      <w:sz w:val="21"/>
                      <w:szCs w:val="21"/>
                      <w:highlight w:val="none"/>
                      <w:lang w:eastAsia="zh-CN"/>
                    </w:rPr>
                    <w:t>天然气</w:t>
                  </w:r>
                  <w:r>
                    <w:rPr>
                      <w:rFonts w:hint="default" w:ascii="Times New Roman" w:hAnsi="Times New Roman" w:eastAsia="宋体" w:cs="Times New Roman"/>
                      <w:color w:val="auto"/>
                      <w:spacing w:val="0"/>
                      <w:sz w:val="21"/>
                      <w:szCs w:val="21"/>
                      <w:highlight w:val="none"/>
                    </w:rPr>
                    <w:t>开采业绿色矿山建设规范》</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DZ/T0317</w:t>
                  </w:r>
                  <w:r>
                    <w:rPr>
                      <w:rFonts w:hint="default" w:ascii="Times New Roman" w:hAnsi="Times New Roman"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等相关要求。</w:t>
                  </w:r>
                </w:p>
              </w:tc>
              <w:tc>
                <w:tcPr>
                  <w:tcW w:w="151" w:type="pct"/>
                  <w:noWrap w:val="0"/>
                  <w:vAlign w:val="center"/>
                </w:tcPr>
                <w:p w14:paraId="561FA345">
                  <w:pPr>
                    <w:keepNext w:val="0"/>
                    <w:keepLines w:val="0"/>
                    <w:pageBreakBefore w:val="0"/>
                    <w:wordWrap/>
                    <w:overflowPunct/>
                    <w:bidi w:val="0"/>
                    <w:snapToGrid/>
                    <w:spacing w:line="260" w:lineRule="exact"/>
                    <w:jc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kern w:val="0"/>
                      <w:sz w:val="21"/>
                      <w:szCs w:val="21"/>
                      <w:highlight w:val="none"/>
                    </w:rPr>
                    <w:t>符合</w:t>
                  </w:r>
                </w:p>
              </w:tc>
            </w:tr>
            <w:tr w14:paraId="5822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restart"/>
                  <w:noWrap w:val="0"/>
                  <w:vAlign w:val="center"/>
                </w:tcPr>
                <w:p w14:paraId="3030CEF3">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rPr>
                    <w:t>新疆维吾尔自治区实施《中华人民共和国防沙治沙法》办法</w:t>
                  </w:r>
                </w:p>
              </w:tc>
              <w:tc>
                <w:tcPr>
                  <w:tcW w:w="1792" w:type="pct"/>
                  <w:noWrap w:val="0"/>
                  <w:vAlign w:val="center"/>
                </w:tcPr>
                <w:p w14:paraId="12C7D0E9">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snapToGrid w:val="0"/>
                      <w:color w:val="auto"/>
                      <w:spacing w:val="0"/>
                      <w:w w:val="100"/>
                      <w:kern w:val="0"/>
                      <w:sz w:val="21"/>
                      <w:szCs w:val="21"/>
                      <w:highlight w:val="none"/>
                      <w:lang w:eastAsia="zh-CN"/>
                    </w:rPr>
                  </w:pPr>
                  <w:r>
                    <w:rPr>
                      <w:rFonts w:hint="default" w:ascii="Times New Roman" w:hAnsi="Times New Roman" w:eastAsia="宋体" w:cs="Times New Roman"/>
                      <w:color w:val="auto"/>
                      <w:spacing w:val="0"/>
                      <w:w w:val="100"/>
                      <w:sz w:val="21"/>
                      <w:szCs w:val="21"/>
                      <w:highlight w:val="none"/>
                    </w:rPr>
                    <w:t>沙化土地所在地区的县级以上人民政府应当加强防沙治沙规划的组织实施工作，定期对规划的实施情况进行检查和评估</w:t>
                  </w:r>
                  <w:r>
                    <w:rPr>
                      <w:rFonts w:hint="default" w:ascii="Times New Roman" w:hAnsi="Times New Roman" w:cs="Times New Roman"/>
                      <w:color w:val="auto"/>
                      <w:spacing w:val="0"/>
                      <w:w w:val="100"/>
                      <w:sz w:val="21"/>
                      <w:szCs w:val="21"/>
                      <w:highlight w:val="none"/>
                      <w:lang w:eastAsia="zh-CN"/>
                    </w:rPr>
                    <w:t>。</w:t>
                  </w:r>
                </w:p>
              </w:tc>
              <w:tc>
                <w:tcPr>
                  <w:tcW w:w="1652" w:type="pct"/>
                  <w:noWrap w:val="0"/>
                  <w:vAlign w:val="center"/>
                </w:tcPr>
                <w:p w14:paraId="7F704D06">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color w:val="auto"/>
                      <w:spacing w:val="0"/>
                      <w:w w:val="100"/>
                      <w:kern w:val="0"/>
                      <w:sz w:val="21"/>
                      <w:szCs w:val="21"/>
                      <w:highlight w:val="none"/>
                      <w:lang w:val="en-US" w:eastAsia="zh-CN"/>
                    </w:rPr>
                  </w:pPr>
                  <w:r>
                    <w:rPr>
                      <w:rFonts w:hint="default" w:ascii="Times New Roman" w:hAnsi="Times New Roman" w:eastAsia="宋体" w:cs="Times New Roman"/>
                      <w:bCs/>
                      <w:color w:val="auto"/>
                      <w:spacing w:val="0"/>
                      <w:w w:val="100"/>
                      <w:sz w:val="21"/>
                      <w:szCs w:val="21"/>
                      <w:highlight w:val="none"/>
                    </w:rPr>
                    <w:t>根据</w:t>
                  </w:r>
                  <w:r>
                    <w:rPr>
                      <w:rFonts w:hint="default" w:ascii="Times New Roman" w:hAnsi="Times New Roman" w:eastAsia="宋体" w:cs="Times New Roman"/>
                      <w:bCs/>
                      <w:color w:val="auto"/>
                      <w:spacing w:val="0"/>
                      <w:w w:val="100"/>
                      <w:sz w:val="21"/>
                      <w:szCs w:val="21"/>
                      <w:highlight w:val="none"/>
                      <w:lang w:val="en-US" w:eastAsia="en-US"/>
                    </w:rPr>
                    <w:t>《新疆</w:t>
                  </w:r>
                  <w:r>
                    <w:rPr>
                      <w:rFonts w:hint="default" w:ascii="Times New Roman" w:hAnsi="Times New Roman" w:eastAsia="宋体" w:cs="Times New Roman"/>
                      <w:bCs/>
                      <w:color w:val="auto"/>
                      <w:spacing w:val="0"/>
                      <w:w w:val="100"/>
                      <w:sz w:val="21"/>
                      <w:szCs w:val="21"/>
                      <w:highlight w:val="none"/>
                      <w:lang w:val="en-US" w:eastAsia="zh-CN"/>
                    </w:rPr>
                    <w:t>维吾尔自治区</w:t>
                  </w:r>
                  <w:r>
                    <w:rPr>
                      <w:rFonts w:hint="default" w:ascii="Times New Roman" w:hAnsi="Times New Roman" w:eastAsia="宋体" w:cs="Times New Roman"/>
                      <w:bCs/>
                      <w:color w:val="auto"/>
                      <w:spacing w:val="0"/>
                      <w:w w:val="100"/>
                      <w:sz w:val="21"/>
                      <w:szCs w:val="21"/>
                      <w:highlight w:val="none"/>
                      <w:lang w:val="en-US" w:eastAsia="en-US"/>
                    </w:rPr>
                    <w:t>防沙治沙规划》</w:t>
                  </w:r>
                  <w:r>
                    <w:rPr>
                      <w:rFonts w:hint="default" w:ascii="Times New Roman" w:hAnsi="Times New Roman" w:eastAsia="宋体" w:cs="Times New Roman"/>
                      <w:bCs/>
                      <w:color w:val="auto"/>
                      <w:spacing w:val="0"/>
                      <w:w w:val="100"/>
                      <w:sz w:val="21"/>
                      <w:szCs w:val="21"/>
                      <w:highlight w:val="none"/>
                      <w:lang w:val="en-US" w:eastAsia="zh-CN"/>
                    </w:rPr>
                    <w:t>（</w:t>
                  </w:r>
                  <w:r>
                    <w:rPr>
                      <w:rFonts w:hint="default" w:ascii="Times New Roman" w:hAnsi="Times New Roman" w:eastAsia="宋体" w:cs="Times New Roman"/>
                      <w:bCs/>
                      <w:color w:val="auto"/>
                      <w:spacing w:val="0"/>
                      <w:w w:val="100"/>
                      <w:sz w:val="21"/>
                      <w:szCs w:val="21"/>
                      <w:highlight w:val="none"/>
                      <w:lang w:val="en-US" w:eastAsia="en-US"/>
                    </w:rPr>
                    <w:t>20</w:t>
                  </w:r>
                  <w:r>
                    <w:rPr>
                      <w:rFonts w:hint="default" w:ascii="Times New Roman" w:hAnsi="Times New Roman" w:eastAsia="宋体" w:cs="Times New Roman"/>
                      <w:bCs/>
                      <w:color w:val="auto"/>
                      <w:spacing w:val="0"/>
                      <w:w w:val="100"/>
                      <w:sz w:val="21"/>
                      <w:szCs w:val="21"/>
                      <w:highlight w:val="none"/>
                      <w:lang w:val="en-US" w:eastAsia="zh-CN"/>
                    </w:rPr>
                    <w:t>2</w:t>
                  </w:r>
                  <w:r>
                    <w:rPr>
                      <w:rFonts w:hint="default" w:ascii="Times New Roman" w:hAnsi="Times New Roman" w:eastAsia="宋体" w:cs="Times New Roman"/>
                      <w:bCs/>
                      <w:color w:val="auto"/>
                      <w:spacing w:val="0"/>
                      <w:w w:val="100"/>
                      <w:sz w:val="21"/>
                      <w:szCs w:val="21"/>
                      <w:highlight w:val="none"/>
                      <w:lang w:val="en-US" w:eastAsia="en-US"/>
                    </w:rPr>
                    <w:t>1-20</w:t>
                  </w:r>
                  <w:r>
                    <w:rPr>
                      <w:rFonts w:hint="default" w:ascii="Times New Roman" w:hAnsi="Times New Roman" w:eastAsia="宋体" w:cs="Times New Roman"/>
                      <w:bCs/>
                      <w:color w:val="auto"/>
                      <w:spacing w:val="0"/>
                      <w:w w:val="100"/>
                      <w:sz w:val="21"/>
                      <w:szCs w:val="21"/>
                      <w:highlight w:val="none"/>
                      <w:lang w:val="en-US" w:eastAsia="zh-CN"/>
                    </w:rPr>
                    <w:t>3</w:t>
                  </w:r>
                  <w:r>
                    <w:rPr>
                      <w:rFonts w:hint="default" w:ascii="Times New Roman" w:hAnsi="Times New Roman" w:eastAsia="宋体" w:cs="Times New Roman"/>
                      <w:bCs/>
                      <w:color w:val="auto"/>
                      <w:spacing w:val="0"/>
                      <w:w w:val="100"/>
                      <w:sz w:val="21"/>
                      <w:szCs w:val="21"/>
                      <w:highlight w:val="none"/>
                      <w:lang w:val="en-US" w:eastAsia="en-US"/>
                    </w:rPr>
                    <w:t>0年</w:t>
                  </w:r>
                  <w:r>
                    <w:rPr>
                      <w:rFonts w:hint="default" w:ascii="Times New Roman" w:hAnsi="Times New Roman" w:cs="Times New Roman"/>
                      <w:bCs/>
                      <w:color w:val="auto"/>
                      <w:spacing w:val="0"/>
                      <w:w w:val="100"/>
                      <w:sz w:val="21"/>
                      <w:szCs w:val="21"/>
                      <w:highlight w:val="none"/>
                      <w:lang w:val="en-US" w:eastAsia="zh-CN"/>
                    </w:rPr>
                    <w:t>）</w:t>
                  </w:r>
                  <w:r>
                    <w:rPr>
                      <w:rFonts w:hint="default" w:ascii="Times New Roman" w:hAnsi="Times New Roman" w:eastAsia="宋体" w:cs="Times New Roman"/>
                      <w:bCs/>
                      <w:color w:val="auto"/>
                      <w:spacing w:val="0"/>
                      <w:w w:val="100"/>
                      <w:sz w:val="21"/>
                      <w:szCs w:val="21"/>
                      <w:highlight w:val="none"/>
                      <w:lang w:val="en-US" w:eastAsia="zh-CN"/>
                    </w:rPr>
                    <w:t>，</w:t>
                  </w:r>
                  <w:r>
                    <w:rPr>
                      <w:rFonts w:hint="eastAsia" w:ascii="Times New Roman" w:hAnsi="Times New Roman" w:eastAsia="宋体" w:cs="Times New Roman"/>
                      <w:bCs/>
                      <w:color w:val="auto"/>
                      <w:spacing w:val="0"/>
                      <w:w w:val="100"/>
                      <w:sz w:val="21"/>
                      <w:szCs w:val="21"/>
                      <w:highlight w:val="none"/>
                      <w:lang w:val="en-US" w:eastAsia="zh-CN"/>
                    </w:rPr>
                    <w:t>若羌县</w:t>
                  </w:r>
                  <w:r>
                    <w:rPr>
                      <w:rFonts w:hint="default" w:ascii="Times New Roman" w:hAnsi="Times New Roman" w:eastAsia="宋体" w:cs="Times New Roman"/>
                      <w:bCs/>
                      <w:color w:val="auto"/>
                      <w:spacing w:val="0"/>
                      <w:w w:val="100"/>
                      <w:sz w:val="21"/>
                      <w:szCs w:val="21"/>
                      <w:highlight w:val="none"/>
                    </w:rPr>
                    <w:t>属于</w:t>
                  </w:r>
                  <w:r>
                    <w:rPr>
                      <w:rFonts w:hint="default" w:ascii="Times New Roman" w:hAnsi="Times New Roman" w:cs="Times New Roman"/>
                      <w:bCs/>
                      <w:color w:val="auto"/>
                      <w:spacing w:val="0"/>
                      <w:w w:val="100"/>
                      <w:sz w:val="21"/>
                      <w:szCs w:val="21"/>
                      <w:highlight w:val="none"/>
                      <w:lang w:eastAsia="zh-CN"/>
                    </w:rPr>
                    <w:t>“</w:t>
                  </w:r>
                  <w:r>
                    <w:rPr>
                      <w:rFonts w:hint="default" w:ascii="Times New Roman" w:hAnsi="Times New Roman" w:eastAsia="宋体" w:cs="Times New Roman"/>
                      <w:bCs/>
                      <w:color w:val="auto"/>
                      <w:spacing w:val="0"/>
                      <w:w w:val="100"/>
                      <w:sz w:val="21"/>
                      <w:szCs w:val="21"/>
                      <w:highlight w:val="none"/>
                    </w:rPr>
                    <w:t>塔克拉玛干沙漠</w:t>
                  </w:r>
                  <w:r>
                    <w:rPr>
                      <w:rFonts w:hint="default" w:ascii="Times New Roman" w:hAnsi="Times New Roman" w:eastAsia="宋体" w:cs="Times New Roman"/>
                      <w:color w:val="auto"/>
                      <w:spacing w:val="0"/>
                      <w:w w:val="100"/>
                      <w:sz w:val="21"/>
                      <w:szCs w:val="21"/>
                      <w:highlight w:val="none"/>
                      <w:lang w:val="en-US" w:eastAsia="zh-CN"/>
                    </w:rPr>
                    <w:t>生态保护修复</w:t>
                  </w:r>
                  <w:r>
                    <w:rPr>
                      <w:rFonts w:hint="default" w:ascii="Times New Roman" w:hAnsi="Times New Roman" w:eastAsia="宋体" w:cs="Times New Roman"/>
                      <w:color w:val="auto"/>
                      <w:spacing w:val="0"/>
                      <w:w w:val="100"/>
                      <w:sz w:val="21"/>
                      <w:szCs w:val="21"/>
                      <w:highlight w:val="none"/>
                    </w:rPr>
                    <w:t>区”中的“</w:t>
                  </w:r>
                  <w:r>
                    <w:rPr>
                      <w:rFonts w:hint="default" w:ascii="Times New Roman" w:hAnsi="Times New Roman" w:eastAsia="宋体" w:cs="Times New Roman"/>
                      <w:bCs/>
                      <w:color w:val="auto"/>
                      <w:spacing w:val="0"/>
                      <w:w w:val="100"/>
                      <w:sz w:val="21"/>
                      <w:szCs w:val="21"/>
                      <w:highlight w:val="none"/>
                    </w:rPr>
                    <w:t>塔克拉玛干沙漠</w:t>
                  </w:r>
                  <w:r>
                    <w:rPr>
                      <w:rFonts w:hint="eastAsia" w:ascii="Times New Roman" w:hAnsi="Times New Roman" w:eastAsia="宋体" w:cs="Times New Roman"/>
                      <w:color w:val="auto"/>
                      <w:spacing w:val="0"/>
                      <w:w w:val="100"/>
                      <w:sz w:val="21"/>
                      <w:szCs w:val="21"/>
                      <w:highlight w:val="none"/>
                      <w:lang w:val="en-US" w:eastAsia="zh-CN"/>
                    </w:rPr>
                    <w:t>东</w:t>
                  </w:r>
                  <w:r>
                    <w:rPr>
                      <w:rFonts w:hint="default" w:ascii="Times New Roman" w:hAnsi="Times New Roman" w:eastAsia="宋体" w:cs="Times New Roman"/>
                      <w:color w:val="auto"/>
                      <w:spacing w:val="0"/>
                      <w:w w:val="100"/>
                      <w:sz w:val="21"/>
                      <w:szCs w:val="21"/>
                      <w:highlight w:val="none"/>
                    </w:rPr>
                    <w:t>缘</w:t>
                  </w:r>
                  <w:r>
                    <w:rPr>
                      <w:rFonts w:hint="default" w:ascii="Times New Roman" w:hAnsi="Times New Roman" w:eastAsia="宋体" w:cs="Times New Roman"/>
                      <w:color w:val="auto"/>
                      <w:spacing w:val="0"/>
                      <w:w w:val="100"/>
                      <w:sz w:val="21"/>
                      <w:szCs w:val="21"/>
                      <w:highlight w:val="none"/>
                      <w:lang w:val="en-US" w:eastAsia="zh-CN"/>
                    </w:rPr>
                    <w:t>绿洲生态保护修复</w:t>
                  </w:r>
                  <w:r>
                    <w:rPr>
                      <w:rFonts w:hint="default" w:ascii="Times New Roman" w:hAnsi="Times New Roman" w:eastAsia="宋体" w:cs="Times New Roman"/>
                      <w:color w:val="auto"/>
                      <w:spacing w:val="0"/>
                      <w:w w:val="100"/>
                      <w:sz w:val="21"/>
                      <w:szCs w:val="21"/>
                      <w:highlight w:val="none"/>
                    </w:rPr>
                    <w:t>小区”定期对规划情况进行了检查和评估</w:t>
                  </w:r>
                  <w:r>
                    <w:rPr>
                      <w:rFonts w:hint="default"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lang w:val="en-US" w:eastAsia="zh-CN"/>
                    </w:rPr>
                    <w:t>本项目所在地为有明显沙化趋势的土地</w:t>
                  </w:r>
                  <w:r>
                    <w:rPr>
                      <w:rFonts w:hint="default" w:ascii="Times New Roman" w:hAnsi="Times New Roman" w:cs="Times New Roman"/>
                      <w:color w:val="auto"/>
                      <w:spacing w:val="0"/>
                      <w:w w:val="100"/>
                      <w:sz w:val="21"/>
                      <w:szCs w:val="21"/>
                      <w:highlight w:val="none"/>
                      <w:lang w:val="en-US" w:eastAsia="zh-CN"/>
                    </w:rPr>
                    <w:t>。</w:t>
                  </w:r>
                </w:p>
              </w:tc>
              <w:tc>
                <w:tcPr>
                  <w:tcW w:w="151" w:type="pct"/>
                  <w:noWrap w:val="0"/>
                  <w:vAlign w:val="center"/>
                </w:tcPr>
                <w:p w14:paraId="1E262DBD">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snapToGrid w:val="0"/>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符合</w:t>
                  </w:r>
                </w:p>
              </w:tc>
            </w:tr>
            <w:tr w14:paraId="58E5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vMerge w:val="continue"/>
                  <w:noWrap w:val="0"/>
                  <w:vAlign w:val="center"/>
                </w:tcPr>
                <w:p w14:paraId="4F01F43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1792" w:type="pct"/>
                  <w:noWrap w:val="0"/>
                  <w:vAlign w:val="center"/>
                </w:tcPr>
                <w:p w14:paraId="43178B14">
                  <w:pPr>
                    <w:keepNext w:val="0"/>
                    <w:keepLines w:val="0"/>
                    <w:pageBreakBefore w:val="0"/>
                    <w:widowControl/>
                    <w:wordWrap/>
                    <w:overflowPunct/>
                    <w:autoSpaceDE w:val="0"/>
                    <w:autoSpaceDN w:val="0"/>
                    <w:bidi w:val="0"/>
                    <w:adjustRightInd w:val="0"/>
                    <w:snapToGrid/>
                    <w:spacing w:line="260" w:lineRule="exact"/>
                    <w:textAlignment w:val="baseline"/>
                    <w:rPr>
                      <w:rFonts w:hint="default" w:ascii="Times New Roman" w:hAnsi="Times New Roman" w:eastAsia="宋体" w:cs="Times New Roman"/>
                      <w:snapToGrid w:val="0"/>
                      <w:color w:val="auto"/>
                      <w:spacing w:val="0"/>
                      <w:w w:val="100"/>
                      <w:kern w:val="0"/>
                      <w:sz w:val="21"/>
                      <w:szCs w:val="21"/>
                      <w:highlight w:val="none"/>
                      <w:lang w:eastAsia="zh-CN"/>
                    </w:rPr>
                  </w:pPr>
                  <w:r>
                    <w:rPr>
                      <w:rFonts w:hint="default" w:ascii="Times New Roman" w:hAnsi="Times New Roman" w:eastAsia="宋体" w:cs="Times New Roman"/>
                      <w:color w:val="auto"/>
                      <w:spacing w:val="0"/>
                      <w:w w:val="100"/>
                      <w:sz w:val="21"/>
                      <w:szCs w:val="21"/>
                      <w:highlight w:val="none"/>
                    </w:rPr>
                    <w:t>沙化土地治理应当坚持统筹森林、草原、湿地、荒漠生态系统保护，以沙漠、戈壁边缘及绿洲、流域、山系等为防治单元，实施固定半固定沙漠提升工程；对规划重点治理的沙化土地，因地制宜采取工程和生物相结合的措施，科学配置林草植物类型和密度，提升生态系统质量和稳定性</w:t>
                  </w:r>
                  <w:r>
                    <w:rPr>
                      <w:rFonts w:hint="default" w:ascii="Times New Roman" w:hAnsi="Times New Roman" w:cs="Times New Roman"/>
                      <w:color w:val="auto"/>
                      <w:spacing w:val="0"/>
                      <w:w w:val="100"/>
                      <w:sz w:val="21"/>
                      <w:szCs w:val="21"/>
                      <w:highlight w:val="none"/>
                      <w:lang w:eastAsia="zh-CN"/>
                    </w:rPr>
                    <w:t>。</w:t>
                  </w:r>
                </w:p>
              </w:tc>
              <w:tc>
                <w:tcPr>
                  <w:tcW w:w="1652" w:type="pct"/>
                  <w:noWrap w:val="0"/>
                  <w:vAlign w:val="center"/>
                </w:tcPr>
                <w:p w14:paraId="12ECCCA0">
                  <w:pPr>
                    <w:keepNext w:val="0"/>
                    <w:keepLines w:val="0"/>
                    <w:pageBreakBefore w:val="0"/>
                    <w:widowControl/>
                    <w:kinsoku w:val="0"/>
                    <w:wordWrap/>
                    <w:overflowPunct/>
                    <w:autoSpaceDE w:val="0"/>
                    <w:autoSpaceDN w:val="0"/>
                    <w:bidi w:val="0"/>
                    <w:adjustRightInd w:val="0"/>
                    <w:snapToGrid/>
                    <w:spacing w:line="260" w:lineRule="exact"/>
                    <w:textAlignment w:val="baseline"/>
                    <w:rPr>
                      <w:rFonts w:hint="default" w:ascii="Times New Roman" w:hAnsi="Times New Roman" w:eastAsia="宋体" w:cs="Times New Roman"/>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本项目施工期间应划定施工活动范围，严格控制和管理运输车辆及重型机械的运行</w:t>
                  </w:r>
                  <w:r>
                    <w:rPr>
                      <w:rFonts w:hint="default" w:ascii="Times New Roman" w:hAnsi="Times New Roman" w:eastAsia="宋体" w:cs="Times New Roman"/>
                      <w:color w:val="auto"/>
                      <w:spacing w:val="0"/>
                      <w:w w:val="100"/>
                      <w:sz w:val="21"/>
                      <w:szCs w:val="21"/>
                      <w:highlight w:val="none"/>
                      <w:lang w:val="en-GB"/>
                    </w:rPr>
                    <w:t>线路和范围，不得离开运输道路及随意行驶，由专人负责，以防破坏土壤和植被，使土地沙化；</w:t>
                  </w:r>
                  <w:r>
                    <w:rPr>
                      <w:rFonts w:hint="default" w:ascii="Times New Roman" w:hAnsi="Times New Roman" w:eastAsia="宋体" w:cs="Times New Roman"/>
                      <w:color w:val="auto"/>
                      <w:spacing w:val="0"/>
                      <w:w w:val="100"/>
                      <w:sz w:val="21"/>
                      <w:szCs w:val="21"/>
                      <w:highlight w:val="none"/>
                    </w:rPr>
                    <w:t>进场道路、井场砾石覆盖</w:t>
                  </w:r>
                  <w:r>
                    <w:rPr>
                      <w:rFonts w:hint="default" w:ascii="Times New Roman" w:hAnsi="Times New Roman" w:cs="Times New Roman"/>
                      <w:color w:val="auto"/>
                      <w:spacing w:val="0"/>
                      <w:w w:val="100"/>
                      <w:sz w:val="21"/>
                      <w:szCs w:val="21"/>
                      <w:highlight w:val="none"/>
                      <w:lang w:eastAsia="zh-CN"/>
                    </w:rPr>
                    <w:t>。</w:t>
                  </w:r>
                </w:p>
              </w:tc>
              <w:tc>
                <w:tcPr>
                  <w:tcW w:w="151" w:type="pct"/>
                  <w:noWrap w:val="0"/>
                  <w:vAlign w:val="center"/>
                </w:tcPr>
                <w:p w14:paraId="7D97F2FB">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snapToGrid w:val="0"/>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rPr>
                    <w:t>符合</w:t>
                  </w:r>
                </w:p>
              </w:tc>
            </w:tr>
            <w:tr w14:paraId="5E61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restart"/>
                  <w:noWrap w:val="0"/>
                  <w:vAlign w:val="center"/>
                </w:tcPr>
                <w:p w14:paraId="1E5CCFF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《关于规范临时用地管理的通知》</w:t>
                  </w:r>
                </w:p>
              </w:tc>
              <w:tc>
                <w:tcPr>
                  <w:tcW w:w="704" w:type="pct"/>
                  <w:shd w:val="clear" w:color="auto" w:fill="auto"/>
                  <w:noWrap w:val="0"/>
                  <w:vAlign w:val="center"/>
                </w:tcPr>
                <w:p w14:paraId="28C15011">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rPr>
                    <w:t>界定临时用地使用范围</w:t>
                  </w:r>
                </w:p>
              </w:tc>
              <w:tc>
                <w:tcPr>
                  <w:tcW w:w="1792" w:type="pct"/>
                  <w:shd w:val="clear" w:color="auto" w:fill="auto"/>
                  <w:noWrap w:val="0"/>
                  <w:vAlign w:val="center"/>
                </w:tcPr>
                <w:p w14:paraId="29B1C5B2">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（二）矿产资源勘查、</w:t>
                  </w:r>
                  <w:r>
                    <w:rPr>
                      <w:rFonts w:hint="default" w:ascii="Times New Roman" w:hAnsi="Times New Roman" w:eastAsia="宋体" w:cs="Times New Roman"/>
                      <w:b w:val="0"/>
                      <w:bCs w:val="0"/>
                      <w:color w:val="auto"/>
                      <w:sz w:val="21"/>
                      <w:szCs w:val="21"/>
                      <w:highlight w:val="none"/>
                      <w:lang w:eastAsia="zh-CN"/>
                    </w:rPr>
                    <w:t>工程地质勘察</w:t>
                  </w:r>
                  <w:r>
                    <w:rPr>
                      <w:rFonts w:hint="default" w:ascii="Times New Roman" w:hAnsi="Times New Roman" w:eastAsia="宋体" w:cs="Times New Roman"/>
                      <w:b w:val="0"/>
                      <w:bCs w:val="0"/>
                      <w:color w:val="auto"/>
                      <w:sz w:val="21"/>
                      <w:szCs w:val="21"/>
                      <w:highlight w:val="none"/>
                    </w:rPr>
                    <w:t>、水文地质勘查等，在勘查期间临时生活用房、临时工棚、勘查作业及其辅助工程、施工便道、运输便道等使用的土地，包括油气</w:t>
                  </w:r>
                  <w:r>
                    <w:rPr>
                      <w:rFonts w:hint="default" w:ascii="Times New Roman" w:hAnsi="Times New Roman" w:eastAsia="宋体" w:cs="Times New Roman"/>
                      <w:b w:val="0"/>
                      <w:bCs w:val="0"/>
                      <w:color w:val="auto"/>
                      <w:sz w:val="21"/>
                      <w:szCs w:val="21"/>
                      <w:highlight w:val="none"/>
                      <w:lang w:eastAsia="zh-CN"/>
                    </w:rPr>
                    <w:t>资源勘察</w:t>
                  </w:r>
                  <w:r>
                    <w:rPr>
                      <w:rFonts w:hint="default" w:ascii="Times New Roman" w:hAnsi="Times New Roman" w:eastAsia="宋体" w:cs="Times New Roman"/>
                      <w:b w:val="0"/>
                      <w:bCs w:val="0"/>
                      <w:color w:val="auto"/>
                      <w:sz w:val="21"/>
                      <w:szCs w:val="21"/>
                      <w:highlight w:val="none"/>
                    </w:rPr>
                    <w:t>中钻井井场、配套管线、电力设施、进场道路等钻井及配套设施使用的土地。</w:t>
                  </w:r>
                </w:p>
              </w:tc>
              <w:tc>
                <w:tcPr>
                  <w:tcW w:w="1652" w:type="pct"/>
                  <w:shd w:val="clear" w:color="auto" w:fill="auto"/>
                  <w:noWrap w:val="0"/>
                  <w:vAlign w:val="center"/>
                </w:tcPr>
                <w:p w14:paraId="0D3F22C3">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本</w:t>
                  </w:r>
                  <w:r>
                    <w:rPr>
                      <w:rFonts w:hint="default" w:ascii="Times New Roman" w:hAnsi="Times New Roman" w:eastAsia="宋体" w:cs="Times New Roman"/>
                      <w:b w:val="0"/>
                      <w:bCs w:val="0"/>
                      <w:color w:val="auto"/>
                      <w:sz w:val="21"/>
                      <w:szCs w:val="21"/>
                      <w:highlight w:val="none"/>
                      <w:lang w:val="en-US" w:eastAsia="zh-CN"/>
                    </w:rPr>
                    <w:t>项目勘探井属于油气资源勘探，钻井期的作业区、备用发电区、井场道路等均属于临时用地，符合临时用地使用范围</w:t>
                  </w:r>
                  <w:r>
                    <w:rPr>
                      <w:rFonts w:hint="default" w:ascii="Times New Roman" w:hAnsi="Times New Roman" w:eastAsia="宋体" w:cs="Times New Roman"/>
                      <w:b w:val="0"/>
                      <w:bCs w:val="0"/>
                      <w:color w:val="auto"/>
                      <w:sz w:val="21"/>
                      <w:szCs w:val="21"/>
                      <w:highlight w:val="none"/>
                    </w:rPr>
                    <w:t>。</w:t>
                  </w:r>
                </w:p>
              </w:tc>
              <w:tc>
                <w:tcPr>
                  <w:tcW w:w="151" w:type="pct"/>
                  <w:noWrap w:val="0"/>
                  <w:vAlign w:val="center"/>
                </w:tcPr>
                <w:p w14:paraId="39E2EDE6">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1B01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088E37F0">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704" w:type="pct"/>
                  <w:shd w:val="clear" w:color="auto" w:fill="auto"/>
                  <w:noWrap w:val="0"/>
                  <w:vAlign w:val="center"/>
                </w:tcPr>
                <w:p w14:paraId="7A2538D3">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临时用地选址要求和使用期限</w:t>
                  </w:r>
                </w:p>
              </w:tc>
              <w:tc>
                <w:tcPr>
                  <w:tcW w:w="1792" w:type="pct"/>
                  <w:shd w:val="clear" w:color="auto" w:fill="auto"/>
                  <w:noWrap w:val="0"/>
                  <w:vAlign w:val="center"/>
                </w:tcPr>
                <w:p w14:paraId="795A7C7F">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项目施工、地质勘查使用临时用地时应坚持“用多少、批多少、占多少、恢复多少”，尽量不占或者少占耕地。使用后土地复垦难度较大的临时用地，要严格控制占用耕地。铁路、公路等单独选址建设项目，应科学组织施工，节约集约使用临时用地。</w:t>
                  </w:r>
                </w:p>
                <w:p w14:paraId="4B0BC3BF">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临时用地使用期限一般不超过两年。建设周期较长的能源、交通、水利等基础设施建设项目施工使用的临时用地，期限不超过四年。城镇开发边界内临时建设用地规划许可、临时建设工程规划许可的期限应当与临时用地期限相衔接。临时用地使用期限，从批准之日起算。</w:t>
                  </w:r>
                </w:p>
              </w:tc>
              <w:tc>
                <w:tcPr>
                  <w:tcW w:w="1652" w:type="pct"/>
                  <w:shd w:val="clear" w:color="auto" w:fill="auto"/>
                  <w:noWrap w:val="0"/>
                  <w:vAlign w:val="center"/>
                </w:tcPr>
                <w:p w14:paraId="770A3187">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已对施工临时占地进行申请，期满后恢复施工前地形地貌。本项目施工期约180天，符合用地选址和使用期限。</w:t>
                  </w:r>
                </w:p>
              </w:tc>
              <w:tc>
                <w:tcPr>
                  <w:tcW w:w="151" w:type="pct"/>
                  <w:noWrap w:val="0"/>
                  <w:vAlign w:val="center"/>
                </w:tcPr>
                <w:p w14:paraId="54B71E06">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08E8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3909234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p>
              </w:tc>
              <w:tc>
                <w:tcPr>
                  <w:tcW w:w="704" w:type="pct"/>
                  <w:shd w:val="clear" w:color="auto" w:fill="auto"/>
                  <w:noWrap w:val="0"/>
                  <w:vAlign w:val="center"/>
                </w:tcPr>
                <w:p w14:paraId="6CF2DC72">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规范临时用地审批</w:t>
                  </w:r>
                </w:p>
              </w:tc>
              <w:tc>
                <w:tcPr>
                  <w:tcW w:w="1792" w:type="pct"/>
                  <w:shd w:val="clear" w:color="auto" w:fill="auto"/>
                  <w:noWrap w:val="0"/>
                  <w:vAlign w:val="center"/>
                </w:tcPr>
                <w:p w14:paraId="01431052">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油气资源探采合一开发涉及的钻井及配套设施建设用地，可先以临时用地方式批准使用，勘探结束转入生产使用的，办理建设用地审批手续；不转入生产的，油气企业应当完成土地复垦，按期归还。</w:t>
                  </w:r>
                </w:p>
              </w:tc>
              <w:tc>
                <w:tcPr>
                  <w:tcW w:w="1652" w:type="pct"/>
                  <w:shd w:val="clear" w:color="auto" w:fill="auto"/>
                  <w:noWrap w:val="0"/>
                  <w:vAlign w:val="center"/>
                </w:tcPr>
                <w:p w14:paraId="5BC3625A">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已对施工临时占地进行申请使用，期满后恢复施工前地形地貌。</w:t>
                  </w:r>
                </w:p>
              </w:tc>
              <w:tc>
                <w:tcPr>
                  <w:tcW w:w="151" w:type="pct"/>
                  <w:noWrap w:val="0"/>
                  <w:vAlign w:val="center"/>
                </w:tcPr>
                <w:p w14:paraId="3D9868CA">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563D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restart"/>
                  <w:noWrap w:val="0"/>
                  <w:vAlign w:val="center"/>
                </w:tcPr>
                <w:p w14:paraId="375BDA64">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《关于在新一轮找矿突破战略行动中全面实施绿色勘查的通知》（自然资发〔2024〕122号）</w:t>
                  </w:r>
                </w:p>
              </w:tc>
              <w:tc>
                <w:tcPr>
                  <w:tcW w:w="704" w:type="pct"/>
                  <w:vMerge w:val="restart"/>
                  <w:shd w:val="clear" w:color="auto" w:fill="auto"/>
                  <w:noWrap w:val="0"/>
                  <w:vAlign w:val="center"/>
                </w:tcPr>
                <w:p w14:paraId="761331FF">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二、健全绿色勘查标准体系，明确项目实施要求</w:t>
                  </w:r>
                </w:p>
              </w:tc>
              <w:tc>
                <w:tcPr>
                  <w:tcW w:w="1792" w:type="pct"/>
                  <w:shd w:val="clear" w:color="auto" w:fill="auto"/>
                  <w:noWrap w:val="0"/>
                  <w:vAlign w:val="top"/>
                </w:tcPr>
                <w:p w14:paraId="2D4BFE7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（一）加快推进标准规范落实。各地要加快落实《绿色地质勘查工作规范》（DZ/T 0374-2021），细化形成符合本地实际的绿色勘查地方标准，为地勘单位和矿山企业实施绿色勘查提供明确依据，支持和鼓励地勘单位和矿山企业开展绿色勘查标准建设。要加大绿色勘查标准规范、工作规则宣传培训力度，加强绿色勘查成功经验总结提炼、推广应用。</w:t>
                  </w:r>
                </w:p>
              </w:tc>
              <w:tc>
                <w:tcPr>
                  <w:tcW w:w="1652" w:type="pct"/>
                  <w:shd w:val="clear" w:color="auto" w:fill="auto"/>
                  <w:noWrap w:val="0"/>
                  <w:vAlign w:val="center"/>
                </w:tcPr>
                <w:p w14:paraId="700B29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本项目严格落实《绿色地质勘查工作规范》（DZ/T0374-2021）相关要求</w:t>
                  </w:r>
                </w:p>
              </w:tc>
              <w:tc>
                <w:tcPr>
                  <w:tcW w:w="151" w:type="pct"/>
                  <w:noWrap w:val="0"/>
                  <w:vAlign w:val="center"/>
                </w:tcPr>
                <w:p w14:paraId="38C7D0B0">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3060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2D2334D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4" w:type="pct"/>
                  <w:vMerge w:val="continue"/>
                  <w:shd w:val="clear" w:color="auto" w:fill="auto"/>
                  <w:noWrap w:val="0"/>
                  <w:vAlign w:val="center"/>
                </w:tcPr>
                <w:p w14:paraId="18B4833A">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lang w:val="en-US" w:eastAsia="zh-CN"/>
                    </w:rPr>
                  </w:pPr>
                </w:p>
              </w:tc>
              <w:tc>
                <w:tcPr>
                  <w:tcW w:w="1792" w:type="pct"/>
                  <w:shd w:val="clear" w:color="auto" w:fill="auto"/>
                  <w:noWrap w:val="0"/>
                  <w:vAlign w:val="top"/>
                </w:tcPr>
                <w:p w14:paraId="391A9BC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二）强化勘查设计管理。财政出资的各类地质勘查项目，勘查实施方案中要明确绿色勘查具体措施。新出让的探矿权，要将矿业权人绿色勘查义务在合同中载明，并在勘查实施方案评审中，对绿色勘查措施进行严格把关，促进矿业权人落实绿色勘查各项规定和要求。</w:t>
                  </w:r>
                </w:p>
              </w:tc>
              <w:tc>
                <w:tcPr>
                  <w:tcW w:w="1652" w:type="pct"/>
                  <w:vMerge w:val="restart"/>
                  <w:shd w:val="clear" w:color="auto" w:fill="auto"/>
                  <w:noWrap w:val="0"/>
                  <w:vAlign w:val="center"/>
                </w:tcPr>
                <w:p w14:paraId="173E58A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本项目施工过程中严格控制施工占地</w:t>
                  </w:r>
                  <w:r>
                    <w:rPr>
                      <w:rFonts w:hint="eastAsia" w:cs="Times New Roman"/>
                      <w:color w:val="auto"/>
                      <w:kern w:val="0"/>
                      <w:sz w:val="21"/>
                      <w:szCs w:val="21"/>
                      <w:highlight w:val="none"/>
                      <w:lang w:val="en-US" w:eastAsia="zh-CN" w:bidi="ar"/>
                    </w:rPr>
                    <w:t>，减少土壤扰动和地表植被破坏，减少裸地和土方暴露面积，</w:t>
                  </w:r>
                  <w:r>
                    <w:rPr>
                      <w:rFonts w:hint="default" w:ascii="Times New Roman" w:hAnsi="Times New Roman" w:eastAsia="宋体" w:cs="Times New Roman"/>
                      <w:color w:val="auto"/>
                      <w:kern w:val="0"/>
                      <w:sz w:val="21"/>
                      <w:szCs w:val="21"/>
                      <w:highlight w:val="none"/>
                      <w:lang w:val="en-US" w:eastAsia="zh-CN" w:bidi="ar"/>
                    </w:rPr>
                    <w:t>施工结束后</w:t>
                  </w:r>
                  <w:r>
                    <w:rPr>
                      <w:rFonts w:hint="eastAsia" w:cs="Times New Roman"/>
                      <w:color w:val="auto"/>
                      <w:kern w:val="0"/>
                      <w:sz w:val="21"/>
                      <w:szCs w:val="21"/>
                      <w:highlight w:val="none"/>
                      <w:lang w:val="en-US" w:eastAsia="zh-CN" w:bidi="ar"/>
                    </w:rPr>
                    <w:t>，及时拆除临时设施，</w:t>
                  </w:r>
                  <w:r>
                    <w:rPr>
                      <w:rFonts w:hint="default" w:ascii="Times New Roman" w:hAnsi="Times New Roman" w:eastAsia="宋体" w:cs="Times New Roman"/>
                      <w:color w:val="auto"/>
                      <w:kern w:val="0"/>
                      <w:sz w:val="21"/>
                      <w:szCs w:val="21"/>
                      <w:highlight w:val="none"/>
                      <w:lang w:val="en-US" w:eastAsia="zh-CN" w:bidi="ar"/>
                    </w:rPr>
                    <w:t>临时占地内进行土地复垦</w:t>
                  </w:r>
                  <w:r>
                    <w:rPr>
                      <w:rFonts w:hint="eastAsia" w:cs="Times New Roman"/>
                      <w:color w:val="auto"/>
                      <w:kern w:val="0"/>
                      <w:sz w:val="21"/>
                      <w:szCs w:val="21"/>
                      <w:highlight w:val="none"/>
                      <w:lang w:val="en-US" w:eastAsia="zh-CN" w:bidi="ar"/>
                    </w:rPr>
                    <w:t>，恢复植被；</w:t>
                  </w:r>
                </w:p>
                <w:p w14:paraId="5F67C7A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0"/>
                      <w:sz w:val="21"/>
                      <w:szCs w:val="21"/>
                      <w:highlight w:val="none"/>
                      <w:lang w:val="en-US" w:eastAsia="zh-CN" w:bidi="ar"/>
                    </w:rPr>
                    <w:t>；危险废物贮存于危废暂存点，定期从施工现场</w:t>
                  </w:r>
                  <w:r>
                    <w:rPr>
                      <w:rFonts w:hint="eastAsia" w:cs="Times New Roman"/>
                      <w:color w:val="auto"/>
                      <w:kern w:val="0"/>
                      <w:sz w:val="21"/>
                      <w:szCs w:val="21"/>
                      <w:highlight w:val="none"/>
                      <w:lang w:val="en-US" w:eastAsia="zh-CN" w:bidi="ar"/>
                    </w:rPr>
                    <w:t>交由有</w:t>
                  </w:r>
                  <w:r>
                    <w:rPr>
                      <w:rFonts w:hint="default" w:ascii="Times New Roman" w:hAnsi="Times New Roman" w:eastAsia="宋体" w:cs="Times New Roman"/>
                      <w:color w:val="auto"/>
                      <w:kern w:val="0"/>
                      <w:sz w:val="21"/>
                      <w:szCs w:val="21"/>
                      <w:highlight w:val="none"/>
                      <w:lang w:val="en-US" w:eastAsia="zh-CN" w:bidi="ar"/>
                    </w:rPr>
                    <w:t>资质单位处置；生活垃圾集中收集，定期送至当地生活垃圾转运站处理，不会对场地土壤环境造成污染。</w:t>
                  </w:r>
                </w:p>
              </w:tc>
              <w:tc>
                <w:tcPr>
                  <w:tcW w:w="151" w:type="pct"/>
                  <w:vMerge w:val="restart"/>
                  <w:noWrap w:val="0"/>
                  <w:vAlign w:val="center"/>
                </w:tcPr>
                <w:p w14:paraId="633B8904">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60CB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5A3AA96D">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4" w:type="pct"/>
                  <w:vMerge w:val="continue"/>
                  <w:shd w:val="clear" w:color="auto" w:fill="auto"/>
                  <w:noWrap w:val="0"/>
                  <w:vAlign w:val="center"/>
                </w:tcPr>
                <w:p w14:paraId="75463B63">
                  <w:pPr>
                    <w:pStyle w:val="10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textAlignment w:val="baseline"/>
                    <w:rPr>
                      <w:rFonts w:hint="default" w:ascii="Times New Roman" w:hAnsi="Times New Roman" w:eastAsia="宋体" w:cs="Times New Roman"/>
                      <w:color w:val="auto"/>
                      <w:sz w:val="21"/>
                      <w:szCs w:val="21"/>
                      <w:highlight w:val="none"/>
                      <w:lang w:val="en-US" w:eastAsia="zh-CN"/>
                    </w:rPr>
                  </w:pPr>
                </w:p>
              </w:tc>
              <w:tc>
                <w:tcPr>
                  <w:tcW w:w="1792" w:type="pct"/>
                  <w:shd w:val="clear" w:color="auto" w:fill="auto"/>
                  <w:noWrap w:val="0"/>
                  <w:vAlign w:val="center"/>
                </w:tcPr>
                <w:p w14:paraId="27615A1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三）明确项目实施要求。地勘单位和矿山企业要在新一轮找矿突破战略行动有关地质勘查项目实施中，优先采用遥感、物探、化探等对环境影响小的地质勘查方法，必要的坑探、槽探、钻探、硐探要符合绿色勘查有关标准规范。在森林、草原、湿地地区尽可能减少使用坑探、槽探，鼓励使用以钻代槽、一基多孔等探矿手段。</w:t>
                  </w:r>
                </w:p>
              </w:tc>
              <w:tc>
                <w:tcPr>
                  <w:tcW w:w="1652" w:type="pct"/>
                  <w:vMerge w:val="continue"/>
                  <w:shd w:val="clear" w:color="auto" w:fill="auto"/>
                  <w:noWrap w:val="0"/>
                  <w:vAlign w:val="center"/>
                </w:tcPr>
                <w:p w14:paraId="3BEB3FD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151" w:type="pct"/>
                  <w:vMerge w:val="continue"/>
                  <w:noWrap w:val="0"/>
                  <w:vAlign w:val="center"/>
                </w:tcPr>
                <w:p w14:paraId="1E3FCC3A">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p>
              </w:tc>
            </w:tr>
            <w:tr w14:paraId="4C8F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99" w:type="pct"/>
                  <w:vMerge w:val="continue"/>
                  <w:noWrap w:val="0"/>
                  <w:vAlign w:val="center"/>
                </w:tcPr>
                <w:p w14:paraId="3A76B6F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p>
              </w:tc>
              <w:tc>
                <w:tcPr>
                  <w:tcW w:w="704" w:type="pct"/>
                  <w:shd w:val="clear" w:color="auto" w:fill="auto"/>
                  <w:noWrap w:val="0"/>
                  <w:vAlign w:val="center"/>
                </w:tcPr>
                <w:p w14:paraId="1DDBC5C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五、加强项目场地生态环境保护和恢复</w:t>
                  </w:r>
                </w:p>
              </w:tc>
              <w:tc>
                <w:tcPr>
                  <w:tcW w:w="1792" w:type="pct"/>
                  <w:shd w:val="clear" w:color="auto" w:fill="auto"/>
                  <w:noWrap w:val="0"/>
                  <w:vAlign w:val="top"/>
                </w:tcPr>
                <w:p w14:paraId="7901DAC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各地要严格落实好生态环境保护有关规定和要求，勘查工作结束后，项目承担单位要及时撤除各项设施，严格按照废弃物清理有关国家标准清理施工现场各种废物、垃圾等，严格按照绿色勘查有关标准规范和勘查实施方案要求处理新建道路、施工产生的坑、沟等，严格按照森林、草原、湿地、防沙治沙有关法律法规和标准规范在规定时间内做好复绿、复植等。各地要将绿色勘查措施落实和项目场地生态环境恢复情况作为地质勘查项目验收重要内容，不符合规定的项目（野外）验收不予通过。</w:t>
                  </w:r>
                </w:p>
              </w:tc>
              <w:tc>
                <w:tcPr>
                  <w:tcW w:w="1652" w:type="pct"/>
                  <w:shd w:val="clear" w:color="auto" w:fill="auto"/>
                  <w:noWrap w:val="0"/>
                  <w:vAlign w:val="center"/>
                </w:tcPr>
                <w:p w14:paraId="442ABF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本项目施工结束后按照《中华人民共和国土地复垦条例》（中华人民共和国国务院令 第592号）对井场临时占地范围内制定土地复垦方案，施工结束</w:t>
                  </w:r>
                  <w:r>
                    <w:rPr>
                      <w:rFonts w:hint="eastAsia" w:cs="Times New Roman"/>
                      <w:color w:val="auto"/>
                      <w:kern w:val="0"/>
                      <w:sz w:val="21"/>
                      <w:szCs w:val="21"/>
                      <w:highlight w:val="none"/>
                      <w:lang w:val="en-US" w:eastAsia="zh-CN" w:bidi="ar"/>
                    </w:rPr>
                    <w:t>后在</w:t>
                  </w:r>
                  <w:r>
                    <w:rPr>
                      <w:rFonts w:hint="default" w:ascii="Times New Roman" w:hAnsi="Times New Roman" w:eastAsia="宋体" w:cs="Times New Roman"/>
                      <w:color w:val="auto"/>
                      <w:kern w:val="0"/>
                      <w:sz w:val="21"/>
                      <w:szCs w:val="21"/>
                      <w:highlight w:val="none"/>
                      <w:lang w:val="en-US" w:eastAsia="zh-CN" w:bidi="ar"/>
                    </w:rPr>
                    <w:t>临时占地内进行土地复垦。</w:t>
                  </w:r>
                </w:p>
              </w:tc>
              <w:tc>
                <w:tcPr>
                  <w:tcW w:w="151" w:type="pct"/>
                  <w:noWrap w:val="0"/>
                  <w:vAlign w:val="center"/>
                </w:tcPr>
                <w:p w14:paraId="119CEA3A">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78EF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noWrap w:val="0"/>
                  <w:vAlign w:val="center"/>
                </w:tcPr>
                <w:p w14:paraId="099879A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pacing w:val="0"/>
                      <w:w w:val="100"/>
                      <w:sz w:val="21"/>
                      <w:szCs w:val="21"/>
                      <w:highlight w:val="none"/>
                      <w:lang w:val="en-US" w:eastAsia="zh-CN"/>
                    </w:rPr>
                    <w:t>《新疆维吾尔自治区国土空间规划（2021-2035年）》</w:t>
                  </w:r>
                </w:p>
              </w:tc>
              <w:tc>
                <w:tcPr>
                  <w:tcW w:w="1792" w:type="pct"/>
                  <w:shd w:val="clear" w:color="auto" w:fill="auto"/>
                  <w:noWrap w:val="0"/>
                  <w:vAlign w:val="top"/>
                </w:tcPr>
                <w:p w14:paraId="4BD1854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推进能源和矿产资源开发利用，以国家战略性矿产资源及自治区优势矿产为重点，围绕“两环”“八带”矿业空间格局，重点加强“十七基地”“六十二矿勘查开发，保障国家能源资源基地建设。”其中，两大能源矿业经济区包括环塔里木盆地能源矿业经济区和环准噶尔盆地能源矿业经济区。</w:t>
                  </w:r>
                </w:p>
              </w:tc>
              <w:tc>
                <w:tcPr>
                  <w:tcW w:w="1652" w:type="pct"/>
                  <w:shd w:val="clear" w:color="auto" w:fill="auto"/>
                  <w:noWrap w:val="0"/>
                  <w:vAlign w:val="center"/>
                </w:tcPr>
                <w:p w14:paraId="1B1F0A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位于环塔里木盆地能源矿业经济区，本项目符合相关规划。同时，根据《新疆维吾尔自治区国土空间规划2021-2035》中“强化自然保护地管控”相关要求及自然保护地体系规划图，本项目不涉及相关自然保护地，项目区与自然保护地体系规划图位置关系见附图1-2</w:t>
                  </w:r>
                </w:p>
              </w:tc>
              <w:tc>
                <w:tcPr>
                  <w:tcW w:w="151" w:type="pct"/>
                  <w:noWrap w:val="0"/>
                  <w:vAlign w:val="center"/>
                </w:tcPr>
                <w:p w14:paraId="636F0D56">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530E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noWrap w:val="0"/>
                  <w:vAlign w:val="center"/>
                </w:tcPr>
                <w:p w14:paraId="00D3CC5B">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color w:val="auto"/>
                      <w:spacing w:val="0"/>
                      <w:w w:val="100"/>
                      <w:sz w:val="21"/>
                      <w:szCs w:val="21"/>
                      <w:highlight w:val="none"/>
                      <w:lang w:val="en-US" w:eastAsia="zh-CN"/>
                    </w:rPr>
                    <w:t>《巴音郭楞蒙古自治州生态环境保护“十四五”规划》</w:t>
                  </w:r>
                </w:p>
              </w:tc>
              <w:tc>
                <w:tcPr>
                  <w:tcW w:w="1792" w:type="pct"/>
                  <w:shd w:val="clear" w:color="auto" w:fill="auto"/>
                  <w:noWrap w:val="0"/>
                  <w:vAlign w:val="center"/>
                </w:tcPr>
                <w:p w14:paraId="40A993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严控土壤重金属污染，加强油（气）田开发土壤污染防治，以历史遗留工业企业污染场地为重点，开展治理与修复工程。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652" w:type="pct"/>
                  <w:shd w:val="clear" w:color="auto" w:fill="auto"/>
                  <w:noWrap w:val="0"/>
                  <w:vAlign w:val="center"/>
                </w:tcPr>
                <w:p w14:paraId="04657E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sz w:val="21"/>
                      <w:szCs w:val="21"/>
                      <w:highlight w:val="none"/>
                      <w:lang w:val="en-US" w:eastAsia="zh-CN"/>
                    </w:rPr>
                    <w:t>；危险废物贮存于危废暂存点，定期从施工现场</w:t>
                  </w:r>
                  <w:r>
                    <w:rPr>
                      <w:rFonts w:hint="eastAsia" w:cs="Times New Roman"/>
                      <w:color w:val="auto"/>
                      <w:sz w:val="21"/>
                      <w:szCs w:val="21"/>
                      <w:highlight w:val="none"/>
                      <w:lang w:val="en-US" w:eastAsia="zh-CN"/>
                    </w:rPr>
                    <w:t>交由有</w:t>
                  </w:r>
                  <w:r>
                    <w:rPr>
                      <w:rFonts w:hint="default" w:ascii="Times New Roman" w:hAnsi="Times New Roman" w:eastAsia="宋体" w:cs="Times New Roman"/>
                      <w:color w:val="auto"/>
                      <w:sz w:val="21"/>
                      <w:szCs w:val="21"/>
                      <w:highlight w:val="none"/>
                      <w:lang w:val="en-US" w:eastAsia="zh-CN"/>
                    </w:rPr>
                    <w:t>资质单位处置；生活垃圾集中收集，定期送至当地生活垃圾转运站处理，不会对场地土壤环境造成污染。</w:t>
                  </w:r>
                </w:p>
              </w:tc>
              <w:tc>
                <w:tcPr>
                  <w:tcW w:w="151" w:type="pct"/>
                  <w:noWrap w:val="0"/>
                  <w:vAlign w:val="center"/>
                </w:tcPr>
                <w:p w14:paraId="47183C68">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r w14:paraId="6833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pct"/>
                  <w:gridSpan w:val="2"/>
                  <w:noWrap w:val="0"/>
                  <w:vAlign w:val="center"/>
                </w:tcPr>
                <w:p w14:paraId="1A01FBA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default" w:ascii="Times New Roman" w:hAnsi="Times New Roman" w:eastAsia="宋体" w:cs="Times New Roman"/>
                      <w:color w:val="auto"/>
                      <w:spacing w:val="0"/>
                      <w:w w:val="100"/>
                      <w:sz w:val="21"/>
                      <w:szCs w:val="21"/>
                      <w:highlight w:val="none"/>
                      <w:lang w:val="en-US" w:eastAsia="zh-CN"/>
                    </w:rPr>
                    <w:t>若羌县国土空间总体规划（2021-2035年）</w:t>
                  </w:r>
                </w:p>
              </w:tc>
              <w:tc>
                <w:tcPr>
                  <w:tcW w:w="1792" w:type="pct"/>
                  <w:shd w:val="clear" w:color="auto" w:fill="auto"/>
                  <w:noWrap w:val="0"/>
                  <w:vAlign w:val="center"/>
                </w:tcPr>
                <w:p w14:paraId="4306754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cs="Times New Roman"/>
                      <w:color w:val="auto"/>
                      <w:kern w:val="0"/>
                      <w:sz w:val="21"/>
                      <w:szCs w:val="21"/>
                      <w:highlight w:val="none"/>
                      <w:lang w:val="en-US" w:eastAsia="zh-CN" w:bidi="ar"/>
                    </w:rPr>
                    <w:t>加强耕地保护：强化耕地数量、质量、生态“三位一体”保护，严格落实耕地“占补平衡”和“进出平衡”，严格永久基本农田占用及补划，适度开发耕地后备资源，制定耕地恢复计划</w:t>
                  </w:r>
                </w:p>
              </w:tc>
              <w:tc>
                <w:tcPr>
                  <w:tcW w:w="1652" w:type="pct"/>
                  <w:shd w:val="clear" w:color="auto" w:fill="auto"/>
                  <w:noWrap w:val="0"/>
                  <w:vAlign w:val="center"/>
                </w:tcPr>
                <w:p w14:paraId="6F6FE92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本项目占地土地利用类型为沙地、盐碱地</w:t>
                  </w:r>
                  <w:r>
                    <w:rPr>
                      <w:rFonts w:hint="eastAsia" w:ascii="Times New Roman" w:hAnsi="Times New Roman" w:cs="Times New Roman"/>
                      <w:color w:val="auto"/>
                      <w:kern w:val="0"/>
                      <w:sz w:val="21"/>
                      <w:szCs w:val="21"/>
                      <w:highlight w:val="none"/>
                      <w:lang w:val="en-US" w:eastAsia="zh-CN" w:bidi="ar"/>
                    </w:rPr>
                    <w:t>，不涉及耕地、永久基本农田</w:t>
                  </w:r>
                </w:p>
              </w:tc>
              <w:tc>
                <w:tcPr>
                  <w:tcW w:w="151" w:type="pct"/>
                  <w:noWrap w:val="0"/>
                  <w:vAlign w:val="center"/>
                </w:tcPr>
                <w:p w14:paraId="5BF55646">
                  <w:pPr>
                    <w:keepNext w:val="0"/>
                    <w:keepLines w:val="0"/>
                    <w:pageBreakBefore w:val="0"/>
                    <w:widowControl/>
                    <w:kinsoku w:val="0"/>
                    <w:wordWrap/>
                    <w:overflowPunct/>
                    <w:autoSpaceDE w:val="0"/>
                    <w:autoSpaceDN w:val="0"/>
                    <w:bidi w:val="0"/>
                    <w:adjustRightInd w:val="0"/>
                    <w:snapToGrid/>
                    <w:spacing w:line="260" w:lineRule="exact"/>
                    <w:jc w:val="center"/>
                    <w:textAlignment w:val="baseline"/>
                    <w:rPr>
                      <w:rFonts w:hint="default" w:ascii="Times New Roman" w:hAnsi="Times New Roman" w:eastAsia="宋体" w:cs="Times New Roman"/>
                      <w:color w:val="auto"/>
                      <w:spacing w:val="0"/>
                      <w:w w:val="100"/>
                      <w:sz w:val="21"/>
                      <w:szCs w:val="21"/>
                      <w:highlight w:val="none"/>
                    </w:rPr>
                  </w:pPr>
                  <w:r>
                    <w:rPr>
                      <w:rFonts w:hint="default" w:ascii="Times New Roman" w:hAnsi="Times New Roman" w:eastAsia="宋体" w:cs="Times New Roman"/>
                      <w:snapToGrid w:val="0"/>
                      <w:color w:val="auto"/>
                      <w:spacing w:val="0"/>
                      <w:kern w:val="0"/>
                      <w:sz w:val="21"/>
                      <w:szCs w:val="21"/>
                      <w:highlight w:val="none"/>
                    </w:rPr>
                    <w:t>符合</w:t>
                  </w:r>
                </w:p>
              </w:tc>
            </w:tr>
          </w:tbl>
          <w:p w14:paraId="17702432">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4、与《</w:t>
            </w:r>
            <w:r>
              <w:rPr>
                <w:rFonts w:hint="eastAsia" w:ascii="Times New Roman" w:hAnsi="Times New Roman" w:eastAsia="宋体" w:cs="Times New Roman"/>
                <w:snapToGrid w:val="0"/>
                <w:color w:val="auto"/>
                <w:sz w:val="24"/>
                <w:szCs w:val="24"/>
                <w:highlight w:val="none"/>
                <w:lang w:val="en-US" w:eastAsia="zh-CN"/>
              </w:rPr>
              <w:t>中华人民共和国矿产资源法》符合性分析</w:t>
            </w:r>
          </w:p>
          <w:p w14:paraId="569C64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b/>
                <w:bCs/>
                <w:lang w:val="en-US" w:eastAsia="zh-CN"/>
              </w:rPr>
            </w:pPr>
            <w:r>
              <w:rPr>
                <w:rFonts w:hint="eastAsia"/>
                <w:b/>
                <w:bCs/>
                <w:lang w:val="en-US" w:eastAsia="zh-CN"/>
              </w:rPr>
              <w:t>表1-6  与《中华人民共和国矿产资源法》符合性分析</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3"/>
              <w:gridCol w:w="2912"/>
              <w:gridCol w:w="902"/>
            </w:tblGrid>
            <w:tr w14:paraId="34F8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14:paraId="3526691E">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《中华人民共和国矿产资源法》</w:t>
                  </w:r>
                </w:p>
              </w:tc>
              <w:tc>
                <w:tcPr>
                  <w:tcW w:w="1660" w:type="pct"/>
                  <w:vAlign w:val="center"/>
                </w:tcPr>
                <w:p w14:paraId="5A4BB58F">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本项目情况</w:t>
                  </w:r>
                </w:p>
              </w:tc>
              <w:tc>
                <w:tcPr>
                  <w:tcW w:w="514" w:type="pct"/>
                  <w:vAlign w:val="center"/>
                </w:tcPr>
                <w:p w14:paraId="29C457A8">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符合性</w:t>
                  </w:r>
                </w:p>
              </w:tc>
            </w:tr>
            <w:tr w14:paraId="1313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14:paraId="43E799E1">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自然保护地范围内，可以依法进行符合管控要求的勘查、开采活动，已设立的矿业权不符合管控要求的，应当依法有序退出。</w:t>
                  </w:r>
                </w:p>
              </w:tc>
              <w:tc>
                <w:tcPr>
                  <w:tcW w:w="1660" w:type="pct"/>
                  <w:vAlign w:val="center"/>
                </w:tcPr>
                <w:p w14:paraId="59345861">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本项目不涉及自然保护地</w:t>
                  </w:r>
                </w:p>
              </w:tc>
              <w:tc>
                <w:tcPr>
                  <w:tcW w:w="514" w:type="pct"/>
                  <w:vAlign w:val="center"/>
                </w:tcPr>
                <w:p w14:paraId="368083A3">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14:paraId="65FC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14:paraId="04307EA3">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第三十三条　矿业权人依照本法有关规定取得矿业权后，进行矿产资源勘查、开采作业前，应当按照矿业权出让合同以及相关标准、技术规范等，分别编制勘查方案、开采方案，报原矿业权出让部门批准，取得勘查许可证、采矿许可证；未取得许可证的，不得进行勘查、开采作业。</w:t>
                  </w:r>
                </w:p>
              </w:tc>
              <w:tc>
                <w:tcPr>
                  <w:tcW w:w="1660" w:type="pct"/>
                  <w:vAlign w:val="center"/>
                </w:tcPr>
                <w:p w14:paraId="7580CEA3">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cs="Times New Roman"/>
                      <w:color w:val="auto"/>
                      <w:spacing w:val="0"/>
                      <w:w w:val="100"/>
                      <w:sz w:val="21"/>
                      <w:szCs w:val="21"/>
                      <w:highlight w:val="none"/>
                      <w:lang w:val="en-US" w:eastAsia="zh-CN"/>
                    </w:rPr>
                    <w:t>本项目已取得勘查许可证，编号：DT1000002025111008000025</w:t>
                  </w:r>
                </w:p>
              </w:tc>
              <w:tc>
                <w:tcPr>
                  <w:tcW w:w="514" w:type="pct"/>
                  <w:vAlign w:val="center"/>
                </w:tcPr>
                <w:p w14:paraId="1B4D2806">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14:paraId="5083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4" w:type="pct"/>
                  <w:vAlign w:val="center"/>
                </w:tcPr>
                <w:p w14:paraId="328D0E74">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第三十八条　勘查活动结束后，探矿权人应当及时对勘查区域进行清理，清除可能危害公共安全的设施、设备等，对废弃的探坑、探井等实施回填、封堵；破坏地表植被的，应当及时恢复。勘查活动临时占用耕地的，应当及时恢复种植条件和耕地质量；临时占用林地、草地的，应当及时恢复植被和生产条件。</w:t>
                  </w:r>
                </w:p>
              </w:tc>
              <w:tc>
                <w:tcPr>
                  <w:tcW w:w="1660" w:type="pct"/>
                  <w:vAlign w:val="center"/>
                </w:tcPr>
                <w:p w14:paraId="54A975F3">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勘查活动结束后</w:t>
                  </w:r>
                  <w:r>
                    <w:rPr>
                      <w:rFonts w:hint="eastAsia" w:cs="Times New Roman"/>
                      <w:color w:val="auto"/>
                      <w:spacing w:val="0"/>
                      <w:w w:val="100"/>
                      <w:sz w:val="21"/>
                      <w:szCs w:val="21"/>
                      <w:highlight w:val="none"/>
                      <w:lang w:val="en-US" w:eastAsia="zh-CN"/>
                    </w:rPr>
                    <w:t>，探矿权人</w:t>
                  </w:r>
                  <w:r>
                    <w:rPr>
                      <w:rFonts w:hint="eastAsia" w:ascii="Times New Roman" w:hAnsi="Times New Roman" w:eastAsia="宋体" w:cs="Times New Roman"/>
                      <w:color w:val="auto"/>
                      <w:spacing w:val="0"/>
                      <w:w w:val="100"/>
                      <w:sz w:val="21"/>
                      <w:szCs w:val="21"/>
                      <w:highlight w:val="none"/>
                      <w:lang w:val="en-US" w:eastAsia="zh-CN"/>
                    </w:rPr>
                    <w:t>按照《矿山生态环境保护与恢复治理技术规范（试行）》（HJ651-2013）、《石油</w:t>
                  </w:r>
                  <w:r>
                    <w:rPr>
                      <w:rFonts w:hint="eastAsia" w:cs="Times New Roman"/>
                      <w:color w:val="auto"/>
                      <w:spacing w:val="0"/>
                      <w:w w:val="100"/>
                      <w:sz w:val="21"/>
                      <w:szCs w:val="21"/>
                      <w:highlight w:val="none"/>
                      <w:lang w:val="en-US" w:eastAsia="zh-CN"/>
                    </w:rPr>
                    <w:t>天然气</w:t>
                  </w:r>
                  <w:r>
                    <w:rPr>
                      <w:rFonts w:hint="eastAsia" w:ascii="Times New Roman" w:hAnsi="Times New Roman" w:eastAsia="宋体" w:cs="Times New Roman"/>
                      <w:color w:val="auto"/>
                      <w:spacing w:val="0"/>
                      <w:w w:val="100"/>
                      <w:sz w:val="21"/>
                      <w:szCs w:val="21"/>
                      <w:highlight w:val="none"/>
                      <w:lang w:val="en-US" w:eastAsia="zh-CN"/>
                    </w:rPr>
                    <w:t>项目土地复垦与生态修复技术规范》（GB/T 43936-2024）、《陆上石油</w:t>
                  </w:r>
                  <w:r>
                    <w:rPr>
                      <w:rFonts w:hint="eastAsia" w:cs="Times New Roman"/>
                      <w:color w:val="auto"/>
                      <w:spacing w:val="0"/>
                      <w:w w:val="100"/>
                      <w:sz w:val="21"/>
                      <w:szCs w:val="21"/>
                      <w:highlight w:val="none"/>
                      <w:lang w:val="en-US" w:eastAsia="zh-CN"/>
                    </w:rPr>
                    <w:t>天然气</w:t>
                  </w:r>
                  <w:r>
                    <w:rPr>
                      <w:rFonts w:hint="eastAsia" w:ascii="Times New Roman" w:hAnsi="Times New Roman" w:eastAsia="宋体" w:cs="Times New Roman"/>
                      <w:color w:val="auto"/>
                      <w:spacing w:val="0"/>
                      <w:w w:val="100"/>
                      <w:sz w:val="21"/>
                      <w:szCs w:val="21"/>
                      <w:highlight w:val="none"/>
                      <w:lang w:val="en-US" w:eastAsia="zh-CN"/>
                    </w:rPr>
                    <w:t>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w:t>
                  </w:r>
                </w:p>
              </w:tc>
              <w:tc>
                <w:tcPr>
                  <w:tcW w:w="514" w:type="pct"/>
                  <w:vAlign w:val="center"/>
                </w:tcPr>
                <w:p w14:paraId="3712D1A8">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bl>
          <w:p w14:paraId="48520776">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5、与《自然资源部深化矿产资源管理改革若干事项意见》符合性分析</w:t>
            </w:r>
          </w:p>
          <w:p w14:paraId="07ACB7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表1-</w:t>
            </w:r>
            <w:r>
              <w:rPr>
                <w:rFonts w:hint="eastAsia" w:cs="Times New Roman"/>
                <w:b/>
                <w:bCs/>
                <w:lang w:val="en-US" w:eastAsia="zh-CN"/>
              </w:rPr>
              <w:t xml:space="preserve">7 </w:t>
            </w:r>
            <w:r>
              <w:rPr>
                <w:rFonts w:hint="eastAsia" w:ascii="Times New Roman" w:hAnsi="Times New Roman" w:eastAsia="宋体" w:cs="Times New Roman"/>
                <w:b/>
                <w:bCs/>
                <w:lang w:val="en-US" w:eastAsia="zh-CN"/>
              </w:rPr>
              <w:t>与《自然资源部深化矿产资源管理改革若干事项意见》符合性分析</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0"/>
              <w:gridCol w:w="2275"/>
              <w:gridCol w:w="902"/>
            </w:tblGrid>
            <w:tr w14:paraId="583E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14:paraId="2F82809A">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《自然资源部深化矿产资源管理改革若干事项意见》</w:t>
                  </w:r>
                </w:p>
              </w:tc>
              <w:tc>
                <w:tcPr>
                  <w:tcW w:w="1297" w:type="pct"/>
                  <w:vAlign w:val="center"/>
                </w:tcPr>
                <w:p w14:paraId="14D1DCB3">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本项目情况</w:t>
                  </w:r>
                </w:p>
              </w:tc>
              <w:tc>
                <w:tcPr>
                  <w:tcW w:w="514" w:type="pct"/>
                  <w:vAlign w:val="center"/>
                </w:tcPr>
                <w:p w14:paraId="4BB7EE51">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符合性</w:t>
                  </w:r>
                </w:p>
              </w:tc>
            </w:tr>
            <w:tr w14:paraId="5BDB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14:paraId="258FF866">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一、全面推进矿业权竞争性出让</w:t>
                  </w:r>
                </w:p>
                <w:p w14:paraId="45E30929">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除协议出让等特殊情形外，矿业权一律按照《矿业权出让交易规则》（自然资规〔2023〕1号）以招标、拍卖、挂牌方式公开竞争出让。在矿业权交易中推广使用保函或保证金，探索建立相关规则，确保矿业权交易顺利进行。</w:t>
                  </w:r>
                </w:p>
              </w:tc>
              <w:tc>
                <w:tcPr>
                  <w:tcW w:w="1297" w:type="pct"/>
                  <w:vMerge w:val="restart"/>
                  <w:vAlign w:val="center"/>
                </w:tcPr>
                <w:p w14:paraId="08C23C1A">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本项目已取得勘查许可证，编号：DT1000002025111008000025</w:t>
                  </w:r>
                </w:p>
              </w:tc>
              <w:tc>
                <w:tcPr>
                  <w:tcW w:w="514" w:type="pct"/>
                  <w:vAlign w:val="center"/>
                </w:tcPr>
                <w:p w14:paraId="3EBD25C8">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14:paraId="2541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14:paraId="46A6F4F7">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五、开放油气勘查开采市场</w:t>
                  </w:r>
                </w:p>
                <w:p w14:paraId="2C7C7950">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在中华人民共和国境内注册，净资产不低于3亿元人民币的内外资公司，均有资格按照规定取得油气矿业权。从事油气勘查开采应当符合安全、环保等资质要求和规定，并具有相应的油气勘查开采技术能力。</w:t>
                  </w:r>
                </w:p>
              </w:tc>
              <w:tc>
                <w:tcPr>
                  <w:tcW w:w="1297" w:type="pct"/>
                  <w:vMerge w:val="continue"/>
                  <w:vAlign w:val="center"/>
                </w:tcPr>
                <w:p w14:paraId="0BA491E9">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p>
              </w:tc>
              <w:tc>
                <w:tcPr>
                  <w:tcW w:w="514" w:type="pct"/>
                  <w:vAlign w:val="center"/>
                </w:tcPr>
                <w:p w14:paraId="4A14FFEF">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r w14:paraId="3515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87" w:type="pct"/>
                  <w:vAlign w:val="center"/>
                </w:tcPr>
                <w:p w14:paraId="6336036E">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六、实行油气探采合一制度</w:t>
                  </w:r>
                </w:p>
                <w:p w14:paraId="212015EF">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油气矿业权人发现可供开采的油气资源，完成试油（气）作业后决定继续开采的，在30日内向有登记权限的自然资源主管部门提交探采合一计划表（附件）后可以进行开采。在勘查开采过程中探明地质储量的区域，应当及时编制矿产资源储量报告，进行评审备案。报告探采合一计划5年内，矿业权人应当签订采矿权出让合同，依法办理采矿权登记。</w:t>
                  </w:r>
                </w:p>
                <w:p w14:paraId="63DC87AB">
                  <w:pPr>
                    <w:keepNext w:val="0"/>
                    <w:keepLines w:val="0"/>
                    <w:pageBreakBefore w:val="0"/>
                    <w:wordWrap/>
                    <w:overflowPunct/>
                    <w:bidi w:val="0"/>
                    <w:adjustRightInd w:val="0"/>
                    <w:snapToGrid/>
                    <w:spacing w:line="260" w:lineRule="exact"/>
                    <w:jc w:val="left"/>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报告探采合一计划超过5年，未转采矿权仍继续开采的，按照违法采矿处理。矿业权人完成试油（气）作业后决定不再继续开采的，以及5年内开采完毕或无法转采并停止开采的，不再办理采矿权登记。</w:t>
                  </w:r>
                </w:p>
              </w:tc>
              <w:tc>
                <w:tcPr>
                  <w:tcW w:w="1297" w:type="pct"/>
                  <w:vAlign w:val="center"/>
                </w:tcPr>
                <w:p w14:paraId="51D0BFB2">
                  <w:pPr>
                    <w:keepNext w:val="0"/>
                    <w:keepLines w:val="0"/>
                    <w:pageBreakBefore w:val="0"/>
                    <w:wordWrap/>
                    <w:overflowPunct/>
                    <w:bidi w:val="0"/>
                    <w:adjustRightInd w:val="0"/>
                    <w:snapToGrid/>
                    <w:spacing w:line="260" w:lineRule="exact"/>
                    <w:jc w:val="center"/>
                    <w:rPr>
                      <w:rFonts w:hint="default"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本项目属于油气勘探项目，完成试油（气）作业后决定继续开采的，将在30日内向有登记权限的自然资源主管部门提交探采合一计划表，进行开采</w:t>
                  </w:r>
                </w:p>
              </w:tc>
              <w:tc>
                <w:tcPr>
                  <w:tcW w:w="514" w:type="pct"/>
                  <w:vAlign w:val="center"/>
                </w:tcPr>
                <w:p w14:paraId="5586C6D0">
                  <w:pPr>
                    <w:keepNext w:val="0"/>
                    <w:keepLines w:val="0"/>
                    <w:pageBreakBefore w:val="0"/>
                    <w:wordWrap/>
                    <w:overflowPunct/>
                    <w:bidi w:val="0"/>
                    <w:adjustRightInd w:val="0"/>
                    <w:snapToGrid/>
                    <w:spacing w:line="260" w:lineRule="exact"/>
                    <w:jc w:val="center"/>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eastAsia="宋体" w:cs="Times New Roman"/>
                      <w:color w:val="auto"/>
                      <w:spacing w:val="0"/>
                      <w:w w:val="100"/>
                      <w:sz w:val="21"/>
                      <w:szCs w:val="21"/>
                      <w:highlight w:val="none"/>
                      <w:lang w:val="en-US" w:eastAsia="zh-CN"/>
                    </w:rPr>
                    <w:t>符合</w:t>
                  </w:r>
                </w:p>
              </w:tc>
            </w:tr>
          </w:tbl>
          <w:p w14:paraId="4D01F374">
            <w:pPr>
              <w:pStyle w:val="7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eastAsia" w:cs="Times New Roman"/>
                <w:snapToGrid w:val="0"/>
                <w:color w:val="auto"/>
                <w:sz w:val="24"/>
                <w:szCs w:val="24"/>
                <w:highlight w:val="none"/>
                <w:lang w:val="en-US" w:eastAsia="zh-CN"/>
              </w:rPr>
            </w:pPr>
            <w:r>
              <w:rPr>
                <w:rFonts w:hint="eastAsia" w:cs="Times New Roman"/>
                <w:snapToGrid w:val="0"/>
                <w:color w:val="auto"/>
                <w:kern w:val="0"/>
                <w:sz w:val="24"/>
                <w:szCs w:val="24"/>
                <w:lang w:val="en-US" w:eastAsia="zh-CN" w:bidi="ar-SA"/>
              </w:rPr>
              <w:t>6</w:t>
            </w:r>
            <w:r>
              <w:rPr>
                <w:rFonts w:hint="eastAsia" w:ascii="Times New Roman" w:hAnsi="Times New Roman" w:eastAsia="宋体" w:cs="Times New Roman"/>
                <w:snapToGrid w:val="0"/>
                <w:color w:val="auto"/>
                <w:kern w:val="0"/>
                <w:sz w:val="24"/>
                <w:szCs w:val="24"/>
                <w:lang w:val="en-US" w:eastAsia="zh-CN" w:bidi="ar-SA"/>
              </w:rPr>
              <w:t>、</w:t>
            </w:r>
            <w:r>
              <w:rPr>
                <w:rFonts w:hint="eastAsia" w:cs="Times New Roman"/>
                <w:snapToGrid w:val="0"/>
                <w:color w:val="auto"/>
                <w:sz w:val="24"/>
                <w:szCs w:val="24"/>
                <w:highlight w:val="none"/>
                <w:lang w:val="en-US" w:eastAsia="zh-CN"/>
              </w:rPr>
              <w:t>与《新疆维吾尔自治区防沙治沙规划（2021-2030）》符合性分析</w:t>
            </w:r>
          </w:p>
          <w:p w14:paraId="501627EB">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根据</w:t>
            </w:r>
            <w:r>
              <w:rPr>
                <w:rFonts w:hint="eastAsia" w:cs="Times New Roman"/>
                <w:snapToGrid w:val="0"/>
                <w:color w:val="auto"/>
                <w:sz w:val="24"/>
                <w:szCs w:val="24"/>
                <w:highlight w:val="none"/>
                <w:lang w:val="en-US" w:eastAsia="zh-CN"/>
              </w:rPr>
              <w:t>《新疆维吾尔自治区防沙治沙规划（2021-2030）》</w:t>
            </w:r>
            <w:r>
              <w:rPr>
                <w:rFonts w:hint="eastAsia" w:ascii="Times New Roman" w:hAnsi="Times New Roman" w:eastAsia="宋体" w:cs="Times New Roman"/>
                <w:snapToGrid w:val="0"/>
                <w:color w:val="auto"/>
                <w:sz w:val="24"/>
                <w:szCs w:val="24"/>
                <w:highlight w:val="none"/>
                <w:lang w:val="en-US" w:eastAsia="zh-CN"/>
              </w:rPr>
              <w:t>，若羌县属于“塔克拉玛干沙漠生态保护修复区”中的“塔克拉玛干沙漠东缘生态保护修复小区”</w:t>
            </w:r>
            <w:r>
              <w:rPr>
                <w:rFonts w:hint="eastAsia" w:cs="Times New Roman"/>
                <w:snapToGrid w:val="0"/>
                <w:color w:val="auto"/>
                <w:sz w:val="24"/>
                <w:szCs w:val="24"/>
                <w:highlight w:val="none"/>
                <w:lang w:val="en-US" w:eastAsia="zh-CN"/>
              </w:rPr>
              <w:t>。</w:t>
            </w:r>
          </w:p>
          <w:p w14:paraId="66D2301B">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该区为极干旱区，昼夜温差大，降水稀少。</w:t>
            </w:r>
          </w:p>
          <w:p w14:paraId="216BCB83">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主要生态问题：荒漠河岸林生态需水保障不足，孔雀河下游胡杨林极度衰败；工农业发展引发了河湖滨岸带农田扩张、河道断流、湖泊萎缩、水质恶化等生态问题，绿洲外围土地沙化现象、风蚀现象仍然存在。</w:t>
            </w:r>
          </w:p>
          <w:p w14:paraId="5C0211FD">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主攻方向：以山水林田湖草沙协同治理为导向，以增强开都一孔雀河流域生态系统稳定性为重点，上游提升水源涵养能力、中游抓好水资源高效利用、下游推进荒漠河岸林生态系统恢复。坚持宜林则林、宜灌则灌、宜草则草、宜沙则沙，科学开展林草植被保护和建设，水域生态系统恢复治理，加大沙化土地封禁保护力度。道路建设应尽量避免通过罗布泊、库木塔格沙漠、库木库里沙漠等区域，必须通过时需采取工程措施以防控风沙危害。重点开展巴州塔里木河下游及尾闾区域和孔雀河中下游区域荒漠生态保护与恢复工程。</w:t>
            </w:r>
          </w:p>
          <w:p w14:paraId="26E83A3D">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本项目施工过程中对地表植被进行清理，破坏了原有地表结皮，会在一定程度上增大土地沙化风险，但本项目属于短期施工，总占地面积较小，在施工过程中采取分段作业、减少植被破坏范围，对临时占地采取覆盖、围挡等防护措施，在施工结束后及时平整场地、恢复地貌的前提下，项目建设引发土地沙化的范围和程度较小，不会造成区域土地沙化趋势加重，符合《规划》要求。</w:t>
            </w:r>
          </w:p>
          <w:p w14:paraId="74E85C07">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7</w:t>
            </w:r>
            <w:r>
              <w:rPr>
                <w:rFonts w:hint="eastAsia" w:ascii="Times New Roman" w:hAnsi="Times New Roman" w:eastAsia="宋体" w:cs="Times New Roman"/>
                <w:snapToGrid w:val="0"/>
                <w:color w:val="auto"/>
                <w:sz w:val="24"/>
                <w:szCs w:val="24"/>
                <w:highlight w:val="none"/>
                <w:lang w:val="en-US" w:eastAsia="zh-CN"/>
              </w:rPr>
              <w:t>、与《巴州防沙治沙规划（2021-2030年）》符合性分析</w:t>
            </w:r>
          </w:p>
          <w:p w14:paraId="47BAE697">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巴音郭楞蒙古自治州防沙治沙规划（2021-2030年）》立足巴州荒漠化、沙化土地分布特征，坚持山水林田湖草沙一体化保护和系统治理，明确沙区开发建设活动管控总体要求：在沙化土地范围内开展各类工程建设，应当严格控制扰动范围，最大限度保护沙生植被与地表结皮等防风固沙体系；采取有效的工程防护与生态保护措施，降低人为扰动诱发风蚀沙化风险；施工结束后及时开展迹地整治与地貌恢复，避免人为活动加剧区域土地沙化趋势，统筹资源开发与荒漠化防治协调发展。</w:t>
            </w:r>
          </w:p>
          <w:p w14:paraId="13933B65">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为油气勘探短期工程，施工期间清理地表植被、破坏原有地表结皮，会局部提升风蚀作用，一定程度增大局部土地沙化风险。但项目具有施工周期短、总占地面积小、属于临时性扰动的特点。建设单位将严格落实一系列防风固沙管控措施：实施分段施工作业，划定明确施工边界，严控扰动范围，最大限度减少原生植被与地表结皮破坏；施工阶段对裸露扰动区域采取苫盖、围挡等工程防风措施，降低风蚀起沙强度；勘探作业完成后，第一时间拆除临时设施、平整扰动场地，开展迹地地貌恢复，减轻地表裸露持续时间。</w:t>
            </w:r>
          </w:p>
          <w:p w14:paraId="33FDE033">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在全面落实上述生态保护及防沙治沙措施前提下，项目扰动造成土地沙化影响范围有限、持续时间短，扰动区域可通过后期地貌恢复逐步降低风蚀风险，不会形成持续性沙化斑块，不会加重区域整体土地沙化发展态势。项目开发建设模式符合《巴音郭楞蒙古自治州防沙治沙规划（2021-2030年）》中沙区工程建设“严控扰动、强化防护、及时修复”的总体管控思路，与规划要求相符。</w:t>
            </w:r>
          </w:p>
          <w:p w14:paraId="0FB63E93">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8、</w:t>
            </w:r>
            <w:r>
              <w:rPr>
                <w:rFonts w:hint="default" w:ascii="Times New Roman" w:hAnsi="Times New Roman" w:eastAsia="宋体" w:cs="Times New Roman"/>
                <w:snapToGrid w:val="0"/>
                <w:color w:val="auto"/>
                <w:sz w:val="24"/>
                <w:szCs w:val="24"/>
                <w:highlight w:val="none"/>
                <w:lang w:val="en-US" w:eastAsia="zh-CN"/>
              </w:rPr>
              <w:t xml:space="preserve">与《新疆维吾尔自治区矿产资源总体规划（2021-2025年）》符合性分析 </w:t>
            </w:r>
          </w:p>
          <w:p w14:paraId="0CD2CAB0">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 xml:space="preserve">《新疆维吾尔自治区矿产资源总体规划（2021-2025年）》依据矿产资源分布特点及勘察开发现状，按照“深化北疆东疆，加快南疆勘查开发”的总体思路，划分了环准噶尔、环塔里木、阿尔泰、东准噶尔、西准噶尔、东天山、西天山、西南天山、西昆仑、东昆仑—阿尔金等“两环八带”十个勘查开发区。 </w:t>
            </w:r>
          </w:p>
          <w:p w14:paraId="1179DF8A">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本项目位于若羌县</w:t>
            </w:r>
            <w:r>
              <w:rPr>
                <w:rFonts w:hint="eastAsia" w:cs="Times New Roman"/>
                <w:snapToGrid w:val="0"/>
                <w:color w:val="auto"/>
                <w:sz w:val="24"/>
                <w:szCs w:val="24"/>
                <w:highlight w:val="none"/>
                <w:lang w:val="en-US" w:eastAsia="zh-CN"/>
              </w:rPr>
              <w:t>354.0度</w:t>
            </w:r>
            <w:r>
              <w:rPr>
                <w:rFonts w:hint="default" w:ascii="Times New Roman" w:hAnsi="Times New Roman" w:eastAsia="宋体" w:cs="Times New Roman"/>
                <w:snapToGrid w:val="0"/>
                <w:color w:val="auto"/>
                <w:sz w:val="24"/>
                <w:szCs w:val="24"/>
                <w:highlight w:val="none"/>
                <w:lang w:val="en-US" w:eastAsia="zh-CN"/>
              </w:rPr>
              <w:t>方位，属于塔里木盆地尉犁5区块探矿权油气勘查范围内，属于《规划》“两环八带”勘查开发布局中的“环塔里木能源资源勘察开发区”，同时属于陆地矿产资源地质勘查（含油气资源勘探），符合规划要求。</w:t>
            </w:r>
          </w:p>
          <w:p w14:paraId="0D11C511">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9、</w:t>
            </w:r>
            <w:r>
              <w:rPr>
                <w:rFonts w:hint="default" w:ascii="Times New Roman" w:hAnsi="Times New Roman" w:eastAsia="宋体" w:cs="Times New Roman"/>
                <w:snapToGrid w:val="0"/>
                <w:color w:val="auto"/>
                <w:sz w:val="24"/>
                <w:szCs w:val="24"/>
                <w:highlight w:val="none"/>
                <w:lang w:val="en-US" w:eastAsia="zh-CN"/>
              </w:rPr>
              <w:t>《巴州矿产资源总体规划（2021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 xml:space="preserve">2025年）》符合性分析 </w:t>
            </w:r>
          </w:p>
          <w:p w14:paraId="0DFE3B81">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pPr>
            <w:r>
              <w:rPr>
                <w:rFonts w:hint="default" w:ascii="Times New Roman" w:hAnsi="Times New Roman" w:eastAsia="宋体" w:cs="Times New Roman"/>
                <w:snapToGrid w:val="0"/>
                <w:color w:val="auto"/>
                <w:sz w:val="24"/>
                <w:szCs w:val="24"/>
                <w:highlight w:val="none"/>
                <w:lang w:val="en-US" w:eastAsia="zh-CN"/>
              </w:rPr>
              <w:t>本项目为油气资源勘探项目，根据《巴州矿产资源总体规划（2021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2025年）》中，本项目不属于重点、限制、禁止勘查开采矿种项目，属于允许勘查开采矿种项目，符合《巴州矿产资源总体规划（2021</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2025年）》的要求。</w:t>
            </w:r>
          </w:p>
          <w:p w14:paraId="47FC3DAB">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1</w:t>
            </w:r>
            <w:r>
              <w:rPr>
                <w:rFonts w:hint="eastAsia" w:cs="Times New Roman"/>
                <w:snapToGrid w:val="0"/>
                <w:color w:val="auto"/>
                <w:sz w:val="24"/>
                <w:szCs w:val="24"/>
                <w:highlight w:val="none"/>
                <w:lang w:val="en-US" w:eastAsia="zh-CN"/>
              </w:rPr>
              <w:t>0</w:t>
            </w:r>
            <w:r>
              <w:rPr>
                <w:rFonts w:hint="eastAsia" w:ascii="Times New Roman" w:hAnsi="Times New Roman" w:eastAsia="宋体" w:cs="Times New Roman"/>
                <w:snapToGrid w:val="0"/>
                <w:color w:val="auto"/>
                <w:sz w:val="24"/>
                <w:szCs w:val="24"/>
                <w:highlight w:val="none"/>
                <w:lang w:val="en-US" w:eastAsia="zh-CN"/>
              </w:rPr>
              <w:t>、《巴音郭楞蒙古自治州国民经济和社会发展第十五个五年规划纲要》</w:t>
            </w:r>
            <w:r>
              <w:rPr>
                <w:rFonts w:hint="default" w:ascii="Times New Roman" w:hAnsi="Times New Roman" w:eastAsia="宋体" w:cs="Times New Roman"/>
                <w:snapToGrid w:val="0"/>
                <w:color w:val="auto"/>
                <w:sz w:val="24"/>
                <w:szCs w:val="24"/>
                <w:highlight w:val="none"/>
                <w:lang w:val="en-US" w:eastAsia="zh-CN"/>
              </w:rPr>
              <w:t>符合性分析</w:t>
            </w:r>
          </w:p>
          <w:p w14:paraId="1A67ECBE">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default" w:eastAsia="宋体"/>
                <w:lang w:val="en-US" w:eastAsia="zh-CN"/>
              </w:rPr>
            </w:pPr>
            <w:r>
              <w:rPr>
                <w:rFonts w:hint="default" w:eastAsia="宋体"/>
                <w:lang w:val="en-US" w:eastAsia="zh-CN"/>
              </w:rPr>
              <w:t>《纲要》中“第二篇-第一章 加快发展油气生产加工业”提出：加大油气勘探开发。以塔里木盆地、焉耆盆地为重点，以深层超深层、非常规为主攻方向，大力实施油气增储工程。引导社会资本参与油气、页岩气勘探开发，推动库尔勒、尉犁等区域油气空白区块挂牌出让，形成新的油气资源战略接续区。到2030年，力争全州油气产量当量达3500万吨以上。</w:t>
            </w:r>
          </w:p>
          <w:p w14:paraId="20CD56A4">
            <w:pPr>
              <w:pStyle w:val="78"/>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both"/>
              <w:textAlignment w:val="auto"/>
              <w:rPr>
                <w:rFonts w:hint="default" w:eastAsia="宋体"/>
                <w:lang w:val="en-US" w:eastAsia="zh-CN"/>
              </w:rPr>
            </w:pPr>
            <w:r>
              <w:rPr>
                <w:rFonts w:hint="default" w:eastAsia="宋体"/>
                <w:lang w:val="en-US" w:eastAsia="zh-CN"/>
              </w:rPr>
              <w:t>本项目位于塔里木盆地，为油气资源勘探项目，符合《纲要》要求。</w:t>
            </w:r>
          </w:p>
        </w:tc>
      </w:tr>
    </w:tbl>
    <w:p w14:paraId="6AE2D96C">
      <w:pPr>
        <w:spacing w:line="360" w:lineRule="auto"/>
        <w:outlineLvl w:val="9"/>
        <w:rPr>
          <w:rFonts w:hint="default" w:ascii="Times New Roman" w:hAnsi="Times New Roman" w:eastAsia="黑体" w:cs="Times New Roman"/>
          <w:color w:val="auto"/>
          <w:sz w:val="30"/>
          <w:highlight w:val="none"/>
        </w:rPr>
        <w:sectPr>
          <w:footerReference r:id="rId4" w:type="default"/>
          <w:pgSz w:w="11906" w:h="16838"/>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14:paraId="2D283210">
      <w:pPr>
        <w:pStyle w:val="32"/>
        <w:jc w:val="center"/>
        <w:outlineLvl w:val="0"/>
        <w:rPr>
          <w:rFonts w:hint="default" w:ascii="Times New Roman" w:hAnsi="Times New Roman" w:eastAsia="黑体" w:cs="Times New Roman"/>
          <w:snapToGrid w:val="0"/>
          <w:color w:val="auto"/>
          <w:sz w:val="30"/>
          <w:szCs w:val="30"/>
          <w:highlight w:val="none"/>
        </w:rPr>
      </w:pPr>
      <w:bookmarkStart w:id="5" w:name="_Toc31147"/>
      <w:r>
        <w:rPr>
          <w:rFonts w:hint="default" w:ascii="Times New Roman" w:hAnsi="Times New Roman" w:eastAsia="黑体" w:cs="Times New Roman"/>
          <w:snapToGrid w:val="0"/>
          <w:color w:val="auto"/>
          <w:sz w:val="30"/>
          <w:szCs w:val="30"/>
          <w:highlight w:val="none"/>
        </w:rPr>
        <w:t>二、建设内容</w:t>
      </w:r>
      <w:bookmarkEnd w:id="5"/>
    </w:p>
    <w:tbl>
      <w:tblPr>
        <w:tblStyle w:val="3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001"/>
      </w:tblGrid>
      <w:tr w14:paraId="11388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241" w:type="pct"/>
            <w:noWrap w:val="0"/>
            <w:vAlign w:val="center"/>
          </w:tcPr>
          <w:p w14:paraId="2A73806E">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地理位置</w:t>
            </w:r>
          </w:p>
        </w:tc>
        <w:tc>
          <w:tcPr>
            <w:tcW w:w="4758" w:type="pct"/>
            <w:noWrap w:val="0"/>
            <w:vAlign w:val="center"/>
          </w:tcPr>
          <w:p w14:paraId="6B454FD0">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本项目位于新疆维吾尔自治区巴音郭楞蒙古自治州</w:t>
            </w:r>
            <w:r>
              <w:rPr>
                <w:rFonts w:hint="eastAsia" w:cs="Times New Roman"/>
                <w:color w:val="auto"/>
                <w:sz w:val="24"/>
                <w:lang w:val="en-US" w:eastAsia="zh-CN"/>
              </w:rPr>
              <w:t>若羌县354.0度方位，直距约144.41千米</w:t>
            </w:r>
            <w:r>
              <w:rPr>
                <w:rFonts w:hint="default" w:ascii="Times New Roman" w:hAnsi="Times New Roman" w:eastAsia="宋体" w:cs="Times New Roman"/>
                <w:color w:val="auto"/>
                <w:sz w:val="24"/>
                <w:lang w:val="en-US" w:eastAsia="zh-CN"/>
              </w:rPr>
              <w:t>，塔里木盆地北部坳陷的英吉苏凹陷龙口1号构造带上，设计井位处于218国道959km标牌230°方向约24km，井口距离龙口1井口约970米；井区地表主要为沙漠。</w:t>
            </w:r>
          </w:p>
          <w:p w14:paraId="79C7545B">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井口坐标：东经：87°59′18.593″，北纬：40°18′44.114″。</w:t>
            </w:r>
          </w:p>
          <w:p w14:paraId="405954A6">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0"/>
                <w:szCs w:val="21"/>
                <w:highlight w:val="none"/>
                <w:lang w:val="en-US"/>
              </w:rPr>
            </w:pPr>
            <w:r>
              <w:rPr>
                <w:rFonts w:hint="default" w:ascii="Times New Roman" w:hAnsi="Times New Roman" w:eastAsia="宋体" w:cs="Times New Roman"/>
                <w:color w:val="auto"/>
                <w:sz w:val="24"/>
                <w:lang w:val="en-US" w:eastAsia="zh-CN"/>
              </w:rPr>
              <w:t>项目地理位置图见附图2-1，周边关系图见附图2-2。</w:t>
            </w:r>
          </w:p>
        </w:tc>
      </w:tr>
      <w:tr w14:paraId="2EB75B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 w:type="pct"/>
            <w:noWrap w:val="0"/>
            <w:vAlign w:val="center"/>
          </w:tcPr>
          <w:p w14:paraId="0C06CE35">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项目组成及规模</w:t>
            </w:r>
          </w:p>
        </w:tc>
        <w:tc>
          <w:tcPr>
            <w:tcW w:w="4758" w:type="pct"/>
            <w:noWrap w:val="0"/>
            <w:vAlign w:val="center"/>
          </w:tcPr>
          <w:p w14:paraId="323728E0">
            <w:pPr>
              <w:keepNext w:val="0"/>
              <w:keepLines w:val="0"/>
              <w:pageBreakBefore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lang w:val="en-US" w:eastAsia="zh-CN"/>
              </w:rPr>
              <w:t>.项目基本情况</w:t>
            </w:r>
          </w:p>
          <w:p w14:paraId="6B82D604">
            <w:pPr>
              <w:pStyle w:val="78"/>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b w:val="0"/>
                <w:bCs/>
                <w:color w:val="auto"/>
                <w:kern w:val="2"/>
                <w:sz w:val="24"/>
                <w:szCs w:val="24"/>
                <w:highlight w:val="none"/>
                <w:lang w:val="en-US" w:eastAsia="zh-CN"/>
              </w:rPr>
            </w:pPr>
            <w:bookmarkStart w:id="6" w:name="_Toc11795"/>
            <w:r>
              <w:rPr>
                <w:rFonts w:hint="eastAsia" w:cs="Times New Roman"/>
                <w:b w:val="0"/>
                <w:bCs/>
                <w:color w:val="auto"/>
                <w:kern w:val="2"/>
                <w:sz w:val="24"/>
                <w:szCs w:val="24"/>
                <w:highlight w:val="none"/>
                <w:lang w:val="en-US" w:eastAsia="zh-CN"/>
              </w:rPr>
              <w:t>1</w:t>
            </w:r>
            <w:r>
              <w:rPr>
                <w:rFonts w:hint="default" w:ascii="Times New Roman" w:hAnsi="Times New Roman" w:eastAsia="宋体" w:cs="Times New Roman"/>
                <w:b w:val="0"/>
                <w:bCs/>
                <w:color w:val="auto"/>
                <w:kern w:val="2"/>
                <w:sz w:val="24"/>
                <w:szCs w:val="24"/>
                <w:highlight w:val="none"/>
                <w:lang w:val="en-US" w:eastAsia="zh-CN"/>
              </w:rPr>
              <w:t>.1项目基本情况</w:t>
            </w:r>
            <w:bookmarkEnd w:id="6"/>
          </w:p>
          <w:p w14:paraId="4C79BA57">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项目名称：尉犁5区块龙口101井油气勘探项目</w:t>
            </w:r>
          </w:p>
          <w:p w14:paraId="3A57210B">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项目承担单位：</w:t>
            </w:r>
            <w:r>
              <w:rPr>
                <w:rFonts w:hint="eastAsia" w:cs="Times New Roman"/>
                <w:snapToGrid w:val="0"/>
                <w:color w:val="auto"/>
                <w:sz w:val="24"/>
                <w:szCs w:val="24"/>
                <w:highlight w:val="none"/>
                <w:lang w:val="en-US" w:eastAsia="zh-CN"/>
              </w:rPr>
              <w:t>中能北方（尉犁）油气勘探开发有限责任公司</w:t>
            </w:r>
          </w:p>
          <w:p w14:paraId="1EC1F325">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工程施工单位：陕西中天钻探工程有限公司</w:t>
            </w:r>
          </w:p>
          <w:p w14:paraId="1AC8C7B1">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建设性质：新建</w:t>
            </w:r>
          </w:p>
          <w:p w14:paraId="31731DC4">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地理位置：新疆维吾尔自治区巴音郭楞蒙古自治州</w:t>
            </w:r>
            <w:r>
              <w:rPr>
                <w:rFonts w:hint="eastAsia" w:cs="Times New Roman"/>
                <w:snapToGrid w:val="0"/>
                <w:color w:val="auto"/>
                <w:sz w:val="24"/>
                <w:szCs w:val="24"/>
                <w:highlight w:val="none"/>
                <w:lang w:val="en-US" w:eastAsia="zh-CN"/>
              </w:rPr>
              <w:t>若羌县</w:t>
            </w:r>
          </w:p>
          <w:p w14:paraId="131F2225">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b/>
                <w:bCs/>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设计井深：</w:t>
            </w:r>
            <w:r>
              <w:rPr>
                <w:rFonts w:hint="eastAsia" w:cs="Times New Roman"/>
                <w:snapToGrid w:val="0"/>
                <w:color w:val="auto"/>
                <w:sz w:val="24"/>
                <w:szCs w:val="24"/>
                <w:highlight w:val="none"/>
                <w:lang w:val="en-US" w:eastAsia="zh-CN"/>
              </w:rPr>
              <w:t>5000</w:t>
            </w:r>
            <w:r>
              <w:rPr>
                <w:rFonts w:hint="default" w:ascii="Times New Roman" w:hAnsi="Times New Roman" w:eastAsia="宋体" w:cs="Times New Roman"/>
                <w:snapToGrid w:val="0"/>
                <w:color w:val="auto"/>
                <w:sz w:val="24"/>
                <w:szCs w:val="24"/>
                <w:highlight w:val="none"/>
                <w:lang w:val="en-US" w:eastAsia="zh-CN"/>
              </w:rPr>
              <w:t>m</w:t>
            </w:r>
            <w:r>
              <w:rPr>
                <w:rFonts w:hint="eastAsia" w:cs="Times New Roman"/>
                <w:snapToGrid w:val="0"/>
                <w:color w:val="auto"/>
                <w:sz w:val="24"/>
                <w:szCs w:val="24"/>
                <w:highlight w:val="none"/>
                <w:lang w:val="en-US" w:eastAsia="zh-CN"/>
              </w:rPr>
              <w:t>（垂深）</w:t>
            </w:r>
          </w:p>
          <w:p w14:paraId="3CF04F4E">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b/>
                <w:bCs/>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1</w:t>
            </w:r>
            <w:r>
              <w:rPr>
                <w:rFonts w:hint="eastAsia" w:ascii="Times New Roman" w:hAnsi="Times New Roman" w:eastAsia="宋体" w:cs="Times New Roman"/>
                <w:snapToGrid w:val="0"/>
                <w:color w:val="auto"/>
                <w:sz w:val="24"/>
                <w:szCs w:val="24"/>
                <w:highlight w:val="none"/>
                <w:lang w:val="en-US" w:eastAsia="zh-CN"/>
              </w:rPr>
              <w:t>.2具体参数</w:t>
            </w:r>
          </w:p>
          <w:p w14:paraId="12184996">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具体参数见表2-1：</w:t>
            </w:r>
          </w:p>
          <w:p w14:paraId="49022497">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w:t>
            </w:r>
            <w:r>
              <w:rPr>
                <w:rFonts w:hint="eastAsia"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cs="Times New Roman"/>
                <w:color w:val="auto"/>
                <w:sz w:val="21"/>
                <w:szCs w:val="21"/>
                <w:highlight w:val="none"/>
                <w:lang w:val="en-US" w:eastAsia="zh-CN"/>
              </w:rPr>
              <w:t>龙口101井</w:t>
            </w:r>
            <w:r>
              <w:rPr>
                <w:rFonts w:hint="default" w:ascii="Times New Roman" w:hAnsi="Times New Roman" w:eastAsia="宋体" w:cs="Times New Roman"/>
                <w:color w:val="auto"/>
                <w:sz w:val="21"/>
                <w:szCs w:val="21"/>
                <w:highlight w:val="none"/>
                <w:lang w:val="en-US" w:eastAsia="zh-CN"/>
              </w:rPr>
              <w:t>（勘探井）基本数据一览表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08"/>
              <w:gridCol w:w="1341"/>
              <w:gridCol w:w="1421"/>
              <w:gridCol w:w="1888"/>
              <w:gridCol w:w="997"/>
              <w:gridCol w:w="2016"/>
            </w:tblGrid>
            <w:tr w14:paraId="6E85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703EA10F">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项目名称</w:t>
                  </w:r>
                </w:p>
              </w:tc>
              <w:tc>
                <w:tcPr>
                  <w:tcW w:w="4367" w:type="pct"/>
                  <w:gridSpan w:val="5"/>
                  <w:noWrap w:val="0"/>
                  <w:tcMar>
                    <w:top w:w="15" w:type="dxa"/>
                    <w:left w:w="15" w:type="dxa"/>
                    <w:bottom w:w="0" w:type="dxa"/>
                    <w:right w:w="15" w:type="dxa"/>
                  </w:tcMar>
                  <w:vAlign w:val="center"/>
                </w:tcPr>
                <w:p w14:paraId="627967EF">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尉犁5区块龙口101井油气勘探项目</w:t>
                  </w:r>
                </w:p>
              </w:tc>
            </w:tr>
            <w:tr w14:paraId="2530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vMerge w:val="restart"/>
                  <w:noWrap w:val="0"/>
                  <w:tcMar>
                    <w:top w:w="15" w:type="dxa"/>
                    <w:left w:w="15" w:type="dxa"/>
                    <w:bottom w:w="0" w:type="dxa"/>
                    <w:right w:w="15" w:type="dxa"/>
                  </w:tcMar>
                  <w:vAlign w:val="center"/>
                </w:tcPr>
                <w:p w14:paraId="3EC876D1">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项目性质</w:t>
                  </w:r>
                </w:p>
              </w:tc>
              <w:tc>
                <w:tcPr>
                  <w:tcW w:w="764" w:type="pct"/>
                  <w:vMerge w:val="restart"/>
                  <w:noWrap w:val="0"/>
                  <w:tcMar>
                    <w:top w:w="15" w:type="dxa"/>
                    <w:left w:w="15" w:type="dxa"/>
                    <w:bottom w:w="0" w:type="dxa"/>
                    <w:right w:w="15" w:type="dxa"/>
                  </w:tcMar>
                  <w:vAlign w:val="center"/>
                </w:tcPr>
                <w:p w14:paraId="5AA40F49">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c>
                <w:tcPr>
                  <w:tcW w:w="809" w:type="pct"/>
                  <w:vMerge w:val="restart"/>
                  <w:noWrap w:val="0"/>
                  <w:vAlign w:val="center"/>
                </w:tcPr>
                <w:p w14:paraId="27B00CF2">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井号</w:t>
                  </w:r>
                </w:p>
              </w:tc>
              <w:tc>
                <w:tcPr>
                  <w:tcW w:w="1076" w:type="pct"/>
                  <w:vMerge w:val="restart"/>
                  <w:noWrap w:val="0"/>
                  <w:vAlign w:val="center"/>
                </w:tcPr>
                <w:p w14:paraId="690338D6">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龙口101井</w:t>
                  </w:r>
                </w:p>
              </w:tc>
              <w:tc>
                <w:tcPr>
                  <w:tcW w:w="568" w:type="pct"/>
                  <w:noWrap w:val="0"/>
                  <w:vAlign w:val="center"/>
                </w:tcPr>
                <w:p w14:paraId="02DBA1A8">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井型</w:t>
                  </w:r>
                </w:p>
              </w:tc>
              <w:tc>
                <w:tcPr>
                  <w:tcW w:w="1148" w:type="pct"/>
                  <w:noWrap w:val="0"/>
                  <w:vAlign w:val="center"/>
                </w:tcPr>
                <w:p w14:paraId="6E2FCF90">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直井</w:t>
                  </w:r>
                </w:p>
              </w:tc>
            </w:tr>
            <w:tr w14:paraId="4869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vMerge w:val="continue"/>
                  <w:noWrap w:val="0"/>
                  <w:tcMar>
                    <w:top w:w="15" w:type="dxa"/>
                    <w:left w:w="15" w:type="dxa"/>
                    <w:bottom w:w="0" w:type="dxa"/>
                    <w:right w:w="15" w:type="dxa"/>
                  </w:tcMar>
                  <w:vAlign w:val="center"/>
                </w:tcPr>
                <w:p w14:paraId="17E70D16">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764" w:type="pct"/>
                  <w:vMerge w:val="continue"/>
                  <w:noWrap w:val="0"/>
                  <w:tcMar>
                    <w:top w:w="15" w:type="dxa"/>
                    <w:left w:w="15" w:type="dxa"/>
                    <w:bottom w:w="0" w:type="dxa"/>
                    <w:right w:w="15" w:type="dxa"/>
                  </w:tcMar>
                  <w:vAlign w:val="center"/>
                </w:tcPr>
                <w:p w14:paraId="12CF578D">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809" w:type="pct"/>
                  <w:vMerge w:val="continue"/>
                  <w:noWrap w:val="0"/>
                  <w:vAlign w:val="center"/>
                </w:tcPr>
                <w:p w14:paraId="0F1D9988">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1076" w:type="pct"/>
                  <w:vMerge w:val="continue"/>
                  <w:noWrap w:val="0"/>
                  <w:vAlign w:val="center"/>
                </w:tcPr>
                <w:p w14:paraId="5B61DBAE">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p>
              </w:tc>
              <w:tc>
                <w:tcPr>
                  <w:tcW w:w="568" w:type="pct"/>
                  <w:noWrap w:val="0"/>
                  <w:vAlign w:val="center"/>
                </w:tcPr>
                <w:p w14:paraId="4ACE1C0D">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井别</w:t>
                  </w:r>
                </w:p>
              </w:tc>
              <w:tc>
                <w:tcPr>
                  <w:tcW w:w="1148" w:type="pct"/>
                  <w:noWrap w:val="0"/>
                  <w:vAlign w:val="center"/>
                </w:tcPr>
                <w:p w14:paraId="2ED85539">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勘探井</w:t>
                  </w:r>
                </w:p>
              </w:tc>
            </w:tr>
            <w:tr w14:paraId="756B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7D4C52E8">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建设地点</w:t>
                  </w:r>
                </w:p>
              </w:tc>
              <w:tc>
                <w:tcPr>
                  <w:tcW w:w="4367" w:type="pct"/>
                  <w:gridSpan w:val="5"/>
                  <w:noWrap w:val="0"/>
                  <w:tcMar>
                    <w:top w:w="15" w:type="dxa"/>
                    <w:left w:w="15" w:type="dxa"/>
                    <w:bottom w:w="0" w:type="dxa"/>
                    <w:right w:w="15" w:type="dxa"/>
                  </w:tcMar>
                  <w:vAlign w:val="center"/>
                </w:tcPr>
                <w:p w14:paraId="5F1E0F80">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巴音郭楞蒙古自治州</w:t>
                  </w:r>
                  <w:r>
                    <w:rPr>
                      <w:rFonts w:hint="eastAsia" w:cs="Times New Roman"/>
                      <w:color w:val="auto"/>
                      <w:sz w:val="21"/>
                      <w:szCs w:val="21"/>
                      <w:lang w:val="en-US" w:eastAsia="zh-CN"/>
                    </w:rPr>
                    <w:t>若羌县354.0度方位，直距约144.41千米</w:t>
                  </w:r>
                </w:p>
              </w:tc>
            </w:tr>
            <w:tr w14:paraId="7645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1763325B">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井口坐标</w:t>
                  </w:r>
                </w:p>
              </w:tc>
              <w:tc>
                <w:tcPr>
                  <w:tcW w:w="1574" w:type="pct"/>
                  <w:gridSpan w:val="2"/>
                  <w:noWrap w:val="0"/>
                  <w:tcMar>
                    <w:top w:w="15" w:type="dxa"/>
                    <w:left w:w="15" w:type="dxa"/>
                    <w:bottom w:w="0" w:type="dxa"/>
                    <w:right w:w="15" w:type="dxa"/>
                  </w:tcMar>
                  <w:vAlign w:val="center"/>
                </w:tcPr>
                <w:p w14:paraId="2BCD8B6E">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东经</w:t>
                  </w:r>
                </w:p>
              </w:tc>
              <w:tc>
                <w:tcPr>
                  <w:tcW w:w="1076" w:type="pct"/>
                  <w:noWrap w:val="0"/>
                  <w:tcMar>
                    <w:top w:w="15" w:type="dxa"/>
                    <w:left w:w="15" w:type="dxa"/>
                    <w:bottom w:w="0" w:type="dxa"/>
                    <w:right w:w="15" w:type="dxa"/>
                  </w:tcMar>
                  <w:vAlign w:val="center"/>
                </w:tcPr>
                <w:p w14:paraId="651E1832">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87°59′18.593″</w:t>
                  </w:r>
                </w:p>
              </w:tc>
              <w:tc>
                <w:tcPr>
                  <w:tcW w:w="568" w:type="pct"/>
                  <w:noWrap w:val="0"/>
                  <w:tcMar>
                    <w:top w:w="15" w:type="dxa"/>
                    <w:left w:w="15" w:type="dxa"/>
                    <w:bottom w:w="0" w:type="dxa"/>
                    <w:right w:w="15" w:type="dxa"/>
                  </w:tcMar>
                  <w:vAlign w:val="center"/>
                </w:tcPr>
                <w:p w14:paraId="050B42D8">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北纬</w:t>
                  </w:r>
                </w:p>
              </w:tc>
              <w:tc>
                <w:tcPr>
                  <w:tcW w:w="1148" w:type="pct"/>
                  <w:noWrap w:val="0"/>
                  <w:tcMar>
                    <w:top w:w="15" w:type="dxa"/>
                    <w:left w:w="15" w:type="dxa"/>
                    <w:bottom w:w="0" w:type="dxa"/>
                    <w:right w:w="15" w:type="dxa"/>
                  </w:tcMar>
                  <w:vAlign w:val="center"/>
                </w:tcPr>
                <w:p w14:paraId="6DC954A4">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40°18′44.114″</w:t>
                  </w:r>
                </w:p>
              </w:tc>
            </w:tr>
            <w:tr w14:paraId="3B52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1EC9491D">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设计井深</w:t>
                  </w:r>
                </w:p>
              </w:tc>
              <w:tc>
                <w:tcPr>
                  <w:tcW w:w="1574" w:type="pct"/>
                  <w:gridSpan w:val="2"/>
                  <w:noWrap w:val="0"/>
                  <w:tcMar>
                    <w:top w:w="15" w:type="dxa"/>
                    <w:left w:w="15" w:type="dxa"/>
                    <w:bottom w:w="0" w:type="dxa"/>
                    <w:right w:w="15" w:type="dxa"/>
                  </w:tcMar>
                  <w:vAlign w:val="center"/>
                </w:tcPr>
                <w:p w14:paraId="7EBD2149">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5000</w:t>
                  </w:r>
                  <w:r>
                    <w:rPr>
                      <w:rFonts w:hint="default" w:ascii="Times New Roman" w:hAnsi="Times New Roman" w:eastAsia="宋体" w:cs="Times New Roman"/>
                      <w:color w:val="auto"/>
                      <w:sz w:val="21"/>
                      <w:szCs w:val="21"/>
                      <w:lang w:val="en-US" w:eastAsia="zh-CN"/>
                    </w:rPr>
                    <w:t>m</w:t>
                  </w:r>
                </w:p>
              </w:tc>
              <w:tc>
                <w:tcPr>
                  <w:tcW w:w="1076" w:type="pct"/>
                  <w:noWrap w:val="0"/>
                  <w:vAlign w:val="center"/>
                </w:tcPr>
                <w:p w14:paraId="1D682BCB">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目的层</w:t>
                  </w:r>
                </w:p>
              </w:tc>
              <w:tc>
                <w:tcPr>
                  <w:tcW w:w="1716" w:type="pct"/>
                  <w:gridSpan w:val="2"/>
                  <w:noWrap w:val="0"/>
                  <w:vAlign w:val="center"/>
                </w:tcPr>
                <w:p w14:paraId="7A27E023">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志留系</w:t>
                  </w:r>
                </w:p>
              </w:tc>
            </w:tr>
            <w:tr w14:paraId="1571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246DF382">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完钻原则</w:t>
                  </w:r>
                </w:p>
              </w:tc>
              <w:tc>
                <w:tcPr>
                  <w:tcW w:w="1574" w:type="pct"/>
                  <w:gridSpan w:val="2"/>
                  <w:noWrap w:val="0"/>
                  <w:tcMar>
                    <w:top w:w="15" w:type="dxa"/>
                    <w:left w:w="15" w:type="dxa"/>
                    <w:bottom w:w="0" w:type="dxa"/>
                    <w:right w:w="15" w:type="dxa"/>
                  </w:tcMar>
                  <w:vAlign w:val="center"/>
                </w:tcPr>
                <w:p w14:paraId="1656D68A">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钻至设计井深无油气显示完钻</w:t>
                  </w:r>
                </w:p>
              </w:tc>
              <w:tc>
                <w:tcPr>
                  <w:tcW w:w="1076" w:type="pct"/>
                  <w:noWrap w:val="0"/>
                  <w:vAlign w:val="center"/>
                </w:tcPr>
                <w:p w14:paraId="63EDFFAB">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完井方式</w:t>
                  </w:r>
                </w:p>
              </w:tc>
              <w:tc>
                <w:tcPr>
                  <w:tcW w:w="1716" w:type="pct"/>
                  <w:gridSpan w:val="2"/>
                  <w:noWrap w:val="0"/>
                  <w:vAlign w:val="center"/>
                </w:tcPr>
                <w:p w14:paraId="347A0C69">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套管固井完井</w:t>
                  </w:r>
                </w:p>
              </w:tc>
            </w:tr>
            <w:tr w14:paraId="1E5A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11C71FE8">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周边环境</w:t>
                  </w:r>
                </w:p>
                <w:p w14:paraId="771B12E4">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状况</w:t>
                  </w:r>
                </w:p>
              </w:tc>
              <w:tc>
                <w:tcPr>
                  <w:tcW w:w="4367" w:type="pct"/>
                  <w:gridSpan w:val="5"/>
                  <w:noWrap w:val="0"/>
                  <w:tcMar>
                    <w:top w:w="15" w:type="dxa"/>
                    <w:left w:w="15" w:type="dxa"/>
                    <w:bottom w:w="0" w:type="dxa"/>
                    <w:right w:w="15" w:type="dxa"/>
                  </w:tcMar>
                  <w:vAlign w:val="center"/>
                </w:tcPr>
                <w:p w14:paraId="0159AFBF">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占地土地利用类型为</w:t>
                  </w:r>
                  <w:r>
                    <w:rPr>
                      <w:rFonts w:hint="eastAsia" w:cs="Times New Roman"/>
                      <w:color w:val="auto"/>
                      <w:sz w:val="21"/>
                      <w:szCs w:val="21"/>
                      <w:lang w:val="en-US" w:eastAsia="zh-CN"/>
                    </w:rPr>
                    <w:t>沙地、盐碱地</w:t>
                  </w:r>
                  <w:r>
                    <w:rPr>
                      <w:rFonts w:hint="default" w:ascii="Times New Roman" w:hAnsi="Times New Roman" w:eastAsia="宋体" w:cs="Times New Roman"/>
                      <w:color w:val="auto"/>
                      <w:sz w:val="21"/>
                      <w:szCs w:val="21"/>
                      <w:lang w:val="en-US" w:eastAsia="zh-CN"/>
                    </w:rPr>
                    <w:t>，周边为</w:t>
                  </w:r>
                  <w:r>
                    <w:rPr>
                      <w:rFonts w:hint="eastAsia" w:cs="Times New Roman"/>
                      <w:color w:val="auto"/>
                      <w:sz w:val="21"/>
                      <w:szCs w:val="21"/>
                      <w:lang w:val="en-US" w:eastAsia="zh-CN"/>
                    </w:rPr>
                    <w:t>沙漠</w:t>
                  </w:r>
                </w:p>
              </w:tc>
            </w:tr>
            <w:tr w14:paraId="0996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7F408526">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项目投资</w:t>
                  </w:r>
                </w:p>
              </w:tc>
              <w:tc>
                <w:tcPr>
                  <w:tcW w:w="4367" w:type="pct"/>
                  <w:gridSpan w:val="5"/>
                  <w:noWrap w:val="0"/>
                  <w:tcMar>
                    <w:top w:w="15" w:type="dxa"/>
                    <w:left w:w="15" w:type="dxa"/>
                    <w:bottom w:w="0" w:type="dxa"/>
                    <w:right w:w="15" w:type="dxa"/>
                  </w:tcMar>
                  <w:vAlign w:val="center"/>
                </w:tcPr>
                <w:p w14:paraId="6B0BD43A">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总投资：</w:t>
                  </w:r>
                  <w:r>
                    <w:rPr>
                      <w:rFonts w:hint="eastAsia" w:cs="Times New Roman"/>
                      <w:color w:val="auto"/>
                      <w:sz w:val="21"/>
                      <w:szCs w:val="21"/>
                      <w:lang w:val="en-US" w:eastAsia="zh-CN"/>
                    </w:rPr>
                    <w:t>4000</w:t>
                  </w:r>
                  <w:r>
                    <w:rPr>
                      <w:rFonts w:hint="default" w:ascii="Times New Roman" w:hAnsi="Times New Roman" w:eastAsia="宋体" w:cs="Times New Roman"/>
                      <w:color w:val="auto"/>
                      <w:sz w:val="21"/>
                      <w:szCs w:val="21"/>
                      <w:lang w:val="en-US" w:eastAsia="zh-CN"/>
                    </w:rPr>
                    <w:t>万元，其中环保投资</w:t>
                  </w:r>
                  <w:r>
                    <w:rPr>
                      <w:rFonts w:hint="eastAsia" w:cs="Times New Roman"/>
                      <w:color w:val="auto"/>
                      <w:sz w:val="21"/>
                      <w:szCs w:val="21"/>
                      <w:lang w:val="en-US" w:eastAsia="zh-CN"/>
                    </w:rPr>
                    <w:t>118</w:t>
                  </w:r>
                  <w:r>
                    <w:rPr>
                      <w:rFonts w:hint="default" w:ascii="Times New Roman" w:hAnsi="Times New Roman" w:eastAsia="宋体" w:cs="Times New Roman"/>
                      <w:color w:val="auto"/>
                      <w:sz w:val="21"/>
                      <w:szCs w:val="21"/>
                      <w:lang w:val="en-US" w:eastAsia="zh-CN"/>
                    </w:rPr>
                    <w:t>万元，占总投资的</w:t>
                  </w:r>
                  <w:r>
                    <w:rPr>
                      <w:rFonts w:hint="eastAsia" w:cs="Times New Roman"/>
                      <w:color w:val="auto"/>
                      <w:sz w:val="21"/>
                      <w:szCs w:val="21"/>
                      <w:lang w:val="en-US" w:eastAsia="zh-CN"/>
                    </w:rPr>
                    <w:t>2.95</w:t>
                  </w:r>
                  <w:r>
                    <w:rPr>
                      <w:rFonts w:hint="default" w:ascii="Times New Roman" w:hAnsi="Times New Roman" w:eastAsia="宋体" w:cs="Times New Roman"/>
                      <w:color w:val="auto"/>
                      <w:sz w:val="21"/>
                      <w:szCs w:val="21"/>
                      <w:lang w:val="en-US" w:eastAsia="zh-CN"/>
                    </w:rPr>
                    <w:t>%</w:t>
                  </w:r>
                </w:p>
              </w:tc>
            </w:tr>
            <w:tr w14:paraId="3EF7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32" w:type="pct"/>
                  <w:noWrap w:val="0"/>
                  <w:tcMar>
                    <w:top w:w="15" w:type="dxa"/>
                    <w:left w:w="15" w:type="dxa"/>
                    <w:bottom w:w="0" w:type="dxa"/>
                    <w:right w:w="15" w:type="dxa"/>
                  </w:tcMar>
                  <w:vAlign w:val="center"/>
                </w:tcPr>
                <w:p w14:paraId="3A93F5E1">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施工天数及劳动定员</w:t>
                  </w:r>
                </w:p>
              </w:tc>
              <w:tc>
                <w:tcPr>
                  <w:tcW w:w="4367" w:type="pct"/>
                  <w:gridSpan w:val="5"/>
                  <w:noWrap w:val="0"/>
                  <w:tcMar>
                    <w:top w:w="15" w:type="dxa"/>
                    <w:left w:w="15" w:type="dxa"/>
                    <w:bottom w:w="0" w:type="dxa"/>
                    <w:right w:w="15" w:type="dxa"/>
                  </w:tcMar>
                  <w:vAlign w:val="center"/>
                </w:tcPr>
                <w:p w14:paraId="7120548E">
                  <w:pPr>
                    <w:keepNext w:val="0"/>
                    <w:keepLines w:val="0"/>
                    <w:pageBreakBefore w:val="0"/>
                    <w:widowControl w:val="0"/>
                    <w:kinsoku/>
                    <w:wordWrap/>
                    <w:overflowPunct/>
                    <w:topLinePunct w:val="0"/>
                    <w:autoSpaceDE/>
                    <w:autoSpaceDN/>
                    <w:bidi w:val="0"/>
                    <w:adjustRightInd w:val="0"/>
                    <w:snapToGrid w:val="0"/>
                    <w:ind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施工天数约</w:t>
                  </w:r>
                  <w:r>
                    <w:rPr>
                      <w:rFonts w:hint="eastAsia" w:ascii="Times New Roman" w:hAnsi="Times New Roman" w:eastAsia="宋体" w:cs="Times New Roman"/>
                      <w:color w:val="auto"/>
                      <w:sz w:val="21"/>
                      <w:szCs w:val="21"/>
                      <w:lang w:val="en-US" w:eastAsia="zh-CN"/>
                    </w:rPr>
                    <w:t>180</w:t>
                  </w:r>
                  <w:r>
                    <w:rPr>
                      <w:rFonts w:hint="default" w:ascii="Times New Roman" w:hAnsi="Times New Roman" w:eastAsia="宋体" w:cs="Times New Roman"/>
                      <w:color w:val="auto"/>
                      <w:sz w:val="21"/>
                      <w:szCs w:val="21"/>
                      <w:lang w:val="en-US" w:eastAsia="zh-CN"/>
                    </w:rPr>
                    <w:t>d，其中钻前工程约</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0d，钻井期预计</w:t>
                  </w:r>
                  <w:r>
                    <w:rPr>
                      <w:rFonts w:hint="eastAsia" w:ascii="Times New Roman" w:hAnsi="Times New Roman" w:eastAsia="宋体" w:cs="Times New Roman"/>
                      <w:color w:val="auto"/>
                      <w:sz w:val="21"/>
                      <w:szCs w:val="21"/>
                      <w:lang w:val="en-US" w:eastAsia="zh-CN"/>
                    </w:rPr>
                    <w:t>110</w:t>
                  </w:r>
                  <w:r>
                    <w:rPr>
                      <w:rFonts w:hint="default" w:ascii="Times New Roman" w:hAnsi="Times New Roman" w:eastAsia="宋体" w:cs="Times New Roman"/>
                      <w:color w:val="auto"/>
                      <w:sz w:val="21"/>
                      <w:szCs w:val="21"/>
                      <w:lang w:val="en-US" w:eastAsia="zh-CN"/>
                    </w:rPr>
                    <w:t>d，完测试放喷10天，完井拆除设备搬迁30天，钻井队编制约60人</w:t>
                  </w:r>
                </w:p>
              </w:tc>
            </w:tr>
          </w:tbl>
          <w:p w14:paraId="096B1360">
            <w:pPr>
              <w:keepNext w:val="0"/>
              <w:keepLines w:val="0"/>
              <w:pageBreakBefore w:val="0"/>
              <w:kinsoku/>
              <w:wordWrap/>
              <w:overflowPunct/>
              <w:topLinePunct w:val="0"/>
              <w:autoSpaceDE/>
              <w:autoSpaceDN/>
              <w:bidi w:val="0"/>
              <w:adjustRightInd/>
              <w:spacing w:line="480" w:lineRule="exact"/>
              <w:textAlignment w:val="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工程建设内容</w:t>
            </w:r>
          </w:p>
          <w:p w14:paraId="69835D3C">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2</w:t>
            </w:r>
            <w:r>
              <w:rPr>
                <w:rFonts w:hint="default" w:ascii="Times New Roman" w:hAnsi="Times New Roman" w:eastAsia="宋体" w:cs="Times New Roman"/>
                <w:snapToGrid w:val="0"/>
                <w:color w:val="auto"/>
                <w:sz w:val="24"/>
                <w:szCs w:val="24"/>
                <w:highlight w:val="none"/>
                <w:lang w:val="en-US" w:eastAsia="zh-CN"/>
              </w:rPr>
              <w:t>.1建设内容</w:t>
            </w:r>
          </w:p>
          <w:p w14:paraId="217C210E">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本次建设1口勘探井（</w:t>
            </w:r>
            <w:r>
              <w:rPr>
                <w:rFonts w:hint="eastAsia" w:cs="Times New Roman"/>
                <w:snapToGrid w:val="0"/>
                <w:color w:val="auto"/>
                <w:sz w:val="24"/>
                <w:szCs w:val="24"/>
                <w:highlight w:val="none"/>
                <w:lang w:val="en-US" w:eastAsia="zh-CN"/>
              </w:rPr>
              <w:t>龙口101井</w:t>
            </w:r>
            <w:r>
              <w:rPr>
                <w:rFonts w:hint="default" w:ascii="Times New Roman" w:hAnsi="Times New Roman" w:eastAsia="宋体" w:cs="Times New Roman"/>
                <w:snapToGrid w:val="0"/>
                <w:color w:val="auto"/>
                <w:sz w:val="24"/>
                <w:szCs w:val="24"/>
                <w:highlight w:val="none"/>
                <w:lang w:val="en-US" w:eastAsia="zh-CN"/>
              </w:rPr>
              <w:t>），本工程主要由主体工程（钻前工程、钻井工程、钻后工程、封井）、辅助公用工程（供电、供水工程、办公及生活设施等）、环保工程以及仓储工程等组成。本项目建设内容均为临时工程。项目具体组成及建设内容见表2-2。</w:t>
            </w:r>
          </w:p>
          <w:p w14:paraId="77B47504">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表2-2  工程组成一览表</w:t>
            </w:r>
          </w:p>
          <w:tbl>
            <w:tblPr>
              <w:tblStyle w:val="36"/>
              <w:tblW w:w="4973"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496"/>
              <w:gridCol w:w="1056"/>
              <w:gridCol w:w="6474"/>
            </w:tblGrid>
            <w:tr w14:paraId="24685C2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tcBorders>
                    <w:tl2br w:val="nil"/>
                    <w:tr2bl w:val="nil"/>
                  </w:tcBorders>
                  <w:noWrap w:val="0"/>
                  <w:vAlign w:val="center"/>
                </w:tcPr>
                <w:p w14:paraId="489113A3">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名称</w:t>
                  </w:r>
                </w:p>
              </w:tc>
              <w:tc>
                <w:tcPr>
                  <w:tcW w:w="4599" w:type="pct"/>
                  <w:gridSpan w:val="3"/>
                  <w:tcBorders>
                    <w:tl2br w:val="nil"/>
                    <w:tr2bl w:val="nil"/>
                  </w:tcBorders>
                  <w:noWrap w:val="0"/>
                  <w:vAlign w:val="center"/>
                </w:tcPr>
                <w:p w14:paraId="61D9D04E">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建设内容</w:t>
                  </w:r>
                </w:p>
              </w:tc>
            </w:tr>
            <w:tr w14:paraId="64B1E1D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14:paraId="30F50C16">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w:t>
                  </w:r>
                </w:p>
                <w:p w14:paraId="41B84C06">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889" w:type="pct"/>
                  <w:gridSpan w:val="2"/>
                  <w:tcBorders>
                    <w:tl2br w:val="nil"/>
                    <w:tr2bl w:val="nil"/>
                  </w:tcBorders>
                  <w:noWrap w:val="0"/>
                  <w:vAlign w:val="center"/>
                </w:tcPr>
                <w:p w14:paraId="75006D9B">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钻前工程</w:t>
                  </w:r>
                </w:p>
              </w:tc>
              <w:tc>
                <w:tcPr>
                  <w:tcW w:w="3709" w:type="pct"/>
                  <w:tcBorders>
                    <w:tl2br w:val="nil"/>
                    <w:tr2bl w:val="nil"/>
                  </w:tcBorders>
                  <w:noWrap w:val="0"/>
                  <w:vAlign w:val="center"/>
                </w:tcPr>
                <w:p w14:paraId="4E09D97C">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主要工作为场地平整、井场基础建设（泥浆循环系统及设备的基础准备）、钻井设备搬运和安装以及配套设施布置与建设（井口设备准备以及</w:t>
                  </w:r>
                  <w:r>
                    <w:rPr>
                      <w:rFonts w:hint="default" w:ascii="Times New Roman" w:hAnsi="Times New Roman" w:eastAsia="宋体" w:cs="Times New Roman"/>
                      <w:color w:val="auto"/>
                      <w:sz w:val="21"/>
                      <w:szCs w:val="21"/>
                      <w:highlight w:val="none"/>
                      <w:lang w:val="en-US" w:eastAsia="zh-CN"/>
                    </w:rPr>
                    <w:t>办公用房</w:t>
                  </w:r>
                  <w:r>
                    <w:rPr>
                      <w:rFonts w:hint="default" w:ascii="Times New Roman" w:hAnsi="Times New Roman" w:eastAsia="宋体" w:cs="Times New Roman"/>
                      <w:color w:val="auto"/>
                      <w:sz w:val="21"/>
                      <w:szCs w:val="21"/>
                      <w:highlight w:val="none"/>
                    </w:rPr>
                    <w:t>搭建等）</w:t>
                  </w:r>
                  <w:r>
                    <w:rPr>
                      <w:rFonts w:hint="default" w:ascii="Times New Roman" w:hAnsi="Times New Roman" w:eastAsia="宋体" w:cs="Times New Roman"/>
                      <w:color w:val="auto"/>
                      <w:sz w:val="21"/>
                      <w:szCs w:val="21"/>
                      <w:highlight w:val="none"/>
                      <w:lang w:eastAsia="zh-CN"/>
                    </w:rPr>
                    <w:t>、钻井成套设备安装</w:t>
                  </w:r>
                  <w:r>
                    <w:rPr>
                      <w:rFonts w:hint="default" w:ascii="Times New Roman" w:hAnsi="Times New Roman" w:eastAsia="宋体" w:cs="Times New Roman"/>
                      <w:color w:val="auto"/>
                      <w:sz w:val="21"/>
                      <w:szCs w:val="21"/>
                      <w:highlight w:val="none"/>
                      <w:lang w:val="en-US" w:eastAsia="zh-CN"/>
                    </w:rPr>
                    <w:t>调试</w:t>
                  </w:r>
                  <w:r>
                    <w:rPr>
                      <w:rFonts w:hint="default" w:ascii="Times New Roman" w:hAnsi="Times New Roman" w:eastAsia="宋体" w:cs="Times New Roman"/>
                      <w:color w:val="auto"/>
                      <w:sz w:val="21"/>
                      <w:szCs w:val="21"/>
                      <w:highlight w:val="none"/>
                    </w:rPr>
                    <w:t>。</w:t>
                  </w:r>
                </w:p>
              </w:tc>
            </w:tr>
            <w:tr w14:paraId="7D137BF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7279DD91">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61EED89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钻井工程</w:t>
                  </w:r>
                </w:p>
              </w:tc>
              <w:tc>
                <w:tcPr>
                  <w:tcW w:w="3709" w:type="pct"/>
                  <w:tcBorders>
                    <w:tl2br w:val="nil"/>
                    <w:tr2bl w:val="nil"/>
                  </w:tcBorders>
                  <w:noWrap w:val="0"/>
                  <w:vAlign w:val="center"/>
                </w:tcPr>
                <w:p w14:paraId="49C06C95">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工程包括</w:t>
                  </w:r>
                  <w:r>
                    <w:rPr>
                      <w:rFonts w:hint="default" w:ascii="Times New Roman" w:hAnsi="Times New Roman" w:eastAsia="宋体" w:cs="Times New Roman"/>
                      <w:color w:val="auto"/>
                      <w:sz w:val="21"/>
                      <w:szCs w:val="21"/>
                      <w:highlight w:val="none"/>
                      <w:lang w:val="en-US" w:eastAsia="zh-CN"/>
                    </w:rPr>
                    <w:t>钻井、</w:t>
                  </w:r>
                  <w:r>
                    <w:rPr>
                      <w:rFonts w:hint="default" w:ascii="Times New Roman" w:hAnsi="Times New Roman" w:eastAsia="宋体" w:cs="Times New Roman"/>
                      <w:color w:val="auto"/>
                      <w:sz w:val="21"/>
                      <w:szCs w:val="21"/>
                      <w:highlight w:val="none"/>
                      <w:lang w:eastAsia="zh-CN"/>
                    </w:rPr>
                    <w:t>固井、录井</w:t>
                  </w:r>
                  <w:r>
                    <w:rPr>
                      <w:rFonts w:hint="default" w:ascii="Times New Roman" w:hAnsi="Times New Roman" w:eastAsia="宋体" w:cs="Times New Roman"/>
                      <w:color w:val="auto"/>
                      <w:sz w:val="21"/>
                      <w:szCs w:val="21"/>
                      <w:highlight w:val="none"/>
                      <w:lang w:val="en-US" w:eastAsia="zh-CN"/>
                    </w:rPr>
                    <w:t>及测井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测试放喷、</w:t>
                  </w:r>
                  <w:r>
                    <w:rPr>
                      <w:rFonts w:hint="default" w:ascii="Times New Roman" w:hAnsi="Times New Roman" w:eastAsia="宋体" w:cs="Times New Roman"/>
                      <w:color w:val="auto"/>
                      <w:sz w:val="21"/>
                      <w:szCs w:val="21"/>
                      <w:highlight w:val="none"/>
                      <w:lang w:eastAsia="zh-CN"/>
                    </w:rPr>
                    <w:t>完井等环节；钻井作业按最大（垂深）设计，设计井深</w:t>
                  </w:r>
                  <w:r>
                    <w:rPr>
                      <w:rFonts w:hint="eastAsia" w:ascii="Times New Roman" w:hAnsi="Times New Roman" w:cs="Times New Roman"/>
                      <w:color w:val="auto"/>
                      <w:sz w:val="21"/>
                      <w:szCs w:val="21"/>
                      <w:highlight w:val="none"/>
                      <w:lang w:val="en-US" w:eastAsia="zh-CN"/>
                    </w:rPr>
                    <w:t>5000</w:t>
                  </w:r>
                  <w:r>
                    <w:rPr>
                      <w:rFonts w:hint="default" w:ascii="Times New Roman" w:hAnsi="Times New Roman" w:eastAsia="宋体" w:cs="Times New Roman"/>
                      <w:color w:val="auto"/>
                      <w:sz w:val="21"/>
                      <w:szCs w:val="21"/>
                      <w:highlight w:val="none"/>
                      <w:lang w:eastAsia="zh-CN"/>
                    </w:rPr>
                    <w:t>m。</w:t>
                  </w:r>
                </w:p>
              </w:tc>
            </w:tr>
            <w:tr w14:paraId="1A7872F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D899EEA">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7707E297">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钻后工程</w:t>
                  </w:r>
                </w:p>
              </w:tc>
              <w:tc>
                <w:tcPr>
                  <w:tcW w:w="3709" w:type="pct"/>
                  <w:tcBorders>
                    <w:tl2br w:val="nil"/>
                    <w:tr2bl w:val="nil"/>
                  </w:tcBorders>
                  <w:noWrap w:val="0"/>
                  <w:vAlign w:val="center"/>
                </w:tcPr>
                <w:p w14:paraId="14A43D6F">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进行设备搬迁以及钻井产生的“三废”处理，井场平整及临时占地恢复，做到工完、料净、场地清。</w:t>
                  </w:r>
                </w:p>
              </w:tc>
            </w:tr>
            <w:tr w14:paraId="3501B36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00" w:type="pct"/>
                  <w:vMerge w:val="continue"/>
                  <w:tcBorders>
                    <w:tl2br w:val="nil"/>
                    <w:tr2bl w:val="nil"/>
                  </w:tcBorders>
                  <w:noWrap w:val="0"/>
                  <w:vAlign w:val="center"/>
                </w:tcPr>
                <w:p w14:paraId="728B2D5A">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4437A4D5">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封井</w:t>
                  </w:r>
                </w:p>
              </w:tc>
              <w:tc>
                <w:tcPr>
                  <w:tcW w:w="3709" w:type="pct"/>
                  <w:tcBorders>
                    <w:tl2br w:val="nil"/>
                    <w:tr2bl w:val="nil"/>
                  </w:tcBorders>
                  <w:noWrap w:val="0"/>
                  <w:vAlign w:val="center"/>
                </w:tcPr>
                <w:p w14:paraId="31C897B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若无工业开采价值，进行封井，项目井场临时占地恢复，落实各项生态保护措施。</w:t>
                  </w:r>
                </w:p>
              </w:tc>
            </w:tr>
            <w:tr w14:paraId="57AFE6F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14:paraId="0401F894">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辅助工程</w:t>
                  </w:r>
                </w:p>
              </w:tc>
              <w:tc>
                <w:tcPr>
                  <w:tcW w:w="889" w:type="pct"/>
                  <w:gridSpan w:val="2"/>
                  <w:tcBorders>
                    <w:tl2br w:val="nil"/>
                    <w:tr2bl w:val="nil"/>
                  </w:tcBorders>
                  <w:noWrap w:val="0"/>
                  <w:vAlign w:val="center"/>
                </w:tcPr>
                <w:p w14:paraId="7EA8CE2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办公及生活</w:t>
                  </w:r>
                </w:p>
              </w:tc>
              <w:tc>
                <w:tcPr>
                  <w:tcW w:w="3709" w:type="pct"/>
                  <w:tcBorders>
                    <w:tl2br w:val="nil"/>
                    <w:tr2bl w:val="nil"/>
                  </w:tcBorders>
                  <w:noWrap w:val="0"/>
                  <w:vAlign w:val="center"/>
                </w:tcPr>
                <w:p w14:paraId="11A8AA6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工程建设办公及住宿用房均为活动房，共设</w:t>
                  </w:r>
                  <w:r>
                    <w:rPr>
                      <w:rFonts w:hint="eastAsia" w:ascii="Times New Roman" w:hAnsi="Times New Roman" w:cs="Times New Roman"/>
                      <w:color w:val="auto"/>
                      <w:sz w:val="21"/>
                      <w:szCs w:val="21"/>
                      <w:highlight w:val="none"/>
                      <w:lang w:val="en-US" w:eastAsia="zh-CN"/>
                    </w:rPr>
                    <w:t>34</w:t>
                  </w:r>
                  <w:r>
                    <w:rPr>
                      <w:rFonts w:hint="default" w:ascii="Times New Roman" w:hAnsi="Times New Roman" w:eastAsia="宋体" w:cs="Times New Roman"/>
                      <w:color w:val="auto"/>
                      <w:sz w:val="21"/>
                      <w:szCs w:val="21"/>
                      <w:highlight w:val="none"/>
                      <w:lang w:val="en-US" w:eastAsia="zh-CN"/>
                    </w:rPr>
                    <w:t>间活动房，撬装装置</w:t>
                  </w:r>
                </w:p>
              </w:tc>
            </w:tr>
            <w:tr w14:paraId="0340FE4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0DB12682">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14:paraId="04FDFA2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发电</w:t>
                  </w:r>
                </w:p>
              </w:tc>
              <w:tc>
                <w:tcPr>
                  <w:tcW w:w="3709" w:type="pct"/>
                  <w:tcBorders>
                    <w:tl2br w:val="nil"/>
                    <w:tr2bl w:val="nil"/>
                  </w:tcBorders>
                  <w:noWrap w:val="0"/>
                  <w:vAlign w:val="center"/>
                </w:tcPr>
                <w:p w14:paraId="2D549CF0">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包括发电房、工具房、消防房、油罐房。</w:t>
                  </w:r>
                </w:p>
              </w:tc>
            </w:tr>
            <w:tr w14:paraId="43BB104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13C2F0EE">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14:paraId="557462CB">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水房</w:t>
                  </w:r>
                </w:p>
              </w:tc>
              <w:tc>
                <w:tcPr>
                  <w:tcW w:w="3709" w:type="pct"/>
                  <w:tcBorders>
                    <w:tl2br w:val="nil"/>
                    <w:tr2bl w:val="nil"/>
                  </w:tcBorders>
                  <w:noWrap w:val="0"/>
                  <w:vAlign w:val="center"/>
                </w:tcPr>
                <w:p w14:paraId="3D353265">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水罐</w:t>
                  </w:r>
                </w:p>
              </w:tc>
            </w:tr>
            <w:tr w14:paraId="72E43C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351E6577">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14:paraId="454667A9">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井场道路</w:t>
                  </w:r>
                </w:p>
              </w:tc>
              <w:tc>
                <w:tcPr>
                  <w:tcW w:w="3709" w:type="pct"/>
                  <w:tcBorders>
                    <w:tl2br w:val="nil"/>
                    <w:tr2bl w:val="nil"/>
                  </w:tcBorders>
                  <w:noWrap w:val="0"/>
                  <w:vAlign w:val="center"/>
                </w:tcPr>
                <w:p w14:paraId="6FE02B3F">
                  <w:pPr>
                    <w:pStyle w:val="111"/>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临时进场道路接引至附近现有井场道路，砂石路面，宽6m</w:t>
                  </w:r>
                </w:p>
              </w:tc>
            </w:tr>
            <w:tr w14:paraId="4893E18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14:paraId="1C843CE5">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公用</w:t>
                  </w:r>
                  <w:r>
                    <w:rPr>
                      <w:rFonts w:hint="default" w:ascii="Times New Roman" w:hAnsi="Times New Roman" w:eastAsia="宋体" w:cs="Times New Roman"/>
                      <w:color w:val="auto"/>
                      <w:sz w:val="21"/>
                      <w:szCs w:val="21"/>
                      <w:highlight w:val="none"/>
                    </w:rPr>
                    <w:t>工程</w:t>
                  </w:r>
                </w:p>
              </w:tc>
              <w:tc>
                <w:tcPr>
                  <w:tcW w:w="889" w:type="pct"/>
                  <w:gridSpan w:val="2"/>
                  <w:tcBorders>
                    <w:tl2br w:val="nil"/>
                    <w:tr2bl w:val="nil"/>
                  </w:tcBorders>
                  <w:noWrap w:val="0"/>
                  <w:vAlign w:val="center"/>
                </w:tcPr>
                <w:p w14:paraId="58E7317D">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供电工程</w:t>
                  </w:r>
                </w:p>
              </w:tc>
              <w:tc>
                <w:tcPr>
                  <w:tcW w:w="3709" w:type="pct"/>
                  <w:tcBorders>
                    <w:tl2br w:val="nil"/>
                    <w:tr2bl w:val="nil"/>
                  </w:tcBorders>
                  <w:noWrap w:val="0"/>
                  <w:vAlign w:val="center"/>
                </w:tcPr>
                <w:p w14:paraId="5F45D244">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2"/>
                      <w:highlight w:val="none"/>
                    </w:rPr>
                    <w:t>勘探期供电由</w:t>
                  </w:r>
                  <w:r>
                    <w:rPr>
                      <w:rFonts w:hint="eastAsia" w:ascii="Times New Roman" w:cs="Times New Roman"/>
                      <w:color w:val="auto"/>
                      <w:kern w:val="2"/>
                      <w:highlight w:val="none"/>
                      <w:lang w:eastAsia="zh-CN"/>
                    </w:rPr>
                    <w:t>燃气</w:t>
                  </w:r>
                  <w:r>
                    <w:rPr>
                      <w:rFonts w:hint="default" w:ascii="Times New Roman" w:hAnsi="Times New Roman" w:eastAsia="宋体" w:cs="Times New Roman"/>
                      <w:color w:val="auto"/>
                      <w:kern w:val="2"/>
                      <w:highlight w:val="none"/>
                    </w:rPr>
                    <w:t>发电机组作为电源，出现异常情况由备用燃油发电机发电</w:t>
                  </w:r>
                  <w:r>
                    <w:rPr>
                      <w:rFonts w:hint="eastAsia" w:ascii="Times New Roman" w:cs="Times New Roman"/>
                      <w:color w:val="auto"/>
                      <w:kern w:val="2"/>
                      <w:highlight w:val="none"/>
                      <w:lang w:eastAsia="zh-CN"/>
                    </w:rPr>
                    <w:t>。</w:t>
                  </w:r>
                </w:p>
              </w:tc>
            </w:tr>
            <w:tr w14:paraId="7E8A4F1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3559DDC0">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231E09C0">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供热工程</w:t>
                  </w:r>
                </w:p>
              </w:tc>
              <w:tc>
                <w:tcPr>
                  <w:tcW w:w="3709" w:type="pct"/>
                  <w:tcBorders>
                    <w:tl2br w:val="nil"/>
                    <w:tr2bl w:val="nil"/>
                  </w:tcBorders>
                  <w:noWrap w:val="0"/>
                  <w:vAlign w:val="center"/>
                </w:tcPr>
                <w:p w14:paraId="1A4F800F">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办公生活区供暖方式为电采暖。</w:t>
                  </w:r>
                </w:p>
              </w:tc>
            </w:tr>
            <w:tr w14:paraId="6350794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5DE66B22">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395F3EAA">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供水工程</w:t>
                  </w:r>
                </w:p>
              </w:tc>
              <w:tc>
                <w:tcPr>
                  <w:tcW w:w="3709" w:type="pct"/>
                  <w:tcBorders>
                    <w:tl2br w:val="nil"/>
                    <w:tr2bl w:val="nil"/>
                  </w:tcBorders>
                  <w:noWrap w:val="0"/>
                  <w:vAlign w:val="center"/>
                </w:tcPr>
                <w:p w14:paraId="79D0B47E">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生活用水</w:t>
                  </w:r>
                  <w:r>
                    <w:rPr>
                      <w:rFonts w:hint="eastAsia" w:ascii="Times New Roman" w:cs="Times New Roman"/>
                      <w:color w:val="auto"/>
                      <w:kern w:val="0"/>
                      <w:sz w:val="21"/>
                      <w:szCs w:val="21"/>
                      <w:highlight w:val="none"/>
                      <w:lang w:val="en-US" w:eastAsia="zh-CN" w:bidi="ar-SA"/>
                    </w:rPr>
                    <w:t>、钻井作业用水均</w:t>
                  </w:r>
                  <w:r>
                    <w:rPr>
                      <w:rFonts w:hint="default" w:ascii="Times New Roman" w:hAnsi="Times New Roman" w:eastAsia="宋体" w:cs="Times New Roman"/>
                      <w:color w:val="auto"/>
                      <w:kern w:val="0"/>
                      <w:sz w:val="21"/>
                      <w:szCs w:val="21"/>
                      <w:highlight w:val="none"/>
                      <w:lang w:val="en-US" w:eastAsia="zh-CN" w:bidi="ar-SA"/>
                    </w:rPr>
                    <w:t>由水罐车由附近村镇拉运</w:t>
                  </w:r>
                </w:p>
              </w:tc>
            </w:tr>
            <w:tr w14:paraId="022DCB7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1C0412B7">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shd w:val="clear" w:color="auto" w:fill="auto"/>
                  <w:noWrap w:val="0"/>
                  <w:vAlign w:val="center"/>
                </w:tcPr>
                <w:p w14:paraId="57C82609">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撬装化</w:t>
                  </w:r>
                  <w:r>
                    <w:rPr>
                      <w:rFonts w:hint="eastAsia" w:ascii="Times New Roman" w:hAnsi="Times New Roman" w:eastAsia="宋体" w:cs="Times New Roman"/>
                      <w:color w:val="auto"/>
                      <w:kern w:val="0"/>
                      <w:sz w:val="21"/>
                      <w:szCs w:val="21"/>
                      <w:highlight w:val="none"/>
                      <w:lang w:val="en-US" w:eastAsia="zh-CN" w:bidi="ar-SA"/>
                    </w:rPr>
                    <w:t>生活</w:t>
                  </w:r>
                  <w:r>
                    <w:rPr>
                      <w:rFonts w:hint="default" w:ascii="Times New Roman" w:hAnsi="Times New Roman" w:eastAsia="宋体" w:cs="Times New Roman"/>
                      <w:color w:val="auto"/>
                      <w:kern w:val="0"/>
                      <w:sz w:val="21"/>
                      <w:szCs w:val="21"/>
                      <w:highlight w:val="none"/>
                      <w:lang w:val="en-US" w:eastAsia="zh-CN" w:bidi="ar-SA"/>
                    </w:rPr>
                    <w:t>污水处理站</w:t>
                  </w:r>
                </w:p>
              </w:tc>
              <w:tc>
                <w:tcPr>
                  <w:tcW w:w="3709" w:type="pct"/>
                  <w:tcBorders>
                    <w:tl2br w:val="nil"/>
                    <w:tr2bl w:val="nil"/>
                  </w:tcBorders>
                  <w:shd w:val="clear" w:color="auto" w:fill="auto"/>
                  <w:noWrap w:val="0"/>
                  <w:vAlign w:val="center"/>
                </w:tcPr>
                <w:p w14:paraId="4E0BD844">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井场内设置</w:t>
                  </w:r>
                  <w:r>
                    <w:rPr>
                      <w:rFonts w:hint="default" w:ascii="Times New Roman" w:hAnsi="Times New Roman" w:eastAsia="宋体" w:cs="Times New Roman"/>
                      <w:color w:val="auto"/>
                      <w:kern w:val="0"/>
                      <w:sz w:val="21"/>
                      <w:szCs w:val="21"/>
                      <w:highlight w:val="none"/>
                      <w:lang w:val="en-US" w:eastAsia="zh-CN" w:bidi="ar-SA"/>
                    </w:rPr>
                    <w:t>撬装化生活污水处理站</w:t>
                  </w:r>
                  <w:r>
                    <w:rPr>
                      <w:rFonts w:hint="eastAsia" w:ascii="Times New Roman" w:hAnsi="Times New Roman" w:eastAsia="宋体" w:cs="Times New Roman"/>
                      <w:color w:val="auto"/>
                      <w:kern w:val="0"/>
                      <w:sz w:val="21"/>
                      <w:szCs w:val="21"/>
                      <w:highlight w:val="none"/>
                      <w:lang w:val="en-US" w:eastAsia="zh-CN" w:bidi="ar-SA"/>
                    </w:rPr>
                    <w:t>，采用“A/O+MBR”工艺，处理规模10m</w:t>
                  </w:r>
                  <w:r>
                    <w:rPr>
                      <w:rFonts w:hint="eastAsia" w:ascii="Times New Roman" w:hAnsi="Times New Roman" w:eastAsia="宋体" w:cs="Times New Roman"/>
                      <w:color w:val="auto"/>
                      <w:kern w:val="0"/>
                      <w:sz w:val="21"/>
                      <w:szCs w:val="21"/>
                      <w:highlight w:val="none"/>
                      <w:vertAlign w:val="superscript"/>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/d</w:t>
                  </w:r>
                </w:p>
              </w:tc>
            </w:tr>
            <w:tr w14:paraId="6975BD3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14:paraId="0044F91F">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储运工程</w:t>
                  </w:r>
                </w:p>
              </w:tc>
              <w:tc>
                <w:tcPr>
                  <w:tcW w:w="889" w:type="pct"/>
                  <w:gridSpan w:val="2"/>
                  <w:tcBorders>
                    <w:tl2br w:val="nil"/>
                    <w:tr2bl w:val="nil"/>
                  </w:tcBorders>
                  <w:noWrap w:val="0"/>
                  <w:vAlign w:val="center"/>
                </w:tcPr>
                <w:p w14:paraId="5DD31405">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pacing w:val="0"/>
                      <w:kern w:val="0"/>
                      <w:sz w:val="21"/>
                      <w:szCs w:val="21"/>
                      <w:highlight w:val="none"/>
                      <w:lang w:val="en-US" w:eastAsia="zh-CN" w:bidi="ar-SA"/>
                    </w:rPr>
                  </w:pPr>
                  <w:r>
                    <w:rPr>
                      <w:rFonts w:hint="default" w:ascii="Times New Roman" w:hAnsi="Times New Roman" w:eastAsia="宋体" w:cs="Times New Roman"/>
                      <w:bCs/>
                      <w:color w:val="auto"/>
                      <w:spacing w:val="0"/>
                      <w:kern w:val="0"/>
                      <w:sz w:val="21"/>
                      <w:szCs w:val="21"/>
                      <w:highlight w:val="none"/>
                      <w:lang w:val="en-US" w:eastAsia="zh-CN" w:bidi="ar-SA"/>
                    </w:rPr>
                    <w:t>储存</w:t>
                  </w:r>
                </w:p>
              </w:tc>
              <w:tc>
                <w:tcPr>
                  <w:tcW w:w="3709" w:type="pct"/>
                  <w:tcBorders>
                    <w:tl2br w:val="nil"/>
                    <w:tr2bl w:val="nil"/>
                  </w:tcBorders>
                  <w:noWrap w:val="0"/>
                  <w:vAlign w:val="center"/>
                </w:tcPr>
                <w:p w14:paraId="6B581EB8">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pacing w:val="0"/>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zh-CN" w:bidi="ar-SA"/>
                    </w:rPr>
                    <w:t>个原油储罐（20m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w:t>
                  </w:r>
                  <w:r>
                    <w:rPr>
                      <w:rFonts w:hint="eastAsia" w:ascii="Times New Roman" w:cs="Times New Roman"/>
                      <w:color w:val="auto"/>
                      <w:kern w:val="0"/>
                      <w:sz w:val="21"/>
                      <w:szCs w:val="21"/>
                      <w:highlight w:val="none"/>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个泥浆罐（总容积</w:t>
                  </w:r>
                  <w:r>
                    <w:rPr>
                      <w:rFonts w:hint="eastAsia" w:ascii="Times New Roman" w:cs="Times New Roman"/>
                      <w:color w:val="auto"/>
                      <w:kern w:val="0"/>
                      <w:sz w:val="21"/>
                      <w:szCs w:val="21"/>
                      <w:highlight w:val="none"/>
                      <w:lang w:val="en-US" w:eastAsia="zh-CN" w:bidi="ar-SA"/>
                    </w:rPr>
                    <w:t>100</w:t>
                  </w:r>
                  <w:r>
                    <w:rPr>
                      <w:rFonts w:hint="default" w:ascii="Times New Roman" w:hAnsi="Times New Roman" w:eastAsia="宋体" w:cs="Times New Roman"/>
                      <w:color w:val="auto"/>
                      <w:kern w:val="0"/>
                      <w:sz w:val="21"/>
                      <w:szCs w:val="21"/>
                      <w:highlight w:val="none"/>
                      <w:lang w:val="en-US" w:eastAsia="zh-CN" w:bidi="ar-SA"/>
                    </w:rPr>
                    <w:t>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）、1座泥浆不落地处理区（500m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）、1座放喷池（100m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）、1个柴油储罐（60m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w:t>
                  </w:r>
                  <w:r>
                    <w:rPr>
                      <w:rFonts w:hint="eastAsia" w:ascii="Times New Roman" w:cs="Times New Roman"/>
                      <w:color w:val="auto"/>
                      <w:kern w:val="0"/>
                      <w:sz w:val="21"/>
                      <w:szCs w:val="21"/>
                      <w:highlight w:val="none"/>
                      <w:lang w:val="en-US" w:eastAsia="zh-CN" w:bidi="ar-SA"/>
                    </w:rPr>
                    <w:t>、2个CNG储罐（</w:t>
                  </w:r>
                  <w:r>
                    <w:rPr>
                      <w:rFonts w:hint="eastAsia" w:ascii="Times New Roman" w:hAnsi="Times New Roman" w:eastAsia="宋体" w:cs="Times New Roman"/>
                      <w:color w:val="auto"/>
                      <w:kern w:val="0"/>
                      <w:sz w:val="21"/>
                      <w:szCs w:val="21"/>
                      <w:highlight w:val="none"/>
                      <w:lang w:val="en-US" w:eastAsia="zh-CN" w:bidi="ar-SA"/>
                    </w:rPr>
                    <w:t>25.02</w:t>
                  </w:r>
                  <w:r>
                    <w:rPr>
                      <w:rFonts w:hint="default" w:ascii="Times New Roman" w:hAnsi="Times New Roman" w:eastAsia="宋体" w:cs="Times New Roman"/>
                      <w:b w:val="0"/>
                      <w:bCs w:val="0"/>
                      <w:color w:val="auto"/>
                      <w:spacing w:val="0"/>
                      <w:sz w:val="21"/>
                      <w:szCs w:val="21"/>
                      <w:highlight w:val="none"/>
                      <w:lang w:val="en-US" w:eastAsia="zh-CN"/>
                    </w:rPr>
                    <w:t>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r>
                    <w:rPr>
                      <w:rFonts w:hint="eastAsia" w:ascii="Times New Roman"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w:t>
                  </w:r>
                </w:p>
              </w:tc>
            </w:tr>
            <w:tr w14:paraId="38D1ACA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0E9187BF">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noWrap w:val="0"/>
                  <w:vAlign w:val="center"/>
                </w:tcPr>
                <w:p w14:paraId="1E76A3CA">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运输</w:t>
                  </w:r>
                </w:p>
              </w:tc>
              <w:tc>
                <w:tcPr>
                  <w:tcW w:w="3709" w:type="pct"/>
                  <w:tcBorders>
                    <w:tl2br w:val="nil"/>
                    <w:tr2bl w:val="nil"/>
                  </w:tcBorders>
                  <w:noWrap w:val="0"/>
                  <w:vAlign w:val="center"/>
                </w:tcPr>
                <w:p w14:paraId="42163DCA">
                  <w:pPr>
                    <w:pStyle w:val="109"/>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专业单位负责运输。</w:t>
                  </w:r>
                </w:p>
              </w:tc>
            </w:tr>
            <w:tr w14:paraId="75DEFEB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391EE775">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89" w:type="pct"/>
                  <w:gridSpan w:val="2"/>
                  <w:tcBorders>
                    <w:tl2br w:val="nil"/>
                    <w:tr2bl w:val="nil"/>
                  </w:tcBorders>
                  <w:shd w:val="clear" w:color="auto" w:fill="auto"/>
                  <w:noWrap w:val="0"/>
                  <w:vAlign w:val="center"/>
                </w:tcPr>
                <w:p w14:paraId="70448FF2">
                  <w:pPr>
                    <w:pStyle w:val="109"/>
                    <w:widowControl w:val="0"/>
                    <w:spacing w:line="0" w:lineRule="atLeast"/>
                    <w:ind w:left="0" w:leftChars="0" w:firstLine="0" w:firstLineChars="0"/>
                    <w:rPr>
                      <w:rFonts w:hint="default" w:ascii="宋体" w:hAnsi="宋体" w:eastAsia="宋体" w:cs="宋体"/>
                      <w:bCs/>
                      <w:color w:val="auto"/>
                      <w:spacing w:val="-10"/>
                      <w:kern w:val="0"/>
                      <w:sz w:val="21"/>
                      <w:szCs w:val="21"/>
                      <w:highlight w:val="none"/>
                      <w:lang w:val="en-US" w:eastAsia="zh-CN" w:bidi="ar-SA"/>
                    </w:rPr>
                  </w:pPr>
                  <w:r>
                    <w:rPr>
                      <w:rFonts w:hint="eastAsia" w:hAnsi="宋体"/>
                      <w:color w:val="auto"/>
                      <w:spacing w:val="-10"/>
                      <w:kern w:val="0"/>
                      <w:szCs w:val="21"/>
                      <w:highlight w:val="none"/>
                    </w:rPr>
                    <w:t>危废贮存点</w:t>
                  </w:r>
                </w:p>
              </w:tc>
              <w:tc>
                <w:tcPr>
                  <w:tcW w:w="3709" w:type="pct"/>
                  <w:tcBorders>
                    <w:tl2br w:val="nil"/>
                    <w:tr2bl w:val="nil"/>
                  </w:tcBorders>
                  <w:shd w:val="clear" w:color="auto" w:fill="auto"/>
                  <w:noWrap w:val="0"/>
                  <w:vAlign w:val="center"/>
                </w:tcPr>
                <w:p w14:paraId="7E2EC9BF">
                  <w:pPr>
                    <w:pStyle w:val="109"/>
                    <w:widowControl w:val="0"/>
                    <w:spacing w:line="0" w:lineRule="atLeast"/>
                    <w:ind w:left="0" w:leftChars="0" w:firstLine="0" w:firstLineChars="0"/>
                    <w:jc w:val="center"/>
                    <w:rPr>
                      <w:rFonts w:hint="default" w:ascii="宋体" w:hAnsi="宋体" w:eastAsia="宋体" w:cs="宋体"/>
                      <w:bCs/>
                      <w:color w:val="auto"/>
                      <w:spacing w:val="-10"/>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井场设置危废贮存点（撬装式），占地面积8m</w:t>
                  </w:r>
                  <w:r>
                    <w:rPr>
                      <w:rFonts w:hint="eastAsia" w:ascii="Times New Roman" w:hAnsi="Times New Roman" w:eastAsia="宋体" w:cs="Times New Roman"/>
                      <w:color w:val="auto"/>
                      <w:kern w:val="0"/>
                      <w:sz w:val="21"/>
                      <w:szCs w:val="21"/>
                      <w:highlight w:val="none"/>
                      <w:vertAlign w:val="superscript"/>
                      <w:lang w:val="en-US" w:eastAsia="zh-CN" w:bidi="ar-SA"/>
                    </w:rPr>
                    <w:t>2</w:t>
                  </w:r>
                </w:p>
              </w:tc>
            </w:tr>
            <w:tr w14:paraId="45ACAC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restart"/>
                  <w:tcBorders>
                    <w:tl2br w:val="nil"/>
                    <w:tr2bl w:val="nil"/>
                  </w:tcBorders>
                  <w:noWrap w:val="0"/>
                  <w:vAlign w:val="center"/>
                </w:tcPr>
                <w:p w14:paraId="4F4F94B7">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w:t>
                  </w:r>
                </w:p>
                <w:p w14:paraId="58638131">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w:t>
                  </w:r>
                </w:p>
              </w:tc>
              <w:tc>
                <w:tcPr>
                  <w:tcW w:w="284" w:type="pct"/>
                  <w:vMerge w:val="restart"/>
                  <w:tcBorders>
                    <w:tl2br w:val="nil"/>
                    <w:tr2bl w:val="nil"/>
                  </w:tcBorders>
                  <w:noWrap w:val="0"/>
                  <w:vAlign w:val="center"/>
                </w:tcPr>
                <w:p w14:paraId="74EEBB5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w:t>
                  </w:r>
                </w:p>
              </w:tc>
              <w:tc>
                <w:tcPr>
                  <w:tcW w:w="605" w:type="pct"/>
                  <w:tcBorders>
                    <w:tl2br w:val="nil"/>
                    <w:tr2bl w:val="nil"/>
                  </w:tcBorders>
                  <w:noWrap w:val="0"/>
                  <w:vAlign w:val="center"/>
                </w:tcPr>
                <w:p w14:paraId="5418F69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施工机械及施工车辆尾气</w:t>
                  </w:r>
                </w:p>
              </w:tc>
              <w:tc>
                <w:tcPr>
                  <w:tcW w:w="3709" w:type="pct"/>
                  <w:tcBorders>
                    <w:tl2br w:val="nil"/>
                    <w:tr2bl w:val="nil"/>
                  </w:tcBorders>
                  <w:noWrap w:val="0"/>
                  <w:vAlign w:val="center"/>
                </w:tcPr>
                <w:p w14:paraId="4859FE36">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各类施工机械及施工车辆均采用符合国家标准的油品，定期对施工机械及车辆检维修并加强保养。</w:t>
                  </w:r>
                </w:p>
              </w:tc>
            </w:tr>
            <w:tr w14:paraId="638ED8E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1917DAA">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68B9F6F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14:paraId="4DDB2D7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施工、道路、钻井岩屑暂存扬尘</w:t>
                  </w:r>
                </w:p>
              </w:tc>
              <w:tc>
                <w:tcPr>
                  <w:tcW w:w="3709" w:type="pct"/>
                  <w:tcBorders>
                    <w:tl2br w:val="nil"/>
                    <w:tr2bl w:val="nil"/>
                  </w:tcBorders>
                  <w:noWrap w:val="0"/>
                  <w:vAlign w:val="center"/>
                </w:tcPr>
                <w:p w14:paraId="07C0C6BB">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加强管理、对易起尘物料进行遮盖、临时道路洒水抑尘</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highlight w:val="none"/>
                      <w:lang w:val="en-US" w:eastAsia="zh-CN" w:bidi="ar-SA"/>
                    </w:rPr>
                    <w:t>车辆低速慢行等措施。</w:t>
                  </w:r>
                </w:p>
              </w:tc>
            </w:tr>
            <w:tr w14:paraId="217D107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026AC180">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749CDE7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7EA2A0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伴生气燃烧烟气</w:t>
                  </w:r>
                </w:p>
              </w:tc>
              <w:tc>
                <w:tcPr>
                  <w:tcW w:w="3709" w:type="pct"/>
                  <w:tcBorders>
                    <w:tl2br w:val="nil"/>
                    <w:tr2bl w:val="nil"/>
                  </w:tcBorders>
                  <w:noWrap w:val="0"/>
                  <w:vAlign w:val="center"/>
                </w:tcPr>
                <w:p w14:paraId="0A7A709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若产生伴生气，通过配套放喷管点火燃烧，距离配电间等易产生明火的位置20m以上。科学测算放喷时间，减少伴生气点火放喷造成的环境污染。</w:t>
                  </w:r>
                </w:p>
              </w:tc>
            </w:tr>
            <w:tr w14:paraId="04DC367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28BB80FE">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3F7BFD3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55E0EB8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snapToGrid w:val="0"/>
                      <w:color w:val="auto"/>
                      <w:kern w:val="2"/>
                      <w:sz w:val="21"/>
                      <w:szCs w:val="21"/>
                      <w:highlight w:val="none"/>
                      <w:lang w:val="en-US" w:eastAsia="zh-CN" w:bidi="ar-SA"/>
                    </w:rPr>
                    <w:t>燃气发电机</w:t>
                  </w:r>
                  <w:r>
                    <w:rPr>
                      <w:rFonts w:hint="default" w:ascii="Times New Roman" w:hAnsi="Times New Roman" w:eastAsia="宋体" w:cs="Times New Roman"/>
                      <w:snapToGrid w:val="0"/>
                      <w:color w:val="auto"/>
                      <w:kern w:val="2"/>
                      <w:sz w:val="21"/>
                      <w:szCs w:val="21"/>
                      <w:highlight w:val="none"/>
                      <w:lang w:val="en-US" w:eastAsia="zh-CN" w:bidi="ar-SA"/>
                    </w:rPr>
                    <w:t>燃烧废气</w:t>
                  </w:r>
                </w:p>
              </w:tc>
              <w:tc>
                <w:tcPr>
                  <w:tcW w:w="3709" w:type="pct"/>
                  <w:tcBorders>
                    <w:tl2br w:val="nil"/>
                    <w:tr2bl w:val="nil"/>
                  </w:tcBorders>
                  <w:noWrap w:val="0"/>
                  <w:vAlign w:val="center"/>
                </w:tcPr>
                <w:p w14:paraId="3F018C6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使用符合国家标准的</w:t>
                  </w:r>
                  <w:r>
                    <w:rPr>
                      <w:rFonts w:hint="eastAsia" w:ascii="Times New Roman" w:hAnsi="Times New Roman" w:eastAsia="宋体" w:cs="Times New Roman"/>
                      <w:snapToGrid w:val="0"/>
                      <w:color w:val="auto"/>
                      <w:kern w:val="2"/>
                      <w:sz w:val="21"/>
                      <w:szCs w:val="21"/>
                      <w:highlight w:val="none"/>
                      <w:lang w:val="en-US" w:eastAsia="zh-CN" w:bidi="ar-SA"/>
                    </w:rPr>
                    <w:t>天然气；经“低氮燃烧器”处理后，无组织排放</w:t>
                  </w:r>
                </w:p>
              </w:tc>
            </w:tr>
            <w:tr w14:paraId="006FE2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1788836">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033C7E8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691CC20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备用柴油发电机燃烧、原油储罐、柴油罐等无组织挥发性有机物</w:t>
                  </w:r>
                </w:p>
              </w:tc>
              <w:tc>
                <w:tcPr>
                  <w:tcW w:w="3709" w:type="pct"/>
                  <w:tcBorders>
                    <w:tl2br w:val="nil"/>
                    <w:tr2bl w:val="nil"/>
                  </w:tcBorders>
                  <w:noWrap w:val="0"/>
                  <w:vAlign w:val="center"/>
                </w:tcPr>
                <w:p w14:paraId="60FDE965">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柴油发电机定期维护保养，使用正品燃油，减少尾气排放；</w:t>
                  </w:r>
                  <w:r>
                    <w:rPr>
                      <w:rFonts w:hint="default" w:ascii="Times New Roman" w:hAnsi="Times New Roman" w:eastAsia="宋体" w:cs="Times New Roman"/>
                      <w:color w:val="auto"/>
                      <w:kern w:val="2"/>
                      <w:sz w:val="21"/>
                      <w:szCs w:val="21"/>
                      <w:highlight w:val="none"/>
                      <w:lang w:val="en-US" w:eastAsia="zh-CN" w:bidi="ar-SA"/>
                    </w:rPr>
                    <w:t>储罐采取防腐防渗措施，加强储罐密闭性，减少储罐废气排放。</w:t>
                  </w:r>
                </w:p>
              </w:tc>
            </w:tr>
            <w:tr w14:paraId="6D51907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01303F8B">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restart"/>
                  <w:tcBorders>
                    <w:tl2br w:val="nil"/>
                    <w:tr2bl w:val="nil"/>
                  </w:tcBorders>
                  <w:noWrap w:val="0"/>
                  <w:vAlign w:val="center"/>
                </w:tcPr>
                <w:p w14:paraId="7147317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废水</w:t>
                  </w:r>
                </w:p>
              </w:tc>
              <w:tc>
                <w:tcPr>
                  <w:tcW w:w="605" w:type="pct"/>
                  <w:tcBorders>
                    <w:tl2br w:val="nil"/>
                    <w:tr2bl w:val="nil"/>
                  </w:tcBorders>
                  <w:noWrap w:val="0"/>
                  <w:vAlign w:val="center"/>
                </w:tcPr>
                <w:p w14:paraId="2BCCD22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生活污水</w:t>
                  </w:r>
                </w:p>
              </w:tc>
              <w:tc>
                <w:tcPr>
                  <w:tcW w:w="3709" w:type="pct"/>
                  <w:tcBorders>
                    <w:tl2br w:val="nil"/>
                    <w:tr2bl w:val="nil"/>
                  </w:tcBorders>
                  <w:noWrap w:val="0"/>
                  <w:vAlign w:val="center"/>
                </w:tcPr>
                <w:p w14:paraId="6DCFE8BE">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kern w:val="2"/>
                      <w:sz w:val="21"/>
                      <w:szCs w:val="21"/>
                      <w:highlight w:val="none"/>
                      <w:lang w:val="en-US" w:eastAsia="zh-CN" w:bidi="ar-SA"/>
                    </w:rPr>
                    <w:t>经井场撬装式污水处理装置处理后，水质达到《农村生活污水处理排放标准》（DB654275-2019）表2的B级标准，用于荒漠灌溉</w:t>
                  </w:r>
                </w:p>
              </w:tc>
            </w:tr>
            <w:tr w14:paraId="7738A16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3CD3308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488FF07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14:paraId="7BAF37F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钻井废水</w:t>
                  </w:r>
                </w:p>
              </w:tc>
              <w:tc>
                <w:tcPr>
                  <w:tcW w:w="3709" w:type="pct"/>
                  <w:tcBorders>
                    <w:tl2br w:val="nil"/>
                    <w:tr2bl w:val="nil"/>
                  </w:tcBorders>
                  <w:noWrap w:val="0"/>
                  <w:vAlign w:val="center"/>
                </w:tcPr>
                <w:p w14:paraId="24EF757A">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与钻井泥浆、岩屑一同处理，采用不落地系统在井场进行固液分离，分离后的液体循环使用，不外排。</w:t>
                  </w:r>
                </w:p>
              </w:tc>
            </w:tr>
            <w:tr w14:paraId="709E819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20121931">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49DC00B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05" w:type="pct"/>
                  <w:tcBorders>
                    <w:tl2br w:val="nil"/>
                    <w:tr2bl w:val="nil"/>
                  </w:tcBorders>
                  <w:noWrap w:val="0"/>
                  <w:vAlign w:val="center"/>
                </w:tcPr>
                <w:p w14:paraId="123DD71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酸化</w:t>
                  </w:r>
                  <w:r>
                    <w:rPr>
                      <w:rFonts w:hint="default" w:ascii="Times New Roman" w:hAnsi="Times New Roman" w:eastAsia="宋体" w:cs="Times New Roman"/>
                      <w:color w:val="auto"/>
                      <w:kern w:val="2"/>
                      <w:sz w:val="21"/>
                      <w:szCs w:val="21"/>
                      <w:highlight w:val="none"/>
                      <w:lang w:val="en-US" w:eastAsia="zh-CN" w:bidi="ar-SA"/>
                    </w:rPr>
                    <w:t>压裂返排液</w:t>
                  </w:r>
                </w:p>
              </w:tc>
              <w:tc>
                <w:tcPr>
                  <w:tcW w:w="3709" w:type="pct"/>
                  <w:tcBorders>
                    <w:tl2br w:val="nil"/>
                    <w:tr2bl w:val="nil"/>
                  </w:tcBorders>
                  <w:noWrap w:val="0"/>
                  <w:vAlign w:val="center"/>
                </w:tcPr>
                <w:p w14:paraId="378728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采用专用废液收集罐收集，运至新疆腾疆环保科技有限公司处置。</w:t>
                  </w:r>
                </w:p>
              </w:tc>
            </w:tr>
            <w:tr w14:paraId="45193C5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318FFE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889" w:type="pct"/>
                  <w:gridSpan w:val="2"/>
                  <w:tcBorders>
                    <w:tl2br w:val="nil"/>
                    <w:tr2bl w:val="nil"/>
                  </w:tcBorders>
                  <w:noWrap w:val="0"/>
                  <w:vAlign w:val="center"/>
                </w:tcPr>
                <w:p w14:paraId="4578359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噪声</w:t>
                  </w:r>
                </w:p>
              </w:tc>
              <w:tc>
                <w:tcPr>
                  <w:tcW w:w="3709" w:type="pct"/>
                  <w:tcBorders>
                    <w:tl2br w:val="nil"/>
                    <w:tr2bl w:val="nil"/>
                  </w:tcBorders>
                  <w:noWrap w:val="0"/>
                  <w:vAlign w:val="center"/>
                </w:tcPr>
                <w:p w14:paraId="3BCA7DA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基础减振。</w:t>
                  </w:r>
                </w:p>
              </w:tc>
            </w:tr>
            <w:tr w14:paraId="3104FDC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64ECE9A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restart"/>
                  <w:tcBorders>
                    <w:tl2br w:val="nil"/>
                    <w:tr2bl w:val="nil"/>
                  </w:tcBorders>
                  <w:noWrap w:val="0"/>
                  <w:vAlign w:val="center"/>
                </w:tcPr>
                <w:p w14:paraId="6468B75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固体废物</w:t>
                  </w:r>
                </w:p>
              </w:tc>
              <w:tc>
                <w:tcPr>
                  <w:tcW w:w="605" w:type="pct"/>
                  <w:tcBorders>
                    <w:tl2br w:val="nil"/>
                    <w:tr2bl w:val="nil"/>
                  </w:tcBorders>
                  <w:noWrap w:val="0"/>
                  <w:vAlign w:val="center"/>
                </w:tcPr>
                <w:p w14:paraId="5CF3D61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钻井泥浆、岩屑</w:t>
                  </w:r>
                </w:p>
              </w:tc>
              <w:tc>
                <w:tcPr>
                  <w:tcW w:w="3709" w:type="pct"/>
                  <w:tcBorders>
                    <w:tl2br w:val="nil"/>
                    <w:tr2bl w:val="nil"/>
                  </w:tcBorders>
                  <w:noWrap w:val="0"/>
                  <w:vAlign w:val="center"/>
                </w:tcPr>
                <w:p w14:paraId="69DBB2D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
                    </w:rPr>
                    <w:t>钻井期间岩屑随泥浆一同进入固控系统进行固液分离，</w:t>
                  </w:r>
                  <w:r>
                    <w:rPr>
                      <w:rFonts w:hint="default" w:ascii="Times New Roman" w:hAnsi="Times New Roman" w:eastAsia="宋体" w:cs="Times New Roman"/>
                      <w:b w:val="0"/>
                      <w:bCs w:val="0"/>
                      <w:color w:val="auto"/>
                      <w:kern w:val="0"/>
                      <w:sz w:val="21"/>
                      <w:szCs w:val="21"/>
                      <w:highlight w:val="none"/>
                      <w:lang w:val="en-US" w:eastAsia="zh-CN" w:bidi="ar"/>
                    </w:rPr>
                    <w:t>泥浆排入泥浆罐循环使用</w:t>
                  </w:r>
                  <w:r>
                    <w:rPr>
                      <w:rFonts w:hint="eastAsia" w:ascii="Times New Roman" w:hAnsi="Times New Roman" w:eastAsia="宋体" w:cs="Times New Roman"/>
                      <w:b w:val="0"/>
                      <w:bCs w:val="0"/>
                      <w:color w:val="auto"/>
                      <w:kern w:val="0"/>
                      <w:sz w:val="21"/>
                      <w:szCs w:val="21"/>
                      <w:highlight w:val="none"/>
                      <w:lang w:val="en-US" w:eastAsia="zh-CN" w:bidi="ar"/>
                    </w:rPr>
                    <w:t>，完井后拉运至下一口井再利用，膨润土体系废弃钻井泥浆及岩屑排入防渗膨润土岩屑池干化，经检测满足</w:t>
                  </w:r>
                  <w:r>
                    <w:rPr>
                      <w:rFonts w:hint="default" w:ascii="Times New Roman" w:hAnsi="Times New Roman" w:eastAsia="宋体" w:cs="Times New Roman"/>
                      <w:b w:val="0"/>
                      <w:bCs w:val="0"/>
                      <w:color w:val="auto"/>
                      <w:kern w:val="0"/>
                      <w:sz w:val="21"/>
                      <w:szCs w:val="21"/>
                      <w:highlight w:val="none"/>
                      <w:lang w:val="en-US" w:eastAsia="zh-CN" w:bidi="ar"/>
                    </w:rPr>
                    <w:t>《石油天然气开采业固体废物污染控制技术规范（试行）》（HJ1461-2026）表A.1中相关要求</w:t>
                  </w:r>
                  <w:r>
                    <w:rPr>
                      <w:rFonts w:hint="eastAsia" w:ascii="Times New Roman" w:hAnsi="Times New Roman" w:eastAsia="宋体" w:cs="Times New Roman"/>
                      <w:b w:val="0"/>
                      <w:bCs w:val="0"/>
                      <w:color w:val="auto"/>
                      <w:kern w:val="0"/>
                      <w:sz w:val="21"/>
                      <w:szCs w:val="21"/>
                      <w:highlight w:val="none"/>
                      <w:lang w:val="en-US" w:eastAsia="zh-CN" w:bidi="ar"/>
                    </w:rPr>
                    <w:t>后，用于井场平整；聚磺体系废弃钻井泥浆及岩屑在井场环保罐收集后，根据生产情况转运至第三方环保处理站处置或在钻井现场无害化达标处置后用于铺垫油区内的井场、道路</w:t>
                  </w:r>
                </w:p>
              </w:tc>
            </w:tr>
            <w:tr w14:paraId="026E0C0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2142360A">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11FBC12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1DCF6B1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生活垃圾</w:t>
                  </w:r>
                </w:p>
              </w:tc>
              <w:tc>
                <w:tcPr>
                  <w:tcW w:w="3709" w:type="pct"/>
                  <w:tcBorders>
                    <w:tl2br w:val="nil"/>
                    <w:tr2bl w:val="nil"/>
                  </w:tcBorders>
                  <w:noWrap w:val="0"/>
                  <w:vAlign w:val="center"/>
                </w:tcPr>
                <w:p w14:paraId="05D814D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集中收集，定期送至当地生活垃圾转运站处理</w:t>
                  </w:r>
                </w:p>
              </w:tc>
            </w:tr>
            <w:tr w14:paraId="4773351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688E6DD">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43A5C09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520E101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废防渗材料及落地油（事故状态）</w:t>
                  </w:r>
                </w:p>
              </w:tc>
              <w:tc>
                <w:tcPr>
                  <w:tcW w:w="3709" w:type="pct"/>
                  <w:vMerge w:val="restart"/>
                  <w:tcBorders>
                    <w:tl2br w:val="nil"/>
                    <w:tr2bl w:val="nil"/>
                  </w:tcBorders>
                  <w:noWrap w:val="0"/>
                  <w:vAlign w:val="center"/>
                </w:tcPr>
                <w:p w14:paraId="314DCCD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暂存于</w:t>
                  </w:r>
                  <w:r>
                    <w:rPr>
                      <w:rFonts w:hint="eastAsia" w:cs="Times New Roman"/>
                      <w:color w:val="auto"/>
                      <w:kern w:val="2"/>
                      <w:sz w:val="21"/>
                      <w:szCs w:val="21"/>
                      <w:highlight w:val="none"/>
                      <w:lang w:val="en-US" w:eastAsia="zh-CN" w:bidi="ar-SA"/>
                    </w:rPr>
                    <w:t>危险废物贮存点</w:t>
                  </w:r>
                  <w:r>
                    <w:rPr>
                      <w:rFonts w:hint="default" w:ascii="Times New Roman" w:hAnsi="Times New Roman" w:eastAsia="宋体" w:cs="Times New Roman"/>
                      <w:color w:val="auto"/>
                      <w:kern w:val="2"/>
                      <w:sz w:val="21"/>
                      <w:szCs w:val="21"/>
                      <w:highlight w:val="none"/>
                      <w:lang w:val="en-US" w:eastAsia="zh-CN" w:bidi="ar-SA"/>
                    </w:rPr>
                    <w:t>（</w:t>
                  </w:r>
                  <w:r>
                    <w:rPr>
                      <w:rFonts w:hint="eastAsia" w:cs="Times New Roman"/>
                      <w:color w:val="auto"/>
                      <w:kern w:val="2"/>
                      <w:sz w:val="21"/>
                      <w:szCs w:val="21"/>
                      <w:highlight w:val="none"/>
                      <w:lang w:val="en-US" w:eastAsia="zh-CN" w:bidi="ar-SA"/>
                    </w:rPr>
                    <w:t>8</w:t>
                  </w:r>
                  <w:r>
                    <w:rPr>
                      <w:rFonts w:hint="default" w:ascii="Times New Roman" w:hAnsi="Times New Roman" w:eastAsia="宋体" w:cs="Times New Roman"/>
                      <w:color w:val="auto"/>
                      <w:kern w:val="2"/>
                      <w:sz w:val="21"/>
                      <w:szCs w:val="21"/>
                      <w:highlight w:val="none"/>
                      <w:lang w:val="en-US" w:eastAsia="zh-CN" w:bidi="ar-SA"/>
                    </w:rPr>
                    <w:t>m</w:t>
                  </w:r>
                  <w:r>
                    <w:rPr>
                      <w:rFonts w:hint="default" w:ascii="Times New Roman" w:hAnsi="Times New Roman" w:eastAsia="宋体" w:cs="Times New Roman"/>
                      <w:color w:val="auto"/>
                      <w:kern w:val="2"/>
                      <w:sz w:val="21"/>
                      <w:szCs w:val="21"/>
                      <w:highlight w:val="none"/>
                      <w:vertAlign w:val="super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），定期交由有资质单位处置。</w:t>
                  </w:r>
                </w:p>
              </w:tc>
            </w:tr>
            <w:tr w14:paraId="4B05319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7AA44F10">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2E18732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00137FC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废机油</w:t>
                  </w:r>
                </w:p>
              </w:tc>
              <w:tc>
                <w:tcPr>
                  <w:tcW w:w="3709" w:type="pct"/>
                  <w:vMerge w:val="continue"/>
                  <w:tcBorders>
                    <w:tl2br w:val="nil"/>
                    <w:tr2bl w:val="nil"/>
                  </w:tcBorders>
                  <w:noWrap w:val="0"/>
                  <w:vAlign w:val="center"/>
                </w:tcPr>
                <w:p w14:paraId="2B28FD8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56D1B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Merge w:val="continue"/>
                  <w:tcBorders>
                    <w:tl2br w:val="nil"/>
                    <w:tr2bl w:val="nil"/>
                  </w:tcBorders>
                  <w:noWrap w:val="0"/>
                  <w:vAlign w:val="center"/>
                </w:tcPr>
                <w:p w14:paraId="4FA91698">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p>
              </w:tc>
              <w:tc>
                <w:tcPr>
                  <w:tcW w:w="284" w:type="pct"/>
                  <w:vMerge w:val="continue"/>
                  <w:tcBorders>
                    <w:tl2br w:val="nil"/>
                    <w:tr2bl w:val="nil"/>
                  </w:tcBorders>
                  <w:noWrap w:val="0"/>
                  <w:vAlign w:val="center"/>
                </w:tcPr>
                <w:p w14:paraId="76ACAC9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605" w:type="pct"/>
                  <w:tcBorders>
                    <w:tl2br w:val="nil"/>
                    <w:tr2bl w:val="nil"/>
                  </w:tcBorders>
                  <w:noWrap w:val="0"/>
                  <w:vAlign w:val="center"/>
                </w:tcPr>
                <w:p w14:paraId="55EB2B7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废弃包装材料</w:t>
                  </w:r>
                </w:p>
              </w:tc>
              <w:tc>
                <w:tcPr>
                  <w:tcW w:w="3709" w:type="pct"/>
                  <w:vMerge w:val="continue"/>
                  <w:tcBorders>
                    <w:tl2br w:val="nil"/>
                    <w:tr2bl w:val="nil"/>
                  </w:tcBorders>
                  <w:noWrap w:val="0"/>
                  <w:vAlign w:val="center"/>
                </w:tcPr>
                <w:p w14:paraId="4BDB7AF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14:paraId="5906AC2C">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eastAsia" w:cs="Times New Roman"/>
                <w:snapToGrid w:val="0"/>
                <w:color w:val="auto"/>
                <w:sz w:val="24"/>
                <w:szCs w:val="24"/>
                <w:highlight w:val="none"/>
                <w:lang w:val="en-US" w:eastAsia="zh-CN"/>
              </w:rPr>
              <w:t>2</w:t>
            </w:r>
            <w:r>
              <w:rPr>
                <w:rFonts w:hint="default" w:ascii="Times New Roman" w:hAnsi="Times New Roman" w:eastAsia="宋体" w:cs="Times New Roman"/>
                <w:snapToGrid w:val="0"/>
                <w:color w:val="auto"/>
                <w:sz w:val="24"/>
                <w:szCs w:val="24"/>
                <w:highlight w:val="none"/>
                <w:lang w:val="en-US" w:eastAsia="zh-CN"/>
              </w:rPr>
              <w:t>.2 工程方案简介</w:t>
            </w:r>
          </w:p>
          <w:p w14:paraId="649633BC">
            <w:pPr>
              <w:pStyle w:val="78"/>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依据建设单位提供的工程设计资料，本项目勘探井井身结构设计为三开井身结构。本项目勘探井井身结构设计井深见下表。</w:t>
            </w:r>
          </w:p>
          <w:p w14:paraId="2556B9C9">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表2-3   </w:t>
            </w:r>
            <w:r>
              <w:rPr>
                <w:rFonts w:hint="eastAsia" w:ascii="Times New Roman" w:hAnsi="Times New Roman" w:cs="Times New Roman"/>
                <w:color w:val="auto"/>
                <w:sz w:val="21"/>
                <w:szCs w:val="21"/>
                <w:highlight w:val="none"/>
                <w:lang w:val="en-US" w:eastAsia="zh-CN"/>
              </w:rPr>
              <w:t>龙口101井</w:t>
            </w:r>
            <w:r>
              <w:rPr>
                <w:rFonts w:hint="default" w:ascii="Times New Roman" w:hAnsi="Times New Roman" w:eastAsia="宋体" w:cs="Times New Roman"/>
                <w:color w:val="auto"/>
                <w:sz w:val="21"/>
                <w:szCs w:val="21"/>
                <w:highlight w:val="none"/>
                <w:lang w:val="en-US" w:eastAsia="zh-CN"/>
              </w:rPr>
              <w:t>井身结构设计一览表</w:t>
            </w:r>
          </w:p>
          <w:tbl>
            <w:tblPr>
              <w:tblStyle w:val="36"/>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14"/>
              <w:gridCol w:w="817"/>
              <w:gridCol w:w="822"/>
              <w:gridCol w:w="822"/>
              <w:gridCol w:w="822"/>
              <w:gridCol w:w="822"/>
              <w:gridCol w:w="1925"/>
              <w:gridCol w:w="1936"/>
            </w:tblGrid>
            <w:tr w14:paraId="28D709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tcBorders>
                    <w:top w:val="single" w:color="auto" w:sz="4" w:space="0"/>
                    <w:left w:val="single" w:color="auto" w:sz="0" w:space="0"/>
                    <w:bottom w:val="single" w:color="auto" w:sz="4" w:space="0"/>
                    <w:right w:val="single" w:color="auto" w:sz="4" w:space="0"/>
                  </w:tcBorders>
                  <w:tcMar>
                    <w:left w:w="28" w:type="dxa"/>
                    <w:right w:w="28" w:type="dxa"/>
                  </w:tcMar>
                  <w:vAlign w:val="center"/>
                </w:tcPr>
                <w:p w14:paraId="1410864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开钻</w:t>
                  </w:r>
                </w:p>
                <w:p w14:paraId="04B57A3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顺序</w:t>
                  </w:r>
                </w:p>
              </w:tc>
              <w:tc>
                <w:tcPr>
                  <w:tcW w:w="465"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764C3B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钻头直径mm</w:t>
                  </w:r>
                </w:p>
              </w:tc>
              <w:tc>
                <w:tcPr>
                  <w:tcW w:w="46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7B1425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井深m</w:t>
                  </w:r>
                </w:p>
              </w:tc>
              <w:tc>
                <w:tcPr>
                  <w:tcW w:w="46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1F63AC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套管外径mm</w:t>
                  </w:r>
                </w:p>
              </w:tc>
              <w:tc>
                <w:tcPr>
                  <w:tcW w:w="46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E655AB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套管下深m</w:t>
                  </w:r>
                </w:p>
              </w:tc>
              <w:tc>
                <w:tcPr>
                  <w:tcW w:w="468"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64B546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套管顶深m</w:t>
                  </w:r>
                </w:p>
              </w:tc>
              <w:tc>
                <w:tcPr>
                  <w:tcW w:w="1095"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C9762D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水泥封固段m</w:t>
                  </w:r>
                </w:p>
              </w:tc>
              <w:tc>
                <w:tcPr>
                  <w:tcW w:w="1101" w:type="pc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3D58DD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备注</w:t>
                  </w:r>
                </w:p>
              </w:tc>
            </w:tr>
            <w:tr w14:paraId="475B71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A2911F7">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一开</w:t>
                  </w:r>
                </w:p>
              </w:tc>
              <w:tc>
                <w:tcPr>
                  <w:tcW w:w="46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204F4C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444.5</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717F67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5</w:t>
                  </w:r>
                  <w:r>
                    <w:rPr>
                      <w:rFonts w:hint="eastAsia" w:ascii="Times New Roman" w:hAnsi="Times New Roman" w:eastAsia="宋体" w:cs="Times New Roman"/>
                      <w:color w:val="auto"/>
                      <w:kern w:val="0"/>
                      <w:sz w:val="21"/>
                      <w:szCs w:val="21"/>
                      <w:lang w:bidi="ar"/>
                    </w:rPr>
                    <w:t>00</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C9A0726">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339.7</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36489D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500</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4D3737E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地面</w:t>
                  </w:r>
                </w:p>
              </w:tc>
              <w:tc>
                <w:tcPr>
                  <w:tcW w:w="109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D89A9A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地面～</w:t>
                  </w:r>
                  <w:r>
                    <w:rPr>
                      <w:rFonts w:hint="eastAsia" w:ascii="Times New Roman" w:hAnsi="Times New Roman" w:eastAsia="宋体" w:cs="Times New Roman"/>
                      <w:color w:val="auto"/>
                      <w:kern w:val="0"/>
                      <w:sz w:val="21"/>
                      <w:szCs w:val="21"/>
                      <w:lang w:val="en-US" w:eastAsia="zh-CN" w:bidi="ar"/>
                    </w:rPr>
                    <w:t>500</w:t>
                  </w:r>
                </w:p>
              </w:tc>
              <w:tc>
                <w:tcPr>
                  <w:tcW w:w="1101"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C51A33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内插法固井</w:t>
                  </w:r>
                </w:p>
              </w:tc>
            </w:tr>
            <w:tr w14:paraId="137630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1FA0CB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二开</w:t>
                  </w:r>
                </w:p>
              </w:tc>
              <w:tc>
                <w:tcPr>
                  <w:tcW w:w="46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E07C9A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31</w:t>
                  </w:r>
                  <w:r>
                    <w:rPr>
                      <w:rFonts w:hint="eastAsia" w:ascii="Times New Roman" w:hAnsi="Times New Roman" w:eastAsia="宋体" w:cs="Times New Roman"/>
                      <w:color w:val="auto"/>
                      <w:kern w:val="0"/>
                      <w:sz w:val="21"/>
                      <w:szCs w:val="21"/>
                      <w:lang w:bidi="ar"/>
                    </w:rPr>
                    <w:t>1.</w:t>
                  </w:r>
                  <w:r>
                    <w:rPr>
                      <w:rFonts w:hint="eastAsia" w:ascii="Times New Roman" w:hAnsi="Times New Roman" w:eastAsia="宋体" w:cs="Times New Roman"/>
                      <w:color w:val="auto"/>
                      <w:kern w:val="0"/>
                      <w:sz w:val="21"/>
                      <w:szCs w:val="21"/>
                      <w:lang w:val="en-US" w:eastAsia="zh-CN" w:bidi="ar"/>
                    </w:rPr>
                    <w:t>1</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F82426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3</w:t>
                  </w:r>
                  <w:r>
                    <w:rPr>
                      <w:rFonts w:hint="eastAsia" w:ascii="Times New Roman" w:hAnsi="Times New Roman" w:eastAsia="宋体" w:cs="Times New Roman"/>
                      <w:color w:val="auto"/>
                      <w:kern w:val="0"/>
                      <w:sz w:val="21"/>
                      <w:szCs w:val="21"/>
                      <w:lang w:val="en-US" w:eastAsia="zh-CN" w:bidi="ar"/>
                    </w:rPr>
                    <w:t>00</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0A28751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244.5</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0AA14C6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2</w:t>
                  </w:r>
                  <w:r>
                    <w:rPr>
                      <w:rFonts w:hint="eastAsia" w:ascii="Times New Roman" w:hAnsi="Times New Roman" w:eastAsia="宋体" w:cs="Times New Roman"/>
                      <w:color w:val="auto"/>
                      <w:kern w:val="0"/>
                      <w:sz w:val="21"/>
                      <w:szCs w:val="21"/>
                      <w:lang w:val="en-US" w:eastAsia="zh-CN" w:bidi="ar"/>
                    </w:rPr>
                    <w:t>98</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4D55F51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地面</w:t>
                  </w:r>
                </w:p>
              </w:tc>
              <w:tc>
                <w:tcPr>
                  <w:tcW w:w="109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4FED1E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地面～</w:t>
                  </w: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2</w:t>
                  </w:r>
                  <w:r>
                    <w:rPr>
                      <w:rFonts w:hint="eastAsia" w:ascii="Times New Roman" w:hAnsi="Times New Roman" w:eastAsia="宋体" w:cs="Times New Roman"/>
                      <w:color w:val="auto"/>
                      <w:kern w:val="0"/>
                      <w:sz w:val="21"/>
                      <w:szCs w:val="21"/>
                      <w:lang w:val="en-US" w:eastAsia="zh-CN" w:bidi="ar"/>
                    </w:rPr>
                    <w:t>98</w:t>
                  </w:r>
                </w:p>
              </w:tc>
              <w:tc>
                <w:tcPr>
                  <w:tcW w:w="1101"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63DD649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双密度固井</w:t>
                  </w:r>
                </w:p>
              </w:tc>
            </w:tr>
            <w:tr w14:paraId="4F64CB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E26602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三开</w:t>
                  </w:r>
                </w:p>
              </w:tc>
              <w:tc>
                <w:tcPr>
                  <w:tcW w:w="46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398A170">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215</w:t>
                  </w:r>
                  <w:r>
                    <w:rPr>
                      <w:rFonts w:hint="eastAsia" w:ascii="Times New Roman" w:hAnsi="Times New Roman" w:eastAsia="宋体" w:cs="Times New Roman"/>
                      <w:color w:val="auto"/>
                      <w:kern w:val="0"/>
                      <w:sz w:val="21"/>
                      <w:szCs w:val="21"/>
                      <w:lang w:bidi="ar"/>
                    </w:rPr>
                    <w:t>.</w:t>
                  </w:r>
                  <w:r>
                    <w:rPr>
                      <w:rFonts w:hint="eastAsia" w:ascii="Times New Roman" w:hAnsi="Times New Roman" w:eastAsia="宋体" w:cs="Times New Roman"/>
                      <w:color w:val="auto"/>
                      <w:kern w:val="0"/>
                      <w:sz w:val="21"/>
                      <w:szCs w:val="21"/>
                      <w:lang w:val="en-US" w:eastAsia="zh-CN" w:bidi="ar"/>
                    </w:rPr>
                    <w:t>9</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B3C5ABF">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5000</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3D9230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139.7</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C63605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4958</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92FAF2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1</w:t>
                  </w:r>
                  <w:r>
                    <w:rPr>
                      <w:rFonts w:hint="eastAsia" w:ascii="Times New Roman" w:hAnsi="Times New Roman" w:eastAsia="宋体" w:cs="Times New Roman"/>
                      <w:color w:val="auto"/>
                      <w:kern w:val="0"/>
                      <w:sz w:val="21"/>
                      <w:szCs w:val="21"/>
                      <w:lang w:val="en-US" w:eastAsia="zh-CN" w:bidi="ar"/>
                    </w:rPr>
                    <w:t>00</w:t>
                  </w:r>
                </w:p>
              </w:tc>
              <w:tc>
                <w:tcPr>
                  <w:tcW w:w="109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ED4A0B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1</w:t>
                  </w:r>
                  <w:r>
                    <w:rPr>
                      <w:rFonts w:hint="eastAsia" w:ascii="Times New Roman" w:hAnsi="Times New Roman" w:eastAsia="宋体" w:cs="Times New Roman"/>
                      <w:color w:val="auto"/>
                      <w:kern w:val="0"/>
                      <w:sz w:val="21"/>
                      <w:szCs w:val="21"/>
                      <w:lang w:val="en-US" w:eastAsia="zh-CN" w:bidi="ar"/>
                    </w:rPr>
                    <w:t>00</w:t>
                  </w:r>
                  <w:r>
                    <w:rPr>
                      <w:rFonts w:hint="eastAsia" w:ascii="Times New Roman" w:hAnsi="Times New Roman" w:eastAsia="宋体" w:cs="Times New Roman"/>
                      <w:color w:val="auto"/>
                      <w:kern w:val="0"/>
                      <w:sz w:val="21"/>
                      <w:szCs w:val="21"/>
                      <w:lang w:bidi="ar"/>
                    </w:rPr>
                    <w:t>～</w:t>
                  </w:r>
                  <w:r>
                    <w:rPr>
                      <w:rFonts w:hint="eastAsia" w:cs="Times New Roman"/>
                      <w:color w:val="auto"/>
                      <w:kern w:val="0"/>
                      <w:sz w:val="21"/>
                      <w:szCs w:val="21"/>
                      <w:lang w:val="en-US" w:eastAsia="zh-CN" w:bidi="ar"/>
                    </w:rPr>
                    <w:t>5000</w:t>
                  </w:r>
                </w:p>
              </w:tc>
              <w:tc>
                <w:tcPr>
                  <w:tcW w:w="1101"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78DBB6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尾管固井</w:t>
                  </w:r>
                </w:p>
              </w:tc>
            </w:tr>
            <w:tr w14:paraId="13EBDF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vMerge w:val="restar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9F8500D">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四</w:t>
                  </w:r>
                  <w:r>
                    <w:rPr>
                      <w:rFonts w:hint="eastAsia" w:ascii="Times New Roman" w:hAnsi="Times New Roman" w:eastAsia="宋体" w:cs="Times New Roman"/>
                      <w:color w:val="auto"/>
                      <w:kern w:val="0"/>
                      <w:sz w:val="21"/>
                      <w:szCs w:val="21"/>
                      <w:lang w:bidi="ar"/>
                    </w:rPr>
                    <w:t>开</w:t>
                  </w:r>
                  <w:r>
                    <w:rPr>
                      <w:rFonts w:hint="eastAsia" w:ascii="Times New Roman" w:hAnsi="Times New Roman" w:eastAsia="宋体" w:cs="Times New Roman"/>
                      <w:color w:val="auto"/>
                      <w:kern w:val="0"/>
                      <w:sz w:val="21"/>
                      <w:szCs w:val="21"/>
                      <w:lang w:eastAsia="zh-CN" w:bidi="ar"/>
                    </w:rPr>
                    <w:t>（</w:t>
                  </w:r>
                  <w:r>
                    <w:rPr>
                      <w:rFonts w:hint="eastAsia" w:ascii="Times New Roman" w:hAnsi="Times New Roman" w:eastAsia="宋体" w:cs="Times New Roman"/>
                      <w:color w:val="auto"/>
                      <w:kern w:val="0"/>
                      <w:sz w:val="21"/>
                      <w:szCs w:val="21"/>
                      <w:lang w:val="en-US" w:eastAsia="zh-CN" w:bidi="ar"/>
                    </w:rPr>
                    <w:t>备用</w:t>
                  </w:r>
                  <w:r>
                    <w:rPr>
                      <w:rFonts w:hint="eastAsia" w:ascii="Times New Roman" w:hAnsi="Times New Roman" w:eastAsia="宋体" w:cs="Times New Roman"/>
                      <w:color w:val="auto"/>
                      <w:kern w:val="0"/>
                      <w:sz w:val="21"/>
                      <w:szCs w:val="21"/>
                      <w:lang w:eastAsia="zh-CN" w:bidi="ar"/>
                    </w:rPr>
                    <w:t>）</w:t>
                  </w:r>
                </w:p>
              </w:tc>
              <w:tc>
                <w:tcPr>
                  <w:tcW w:w="46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53B35D0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215.9</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029530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X+2</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A7E683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177.8</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4D09AA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X</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74A00B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1</w:t>
                  </w:r>
                  <w:r>
                    <w:rPr>
                      <w:rFonts w:hint="eastAsia" w:ascii="Times New Roman" w:hAnsi="Times New Roman" w:eastAsia="宋体" w:cs="Times New Roman"/>
                      <w:color w:val="auto"/>
                      <w:kern w:val="0"/>
                      <w:sz w:val="21"/>
                      <w:szCs w:val="21"/>
                      <w:lang w:val="en-US" w:eastAsia="zh-CN" w:bidi="ar"/>
                    </w:rPr>
                    <w:t>00</w:t>
                  </w:r>
                </w:p>
              </w:tc>
              <w:tc>
                <w:tcPr>
                  <w:tcW w:w="109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03226E88">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w:t>
                  </w:r>
                  <w:r>
                    <w:rPr>
                      <w:rFonts w:hint="eastAsia" w:cs="Times New Roman"/>
                      <w:color w:val="auto"/>
                      <w:kern w:val="0"/>
                      <w:sz w:val="21"/>
                      <w:szCs w:val="21"/>
                      <w:lang w:val="en-US" w:eastAsia="zh-CN" w:bidi="ar"/>
                    </w:rPr>
                    <w:t>1</w:t>
                  </w:r>
                  <w:r>
                    <w:rPr>
                      <w:rFonts w:hint="eastAsia" w:ascii="Times New Roman" w:hAnsi="Times New Roman" w:eastAsia="宋体" w:cs="Times New Roman"/>
                      <w:color w:val="auto"/>
                      <w:kern w:val="0"/>
                      <w:sz w:val="21"/>
                      <w:szCs w:val="21"/>
                      <w:lang w:val="en-US" w:eastAsia="zh-CN" w:bidi="ar"/>
                    </w:rPr>
                    <w:t>00</w:t>
                  </w:r>
                  <w:r>
                    <w:rPr>
                      <w:rFonts w:hint="eastAsia" w:ascii="Times New Roman" w:hAnsi="Times New Roman" w:eastAsia="宋体" w:cs="Times New Roman"/>
                      <w:color w:val="auto"/>
                      <w:kern w:val="0"/>
                      <w:sz w:val="21"/>
                      <w:szCs w:val="21"/>
                      <w:lang w:bidi="ar"/>
                    </w:rPr>
                    <w:t>～</w:t>
                  </w:r>
                  <w:r>
                    <w:rPr>
                      <w:rFonts w:hint="eastAsia" w:ascii="Times New Roman" w:hAnsi="Times New Roman" w:eastAsia="宋体" w:cs="Times New Roman"/>
                      <w:color w:val="auto"/>
                      <w:kern w:val="0"/>
                      <w:sz w:val="21"/>
                      <w:szCs w:val="21"/>
                      <w:lang w:val="en-US" w:eastAsia="zh-CN" w:bidi="ar"/>
                    </w:rPr>
                    <w:t>X</w:t>
                  </w:r>
                </w:p>
              </w:tc>
              <w:tc>
                <w:tcPr>
                  <w:tcW w:w="1101"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492E85F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尾管固井</w:t>
                  </w:r>
                </w:p>
              </w:tc>
            </w:tr>
            <w:tr w14:paraId="1F8D9B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3" w:type="pct"/>
                  <w:vMerge w:val="continue"/>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73C107FC">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p>
              </w:tc>
              <w:tc>
                <w:tcPr>
                  <w:tcW w:w="46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326939B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149.2</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2F7CD2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5000</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1FCFC55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114.3</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C62DE1E">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4958</w:t>
                  </w:r>
                </w:p>
              </w:tc>
              <w:tc>
                <w:tcPr>
                  <w:tcW w:w="468"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69CD754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eastAsia="zh-CN" w:bidi="ar"/>
                    </w:rPr>
                  </w:pPr>
                  <w:r>
                    <w:rPr>
                      <w:rFonts w:hint="eastAsia" w:ascii="Times New Roman" w:hAnsi="Times New Roman" w:eastAsia="宋体" w:cs="Times New Roman"/>
                      <w:color w:val="auto"/>
                      <w:kern w:val="0"/>
                      <w:sz w:val="21"/>
                      <w:szCs w:val="21"/>
                      <w:lang w:val="en-US" w:eastAsia="zh-CN" w:bidi="ar"/>
                    </w:rPr>
                    <w:t>X-200</w:t>
                  </w:r>
                </w:p>
              </w:tc>
              <w:tc>
                <w:tcPr>
                  <w:tcW w:w="1095"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4DB6679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X-200</w:t>
                  </w:r>
                  <w:r>
                    <w:rPr>
                      <w:rFonts w:hint="eastAsia" w:ascii="Times New Roman" w:hAnsi="Times New Roman" w:eastAsia="宋体" w:cs="Times New Roman"/>
                      <w:color w:val="auto"/>
                      <w:kern w:val="0"/>
                      <w:sz w:val="21"/>
                      <w:szCs w:val="21"/>
                      <w:lang w:bidi="ar"/>
                    </w:rPr>
                    <w:t>～</w:t>
                  </w:r>
                  <w:r>
                    <w:rPr>
                      <w:rFonts w:hint="eastAsia" w:cs="Times New Roman"/>
                      <w:color w:val="auto"/>
                      <w:kern w:val="0"/>
                      <w:sz w:val="21"/>
                      <w:szCs w:val="21"/>
                      <w:lang w:val="en-US" w:eastAsia="zh-CN" w:bidi="ar"/>
                    </w:rPr>
                    <w:t>4958</w:t>
                  </w:r>
                </w:p>
              </w:tc>
              <w:tc>
                <w:tcPr>
                  <w:tcW w:w="1101" w:type="pct"/>
                  <w:tcBorders>
                    <w:top w:val="single" w:color="auto" w:sz="4" w:space="0"/>
                    <w:left w:val="single" w:color="auto" w:sz="4" w:space="0"/>
                    <w:bottom w:val="single" w:color="auto" w:sz="4" w:space="0"/>
                    <w:right w:val="single" w:color="auto" w:sz="4" w:space="0"/>
                  </w:tcBorders>
                  <w:shd w:val="clear" w:color="auto" w:fill="auto"/>
                  <w:tcMar>
                    <w:left w:w="28" w:type="dxa"/>
                    <w:right w:w="28" w:type="dxa"/>
                  </w:tcMar>
                  <w:vAlign w:val="center"/>
                </w:tcPr>
                <w:p w14:paraId="2683DCB1">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尾管固井</w:t>
                  </w:r>
                </w:p>
              </w:tc>
            </w:tr>
          </w:tbl>
          <w:p w14:paraId="0F45DA23">
            <w:pPr>
              <w:rPr>
                <w:rFonts w:hint="default"/>
                <w:lang w:val="en-US" w:eastAsia="zh-CN"/>
              </w:rPr>
            </w:pPr>
          </w:p>
          <w:p w14:paraId="744B34D0">
            <w:pPr>
              <w:jc w:val="center"/>
              <w:rPr>
                <w:rFonts w:hint="default" w:ascii="Times New Roman" w:hAnsi="Times New Roman" w:eastAsia="宋体" w:cs="Times New Roman"/>
                <w:color w:val="auto"/>
              </w:rPr>
            </w:pPr>
            <w:r>
              <w:drawing>
                <wp:inline distT="0" distB="0" distL="114300" distR="114300">
                  <wp:extent cx="3855720" cy="3647440"/>
                  <wp:effectExtent l="0" t="0" r="11430" b="1016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7"/>
                          <a:stretch>
                            <a:fillRect/>
                          </a:stretch>
                        </pic:blipFill>
                        <pic:spPr>
                          <a:xfrm>
                            <a:off x="0" y="0"/>
                            <a:ext cx="3855720" cy="3647440"/>
                          </a:xfrm>
                          <a:prstGeom prst="rect">
                            <a:avLst/>
                          </a:prstGeom>
                          <a:noFill/>
                          <a:ln>
                            <a:noFill/>
                          </a:ln>
                        </pic:spPr>
                      </pic:pic>
                    </a:graphicData>
                  </a:graphic>
                </wp:inline>
              </w:drawing>
            </w:r>
          </w:p>
          <w:p w14:paraId="04C9BA75">
            <w:pPr>
              <w:pStyle w:val="85"/>
              <w:keepNext w:val="0"/>
              <w:keepLines w:val="0"/>
              <w:pageBreakBefore w:val="0"/>
              <w:widowControl w:val="0"/>
              <w:kinsoku/>
              <w:wordWrap/>
              <w:overflowPunct/>
              <w:topLinePunct w:val="0"/>
              <w:autoSpaceDE/>
              <w:autoSpaceDN/>
              <w:bidi w:val="0"/>
              <w:adjustRightInd/>
              <w:spacing w:before="0" w:beforeLines="0"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图2-1   井身结构示意图</w:t>
            </w:r>
          </w:p>
          <w:p w14:paraId="7B7957F0">
            <w:pPr>
              <w:pStyle w:val="78"/>
              <w:keepNext w:val="0"/>
              <w:keepLines w:val="0"/>
              <w:pageBreakBefore w:val="0"/>
              <w:kinsoku/>
              <w:wordWrap/>
              <w:overflowPunct/>
              <w:topLinePunct w:val="0"/>
              <w:autoSpaceDE/>
              <w:autoSpaceDN/>
              <w:bidi w:val="0"/>
              <w:adjustRightInd/>
              <w:spacing w:line="480" w:lineRule="exact"/>
              <w:ind w:left="0" w:leftChars="0" w:firstLine="0" w:firstLineChars="0"/>
              <w:jc w:val="both"/>
              <w:textAlignment w:val="auto"/>
              <w:rPr>
                <w:rFonts w:hint="default" w:ascii="Times New Roman" w:hAnsi="Times New Roman" w:eastAsia="宋体" w:cs="Times New Roman"/>
                <w:b/>
                <w:color w:val="auto"/>
                <w:kern w:val="2"/>
                <w:sz w:val="24"/>
                <w:szCs w:val="24"/>
                <w:highlight w:val="none"/>
                <w:lang w:val="en-US" w:eastAsia="zh-CN"/>
              </w:rPr>
            </w:pPr>
            <w:r>
              <w:rPr>
                <w:rFonts w:hint="eastAsia" w:cs="Times New Roman"/>
                <w:b/>
                <w:color w:val="auto"/>
                <w:kern w:val="2"/>
                <w:sz w:val="24"/>
                <w:szCs w:val="24"/>
                <w:highlight w:val="none"/>
                <w:lang w:val="en-US" w:eastAsia="zh-CN"/>
              </w:rPr>
              <w:t>3</w:t>
            </w:r>
            <w:r>
              <w:rPr>
                <w:rFonts w:hint="default" w:ascii="Times New Roman" w:hAnsi="Times New Roman" w:eastAsia="宋体" w:cs="Times New Roman"/>
                <w:b/>
                <w:color w:val="auto"/>
                <w:kern w:val="2"/>
                <w:sz w:val="24"/>
                <w:szCs w:val="24"/>
                <w:highlight w:val="none"/>
                <w:lang w:val="en-US" w:eastAsia="zh-CN"/>
              </w:rPr>
              <w:t>.主要设备</w:t>
            </w:r>
          </w:p>
          <w:p w14:paraId="303C62EE">
            <w:pPr>
              <w:pStyle w:val="78"/>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snapToGrid w:val="0"/>
                <w:color w:val="auto"/>
                <w:highlight w:val="none"/>
                <w:lang w:val="en-US" w:eastAsia="zh-CN"/>
              </w:rPr>
            </w:pPr>
            <w:r>
              <w:rPr>
                <w:rFonts w:hint="default" w:ascii="Times New Roman" w:hAnsi="Times New Roman" w:eastAsia="宋体" w:cs="Times New Roman"/>
                <w:snapToGrid w:val="0"/>
                <w:color w:val="auto"/>
                <w:highlight w:val="none"/>
                <w:lang w:val="en-US" w:eastAsia="zh-CN"/>
              </w:rPr>
              <w:t>工程建设所需设备设施情况见表2-4。</w:t>
            </w:r>
          </w:p>
          <w:p w14:paraId="42C2CDEB">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表2-4   施工所用机械一览表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856"/>
              <w:gridCol w:w="2100"/>
              <w:gridCol w:w="1908"/>
              <w:gridCol w:w="916"/>
              <w:gridCol w:w="2176"/>
            </w:tblGrid>
            <w:tr w14:paraId="2FCD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noWrap w:val="0"/>
                  <w:vAlign w:val="center"/>
                </w:tcPr>
                <w:p w14:paraId="4C8F27C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项目组成</w:t>
                  </w:r>
                </w:p>
              </w:tc>
              <w:tc>
                <w:tcPr>
                  <w:tcW w:w="1685" w:type="pct"/>
                  <w:gridSpan w:val="2"/>
                  <w:noWrap w:val="0"/>
                  <w:vAlign w:val="center"/>
                </w:tcPr>
                <w:p w14:paraId="43C87A6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名称</w:t>
                  </w:r>
                </w:p>
              </w:tc>
              <w:tc>
                <w:tcPr>
                  <w:tcW w:w="1087" w:type="pct"/>
                  <w:noWrap w:val="0"/>
                  <w:vAlign w:val="center"/>
                </w:tcPr>
                <w:p w14:paraId="131DD66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型号</w:t>
                  </w:r>
                </w:p>
              </w:tc>
              <w:tc>
                <w:tcPr>
                  <w:tcW w:w="522" w:type="pct"/>
                  <w:noWrap w:val="0"/>
                  <w:vAlign w:val="center"/>
                </w:tcPr>
                <w:p w14:paraId="3CF5455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数量</w:t>
                  </w:r>
                </w:p>
              </w:tc>
              <w:tc>
                <w:tcPr>
                  <w:tcW w:w="1240" w:type="pct"/>
                  <w:noWrap w:val="0"/>
                  <w:vAlign w:val="center"/>
                </w:tcPr>
                <w:p w14:paraId="59AC956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rPr>
                  </w:pPr>
                  <w:r>
                    <w:rPr>
                      <w:rFonts w:hint="default" w:ascii="Times New Roman" w:hAnsi="Times New Roman" w:eastAsia="宋体" w:cs="Times New Roman"/>
                      <w:b w:val="0"/>
                      <w:bCs w:val="0"/>
                      <w:color w:val="auto"/>
                      <w:spacing w:val="0"/>
                      <w:sz w:val="21"/>
                      <w:szCs w:val="21"/>
                      <w:highlight w:val="none"/>
                    </w:rPr>
                    <w:t>备注</w:t>
                  </w:r>
                </w:p>
              </w:tc>
            </w:tr>
            <w:tr w14:paraId="4218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14:paraId="5D51522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钻前工程</w:t>
                  </w:r>
                </w:p>
              </w:tc>
              <w:tc>
                <w:tcPr>
                  <w:tcW w:w="1685" w:type="pct"/>
                  <w:gridSpan w:val="2"/>
                  <w:noWrap w:val="0"/>
                  <w:vAlign w:val="center"/>
                </w:tcPr>
                <w:p w14:paraId="7B81F738">
                  <w:pPr>
                    <w:pStyle w:val="109"/>
                    <w:keepNext w:val="0"/>
                    <w:keepLines w:val="0"/>
                    <w:pageBreakBefore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b w:val="0"/>
                      <w:color w:val="auto"/>
                      <w:spacing w:val="0"/>
                      <w:sz w:val="21"/>
                      <w:szCs w:val="21"/>
                      <w:highlight w:val="none"/>
                    </w:rPr>
                    <w:t>推土机</w:t>
                  </w:r>
                </w:p>
              </w:tc>
              <w:tc>
                <w:tcPr>
                  <w:tcW w:w="1087" w:type="pct"/>
                  <w:noWrap w:val="0"/>
                  <w:vAlign w:val="center"/>
                </w:tcPr>
                <w:p w14:paraId="79BD34E6">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lang w:val="en-US" w:eastAsia="zh-CN"/>
                    </w:rPr>
                    <w:t>/</w:t>
                  </w:r>
                </w:p>
              </w:tc>
              <w:tc>
                <w:tcPr>
                  <w:tcW w:w="522" w:type="pct"/>
                  <w:noWrap w:val="0"/>
                  <w:vAlign w:val="center"/>
                </w:tcPr>
                <w:p w14:paraId="1B44CF94">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67C365F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A76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3C3BD18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7F5624D0">
                  <w:pPr>
                    <w:pStyle w:val="109"/>
                    <w:keepNext w:val="0"/>
                    <w:keepLines w:val="0"/>
                    <w:pageBreakBefore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b w:val="0"/>
                      <w:color w:val="auto"/>
                      <w:spacing w:val="0"/>
                      <w:sz w:val="21"/>
                      <w:szCs w:val="21"/>
                      <w:highlight w:val="none"/>
                    </w:rPr>
                    <w:t>挖掘机</w:t>
                  </w:r>
                </w:p>
              </w:tc>
              <w:tc>
                <w:tcPr>
                  <w:tcW w:w="1087" w:type="pct"/>
                  <w:noWrap w:val="0"/>
                  <w:vAlign w:val="center"/>
                </w:tcPr>
                <w:p w14:paraId="212E8035">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c>
                <w:tcPr>
                  <w:tcW w:w="522" w:type="pct"/>
                  <w:noWrap w:val="0"/>
                  <w:vAlign w:val="center"/>
                </w:tcPr>
                <w:p w14:paraId="77BEAA2F">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4F8156D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7ABE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14:paraId="4C9B363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钻井工程</w:t>
                  </w:r>
                </w:p>
              </w:tc>
              <w:tc>
                <w:tcPr>
                  <w:tcW w:w="1685" w:type="pct"/>
                  <w:gridSpan w:val="2"/>
                  <w:tcBorders>
                    <w:bottom w:val="nil"/>
                  </w:tcBorders>
                  <w:noWrap w:val="0"/>
                  <w:vAlign w:val="center"/>
                </w:tcPr>
                <w:p w14:paraId="1A0F50A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钻机</w:t>
                  </w:r>
                </w:p>
              </w:tc>
              <w:tc>
                <w:tcPr>
                  <w:tcW w:w="1087" w:type="pct"/>
                  <w:tcBorders>
                    <w:bottom w:val="single" w:color="auto" w:sz="4" w:space="0"/>
                  </w:tcBorders>
                  <w:noWrap w:val="0"/>
                  <w:vAlign w:val="center"/>
                </w:tcPr>
                <w:p w14:paraId="5B81584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ZJ70</w:t>
                  </w:r>
                </w:p>
              </w:tc>
              <w:tc>
                <w:tcPr>
                  <w:tcW w:w="522" w:type="pct"/>
                  <w:tcBorders>
                    <w:bottom w:val="single" w:color="auto" w:sz="4" w:space="0"/>
                  </w:tcBorders>
                  <w:noWrap w:val="0"/>
                  <w:vAlign w:val="center"/>
                </w:tcPr>
                <w:p w14:paraId="301D0412">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tcBorders>
                    <w:bottom w:val="single" w:color="auto" w:sz="4" w:space="0"/>
                  </w:tcBorders>
                  <w:noWrap w:val="0"/>
                  <w:vAlign w:val="center"/>
                </w:tcPr>
                <w:p w14:paraId="715E54D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69A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2DB36B9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tcBorders>
                    <w:bottom w:val="nil"/>
                  </w:tcBorders>
                  <w:noWrap w:val="0"/>
                  <w:vAlign w:val="center"/>
                </w:tcPr>
                <w:p w14:paraId="0CF7DCB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井架</w:t>
                  </w:r>
                </w:p>
              </w:tc>
              <w:tc>
                <w:tcPr>
                  <w:tcW w:w="1087" w:type="pct"/>
                  <w:tcBorders>
                    <w:bottom w:val="single" w:color="auto" w:sz="4" w:space="0"/>
                  </w:tcBorders>
                  <w:noWrap w:val="0"/>
                  <w:vAlign w:val="center"/>
                </w:tcPr>
                <w:p w14:paraId="06A3C02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lang w:val="en-US" w:eastAsia="zh-CN"/>
                    </w:rPr>
                    <w:t>JJ450/45-K</w:t>
                  </w:r>
                </w:p>
              </w:tc>
              <w:tc>
                <w:tcPr>
                  <w:tcW w:w="522" w:type="pct"/>
                  <w:tcBorders>
                    <w:bottom w:val="single" w:color="auto" w:sz="4" w:space="0"/>
                  </w:tcBorders>
                  <w:noWrap w:val="0"/>
                  <w:vAlign w:val="center"/>
                </w:tcPr>
                <w:p w14:paraId="31731DC3">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tcBorders>
                    <w:bottom w:val="single" w:color="auto" w:sz="4" w:space="0"/>
                  </w:tcBorders>
                  <w:noWrap w:val="0"/>
                  <w:vAlign w:val="center"/>
                </w:tcPr>
                <w:p w14:paraId="6435A2C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0A71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2959AC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71885CA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提升系统</w:t>
                  </w:r>
                </w:p>
              </w:tc>
              <w:tc>
                <w:tcPr>
                  <w:tcW w:w="1197" w:type="pct"/>
                  <w:noWrap w:val="0"/>
                  <w:vAlign w:val="center"/>
                </w:tcPr>
                <w:p w14:paraId="66AA45A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天车</w:t>
                  </w:r>
                </w:p>
              </w:tc>
              <w:tc>
                <w:tcPr>
                  <w:tcW w:w="1087" w:type="pct"/>
                  <w:noWrap w:val="0"/>
                  <w:vAlign w:val="center"/>
                </w:tcPr>
                <w:p w14:paraId="426162D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TC2-450</w:t>
                  </w:r>
                </w:p>
              </w:tc>
              <w:tc>
                <w:tcPr>
                  <w:tcW w:w="522" w:type="pct"/>
                  <w:noWrap w:val="0"/>
                  <w:vAlign w:val="center"/>
                </w:tcPr>
                <w:p w14:paraId="2AB4CC74">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4ABB2CC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40BF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24FB924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367192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14:paraId="7684475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游车</w:t>
                  </w:r>
                </w:p>
              </w:tc>
              <w:tc>
                <w:tcPr>
                  <w:tcW w:w="1087" w:type="pct"/>
                  <w:noWrap w:val="0"/>
                  <w:vAlign w:val="center"/>
                </w:tcPr>
                <w:p w14:paraId="34BE62C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YC-450</w:t>
                  </w:r>
                </w:p>
              </w:tc>
              <w:tc>
                <w:tcPr>
                  <w:tcW w:w="522" w:type="pct"/>
                  <w:noWrap w:val="0"/>
                  <w:vAlign w:val="center"/>
                </w:tcPr>
                <w:p w14:paraId="75D16CE8">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25027A5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50F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6743864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1FE04F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14:paraId="73D4CA8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大钩</w:t>
                  </w:r>
                </w:p>
              </w:tc>
              <w:tc>
                <w:tcPr>
                  <w:tcW w:w="1087" w:type="pct"/>
                  <w:noWrap w:val="0"/>
                  <w:vAlign w:val="center"/>
                </w:tcPr>
                <w:p w14:paraId="1D4AC1C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DG450</w:t>
                  </w:r>
                </w:p>
              </w:tc>
              <w:tc>
                <w:tcPr>
                  <w:tcW w:w="522" w:type="pct"/>
                  <w:noWrap w:val="0"/>
                  <w:vAlign w:val="center"/>
                </w:tcPr>
                <w:p w14:paraId="14440EE0">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628C0FE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4818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37D2274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146F44B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1197" w:type="pct"/>
                  <w:noWrap w:val="0"/>
                  <w:vAlign w:val="center"/>
                </w:tcPr>
                <w:p w14:paraId="7B8CE53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水龙头</w:t>
                  </w:r>
                </w:p>
              </w:tc>
              <w:tc>
                <w:tcPr>
                  <w:tcW w:w="1087" w:type="pct"/>
                  <w:noWrap w:val="0"/>
                  <w:vAlign w:val="center"/>
                </w:tcPr>
                <w:p w14:paraId="03BD9F0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lang w:val="en-US" w:eastAsia="zh-CN"/>
                    </w:rPr>
                    <w:t>XSL450</w:t>
                  </w:r>
                </w:p>
              </w:tc>
              <w:tc>
                <w:tcPr>
                  <w:tcW w:w="522" w:type="pct"/>
                  <w:noWrap w:val="0"/>
                  <w:vAlign w:val="center"/>
                </w:tcPr>
                <w:p w14:paraId="23A49B64">
                  <w:pPr>
                    <w:keepNext w:val="0"/>
                    <w:keepLines/>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3434676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03B4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6C5E305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2DCC284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底座转盘与绞车</w:t>
                  </w:r>
                </w:p>
              </w:tc>
              <w:tc>
                <w:tcPr>
                  <w:tcW w:w="1197" w:type="pct"/>
                  <w:noWrap w:val="0"/>
                  <w:vAlign w:val="center"/>
                </w:tcPr>
                <w:p w14:paraId="4CB02E1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底座</w:t>
                  </w:r>
                </w:p>
              </w:tc>
              <w:tc>
                <w:tcPr>
                  <w:tcW w:w="1087" w:type="pct"/>
                  <w:noWrap w:val="0"/>
                  <w:vAlign w:val="center"/>
                </w:tcPr>
                <w:p w14:paraId="767DD5A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DZ450/10.5-X</w:t>
                  </w:r>
                </w:p>
              </w:tc>
              <w:tc>
                <w:tcPr>
                  <w:tcW w:w="522" w:type="pct"/>
                  <w:noWrap w:val="0"/>
                  <w:vAlign w:val="center"/>
                </w:tcPr>
                <w:p w14:paraId="15B2BD4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vMerge w:val="restart"/>
                  <w:noWrap w:val="0"/>
                  <w:vAlign w:val="center"/>
                </w:tcPr>
                <w:p w14:paraId="3693087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额定静载荷≥450吨（包括转盘大梁）</w:t>
                  </w:r>
                </w:p>
              </w:tc>
            </w:tr>
            <w:tr w14:paraId="0C69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AB58AE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59EE79E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4D9CB07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转盘</w:t>
                  </w:r>
                </w:p>
              </w:tc>
              <w:tc>
                <w:tcPr>
                  <w:tcW w:w="1087" w:type="pct"/>
                  <w:noWrap w:val="0"/>
                  <w:vAlign w:val="center"/>
                </w:tcPr>
                <w:p w14:paraId="722E4BE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ZP-375</w:t>
                  </w:r>
                </w:p>
              </w:tc>
              <w:tc>
                <w:tcPr>
                  <w:tcW w:w="522" w:type="pct"/>
                  <w:noWrap w:val="0"/>
                  <w:vAlign w:val="center"/>
                </w:tcPr>
                <w:p w14:paraId="5DB0391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vMerge w:val="continue"/>
                  <w:noWrap w:val="0"/>
                  <w:vAlign w:val="center"/>
                </w:tcPr>
                <w:p w14:paraId="79A5340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5B58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3DBE59A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253081B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6612759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绞车</w:t>
                  </w:r>
                </w:p>
              </w:tc>
              <w:tc>
                <w:tcPr>
                  <w:tcW w:w="1087" w:type="pct"/>
                  <w:noWrap w:val="0"/>
                  <w:vAlign w:val="center"/>
                </w:tcPr>
                <w:p w14:paraId="6598E52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JC-70</w:t>
                  </w:r>
                </w:p>
              </w:tc>
              <w:tc>
                <w:tcPr>
                  <w:tcW w:w="522" w:type="pct"/>
                  <w:noWrap w:val="0"/>
                  <w:vAlign w:val="center"/>
                </w:tcPr>
                <w:p w14:paraId="42DDD1E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台</w:t>
                  </w:r>
                </w:p>
              </w:tc>
              <w:tc>
                <w:tcPr>
                  <w:tcW w:w="1240" w:type="pct"/>
                  <w:noWrap w:val="0"/>
                  <w:vAlign w:val="center"/>
                </w:tcPr>
                <w:p w14:paraId="4381658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额定功率≥1225KW</w:t>
                  </w:r>
                </w:p>
              </w:tc>
            </w:tr>
            <w:tr w14:paraId="6804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030492F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noWrap w:val="0"/>
                  <w:vAlign w:val="center"/>
                </w:tcPr>
                <w:p w14:paraId="47A8A85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泥浆泵</w:t>
                  </w:r>
                </w:p>
              </w:tc>
              <w:tc>
                <w:tcPr>
                  <w:tcW w:w="1197" w:type="pct"/>
                  <w:shd w:val="clear" w:color="auto" w:fill="auto"/>
                  <w:noWrap w:val="0"/>
                  <w:vAlign w:val="center"/>
                </w:tcPr>
                <w:p w14:paraId="76E4597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泥浆泵</w:t>
                  </w:r>
                </w:p>
              </w:tc>
              <w:tc>
                <w:tcPr>
                  <w:tcW w:w="1087" w:type="pct"/>
                  <w:shd w:val="clear" w:color="auto" w:fill="auto"/>
                  <w:noWrap w:val="0"/>
                  <w:vAlign w:val="center"/>
                </w:tcPr>
                <w:p w14:paraId="57633E8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F-1600</w:t>
                  </w:r>
                </w:p>
              </w:tc>
              <w:tc>
                <w:tcPr>
                  <w:tcW w:w="522" w:type="pct"/>
                  <w:shd w:val="clear" w:color="auto" w:fill="auto"/>
                  <w:noWrap w:val="0"/>
                  <w:vAlign w:val="center"/>
                </w:tcPr>
                <w:p w14:paraId="7E30E24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w:t>
                  </w:r>
                  <w:r>
                    <w:rPr>
                      <w:rFonts w:hint="default" w:ascii="Times New Roman" w:hAnsi="Times New Roman" w:eastAsia="宋体" w:cs="Times New Roman"/>
                      <w:color w:val="auto"/>
                      <w:spacing w:val="0"/>
                      <w:sz w:val="21"/>
                      <w:szCs w:val="21"/>
                      <w:highlight w:val="none"/>
                      <w:lang w:val="en-US" w:eastAsia="zh-CN"/>
                    </w:rPr>
                    <w:t>台</w:t>
                  </w:r>
                </w:p>
              </w:tc>
              <w:tc>
                <w:tcPr>
                  <w:tcW w:w="1240" w:type="pct"/>
                  <w:noWrap w:val="0"/>
                  <w:vAlign w:val="center"/>
                </w:tcPr>
                <w:p w14:paraId="3E71A5F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额定功率≥1600马力</w:t>
                  </w:r>
                </w:p>
              </w:tc>
            </w:tr>
            <w:tr w14:paraId="5E16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2289BE9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p w14:paraId="55E31AD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51FE543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泥浆罐</w:t>
                  </w:r>
                </w:p>
              </w:tc>
              <w:tc>
                <w:tcPr>
                  <w:tcW w:w="1197" w:type="pct"/>
                  <w:shd w:val="clear" w:color="auto" w:fill="auto"/>
                  <w:noWrap w:val="0"/>
                  <w:vAlign w:val="center"/>
                </w:tcPr>
                <w:p w14:paraId="7E3C730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循环</w:t>
                  </w:r>
                  <w:r>
                    <w:rPr>
                      <w:rFonts w:hint="default" w:ascii="Times New Roman" w:hAnsi="Times New Roman" w:eastAsia="宋体" w:cs="Times New Roman"/>
                      <w:color w:val="auto"/>
                      <w:spacing w:val="0"/>
                      <w:sz w:val="21"/>
                      <w:szCs w:val="21"/>
                      <w:highlight w:val="none"/>
                      <w:lang w:val="en-US" w:eastAsia="zh-CN"/>
                    </w:rPr>
                    <w:t>罐</w:t>
                  </w:r>
                </w:p>
              </w:tc>
              <w:tc>
                <w:tcPr>
                  <w:tcW w:w="1087" w:type="pct"/>
                  <w:shd w:val="clear" w:color="auto" w:fill="auto"/>
                  <w:noWrap w:val="0"/>
                  <w:vAlign w:val="center"/>
                </w:tcPr>
                <w:p w14:paraId="1CA3EB3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14000×3000×2300</w:t>
                  </w:r>
                </w:p>
              </w:tc>
              <w:tc>
                <w:tcPr>
                  <w:tcW w:w="522" w:type="pct"/>
                  <w:shd w:val="clear" w:color="auto" w:fill="auto"/>
                  <w:noWrap w:val="0"/>
                  <w:vAlign w:val="center"/>
                </w:tcPr>
                <w:p w14:paraId="5F96265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只</w:t>
                  </w:r>
                </w:p>
              </w:tc>
              <w:tc>
                <w:tcPr>
                  <w:tcW w:w="1240" w:type="pct"/>
                  <w:shd w:val="clear" w:color="auto" w:fill="auto"/>
                  <w:noWrap w:val="0"/>
                  <w:vAlign w:val="center"/>
                </w:tcPr>
                <w:p w14:paraId="4B721C9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锥形罐（自动除砂），总容积≥400m</w:t>
                  </w:r>
                  <w:r>
                    <w:rPr>
                      <w:rFonts w:hint="eastAsia" w:ascii="Times New Roman" w:hAnsi="Times New Roman" w:eastAsia="宋体" w:cs="Times New Roman"/>
                      <w:color w:val="auto"/>
                      <w:spacing w:val="0"/>
                      <w:sz w:val="21"/>
                      <w:szCs w:val="21"/>
                      <w:highlight w:val="none"/>
                      <w:vertAlign w:val="superscript"/>
                      <w:lang w:val="en-US" w:eastAsia="zh-CN"/>
                    </w:rPr>
                    <w:t>3</w:t>
                  </w:r>
                </w:p>
              </w:tc>
            </w:tr>
            <w:tr w14:paraId="0A36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6392478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5275EF4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0E7B89D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循环罐</w:t>
                  </w:r>
                </w:p>
              </w:tc>
              <w:tc>
                <w:tcPr>
                  <w:tcW w:w="1087" w:type="pct"/>
                  <w:shd w:val="clear" w:color="auto" w:fill="auto"/>
                  <w:noWrap w:val="0"/>
                  <w:vAlign w:val="center"/>
                </w:tcPr>
                <w:p w14:paraId="0C42808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12000×3000×2300</w:t>
                  </w:r>
                </w:p>
              </w:tc>
              <w:tc>
                <w:tcPr>
                  <w:tcW w:w="522" w:type="pct"/>
                  <w:shd w:val="clear" w:color="auto" w:fill="auto"/>
                  <w:noWrap w:val="0"/>
                  <w:vAlign w:val="center"/>
                </w:tcPr>
                <w:p w14:paraId="665AEB4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shd w:val="clear" w:color="auto" w:fill="auto"/>
                  <w:noWrap w:val="0"/>
                  <w:vAlign w:val="center"/>
                </w:tcPr>
                <w:p w14:paraId="2817B74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总容积</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400</w:t>
                  </w:r>
                  <w:r>
                    <w:rPr>
                      <w:rFonts w:hint="default" w:ascii="Times New Roman" w:hAnsi="Times New Roman" w:eastAsia="宋体" w:cs="Times New Roman"/>
                      <w:color w:val="auto"/>
                      <w:spacing w:val="0"/>
                      <w:sz w:val="21"/>
                      <w:szCs w:val="21"/>
                      <w:highlight w:val="none"/>
                      <w:lang w:val="en-US" w:eastAsia="zh-CN"/>
                    </w:rPr>
                    <w:t>m</w:t>
                  </w:r>
                  <w:r>
                    <w:rPr>
                      <w:rFonts w:hint="default" w:ascii="Times New Roman" w:hAnsi="Times New Roman" w:eastAsia="宋体" w:cs="Times New Roman"/>
                      <w:color w:val="auto"/>
                      <w:spacing w:val="0"/>
                      <w:sz w:val="21"/>
                      <w:szCs w:val="21"/>
                      <w:highlight w:val="none"/>
                      <w:vertAlign w:val="superscript"/>
                      <w:lang w:val="en-US" w:eastAsia="zh-CN"/>
                    </w:rPr>
                    <w:t>3</w:t>
                  </w:r>
                </w:p>
              </w:tc>
            </w:tr>
            <w:tr w14:paraId="5432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58B6822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1F8A119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40FB0B1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储备罐</w:t>
                  </w:r>
                </w:p>
              </w:tc>
              <w:tc>
                <w:tcPr>
                  <w:tcW w:w="1087" w:type="pct"/>
                  <w:shd w:val="clear" w:color="auto" w:fill="auto"/>
                  <w:noWrap w:val="0"/>
                  <w:vAlign w:val="center"/>
                </w:tcPr>
                <w:p w14:paraId="61FDA41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w:t>
                  </w:r>
                  <w:r>
                    <w:rPr>
                      <w:rFonts w:hint="eastAsia" w:ascii="Times New Roman" w:hAnsi="Times New Roman" w:eastAsia="宋体" w:cs="Times New Roman"/>
                      <w:color w:val="auto"/>
                      <w:spacing w:val="0"/>
                      <w:sz w:val="21"/>
                      <w:szCs w:val="21"/>
                      <w:highlight w:val="none"/>
                      <w:lang w:val="en-US" w:eastAsia="zh-CN"/>
                    </w:rPr>
                    <w:t>0</w:t>
                  </w:r>
                </w:p>
              </w:tc>
              <w:tc>
                <w:tcPr>
                  <w:tcW w:w="522" w:type="pct"/>
                  <w:shd w:val="clear" w:color="auto" w:fill="auto"/>
                  <w:noWrap w:val="0"/>
                  <w:vAlign w:val="center"/>
                </w:tcPr>
                <w:p w14:paraId="4F3662E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shd w:val="clear" w:color="auto" w:fill="auto"/>
                  <w:noWrap w:val="0"/>
                  <w:vAlign w:val="center"/>
                </w:tcPr>
                <w:p w14:paraId="4DC2D89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有效容积≥</w:t>
                  </w:r>
                  <w:r>
                    <w:rPr>
                      <w:rFonts w:hint="eastAsia" w:ascii="Times New Roman" w:hAnsi="Times New Roman" w:eastAsia="宋体" w:cs="Times New Roman"/>
                      <w:color w:val="auto"/>
                      <w:spacing w:val="0"/>
                      <w:sz w:val="21"/>
                      <w:szCs w:val="21"/>
                      <w:highlight w:val="none"/>
                      <w:lang w:val="en-US" w:eastAsia="zh-CN"/>
                    </w:rPr>
                    <w:t>20</w:t>
                  </w:r>
                  <w:r>
                    <w:rPr>
                      <w:rFonts w:hint="default" w:ascii="Times New Roman" w:hAnsi="Times New Roman" w:eastAsia="宋体" w:cs="Times New Roman"/>
                      <w:color w:val="auto"/>
                      <w:spacing w:val="0"/>
                      <w:sz w:val="21"/>
                      <w:szCs w:val="21"/>
                      <w:highlight w:val="none"/>
                      <w:lang w:val="en-US" w:eastAsia="zh-CN"/>
                    </w:rPr>
                    <w:t>0m</w:t>
                  </w:r>
                  <w:r>
                    <w:rPr>
                      <w:rFonts w:hint="default" w:ascii="Times New Roman" w:hAnsi="Times New Roman" w:eastAsia="宋体" w:cs="Times New Roman"/>
                      <w:color w:val="auto"/>
                      <w:spacing w:val="0"/>
                      <w:sz w:val="21"/>
                      <w:szCs w:val="21"/>
                      <w:highlight w:val="none"/>
                      <w:vertAlign w:val="superscript"/>
                      <w:lang w:val="en-US" w:eastAsia="zh-CN"/>
                    </w:rPr>
                    <w:t>3</w:t>
                  </w:r>
                </w:p>
                <w:p w14:paraId="7B4CF32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配备独立循环加重系统</w:t>
                  </w:r>
                </w:p>
              </w:tc>
            </w:tr>
            <w:tr w14:paraId="718C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3D5C4CD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1F9CBD2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固控设备</w:t>
                  </w:r>
                </w:p>
              </w:tc>
              <w:tc>
                <w:tcPr>
                  <w:tcW w:w="1197" w:type="pct"/>
                  <w:shd w:val="clear" w:color="auto" w:fill="auto"/>
                  <w:noWrap w:val="0"/>
                  <w:vAlign w:val="center"/>
                </w:tcPr>
                <w:p w14:paraId="74BE5FB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振动筛</w:t>
                  </w:r>
                </w:p>
              </w:tc>
              <w:tc>
                <w:tcPr>
                  <w:tcW w:w="1087" w:type="pct"/>
                  <w:shd w:val="clear" w:color="auto" w:fill="auto"/>
                  <w:noWrap w:val="0"/>
                  <w:vAlign w:val="center"/>
                </w:tcPr>
                <w:p w14:paraId="0132DB2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w:t>
                  </w:r>
                </w:p>
              </w:tc>
              <w:tc>
                <w:tcPr>
                  <w:tcW w:w="522" w:type="pct"/>
                  <w:shd w:val="clear" w:color="auto" w:fill="auto"/>
                  <w:noWrap w:val="0"/>
                  <w:vAlign w:val="center"/>
                </w:tcPr>
                <w:p w14:paraId="116B27F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w:t>
                  </w:r>
                  <w:r>
                    <w:rPr>
                      <w:rFonts w:hint="default" w:ascii="Times New Roman" w:hAnsi="Times New Roman" w:eastAsia="宋体" w:cs="Times New Roman"/>
                      <w:color w:val="auto"/>
                      <w:spacing w:val="0"/>
                      <w:sz w:val="21"/>
                      <w:szCs w:val="21"/>
                      <w:highlight w:val="none"/>
                      <w:lang w:val="en-US" w:eastAsia="zh-CN"/>
                    </w:rPr>
                    <w:t>台</w:t>
                  </w:r>
                </w:p>
              </w:tc>
              <w:tc>
                <w:tcPr>
                  <w:tcW w:w="1240" w:type="pct"/>
                  <w:noWrap w:val="0"/>
                  <w:vAlign w:val="center"/>
                </w:tcPr>
                <w:p w14:paraId="6D5A5FF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251C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2D31432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7A6819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0CDB248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除气器</w:t>
                  </w:r>
                </w:p>
              </w:tc>
              <w:tc>
                <w:tcPr>
                  <w:tcW w:w="1087" w:type="pct"/>
                  <w:shd w:val="clear" w:color="auto" w:fill="auto"/>
                  <w:noWrap w:val="0"/>
                  <w:vAlign w:val="center"/>
                </w:tcPr>
                <w:p w14:paraId="1F519A4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ZCQ1.5/5</w:t>
                  </w:r>
                </w:p>
              </w:tc>
              <w:tc>
                <w:tcPr>
                  <w:tcW w:w="522" w:type="pct"/>
                  <w:shd w:val="clear" w:color="auto" w:fill="auto"/>
                  <w:noWrap w:val="0"/>
                  <w:vAlign w:val="center"/>
                </w:tcPr>
                <w:p w14:paraId="4E56DED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台</w:t>
                  </w:r>
                </w:p>
              </w:tc>
              <w:tc>
                <w:tcPr>
                  <w:tcW w:w="1240" w:type="pct"/>
                  <w:noWrap w:val="0"/>
                  <w:vAlign w:val="center"/>
                </w:tcPr>
                <w:p w14:paraId="1664396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5C47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414F1E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4345257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2262ED1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除砂除泥一体机</w:t>
                  </w:r>
                </w:p>
              </w:tc>
              <w:tc>
                <w:tcPr>
                  <w:tcW w:w="1087" w:type="pct"/>
                  <w:shd w:val="clear" w:color="auto" w:fill="auto"/>
                  <w:noWrap w:val="0"/>
                  <w:vAlign w:val="center"/>
                </w:tcPr>
                <w:p w14:paraId="6758D55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522" w:type="pct"/>
                  <w:shd w:val="clear" w:color="auto" w:fill="auto"/>
                  <w:noWrap w:val="0"/>
                  <w:vAlign w:val="center"/>
                </w:tcPr>
                <w:p w14:paraId="7666587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noWrap w:val="0"/>
                  <w:vAlign w:val="center"/>
                </w:tcPr>
                <w:p w14:paraId="60122A8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0230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D6C7D8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2EC7095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32EB769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高速</w:t>
                  </w:r>
                  <w:r>
                    <w:rPr>
                      <w:rFonts w:hint="default" w:ascii="Times New Roman" w:hAnsi="Times New Roman" w:eastAsia="宋体" w:cs="Times New Roman"/>
                      <w:color w:val="auto"/>
                      <w:spacing w:val="0"/>
                      <w:sz w:val="21"/>
                      <w:szCs w:val="21"/>
                      <w:highlight w:val="none"/>
                      <w:lang w:val="en-US" w:eastAsia="zh-CN"/>
                    </w:rPr>
                    <w:t>离心机</w:t>
                  </w:r>
                </w:p>
              </w:tc>
              <w:tc>
                <w:tcPr>
                  <w:tcW w:w="1087" w:type="pct"/>
                  <w:shd w:val="clear" w:color="auto" w:fill="auto"/>
                  <w:noWrap w:val="0"/>
                  <w:vAlign w:val="center"/>
                </w:tcPr>
                <w:p w14:paraId="2ABB520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GLW355</w:t>
                  </w:r>
                </w:p>
              </w:tc>
              <w:tc>
                <w:tcPr>
                  <w:tcW w:w="522" w:type="pct"/>
                  <w:shd w:val="clear" w:color="auto" w:fill="auto"/>
                  <w:noWrap w:val="0"/>
                  <w:vAlign w:val="center"/>
                </w:tcPr>
                <w:p w14:paraId="79BB24B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vMerge w:val="restart"/>
                  <w:noWrap w:val="0"/>
                  <w:vAlign w:val="center"/>
                </w:tcPr>
                <w:p w14:paraId="2DA17BD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处理量≥40~60 m</w:t>
                  </w:r>
                  <w:r>
                    <w:rPr>
                      <w:rFonts w:hint="default" w:ascii="Times New Roman" w:hAnsi="Times New Roman" w:eastAsia="宋体" w:cs="Times New Roman"/>
                      <w:color w:val="auto"/>
                      <w:spacing w:val="0"/>
                      <w:sz w:val="21"/>
                      <w:szCs w:val="21"/>
                      <w:highlight w:val="none"/>
                      <w:vertAlign w:val="superscript"/>
                      <w:lang w:val="en-US" w:eastAsia="zh-CN"/>
                    </w:rPr>
                    <w:t>3</w:t>
                  </w:r>
                  <w:r>
                    <w:rPr>
                      <w:rFonts w:hint="default" w:ascii="Times New Roman" w:hAnsi="Times New Roman" w:eastAsia="宋体" w:cs="Times New Roman"/>
                      <w:color w:val="auto"/>
                      <w:spacing w:val="0"/>
                      <w:sz w:val="21"/>
                      <w:szCs w:val="21"/>
                      <w:highlight w:val="none"/>
                      <w:lang w:val="en-US" w:eastAsia="zh-CN"/>
                    </w:rPr>
                    <w:t>/h</w:t>
                  </w:r>
                </w:p>
              </w:tc>
            </w:tr>
            <w:tr w14:paraId="10F7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5B244BC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65C1EC5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425FCBB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中低速</w:t>
                  </w:r>
                  <w:r>
                    <w:rPr>
                      <w:rFonts w:hint="default" w:ascii="Times New Roman" w:hAnsi="Times New Roman" w:eastAsia="宋体" w:cs="Times New Roman"/>
                      <w:color w:val="auto"/>
                      <w:spacing w:val="0"/>
                      <w:sz w:val="21"/>
                      <w:szCs w:val="21"/>
                      <w:highlight w:val="none"/>
                      <w:lang w:val="en-US" w:eastAsia="zh-CN"/>
                    </w:rPr>
                    <w:t>离心机</w:t>
                  </w:r>
                </w:p>
              </w:tc>
              <w:tc>
                <w:tcPr>
                  <w:tcW w:w="1087" w:type="pct"/>
                  <w:shd w:val="clear" w:color="auto" w:fill="auto"/>
                  <w:noWrap w:val="0"/>
                  <w:vAlign w:val="center"/>
                </w:tcPr>
                <w:p w14:paraId="12B7289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LW450</w:t>
                  </w:r>
                </w:p>
              </w:tc>
              <w:tc>
                <w:tcPr>
                  <w:tcW w:w="522" w:type="pct"/>
                  <w:shd w:val="clear" w:color="auto" w:fill="auto"/>
                  <w:noWrap w:val="0"/>
                  <w:vAlign w:val="center"/>
                </w:tcPr>
                <w:p w14:paraId="234D121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vMerge w:val="continue"/>
                  <w:noWrap w:val="0"/>
                  <w:vAlign w:val="center"/>
                </w:tcPr>
                <w:p w14:paraId="513AF0D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2045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4040CF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76E12FC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5C61FAE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剪切泵</w:t>
                  </w:r>
                </w:p>
              </w:tc>
              <w:tc>
                <w:tcPr>
                  <w:tcW w:w="1087" w:type="pct"/>
                  <w:shd w:val="clear" w:color="auto" w:fill="auto"/>
                  <w:noWrap w:val="0"/>
                  <w:vAlign w:val="center"/>
                </w:tcPr>
                <w:p w14:paraId="14C567D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JMOB5x6-10</w:t>
                  </w:r>
                </w:p>
              </w:tc>
              <w:tc>
                <w:tcPr>
                  <w:tcW w:w="522" w:type="pct"/>
                  <w:shd w:val="clear" w:color="auto" w:fill="auto"/>
                  <w:noWrap w:val="0"/>
                  <w:vAlign w:val="center"/>
                </w:tcPr>
                <w:p w14:paraId="0A90309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台</w:t>
                  </w:r>
                </w:p>
              </w:tc>
              <w:tc>
                <w:tcPr>
                  <w:tcW w:w="1240" w:type="pct"/>
                  <w:noWrap w:val="0"/>
                  <w:vAlign w:val="center"/>
                </w:tcPr>
                <w:p w14:paraId="491396D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40A7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5F6815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75415BE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42D1028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加重泵</w:t>
                  </w:r>
                </w:p>
              </w:tc>
              <w:tc>
                <w:tcPr>
                  <w:tcW w:w="1087" w:type="pct"/>
                  <w:shd w:val="clear" w:color="auto" w:fill="auto"/>
                  <w:noWrap w:val="0"/>
                  <w:vAlign w:val="center"/>
                </w:tcPr>
                <w:p w14:paraId="20E561D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SB8x6-13J</w:t>
                  </w:r>
                </w:p>
              </w:tc>
              <w:tc>
                <w:tcPr>
                  <w:tcW w:w="522" w:type="pct"/>
                  <w:shd w:val="clear" w:color="auto" w:fill="auto"/>
                  <w:noWrap w:val="0"/>
                  <w:vAlign w:val="center"/>
                </w:tcPr>
                <w:p w14:paraId="6820F9F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2台</w:t>
                  </w:r>
                </w:p>
              </w:tc>
              <w:tc>
                <w:tcPr>
                  <w:tcW w:w="1240" w:type="pct"/>
                  <w:noWrap w:val="0"/>
                  <w:vAlign w:val="center"/>
                </w:tcPr>
                <w:p w14:paraId="59D5086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47DD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14:paraId="5734ABD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shd w:val="clear" w:color="auto" w:fill="auto"/>
                  <w:noWrap w:val="0"/>
                  <w:vAlign w:val="center"/>
                </w:tcPr>
                <w:p w14:paraId="17E77C6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钻井液管汇</w:t>
                  </w:r>
                </w:p>
              </w:tc>
              <w:tc>
                <w:tcPr>
                  <w:tcW w:w="1197" w:type="pct"/>
                  <w:shd w:val="clear" w:color="auto" w:fill="auto"/>
                  <w:noWrap w:val="0"/>
                  <w:vAlign w:val="center"/>
                </w:tcPr>
                <w:p w14:paraId="65EA574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闸门组与管线</w:t>
                  </w:r>
                </w:p>
              </w:tc>
              <w:tc>
                <w:tcPr>
                  <w:tcW w:w="1087" w:type="pct"/>
                  <w:shd w:val="clear" w:color="auto" w:fill="auto"/>
                  <w:noWrap w:val="0"/>
                  <w:vAlign w:val="center"/>
                </w:tcPr>
                <w:p w14:paraId="6715721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ZJ70LDB</w:t>
                  </w:r>
                </w:p>
              </w:tc>
              <w:tc>
                <w:tcPr>
                  <w:tcW w:w="522" w:type="pct"/>
                  <w:shd w:val="clear" w:color="auto" w:fill="auto"/>
                  <w:noWrap w:val="0"/>
                  <w:vAlign w:val="center"/>
                </w:tcPr>
                <w:p w14:paraId="662D5C2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套</w:t>
                  </w:r>
                </w:p>
              </w:tc>
              <w:tc>
                <w:tcPr>
                  <w:tcW w:w="1240" w:type="pct"/>
                  <w:shd w:val="clear" w:color="auto" w:fill="auto"/>
                  <w:noWrap w:val="0"/>
                  <w:vAlign w:val="center"/>
                </w:tcPr>
                <w:p w14:paraId="4866D88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额定工作压力≥52MPa；</w:t>
                  </w:r>
                  <w:r>
                    <w:rPr>
                      <w:rFonts w:hint="eastAsia" w:ascii="Times New Roman" w:hAnsi="Times New Roman" w:eastAsia="宋体" w:cs="Times New Roman"/>
                      <w:color w:val="auto"/>
                      <w:spacing w:val="0"/>
                      <w:sz w:val="21"/>
                      <w:szCs w:val="21"/>
                      <w:highlight w:val="none"/>
                      <w:lang w:val="en-US" w:eastAsia="zh-CN"/>
                    </w:rPr>
                    <w:t>双</w:t>
                  </w:r>
                  <w:r>
                    <w:rPr>
                      <w:rFonts w:hint="default" w:ascii="Times New Roman" w:hAnsi="Times New Roman" w:eastAsia="宋体" w:cs="Times New Roman"/>
                      <w:color w:val="auto"/>
                      <w:spacing w:val="0"/>
                      <w:sz w:val="21"/>
                      <w:szCs w:val="21"/>
                      <w:highlight w:val="none"/>
                      <w:lang w:val="en-US" w:eastAsia="zh-CN"/>
                    </w:rPr>
                    <w:t>立管</w:t>
                  </w:r>
                </w:p>
              </w:tc>
            </w:tr>
            <w:tr w14:paraId="5B4C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67AD70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1051C52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动力系统</w:t>
                  </w:r>
                </w:p>
              </w:tc>
              <w:tc>
                <w:tcPr>
                  <w:tcW w:w="1197" w:type="pct"/>
                  <w:shd w:val="clear" w:color="auto" w:fill="auto"/>
                  <w:noWrap w:val="0"/>
                  <w:vAlign w:val="center"/>
                </w:tcPr>
                <w:p w14:paraId="5BD70EC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柴油机</w:t>
                  </w:r>
                </w:p>
              </w:tc>
              <w:tc>
                <w:tcPr>
                  <w:tcW w:w="1087" w:type="pct"/>
                  <w:shd w:val="clear" w:color="auto" w:fill="auto"/>
                  <w:noWrap w:val="0"/>
                  <w:vAlign w:val="center"/>
                </w:tcPr>
                <w:p w14:paraId="5F50A26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G12V190PZL</w:t>
                  </w:r>
                </w:p>
              </w:tc>
              <w:tc>
                <w:tcPr>
                  <w:tcW w:w="522" w:type="pct"/>
                  <w:shd w:val="clear" w:color="auto" w:fill="auto"/>
                  <w:noWrap w:val="0"/>
                  <w:vAlign w:val="center"/>
                </w:tcPr>
                <w:p w14:paraId="32AFC65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w:t>
                  </w:r>
                  <w:r>
                    <w:rPr>
                      <w:rFonts w:hint="default" w:ascii="Times New Roman" w:hAnsi="Times New Roman" w:eastAsia="宋体" w:cs="Times New Roman"/>
                      <w:color w:val="auto"/>
                      <w:spacing w:val="0"/>
                      <w:sz w:val="21"/>
                      <w:szCs w:val="21"/>
                      <w:highlight w:val="none"/>
                      <w:lang w:val="en-US" w:eastAsia="zh-CN"/>
                    </w:rPr>
                    <w:t>台</w:t>
                  </w:r>
                </w:p>
              </w:tc>
              <w:tc>
                <w:tcPr>
                  <w:tcW w:w="1240" w:type="pct"/>
                  <w:vMerge w:val="restart"/>
                  <w:noWrap w:val="0"/>
                  <w:vAlign w:val="center"/>
                </w:tcPr>
                <w:p w14:paraId="36A5E2A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柴油机额定功率≥1000KW</w:t>
                  </w:r>
                </w:p>
                <w:p w14:paraId="57DAA6D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燃气</w:t>
                  </w:r>
                  <w:r>
                    <w:rPr>
                      <w:rFonts w:hint="default" w:ascii="Times New Roman" w:hAnsi="Times New Roman" w:eastAsia="宋体" w:cs="Times New Roman"/>
                      <w:color w:val="auto"/>
                      <w:spacing w:val="0"/>
                      <w:sz w:val="21"/>
                      <w:szCs w:val="21"/>
                      <w:highlight w:val="none"/>
                      <w:lang w:val="en-US" w:eastAsia="zh-CN"/>
                    </w:rPr>
                    <w:t>发动机功率≥1300KW</w:t>
                  </w:r>
                </w:p>
                <w:p w14:paraId="709AD1A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辅助发电机≥400KW</w:t>
                  </w:r>
                </w:p>
              </w:tc>
            </w:tr>
            <w:tr w14:paraId="7E1F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06B003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5DE8046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79EE8EC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液力耦合器</w:t>
                  </w:r>
                </w:p>
              </w:tc>
              <w:tc>
                <w:tcPr>
                  <w:tcW w:w="1087" w:type="pct"/>
                  <w:shd w:val="clear" w:color="auto" w:fill="auto"/>
                  <w:noWrap w:val="0"/>
                  <w:vAlign w:val="center"/>
                </w:tcPr>
                <w:p w14:paraId="6CE17CF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YOZJ750-20DDf</w:t>
                  </w:r>
                </w:p>
              </w:tc>
              <w:tc>
                <w:tcPr>
                  <w:tcW w:w="522" w:type="pct"/>
                  <w:shd w:val="clear" w:color="auto" w:fill="auto"/>
                  <w:noWrap w:val="0"/>
                  <w:vAlign w:val="center"/>
                </w:tcPr>
                <w:p w14:paraId="19EFB87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w:t>
                  </w:r>
                  <w:r>
                    <w:rPr>
                      <w:rFonts w:hint="default" w:ascii="Times New Roman" w:hAnsi="Times New Roman" w:eastAsia="宋体" w:cs="Times New Roman"/>
                      <w:color w:val="auto"/>
                      <w:spacing w:val="0"/>
                      <w:sz w:val="21"/>
                      <w:szCs w:val="21"/>
                      <w:highlight w:val="none"/>
                      <w:lang w:val="en-US" w:eastAsia="zh-CN"/>
                    </w:rPr>
                    <w:t>台</w:t>
                  </w:r>
                </w:p>
              </w:tc>
              <w:tc>
                <w:tcPr>
                  <w:tcW w:w="1240" w:type="pct"/>
                  <w:vMerge w:val="continue"/>
                  <w:noWrap w:val="0"/>
                  <w:vAlign w:val="center"/>
                </w:tcPr>
                <w:p w14:paraId="225DA64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02C8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31F141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4DA1BD1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3B2F939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辅助发电机</w:t>
                  </w:r>
                </w:p>
              </w:tc>
              <w:tc>
                <w:tcPr>
                  <w:tcW w:w="1087" w:type="pct"/>
                  <w:shd w:val="clear" w:color="auto" w:fill="auto"/>
                  <w:noWrap w:val="0"/>
                  <w:vAlign w:val="center"/>
                </w:tcPr>
                <w:p w14:paraId="28CA1AD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TAD1641</w:t>
                  </w:r>
                </w:p>
              </w:tc>
              <w:tc>
                <w:tcPr>
                  <w:tcW w:w="522" w:type="pct"/>
                  <w:shd w:val="clear" w:color="auto" w:fill="auto"/>
                  <w:noWrap w:val="0"/>
                  <w:vAlign w:val="center"/>
                </w:tcPr>
                <w:p w14:paraId="79BA517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w:t>
                  </w:r>
                  <w:r>
                    <w:rPr>
                      <w:rFonts w:hint="default" w:ascii="Times New Roman" w:hAnsi="Times New Roman" w:eastAsia="宋体" w:cs="Times New Roman"/>
                      <w:color w:val="auto"/>
                      <w:spacing w:val="0"/>
                      <w:sz w:val="21"/>
                      <w:szCs w:val="21"/>
                      <w:highlight w:val="none"/>
                      <w:lang w:val="en-US" w:eastAsia="zh-CN"/>
                    </w:rPr>
                    <w:t>台</w:t>
                  </w:r>
                </w:p>
              </w:tc>
              <w:tc>
                <w:tcPr>
                  <w:tcW w:w="1240" w:type="pct"/>
                  <w:vMerge w:val="continue"/>
                  <w:noWrap w:val="0"/>
                  <w:vAlign w:val="center"/>
                </w:tcPr>
                <w:p w14:paraId="0DBBB82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6320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3DE3382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0A1DA32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1FD5CC2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VFD/MCC房</w:t>
                  </w:r>
                </w:p>
              </w:tc>
              <w:tc>
                <w:tcPr>
                  <w:tcW w:w="1087" w:type="pct"/>
                  <w:shd w:val="clear" w:color="auto" w:fill="auto"/>
                  <w:noWrap w:val="0"/>
                  <w:vAlign w:val="center"/>
                </w:tcPr>
                <w:p w14:paraId="43DFA93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522" w:type="pct"/>
                  <w:shd w:val="clear" w:color="auto" w:fill="auto"/>
                  <w:noWrap w:val="0"/>
                  <w:vAlign w:val="center"/>
                </w:tcPr>
                <w:p w14:paraId="183A68F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套</w:t>
                  </w:r>
                </w:p>
              </w:tc>
              <w:tc>
                <w:tcPr>
                  <w:tcW w:w="1240" w:type="pct"/>
                  <w:vMerge w:val="continue"/>
                  <w:noWrap w:val="0"/>
                  <w:vAlign w:val="center"/>
                </w:tcPr>
                <w:p w14:paraId="34BAD9B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3C93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E6C04B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74DE883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362887A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olor w:val="auto"/>
                      <w:lang w:val="en-US" w:eastAsia="zh-CN"/>
                    </w:rPr>
                    <w:t>燃气发电机</w:t>
                  </w:r>
                </w:p>
              </w:tc>
              <w:tc>
                <w:tcPr>
                  <w:tcW w:w="1087" w:type="pct"/>
                  <w:shd w:val="clear" w:color="auto" w:fill="auto"/>
                  <w:noWrap w:val="0"/>
                  <w:vAlign w:val="center"/>
                </w:tcPr>
                <w:p w14:paraId="1DE2DFB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color w:val="auto"/>
                      <w:lang w:val="en-US" w:eastAsia="zh-CN"/>
                    </w:rPr>
                    <w:t>AMC1200GFJ-4PN</w:t>
                  </w:r>
                </w:p>
              </w:tc>
              <w:tc>
                <w:tcPr>
                  <w:tcW w:w="522" w:type="pct"/>
                  <w:shd w:val="clear" w:color="auto" w:fill="auto"/>
                  <w:noWrap w:val="0"/>
                  <w:vAlign w:val="center"/>
                </w:tcPr>
                <w:p w14:paraId="7FA7F03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16台</w:t>
                  </w:r>
                </w:p>
              </w:tc>
              <w:tc>
                <w:tcPr>
                  <w:tcW w:w="1240" w:type="pct"/>
                  <w:noWrap w:val="0"/>
                  <w:vAlign w:val="center"/>
                </w:tcPr>
                <w:p w14:paraId="0DB2FEA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5EAF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F582CF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377759D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压缩机与气源房</w:t>
                  </w:r>
                </w:p>
              </w:tc>
              <w:tc>
                <w:tcPr>
                  <w:tcW w:w="1197" w:type="pct"/>
                  <w:shd w:val="clear" w:color="auto" w:fill="auto"/>
                  <w:noWrap w:val="0"/>
                  <w:vAlign w:val="center"/>
                </w:tcPr>
                <w:p w14:paraId="3D58253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螺杆空气压缩机</w:t>
                  </w:r>
                </w:p>
              </w:tc>
              <w:tc>
                <w:tcPr>
                  <w:tcW w:w="1087" w:type="pct"/>
                  <w:shd w:val="clear" w:color="auto" w:fill="auto"/>
                  <w:noWrap w:val="0"/>
                  <w:vAlign w:val="center"/>
                </w:tcPr>
                <w:p w14:paraId="3D8B90B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LS12-HHAC</w:t>
                  </w:r>
                </w:p>
              </w:tc>
              <w:tc>
                <w:tcPr>
                  <w:tcW w:w="522" w:type="pct"/>
                  <w:shd w:val="clear" w:color="auto" w:fill="auto"/>
                  <w:noWrap w:val="0"/>
                  <w:vAlign w:val="center"/>
                </w:tcPr>
                <w:p w14:paraId="6292B36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w:t>
                  </w:r>
                  <w:r>
                    <w:rPr>
                      <w:rFonts w:hint="default" w:ascii="Times New Roman" w:hAnsi="Times New Roman" w:eastAsia="宋体" w:cs="Times New Roman"/>
                      <w:color w:val="auto"/>
                      <w:spacing w:val="0"/>
                      <w:sz w:val="21"/>
                      <w:szCs w:val="21"/>
                      <w:highlight w:val="none"/>
                      <w:lang w:val="en-US" w:eastAsia="zh-CN"/>
                    </w:rPr>
                    <w:t>台</w:t>
                  </w:r>
                </w:p>
              </w:tc>
              <w:tc>
                <w:tcPr>
                  <w:tcW w:w="1240" w:type="pct"/>
                  <w:noWrap w:val="0"/>
                  <w:vAlign w:val="center"/>
                </w:tcPr>
                <w:p w14:paraId="77E20A9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5CDC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DDDF14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E5BD60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08D14A5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储气瓶干燥机</w:t>
                  </w:r>
                </w:p>
              </w:tc>
              <w:tc>
                <w:tcPr>
                  <w:tcW w:w="1087" w:type="pct"/>
                  <w:shd w:val="clear" w:color="auto" w:fill="auto"/>
                  <w:noWrap w:val="0"/>
                  <w:vAlign w:val="center"/>
                </w:tcPr>
                <w:p w14:paraId="73C7696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C-2.5/1.0</w:t>
                  </w:r>
                </w:p>
              </w:tc>
              <w:tc>
                <w:tcPr>
                  <w:tcW w:w="522" w:type="pct"/>
                  <w:shd w:val="clear" w:color="auto" w:fill="auto"/>
                  <w:noWrap w:val="0"/>
                  <w:vAlign w:val="center"/>
                </w:tcPr>
                <w:p w14:paraId="5614622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只</w:t>
                  </w:r>
                </w:p>
              </w:tc>
              <w:tc>
                <w:tcPr>
                  <w:tcW w:w="1240" w:type="pct"/>
                  <w:noWrap w:val="0"/>
                  <w:vAlign w:val="center"/>
                </w:tcPr>
                <w:p w14:paraId="084703D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6E65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53E0FB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DDCE9C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4DD1F04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气源房</w:t>
                  </w:r>
                </w:p>
              </w:tc>
              <w:tc>
                <w:tcPr>
                  <w:tcW w:w="1087" w:type="pct"/>
                  <w:shd w:val="clear" w:color="auto" w:fill="auto"/>
                  <w:noWrap w:val="0"/>
                  <w:vAlign w:val="center"/>
                </w:tcPr>
                <w:p w14:paraId="2284EE4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8000×2900×3100</w:t>
                  </w:r>
                </w:p>
              </w:tc>
              <w:tc>
                <w:tcPr>
                  <w:tcW w:w="522" w:type="pct"/>
                  <w:shd w:val="clear" w:color="auto" w:fill="auto"/>
                  <w:noWrap w:val="0"/>
                  <w:vAlign w:val="center"/>
                </w:tcPr>
                <w:p w14:paraId="4DD934F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r>
                    <w:rPr>
                      <w:rFonts w:hint="default" w:ascii="Times New Roman" w:hAnsi="Times New Roman" w:eastAsia="宋体" w:cs="Times New Roman"/>
                      <w:color w:val="auto"/>
                      <w:spacing w:val="0"/>
                      <w:sz w:val="21"/>
                      <w:szCs w:val="21"/>
                      <w:highlight w:val="none"/>
                      <w:lang w:val="en-US" w:eastAsia="zh-CN"/>
                    </w:rPr>
                    <w:t>栋</w:t>
                  </w:r>
                </w:p>
              </w:tc>
              <w:tc>
                <w:tcPr>
                  <w:tcW w:w="1240" w:type="pct"/>
                  <w:noWrap w:val="0"/>
                  <w:vAlign w:val="center"/>
                </w:tcPr>
                <w:p w14:paraId="29219F5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5E48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441577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3A18AA9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水罐</w:t>
                  </w:r>
                </w:p>
              </w:tc>
              <w:tc>
                <w:tcPr>
                  <w:tcW w:w="1197" w:type="pct"/>
                  <w:shd w:val="clear" w:color="auto" w:fill="auto"/>
                  <w:noWrap w:val="0"/>
                  <w:vAlign w:val="center"/>
                </w:tcPr>
                <w:p w14:paraId="2969AB2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储</w:t>
                  </w:r>
                  <w:r>
                    <w:rPr>
                      <w:rFonts w:hint="default" w:ascii="Times New Roman" w:hAnsi="Times New Roman" w:eastAsia="宋体" w:cs="Times New Roman"/>
                      <w:color w:val="auto"/>
                      <w:spacing w:val="0"/>
                      <w:sz w:val="21"/>
                      <w:szCs w:val="21"/>
                      <w:highlight w:val="none"/>
                      <w:lang w:val="en-US" w:eastAsia="zh-CN"/>
                    </w:rPr>
                    <w:t>水罐</w:t>
                  </w:r>
                </w:p>
              </w:tc>
              <w:tc>
                <w:tcPr>
                  <w:tcW w:w="1087" w:type="pct"/>
                  <w:shd w:val="clear" w:color="auto" w:fill="auto"/>
                  <w:noWrap w:val="0"/>
                  <w:vAlign w:val="center"/>
                </w:tcPr>
                <w:p w14:paraId="4CD85D6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12000×3000×2300</w:t>
                  </w:r>
                </w:p>
              </w:tc>
              <w:tc>
                <w:tcPr>
                  <w:tcW w:w="522" w:type="pct"/>
                  <w:shd w:val="clear" w:color="auto" w:fill="auto"/>
                  <w:noWrap w:val="0"/>
                  <w:vAlign w:val="center"/>
                </w:tcPr>
                <w:p w14:paraId="4C55A24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r>
                    <w:rPr>
                      <w:rFonts w:hint="default" w:ascii="Times New Roman" w:hAnsi="Times New Roman" w:eastAsia="宋体" w:cs="Times New Roman"/>
                      <w:color w:val="auto"/>
                      <w:spacing w:val="0"/>
                      <w:sz w:val="21"/>
                      <w:szCs w:val="21"/>
                      <w:highlight w:val="none"/>
                      <w:lang w:val="en-US" w:eastAsia="zh-CN"/>
                    </w:rPr>
                    <w:t>只</w:t>
                  </w:r>
                </w:p>
              </w:tc>
              <w:tc>
                <w:tcPr>
                  <w:tcW w:w="1240" w:type="pct"/>
                  <w:noWrap w:val="0"/>
                  <w:vAlign w:val="center"/>
                </w:tcPr>
                <w:p w14:paraId="1C9568F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0AD8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64" w:type="pct"/>
                  <w:vMerge w:val="continue"/>
                  <w:noWrap w:val="0"/>
                  <w:vAlign w:val="center"/>
                </w:tcPr>
                <w:p w14:paraId="027F0CD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6D7ADBB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12DF2E8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消防水罐</w:t>
                  </w:r>
                </w:p>
              </w:tc>
              <w:tc>
                <w:tcPr>
                  <w:tcW w:w="1087" w:type="pct"/>
                  <w:shd w:val="clear" w:color="auto" w:fill="auto"/>
                  <w:noWrap w:val="0"/>
                  <w:vAlign w:val="center"/>
                </w:tcPr>
                <w:p w14:paraId="6F7B38D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8000×3000×2300</w:t>
                  </w:r>
                </w:p>
              </w:tc>
              <w:tc>
                <w:tcPr>
                  <w:tcW w:w="522" w:type="pct"/>
                  <w:shd w:val="clear" w:color="auto" w:fill="auto"/>
                  <w:noWrap w:val="0"/>
                  <w:vAlign w:val="center"/>
                </w:tcPr>
                <w:p w14:paraId="08E5175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1只</w:t>
                  </w:r>
                </w:p>
              </w:tc>
              <w:tc>
                <w:tcPr>
                  <w:tcW w:w="1240" w:type="pct"/>
                  <w:noWrap w:val="0"/>
                  <w:vAlign w:val="center"/>
                </w:tcPr>
                <w:p w14:paraId="593883C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r>
            <w:tr w14:paraId="1E39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5725BCC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restart"/>
                  <w:noWrap w:val="0"/>
                  <w:vAlign w:val="center"/>
                </w:tcPr>
                <w:p w14:paraId="0D321E1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井控设备</w:t>
                  </w:r>
                </w:p>
              </w:tc>
              <w:tc>
                <w:tcPr>
                  <w:tcW w:w="1197" w:type="pct"/>
                  <w:shd w:val="clear" w:color="auto" w:fill="auto"/>
                  <w:noWrap w:val="0"/>
                  <w:vAlign w:val="center"/>
                </w:tcPr>
                <w:p w14:paraId="2155FF4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二开</w:t>
                  </w:r>
                </w:p>
                <w:p w14:paraId="117FD54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三开</w:t>
                  </w:r>
                </w:p>
              </w:tc>
              <w:tc>
                <w:tcPr>
                  <w:tcW w:w="1087" w:type="pct"/>
                  <w:shd w:val="clear" w:color="auto" w:fill="auto"/>
                  <w:noWrap w:val="0"/>
                  <w:vAlign w:val="center"/>
                </w:tcPr>
                <w:p w14:paraId="2F3BCD4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35-70MPa</w:t>
                  </w:r>
                </w:p>
              </w:tc>
              <w:tc>
                <w:tcPr>
                  <w:tcW w:w="522" w:type="pct"/>
                  <w:shd w:val="clear" w:color="auto" w:fill="auto"/>
                  <w:noWrap w:val="0"/>
                  <w:vAlign w:val="center"/>
                </w:tcPr>
                <w:p w14:paraId="56E7BBD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shd w:val="clear" w:color="auto" w:fill="auto"/>
                  <w:noWrap w:val="0"/>
                  <w:vAlign w:val="center"/>
                </w:tcPr>
                <w:p w14:paraId="233EB51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包含对应级别环形、双闸板BOP、四通、节流管汇、压井管汇、控制系统</w:t>
                  </w:r>
                </w:p>
              </w:tc>
            </w:tr>
            <w:tr w14:paraId="002F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B46A77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rPr>
                  </w:pPr>
                </w:p>
              </w:tc>
              <w:tc>
                <w:tcPr>
                  <w:tcW w:w="488" w:type="pct"/>
                  <w:vMerge w:val="continue"/>
                  <w:noWrap w:val="0"/>
                  <w:vAlign w:val="center"/>
                </w:tcPr>
                <w:p w14:paraId="3A3CD42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shd w:val="clear" w:color="auto" w:fill="auto"/>
                  <w:noWrap w:val="0"/>
                  <w:vAlign w:val="center"/>
                </w:tcPr>
                <w:p w14:paraId="6432913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四开备用</w:t>
                  </w:r>
                </w:p>
              </w:tc>
              <w:tc>
                <w:tcPr>
                  <w:tcW w:w="1087" w:type="pct"/>
                  <w:shd w:val="clear" w:color="auto" w:fill="auto"/>
                  <w:noWrap w:val="0"/>
                  <w:vAlign w:val="center"/>
                </w:tcPr>
                <w:p w14:paraId="7369639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35-105MPa</w:t>
                  </w:r>
                </w:p>
              </w:tc>
              <w:tc>
                <w:tcPr>
                  <w:tcW w:w="522" w:type="pct"/>
                  <w:shd w:val="clear" w:color="auto" w:fill="auto"/>
                  <w:noWrap w:val="0"/>
                  <w:vAlign w:val="center"/>
                </w:tcPr>
                <w:p w14:paraId="2D3E0DE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1套</w:t>
                  </w:r>
                </w:p>
              </w:tc>
              <w:tc>
                <w:tcPr>
                  <w:tcW w:w="1240" w:type="pct"/>
                  <w:shd w:val="clear" w:color="auto" w:fill="auto"/>
                  <w:noWrap w:val="0"/>
                  <w:vAlign w:val="center"/>
                </w:tcPr>
                <w:p w14:paraId="7042402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包含对应级别环形、双闸板BOP、四通、节流管汇、压井管汇、控制系统</w:t>
                  </w:r>
                </w:p>
              </w:tc>
            </w:tr>
            <w:tr w14:paraId="5911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681A2B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restart"/>
                  <w:noWrap w:val="0"/>
                  <w:vAlign w:val="center"/>
                </w:tcPr>
                <w:p w14:paraId="40EC499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仪器仪表</w:t>
                  </w:r>
                </w:p>
              </w:tc>
              <w:tc>
                <w:tcPr>
                  <w:tcW w:w="1197" w:type="pct"/>
                  <w:noWrap w:val="0"/>
                  <w:vAlign w:val="center"/>
                </w:tcPr>
                <w:p w14:paraId="51C03CE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钻井参数仪表</w:t>
                  </w:r>
                </w:p>
              </w:tc>
              <w:tc>
                <w:tcPr>
                  <w:tcW w:w="1087" w:type="pct"/>
                  <w:shd w:val="clear" w:color="auto" w:fill="auto"/>
                  <w:noWrap w:val="0"/>
                  <w:vAlign w:val="center"/>
                </w:tcPr>
                <w:p w14:paraId="556CF5E2">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八参数仪</w:t>
                  </w:r>
                </w:p>
              </w:tc>
              <w:tc>
                <w:tcPr>
                  <w:tcW w:w="522" w:type="pct"/>
                  <w:noWrap w:val="0"/>
                  <w:vAlign w:val="center"/>
                </w:tcPr>
                <w:p w14:paraId="4CBC7AA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个</w:t>
                  </w:r>
                </w:p>
              </w:tc>
              <w:tc>
                <w:tcPr>
                  <w:tcW w:w="1240" w:type="pct"/>
                  <w:noWrap w:val="0"/>
                  <w:vAlign w:val="center"/>
                </w:tcPr>
                <w:p w14:paraId="5A96478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75BD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212422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14:paraId="2173612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2A8D0B0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测斜仪</w:t>
                  </w:r>
                </w:p>
              </w:tc>
              <w:tc>
                <w:tcPr>
                  <w:tcW w:w="1087" w:type="pct"/>
                  <w:shd w:val="clear" w:color="auto" w:fill="auto"/>
                  <w:noWrap w:val="0"/>
                  <w:vAlign w:val="center"/>
                </w:tcPr>
                <w:p w14:paraId="0537CA10">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单点测斜仪</w:t>
                  </w:r>
                </w:p>
              </w:tc>
              <w:tc>
                <w:tcPr>
                  <w:tcW w:w="522" w:type="pct"/>
                  <w:noWrap w:val="0"/>
                  <w:vAlign w:val="center"/>
                </w:tcPr>
                <w:p w14:paraId="2E7358E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240" w:type="pct"/>
                  <w:noWrap w:val="0"/>
                  <w:vAlign w:val="center"/>
                </w:tcPr>
                <w:p w14:paraId="391C51C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602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DD2F3A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14:paraId="4A72A21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2D7A578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MWD随钻</w:t>
                  </w:r>
                </w:p>
              </w:tc>
              <w:tc>
                <w:tcPr>
                  <w:tcW w:w="1087" w:type="pct"/>
                  <w:noWrap w:val="0"/>
                  <w:vAlign w:val="center"/>
                </w:tcPr>
                <w:p w14:paraId="5D715E5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1CF6960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240" w:type="pct"/>
                  <w:noWrap w:val="0"/>
                  <w:vAlign w:val="center"/>
                </w:tcPr>
                <w:p w14:paraId="5FA8084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060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0CF247A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restart"/>
                  <w:noWrap w:val="0"/>
                  <w:vAlign w:val="center"/>
                </w:tcPr>
                <w:p w14:paraId="7A79DEA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防硫设备</w:t>
                  </w:r>
                </w:p>
              </w:tc>
              <w:tc>
                <w:tcPr>
                  <w:tcW w:w="1197" w:type="pct"/>
                  <w:noWrap w:val="0"/>
                  <w:vAlign w:val="center"/>
                </w:tcPr>
                <w:p w14:paraId="455DDEB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固定式硫化氢监测仪</w:t>
                  </w:r>
                </w:p>
              </w:tc>
              <w:tc>
                <w:tcPr>
                  <w:tcW w:w="1087" w:type="pct"/>
                  <w:noWrap w:val="0"/>
                  <w:vAlign w:val="center"/>
                </w:tcPr>
                <w:p w14:paraId="6904CAA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3632057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240" w:type="pct"/>
                  <w:noWrap w:val="0"/>
                  <w:vAlign w:val="center"/>
                </w:tcPr>
                <w:p w14:paraId="16FC114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7E3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018DECF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14:paraId="08C7A8F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6CCA4A1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便携式硫化氢监测仪</w:t>
                  </w:r>
                </w:p>
              </w:tc>
              <w:tc>
                <w:tcPr>
                  <w:tcW w:w="1087" w:type="pct"/>
                  <w:noWrap w:val="0"/>
                  <w:vAlign w:val="center"/>
                </w:tcPr>
                <w:p w14:paraId="50BBC7A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4587797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4个</w:t>
                  </w:r>
                </w:p>
              </w:tc>
              <w:tc>
                <w:tcPr>
                  <w:tcW w:w="1240" w:type="pct"/>
                  <w:noWrap w:val="0"/>
                  <w:vAlign w:val="center"/>
                </w:tcPr>
                <w:p w14:paraId="7D25D28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6073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F35AF5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14:paraId="013E914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2F94DF8A">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正压式呼吸器</w:t>
                  </w:r>
                </w:p>
              </w:tc>
              <w:tc>
                <w:tcPr>
                  <w:tcW w:w="1087" w:type="pct"/>
                  <w:noWrap w:val="0"/>
                  <w:vAlign w:val="center"/>
                </w:tcPr>
                <w:p w14:paraId="5DE66F0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39695E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12个</w:t>
                  </w:r>
                </w:p>
              </w:tc>
              <w:tc>
                <w:tcPr>
                  <w:tcW w:w="1240" w:type="pct"/>
                  <w:noWrap w:val="0"/>
                  <w:vAlign w:val="center"/>
                </w:tcPr>
                <w:p w14:paraId="2D92AE6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1A59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034574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488" w:type="pct"/>
                  <w:vMerge w:val="continue"/>
                  <w:noWrap w:val="0"/>
                  <w:vAlign w:val="center"/>
                </w:tcPr>
                <w:p w14:paraId="7D272FA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197" w:type="pct"/>
                  <w:noWrap w:val="0"/>
                  <w:vAlign w:val="center"/>
                </w:tcPr>
                <w:p w14:paraId="61FD673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防爆排风扇</w:t>
                  </w:r>
                </w:p>
              </w:tc>
              <w:tc>
                <w:tcPr>
                  <w:tcW w:w="1087" w:type="pct"/>
                  <w:noWrap w:val="0"/>
                  <w:vAlign w:val="center"/>
                </w:tcPr>
                <w:p w14:paraId="5B0A4F3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AAFD75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2个</w:t>
                  </w:r>
                </w:p>
              </w:tc>
              <w:tc>
                <w:tcPr>
                  <w:tcW w:w="1240" w:type="pct"/>
                  <w:noWrap w:val="0"/>
                  <w:vAlign w:val="center"/>
                </w:tcPr>
                <w:p w14:paraId="07C5AAC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D06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32CC29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388A6C2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液压大钳</w:t>
                  </w:r>
                </w:p>
              </w:tc>
              <w:tc>
                <w:tcPr>
                  <w:tcW w:w="1087" w:type="pct"/>
                  <w:noWrap w:val="0"/>
                  <w:vAlign w:val="center"/>
                </w:tcPr>
                <w:p w14:paraId="3B7F966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467BCB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1个</w:t>
                  </w:r>
                </w:p>
              </w:tc>
              <w:tc>
                <w:tcPr>
                  <w:tcW w:w="1240" w:type="pct"/>
                  <w:noWrap w:val="0"/>
                  <w:vAlign w:val="center"/>
                </w:tcPr>
                <w:p w14:paraId="6E447A2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1B48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14:paraId="7605DC9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储层改造</w:t>
                  </w:r>
                </w:p>
              </w:tc>
              <w:tc>
                <w:tcPr>
                  <w:tcW w:w="1685" w:type="pct"/>
                  <w:gridSpan w:val="2"/>
                  <w:noWrap w:val="0"/>
                  <w:vAlign w:val="center"/>
                </w:tcPr>
                <w:p w14:paraId="09128068">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运输车辆</w:t>
                  </w:r>
                </w:p>
              </w:tc>
              <w:tc>
                <w:tcPr>
                  <w:tcW w:w="1087" w:type="pct"/>
                  <w:noWrap w:val="0"/>
                  <w:vAlign w:val="center"/>
                </w:tcPr>
                <w:p w14:paraId="388E30B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DC05F8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w:t>
                  </w:r>
                  <w:r>
                    <w:rPr>
                      <w:rFonts w:hint="eastAsia" w:cs="Times New Roman"/>
                      <w:color w:val="auto"/>
                      <w:spacing w:val="0"/>
                      <w:sz w:val="21"/>
                      <w:szCs w:val="21"/>
                      <w:highlight w:val="none"/>
                      <w:lang w:val="en-US" w:eastAsia="zh-CN"/>
                    </w:rPr>
                    <w:t>台</w:t>
                  </w:r>
                </w:p>
              </w:tc>
              <w:tc>
                <w:tcPr>
                  <w:tcW w:w="1240" w:type="pct"/>
                  <w:noWrap w:val="0"/>
                  <w:vAlign w:val="center"/>
                </w:tcPr>
                <w:p w14:paraId="1BE2392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A18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2534B022">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2DC0C2D7">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电缆绞车</w:t>
                  </w:r>
                </w:p>
              </w:tc>
              <w:tc>
                <w:tcPr>
                  <w:tcW w:w="1087" w:type="pct"/>
                  <w:noWrap w:val="0"/>
                  <w:vAlign w:val="center"/>
                </w:tcPr>
                <w:p w14:paraId="6450135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7645C3C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4331B46E">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59F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7C97AD2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12D00E57">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混砂车</w:t>
                  </w:r>
                </w:p>
              </w:tc>
              <w:tc>
                <w:tcPr>
                  <w:tcW w:w="1087" w:type="pct"/>
                  <w:noWrap w:val="0"/>
                  <w:vAlign w:val="center"/>
                </w:tcPr>
                <w:p w14:paraId="588B2C3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55D2D0F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402722B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6629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51A7641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2E85F66E">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供液系统</w:t>
                  </w:r>
                </w:p>
              </w:tc>
              <w:tc>
                <w:tcPr>
                  <w:tcW w:w="1087" w:type="pct"/>
                  <w:noWrap w:val="0"/>
                  <w:vAlign w:val="center"/>
                </w:tcPr>
                <w:p w14:paraId="5B7CDECE">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5205824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r>
                    <w:rPr>
                      <w:rFonts w:hint="eastAsia" w:cs="Times New Roman"/>
                      <w:color w:val="auto"/>
                      <w:spacing w:val="0"/>
                      <w:sz w:val="21"/>
                      <w:szCs w:val="21"/>
                      <w:highlight w:val="none"/>
                      <w:lang w:val="en-US" w:eastAsia="zh-CN"/>
                    </w:rPr>
                    <w:t>套</w:t>
                  </w:r>
                </w:p>
              </w:tc>
              <w:tc>
                <w:tcPr>
                  <w:tcW w:w="1240" w:type="pct"/>
                  <w:noWrap w:val="0"/>
                  <w:vAlign w:val="center"/>
                </w:tcPr>
                <w:p w14:paraId="3B46B0E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0534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7A4E6C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78459F43">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压裂车</w:t>
                  </w:r>
                </w:p>
              </w:tc>
              <w:tc>
                <w:tcPr>
                  <w:tcW w:w="1087" w:type="pct"/>
                  <w:noWrap w:val="0"/>
                  <w:vAlign w:val="center"/>
                </w:tcPr>
                <w:p w14:paraId="5285502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CD7E28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3台</w:t>
                  </w:r>
                </w:p>
              </w:tc>
              <w:tc>
                <w:tcPr>
                  <w:tcW w:w="1240" w:type="pct"/>
                  <w:noWrap w:val="0"/>
                  <w:vAlign w:val="center"/>
                </w:tcPr>
                <w:p w14:paraId="059382A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2FB1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0CDE419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33C0EBF5">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加压泵组</w:t>
                  </w:r>
                </w:p>
              </w:tc>
              <w:tc>
                <w:tcPr>
                  <w:tcW w:w="1087" w:type="pct"/>
                  <w:noWrap w:val="0"/>
                  <w:vAlign w:val="center"/>
                </w:tcPr>
                <w:p w14:paraId="1A4ED00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24804D7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7893F66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2574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4FF9C64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08182240">
                  <w:pPr>
                    <w:pStyle w:val="109"/>
                    <w:keepNext w:val="0"/>
                    <w:keepLines w:val="0"/>
                    <w:pageBreakBefore w:val="0"/>
                    <w:widowControl w:val="0"/>
                    <w:kinsoku/>
                    <w:wordWrap/>
                    <w:overflowPunct/>
                    <w:topLinePunct w:val="0"/>
                    <w:autoSpaceDE/>
                    <w:autoSpaceDN/>
                    <w:bidi w:val="0"/>
                    <w:snapToGrid/>
                    <w:spacing w:beforeLines="0" w:line="0" w:lineRule="atLeast"/>
                    <w:ind w:left="0" w:leftChars="0"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color w:val="auto"/>
                      <w:spacing w:val="0"/>
                      <w:sz w:val="21"/>
                      <w:szCs w:val="21"/>
                      <w:highlight w:val="none"/>
                    </w:rPr>
                    <w:t>废液收集罐</w:t>
                  </w:r>
                </w:p>
              </w:tc>
              <w:tc>
                <w:tcPr>
                  <w:tcW w:w="1087" w:type="pct"/>
                  <w:shd w:val="clear" w:color="auto" w:fill="auto"/>
                  <w:noWrap w:val="0"/>
                  <w:vAlign w:val="center"/>
                </w:tcPr>
                <w:p w14:paraId="56222F59">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522" w:type="pct"/>
                  <w:shd w:val="clear" w:color="auto" w:fill="auto"/>
                  <w:noWrap w:val="0"/>
                  <w:vAlign w:val="center"/>
                </w:tcPr>
                <w:p w14:paraId="31F8A24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只</w:t>
                  </w:r>
                </w:p>
              </w:tc>
              <w:tc>
                <w:tcPr>
                  <w:tcW w:w="1240" w:type="pct"/>
                  <w:noWrap w:val="0"/>
                  <w:vAlign w:val="center"/>
                </w:tcPr>
                <w:p w14:paraId="08EC260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3339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14:paraId="33E7C27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测试放喷</w:t>
                  </w:r>
                </w:p>
              </w:tc>
              <w:tc>
                <w:tcPr>
                  <w:tcW w:w="1685" w:type="pct"/>
                  <w:gridSpan w:val="2"/>
                  <w:noWrap w:val="0"/>
                  <w:vAlign w:val="center"/>
                </w:tcPr>
                <w:p w14:paraId="7562E3B4">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采油树</w:t>
                  </w:r>
                </w:p>
              </w:tc>
              <w:tc>
                <w:tcPr>
                  <w:tcW w:w="1087" w:type="pct"/>
                  <w:noWrap w:val="0"/>
                  <w:vAlign w:val="center"/>
                </w:tcPr>
                <w:p w14:paraId="296EB066">
                  <w:pPr>
                    <w:pageBreakBefore w:val="0"/>
                    <w:kinsoku/>
                    <w:topLinePunct w:val="0"/>
                    <w:autoSpaceDE/>
                    <w:autoSpaceDN/>
                    <w:bidi w:val="0"/>
                    <w:spacing w:line="240" w:lineRule="auto"/>
                    <w:ind w:left="0" w:leftChars="0" w:firstLine="0" w:firstLineChars="0"/>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316FAE2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395E809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6E6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6E535AB3">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2C4C1EE5">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防喷器</w:t>
                  </w:r>
                </w:p>
              </w:tc>
              <w:tc>
                <w:tcPr>
                  <w:tcW w:w="1087" w:type="pct"/>
                  <w:noWrap w:val="0"/>
                  <w:vAlign w:val="center"/>
                </w:tcPr>
                <w:p w14:paraId="49BF5177">
                  <w:pPr>
                    <w:pageBreakBefore w:val="0"/>
                    <w:kinsoku/>
                    <w:topLinePunct w:val="0"/>
                    <w:autoSpaceDE/>
                    <w:autoSpaceDN/>
                    <w:bidi w:val="0"/>
                    <w:spacing w:line="240" w:lineRule="auto"/>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72CB0AB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16F2382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7ACB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AFC6BC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2A4E5564">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rPr>
                    <w:t>测井车</w:t>
                  </w:r>
                </w:p>
              </w:tc>
              <w:tc>
                <w:tcPr>
                  <w:tcW w:w="1087" w:type="pct"/>
                  <w:noWrap w:val="0"/>
                  <w:vAlign w:val="center"/>
                </w:tcPr>
                <w:p w14:paraId="044695B8">
                  <w:pPr>
                    <w:pageBreakBefore w:val="0"/>
                    <w:kinsoku/>
                    <w:topLinePunct w:val="0"/>
                    <w:autoSpaceDE/>
                    <w:autoSpaceDN/>
                    <w:bidi w:val="0"/>
                    <w:spacing w:line="240" w:lineRule="auto"/>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535DD1D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1台</w:t>
                  </w:r>
                </w:p>
              </w:tc>
              <w:tc>
                <w:tcPr>
                  <w:tcW w:w="1240" w:type="pct"/>
                  <w:noWrap w:val="0"/>
                  <w:vAlign w:val="center"/>
                </w:tcPr>
                <w:p w14:paraId="7BE0D4A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29EC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5038F09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noWrap w:val="0"/>
                  <w:vAlign w:val="center"/>
                </w:tcPr>
                <w:p w14:paraId="28AC7BD1">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两相</w:t>
                  </w:r>
                  <w:r>
                    <w:rPr>
                      <w:rFonts w:hint="default" w:ascii="Times New Roman" w:hAnsi="Times New Roman" w:eastAsia="宋体" w:cs="Times New Roman"/>
                      <w:color w:val="auto"/>
                      <w:sz w:val="21"/>
                      <w:szCs w:val="21"/>
                    </w:rPr>
                    <w:t>计量分离器</w:t>
                  </w:r>
                </w:p>
              </w:tc>
              <w:tc>
                <w:tcPr>
                  <w:tcW w:w="1087" w:type="pct"/>
                  <w:noWrap w:val="0"/>
                  <w:vAlign w:val="center"/>
                </w:tcPr>
                <w:p w14:paraId="73035BDD">
                  <w:pPr>
                    <w:pStyle w:val="109"/>
                    <w:pageBreakBefore w:val="0"/>
                    <w:kinsoku/>
                    <w:topLinePunct w:val="0"/>
                    <w:autoSpaceDE/>
                    <w:autoSpaceDN/>
                    <w:bidi w:val="0"/>
                    <w:spacing w:line="240" w:lineRule="auto"/>
                    <w:ind w:left="0" w:leftChars="0" w:firstLine="0" w:firstLineChars="0"/>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z w:val="21"/>
                      <w:szCs w:val="21"/>
                      <w:lang w:val="en-US" w:eastAsia="zh-CN"/>
                    </w:rPr>
                    <w:t>/</w:t>
                  </w:r>
                </w:p>
              </w:tc>
              <w:tc>
                <w:tcPr>
                  <w:tcW w:w="522" w:type="pct"/>
                  <w:noWrap w:val="0"/>
                  <w:vAlign w:val="center"/>
                </w:tcPr>
                <w:p w14:paraId="4286A42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r>
                    <w:rPr>
                      <w:rFonts w:hint="eastAsia" w:cs="Times New Roman"/>
                      <w:color w:val="auto"/>
                      <w:spacing w:val="0"/>
                      <w:sz w:val="21"/>
                      <w:szCs w:val="21"/>
                      <w:highlight w:val="none"/>
                      <w:lang w:val="en-US" w:eastAsia="zh-CN"/>
                    </w:rPr>
                    <w:t>套</w:t>
                  </w:r>
                </w:p>
              </w:tc>
              <w:tc>
                <w:tcPr>
                  <w:tcW w:w="1240" w:type="pct"/>
                  <w:noWrap w:val="0"/>
                  <w:vAlign w:val="center"/>
                </w:tcPr>
                <w:p w14:paraId="180F79C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913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restart"/>
                  <w:noWrap w:val="0"/>
                  <w:vAlign w:val="center"/>
                </w:tcPr>
                <w:p w14:paraId="5BD885F8">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备用发电机</w:t>
                  </w:r>
                </w:p>
              </w:tc>
              <w:tc>
                <w:tcPr>
                  <w:tcW w:w="1685" w:type="pct"/>
                  <w:gridSpan w:val="2"/>
                  <w:shd w:val="clear" w:color="auto" w:fill="auto"/>
                  <w:noWrap w:val="0"/>
                  <w:vAlign w:val="center"/>
                </w:tcPr>
                <w:p w14:paraId="57195CF0">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柴油机</w:t>
                  </w:r>
                </w:p>
              </w:tc>
              <w:tc>
                <w:tcPr>
                  <w:tcW w:w="1087" w:type="pct"/>
                  <w:shd w:val="clear" w:color="auto" w:fill="auto"/>
                  <w:noWrap w:val="0"/>
                  <w:vAlign w:val="center"/>
                </w:tcPr>
                <w:p w14:paraId="16847DC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300kW</w:t>
                  </w:r>
                </w:p>
              </w:tc>
              <w:tc>
                <w:tcPr>
                  <w:tcW w:w="522" w:type="pct"/>
                  <w:shd w:val="clear" w:color="auto" w:fill="auto"/>
                  <w:noWrap w:val="0"/>
                  <w:vAlign w:val="center"/>
                </w:tcPr>
                <w:p w14:paraId="2BD2051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2台</w:t>
                  </w:r>
                </w:p>
              </w:tc>
              <w:tc>
                <w:tcPr>
                  <w:tcW w:w="1240" w:type="pct"/>
                  <w:noWrap w:val="0"/>
                  <w:vAlign w:val="center"/>
                </w:tcPr>
                <w:p w14:paraId="738D23C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4CF1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23D47F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14:paraId="14863497">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柴油储罐</w:t>
                  </w:r>
                </w:p>
              </w:tc>
              <w:tc>
                <w:tcPr>
                  <w:tcW w:w="1087" w:type="pct"/>
                  <w:shd w:val="clear" w:color="auto" w:fill="auto"/>
                  <w:noWrap w:val="0"/>
                  <w:vAlign w:val="center"/>
                </w:tcPr>
                <w:p w14:paraId="0F66857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60m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p>
              </w:tc>
              <w:tc>
                <w:tcPr>
                  <w:tcW w:w="522" w:type="pct"/>
                  <w:shd w:val="clear" w:color="auto" w:fill="auto"/>
                  <w:noWrap w:val="0"/>
                  <w:vAlign w:val="center"/>
                </w:tcPr>
                <w:p w14:paraId="3DC4B2EA">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Times New Roman"/>
                      <w:b w:val="0"/>
                      <w:bCs w:val="0"/>
                      <w:color w:val="auto"/>
                      <w:spacing w:val="0"/>
                      <w:sz w:val="21"/>
                      <w:szCs w:val="21"/>
                      <w:highlight w:val="none"/>
                      <w:lang w:val="en-US" w:eastAsia="zh-CN"/>
                    </w:rPr>
                    <w:t>1只</w:t>
                  </w:r>
                </w:p>
              </w:tc>
              <w:tc>
                <w:tcPr>
                  <w:tcW w:w="1240" w:type="pct"/>
                  <w:noWrap w:val="0"/>
                  <w:vAlign w:val="center"/>
                </w:tcPr>
                <w:p w14:paraId="48EDC86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5411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1C26902F">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14:paraId="16EE0D2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olor w:val="auto"/>
                      <w:lang w:val="en-US" w:eastAsia="zh-CN"/>
                    </w:rPr>
                    <w:t>燃气发电机</w:t>
                  </w:r>
                </w:p>
              </w:tc>
              <w:tc>
                <w:tcPr>
                  <w:tcW w:w="1087" w:type="pct"/>
                  <w:shd w:val="clear" w:color="auto" w:fill="auto"/>
                  <w:noWrap w:val="0"/>
                  <w:vAlign w:val="center"/>
                </w:tcPr>
                <w:p w14:paraId="0645E68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color w:val="auto"/>
                      <w:lang w:val="en-US" w:eastAsia="zh-CN"/>
                    </w:rPr>
                    <w:t>AMC1200GFJ-4PN</w:t>
                  </w:r>
                </w:p>
              </w:tc>
              <w:tc>
                <w:tcPr>
                  <w:tcW w:w="522" w:type="pct"/>
                  <w:shd w:val="clear" w:color="auto" w:fill="auto"/>
                  <w:noWrap w:val="0"/>
                  <w:vAlign w:val="center"/>
                </w:tcPr>
                <w:p w14:paraId="6CA828B5">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16台</w:t>
                  </w:r>
                </w:p>
              </w:tc>
              <w:tc>
                <w:tcPr>
                  <w:tcW w:w="1240" w:type="pct"/>
                  <w:noWrap w:val="0"/>
                  <w:vAlign w:val="center"/>
                </w:tcPr>
                <w:p w14:paraId="34D7AF6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w:t>
                  </w:r>
                </w:p>
              </w:tc>
            </w:tr>
            <w:tr w14:paraId="18D5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Merge w:val="continue"/>
                  <w:noWrap w:val="0"/>
                  <w:vAlign w:val="center"/>
                </w:tcPr>
                <w:p w14:paraId="0D6FB6E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p>
              </w:tc>
              <w:tc>
                <w:tcPr>
                  <w:tcW w:w="1685" w:type="pct"/>
                  <w:gridSpan w:val="2"/>
                  <w:shd w:val="clear" w:color="auto" w:fill="auto"/>
                  <w:noWrap w:val="0"/>
                  <w:vAlign w:val="center"/>
                </w:tcPr>
                <w:p w14:paraId="32336E0B">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olor w:val="auto"/>
                      <w:lang w:val="en-US" w:eastAsia="zh-CN"/>
                    </w:rPr>
                    <w:t>天然气</w:t>
                  </w:r>
                  <w:r>
                    <w:rPr>
                      <w:rFonts w:hint="default" w:ascii="Times New Roman" w:hAnsi="Times New Roman" w:eastAsia="宋体" w:cs="Times New Roman"/>
                      <w:b w:val="0"/>
                      <w:bCs w:val="0"/>
                      <w:color w:val="auto"/>
                      <w:spacing w:val="0"/>
                      <w:sz w:val="21"/>
                      <w:szCs w:val="21"/>
                      <w:highlight w:val="none"/>
                      <w:lang w:val="en-US" w:eastAsia="zh-CN"/>
                    </w:rPr>
                    <w:t>储罐</w:t>
                  </w:r>
                </w:p>
              </w:tc>
              <w:tc>
                <w:tcPr>
                  <w:tcW w:w="1087" w:type="pct"/>
                  <w:shd w:val="clear" w:color="auto" w:fill="auto"/>
                  <w:noWrap w:val="0"/>
                  <w:vAlign w:val="center"/>
                </w:tcPr>
                <w:p w14:paraId="6AF05FB4">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25.02</w:t>
                  </w:r>
                  <w:r>
                    <w:rPr>
                      <w:rFonts w:hint="default" w:ascii="Times New Roman" w:hAnsi="Times New Roman" w:eastAsia="宋体" w:cs="Times New Roman"/>
                      <w:b w:val="0"/>
                      <w:bCs w:val="0"/>
                      <w:color w:val="auto"/>
                      <w:spacing w:val="0"/>
                      <w:sz w:val="21"/>
                      <w:szCs w:val="21"/>
                      <w:highlight w:val="none"/>
                      <w:lang w:val="en-US" w:eastAsia="zh-CN"/>
                    </w:rPr>
                    <w:t>m</w:t>
                  </w:r>
                  <w:r>
                    <w:rPr>
                      <w:rFonts w:hint="default" w:ascii="Times New Roman" w:hAnsi="Times New Roman" w:eastAsia="宋体" w:cs="Times New Roman"/>
                      <w:b w:val="0"/>
                      <w:bCs w:val="0"/>
                      <w:color w:val="auto"/>
                      <w:spacing w:val="0"/>
                      <w:sz w:val="21"/>
                      <w:szCs w:val="21"/>
                      <w:highlight w:val="none"/>
                      <w:vertAlign w:val="superscript"/>
                      <w:lang w:val="en-US" w:eastAsia="zh-CN"/>
                    </w:rPr>
                    <w:t>3</w:t>
                  </w:r>
                </w:p>
              </w:tc>
              <w:tc>
                <w:tcPr>
                  <w:tcW w:w="522" w:type="pct"/>
                  <w:shd w:val="clear" w:color="auto" w:fill="auto"/>
                  <w:noWrap w:val="0"/>
                  <w:vAlign w:val="center"/>
                </w:tcPr>
                <w:p w14:paraId="21495E4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2</w:t>
                  </w:r>
                  <w:r>
                    <w:rPr>
                      <w:rFonts w:hint="default" w:ascii="Times New Roman" w:hAnsi="Times New Roman" w:eastAsia="宋体" w:cs="Times New Roman"/>
                      <w:b w:val="0"/>
                      <w:bCs w:val="0"/>
                      <w:color w:val="auto"/>
                      <w:spacing w:val="0"/>
                      <w:sz w:val="21"/>
                      <w:szCs w:val="21"/>
                      <w:highlight w:val="none"/>
                      <w:lang w:val="en-US" w:eastAsia="zh-CN"/>
                    </w:rPr>
                    <w:t>台</w:t>
                  </w:r>
                </w:p>
              </w:tc>
              <w:tc>
                <w:tcPr>
                  <w:tcW w:w="1240" w:type="pct"/>
                  <w:noWrap w:val="0"/>
                  <w:vAlign w:val="center"/>
                </w:tcPr>
                <w:p w14:paraId="0A14EDAD">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CNG压缩储罐，20MPa</w:t>
                  </w:r>
                </w:p>
              </w:tc>
            </w:tr>
          </w:tbl>
          <w:p w14:paraId="51900E43">
            <w:pPr>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rPr>
              <w:t>原辅材料</w:t>
            </w:r>
            <w:r>
              <w:rPr>
                <w:rFonts w:hint="default" w:ascii="Times New Roman" w:hAnsi="Times New Roman" w:eastAsia="宋体" w:cs="Times New Roman"/>
                <w:b/>
                <w:color w:val="auto"/>
                <w:sz w:val="24"/>
                <w:szCs w:val="24"/>
                <w:highlight w:val="none"/>
                <w:lang w:val="en-US" w:eastAsia="zh-CN"/>
              </w:rPr>
              <w:t>及能源消耗情况</w:t>
            </w:r>
          </w:p>
          <w:p w14:paraId="1E7757B7">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lang w:eastAsia="zh-CN"/>
              </w:rPr>
              <w:t>本项目</w:t>
            </w:r>
            <w:r>
              <w:rPr>
                <w:rFonts w:hint="default" w:ascii="Times New Roman" w:hAnsi="Times New Roman" w:eastAsia="宋体" w:cs="Times New Roman"/>
                <w:color w:val="auto"/>
                <w:kern w:val="2"/>
                <w:highlight w:val="none"/>
              </w:rPr>
              <w:t>原辅材料消耗主要为钻井工程中钻井液调配、钻井、固井等工艺消耗的水、防塌润滑剂以及降失水剂等，本项目勘探期供电由</w:t>
            </w:r>
            <w:r>
              <w:rPr>
                <w:rFonts w:hint="eastAsia" w:cs="Times New Roman"/>
                <w:color w:val="auto"/>
                <w:kern w:val="2"/>
                <w:highlight w:val="none"/>
                <w:lang w:eastAsia="zh-CN"/>
              </w:rPr>
              <w:t>燃气</w:t>
            </w:r>
            <w:r>
              <w:rPr>
                <w:rFonts w:hint="default" w:ascii="Times New Roman" w:hAnsi="Times New Roman" w:eastAsia="宋体" w:cs="Times New Roman"/>
                <w:color w:val="auto"/>
                <w:kern w:val="2"/>
                <w:highlight w:val="none"/>
              </w:rPr>
              <w:t>发电机组作为电源，出现异常情况由备用燃油发电机发电。</w:t>
            </w:r>
          </w:p>
          <w:p w14:paraId="0E47EA17">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本项目使用的柴油满足《车用柴油》（GB19147-2016）标准。作为能源的柴油由罐车运输进场暂存于柴油储罐内，其他材料均为袋装，由汽车拉运进场，堆存于场内作业区。</w:t>
            </w:r>
            <w:r>
              <w:rPr>
                <w:rFonts w:hint="default" w:ascii="Times New Roman" w:hAnsi="Times New Roman" w:eastAsia="宋体" w:cs="Times New Roman"/>
                <w:color w:val="auto"/>
                <w:kern w:val="2"/>
                <w:highlight w:val="none"/>
                <w:lang w:val="en-US" w:eastAsia="zh-CN"/>
              </w:rPr>
              <w:t>项目</w:t>
            </w:r>
            <w:r>
              <w:rPr>
                <w:rFonts w:hint="default" w:ascii="Times New Roman" w:hAnsi="Times New Roman" w:eastAsia="宋体" w:cs="Times New Roman"/>
                <w:color w:val="auto"/>
                <w:kern w:val="2"/>
                <w:highlight w:val="none"/>
              </w:rPr>
              <w:t>原辅材料及能源消耗见表</w:t>
            </w:r>
            <w:r>
              <w:rPr>
                <w:rFonts w:hint="default" w:ascii="Times New Roman" w:hAnsi="Times New Roman" w:eastAsia="宋体" w:cs="Times New Roman"/>
                <w:color w:val="auto"/>
                <w:kern w:val="2"/>
                <w:highlight w:val="none"/>
                <w:lang w:val="en-US" w:eastAsia="zh-CN"/>
              </w:rPr>
              <w:t>2-5</w:t>
            </w:r>
            <w:r>
              <w:rPr>
                <w:rFonts w:hint="default" w:ascii="Times New Roman" w:hAnsi="Times New Roman" w:eastAsia="宋体" w:cs="Times New Roman"/>
                <w:color w:val="auto"/>
                <w:kern w:val="2"/>
                <w:highlight w:val="none"/>
              </w:rPr>
              <w:t>。</w:t>
            </w:r>
          </w:p>
          <w:p w14:paraId="435E451D">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表2-5   原辅材料消耗情况一览表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7"/>
              <w:gridCol w:w="1613"/>
              <w:gridCol w:w="895"/>
              <w:gridCol w:w="3831"/>
              <w:gridCol w:w="1934"/>
            </w:tblGrid>
            <w:tr w14:paraId="6C7C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543778D">
                  <w:pPr>
                    <w:pStyle w:val="109"/>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序号</w:t>
                  </w:r>
                </w:p>
              </w:tc>
              <w:tc>
                <w:tcPr>
                  <w:tcW w:w="919" w:type="pct"/>
                  <w:tcBorders>
                    <w:tl2br w:val="nil"/>
                    <w:tr2bl w:val="nil"/>
                  </w:tcBorders>
                  <w:noWrap w:val="0"/>
                  <w:vAlign w:val="center"/>
                </w:tcPr>
                <w:p w14:paraId="11367611">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材料名称</w:t>
                  </w:r>
                </w:p>
              </w:tc>
              <w:tc>
                <w:tcPr>
                  <w:tcW w:w="510" w:type="pct"/>
                  <w:tcBorders>
                    <w:tl2br w:val="nil"/>
                    <w:tr2bl w:val="nil"/>
                  </w:tcBorders>
                  <w:noWrap w:val="0"/>
                  <w:vAlign w:val="center"/>
                </w:tcPr>
                <w:p w14:paraId="2B281081">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rPr>
                    <w:t>数量</w:t>
                  </w:r>
                  <w:r>
                    <w:rPr>
                      <w:rFonts w:hint="default" w:ascii="Times New Roman" w:hAnsi="Times New Roman" w:eastAsia="宋体" w:cs="Times New Roman"/>
                      <w:b w:val="0"/>
                      <w:bCs/>
                      <w:color w:val="auto"/>
                      <w:spacing w:val="-10"/>
                      <w:sz w:val="21"/>
                      <w:szCs w:val="21"/>
                      <w:highlight w:val="none"/>
                      <w:lang w:eastAsia="zh-CN"/>
                    </w:rPr>
                    <w:t>（</w:t>
                  </w:r>
                  <w:r>
                    <w:rPr>
                      <w:rFonts w:hint="default" w:ascii="Times New Roman" w:hAnsi="Times New Roman" w:eastAsia="宋体" w:cs="Times New Roman"/>
                      <w:b w:val="0"/>
                      <w:bCs/>
                      <w:color w:val="auto"/>
                      <w:spacing w:val="-10"/>
                      <w:sz w:val="21"/>
                      <w:szCs w:val="21"/>
                      <w:highlight w:val="none"/>
                      <w:lang w:val="en-US" w:eastAsia="zh-CN"/>
                    </w:rPr>
                    <w:t>t）</w:t>
                  </w:r>
                </w:p>
              </w:tc>
              <w:tc>
                <w:tcPr>
                  <w:tcW w:w="2183" w:type="pct"/>
                  <w:tcBorders>
                    <w:tl2br w:val="nil"/>
                    <w:tr2bl w:val="nil"/>
                  </w:tcBorders>
                  <w:noWrap w:val="0"/>
                  <w:vAlign w:val="center"/>
                </w:tcPr>
                <w:p w14:paraId="4E7814F4">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kern w:val="21"/>
                      <w:sz w:val="21"/>
                      <w:szCs w:val="21"/>
                      <w:highlight w:val="none"/>
                    </w:rPr>
                    <w:t>理化特性</w:t>
                  </w:r>
                </w:p>
              </w:tc>
              <w:tc>
                <w:tcPr>
                  <w:tcW w:w="1102" w:type="pct"/>
                  <w:tcBorders>
                    <w:tl2br w:val="nil"/>
                    <w:tr2bl w:val="nil"/>
                  </w:tcBorders>
                  <w:noWrap w:val="0"/>
                  <w:vAlign w:val="center"/>
                </w:tcPr>
                <w:p w14:paraId="41FD74FA">
                  <w:pPr>
                    <w:pStyle w:val="109"/>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10"/>
                      <w:sz w:val="21"/>
                      <w:szCs w:val="21"/>
                      <w:highlight w:val="none"/>
                      <w:lang w:val="en-US" w:eastAsia="zh-CN"/>
                    </w:rPr>
                    <w:t>备注</w:t>
                  </w:r>
                </w:p>
              </w:tc>
            </w:tr>
            <w:tr w14:paraId="6B80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4B91500">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w:t>
                  </w:r>
                </w:p>
              </w:tc>
              <w:tc>
                <w:tcPr>
                  <w:tcW w:w="919" w:type="pct"/>
                  <w:tcBorders>
                    <w:tl2br w:val="nil"/>
                    <w:tr2bl w:val="nil"/>
                  </w:tcBorders>
                  <w:noWrap w:val="0"/>
                  <w:vAlign w:val="center"/>
                </w:tcPr>
                <w:p w14:paraId="423A48FB">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0"/>
                      <w:sz w:val="21"/>
                      <w:szCs w:val="21"/>
                    </w:rPr>
                    <w:t>钠坂土</w:t>
                  </w:r>
                </w:p>
              </w:tc>
              <w:tc>
                <w:tcPr>
                  <w:tcW w:w="510" w:type="pct"/>
                  <w:tcBorders>
                    <w:tl2br w:val="nil"/>
                    <w:tr2bl w:val="nil"/>
                  </w:tcBorders>
                  <w:shd w:val="clear" w:color="auto" w:fill="auto"/>
                  <w:noWrap w:val="0"/>
                  <w:vAlign w:val="center"/>
                </w:tcPr>
                <w:p w14:paraId="179C79B0">
                  <w:pPr>
                    <w:keepNext w:val="0"/>
                    <w:keepLines w:val="0"/>
                    <w:pageBreakBefore w:val="0"/>
                    <w:wordWrap/>
                    <w:overflowPunct/>
                    <w:topLinePunct w:val="0"/>
                    <w:bidi w:val="0"/>
                    <w:spacing w:line="240" w:lineRule="auto"/>
                    <w:ind w:left="0" w:leftChars="0" w:firstLine="0" w:firstLineChars="0"/>
                    <w:jc w:val="center"/>
                    <w:rPr>
                      <w:rFonts w:hint="default"/>
                      <w:lang w:val="en-US" w:eastAsia="zh-CN"/>
                    </w:rPr>
                  </w:pPr>
                  <w:r>
                    <w:rPr>
                      <w:rFonts w:hint="eastAsia" w:cs="Times New Roman"/>
                      <w:b w:val="0"/>
                      <w:bCs/>
                      <w:color w:val="auto"/>
                      <w:spacing w:val="0"/>
                      <w:sz w:val="21"/>
                      <w:szCs w:val="21"/>
                      <w:lang w:val="en-US" w:eastAsia="zh-CN"/>
                    </w:rPr>
                    <w:t>39.89</w:t>
                  </w:r>
                </w:p>
              </w:tc>
              <w:tc>
                <w:tcPr>
                  <w:tcW w:w="2183" w:type="pct"/>
                  <w:tcBorders>
                    <w:tl2br w:val="nil"/>
                    <w:tr2bl w:val="nil"/>
                  </w:tcBorders>
                  <w:noWrap w:val="0"/>
                  <w:vAlign w:val="center"/>
                </w:tcPr>
                <w:p w14:paraId="785F3D8B">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1"/>
                      <w:sz w:val="21"/>
                      <w:szCs w:val="21"/>
                      <w:highlight w:val="none"/>
                    </w:rPr>
                  </w:pPr>
                  <w:r>
                    <w:rPr>
                      <w:rFonts w:hint="default" w:ascii="Times New Roman" w:hAnsi="Times New Roman" w:eastAsia="宋体" w:cs="Times New Roman"/>
                      <w:b w:val="0"/>
                      <w:bCs/>
                      <w:i w:val="0"/>
                      <w:iCs w:val="0"/>
                      <w:color w:val="auto"/>
                      <w:kern w:val="0"/>
                      <w:sz w:val="21"/>
                      <w:szCs w:val="21"/>
                      <w:u w:val="none"/>
                      <w:lang w:val="en-US" w:eastAsia="zh-CN" w:bidi="ar"/>
                    </w:rPr>
                    <w:t>也叫膨润土，是一种胶性黏土，具有良好的吸附性、膨胀性以及悬浮性</w:t>
                  </w:r>
                </w:p>
              </w:tc>
              <w:tc>
                <w:tcPr>
                  <w:tcW w:w="1102" w:type="pct"/>
                  <w:tcBorders>
                    <w:tl2br w:val="nil"/>
                    <w:tr2bl w:val="nil"/>
                  </w:tcBorders>
                  <w:noWrap w:val="0"/>
                  <w:vAlign w:val="center"/>
                </w:tcPr>
                <w:p w14:paraId="362769CC">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1"/>
                      <w:sz w:val="21"/>
                      <w:szCs w:val="21"/>
                      <w:highlight w:val="none"/>
                    </w:rPr>
                  </w:pPr>
                  <w:r>
                    <w:rPr>
                      <w:rFonts w:hint="default" w:ascii="Times New Roman" w:hAnsi="Times New Roman" w:eastAsia="宋体" w:cs="Times New Roman"/>
                      <w:b w:val="0"/>
                      <w:bCs/>
                      <w:i w:val="0"/>
                      <w:iCs w:val="0"/>
                      <w:color w:val="auto"/>
                      <w:kern w:val="0"/>
                      <w:sz w:val="21"/>
                      <w:szCs w:val="21"/>
                      <w:u w:val="none"/>
                      <w:lang w:val="en-US" w:eastAsia="zh-CN" w:bidi="ar"/>
                    </w:rPr>
                    <w:t>用于配制钻井液基浆</w:t>
                  </w:r>
                </w:p>
              </w:tc>
            </w:tr>
            <w:tr w14:paraId="0168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4E1EBDC">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w:t>
                  </w:r>
                </w:p>
              </w:tc>
              <w:tc>
                <w:tcPr>
                  <w:tcW w:w="919" w:type="pct"/>
                  <w:tcBorders>
                    <w:tl2br w:val="nil"/>
                    <w:tr2bl w:val="nil"/>
                  </w:tcBorders>
                  <w:noWrap w:val="0"/>
                  <w:vAlign w:val="center"/>
                </w:tcPr>
                <w:p w14:paraId="66752681">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纯碱Na</w:t>
                  </w:r>
                  <w:r>
                    <w:rPr>
                      <w:rFonts w:hint="default" w:ascii="Times New Roman" w:hAnsi="Times New Roman" w:eastAsia="宋体" w:cs="Times New Roman"/>
                      <w:b w:val="0"/>
                      <w:bCs/>
                      <w:color w:val="auto"/>
                      <w:spacing w:val="0"/>
                      <w:sz w:val="21"/>
                      <w:szCs w:val="21"/>
                      <w:vertAlign w:val="subscript"/>
                    </w:rPr>
                    <w:t>2</w:t>
                  </w:r>
                  <w:r>
                    <w:rPr>
                      <w:rFonts w:hint="default" w:ascii="Times New Roman" w:hAnsi="Times New Roman" w:eastAsia="宋体" w:cs="Times New Roman"/>
                      <w:b w:val="0"/>
                      <w:bCs/>
                      <w:color w:val="auto"/>
                      <w:spacing w:val="0"/>
                      <w:sz w:val="21"/>
                      <w:szCs w:val="21"/>
                    </w:rPr>
                    <w:t>CO</w:t>
                  </w:r>
                  <w:r>
                    <w:rPr>
                      <w:rFonts w:hint="default" w:ascii="Times New Roman" w:hAnsi="Times New Roman" w:eastAsia="宋体" w:cs="Times New Roman"/>
                      <w:b w:val="0"/>
                      <w:bCs/>
                      <w:color w:val="auto"/>
                      <w:spacing w:val="0"/>
                      <w:sz w:val="21"/>
                      <w:szCs w:val="21"/>
                      <w:vertAlign w:val="subscript"/>
                    </w:rPr>
                    <w:t>3</w:t>
                  </w:r>
                </w:p>
              </w:tc>
              <w:tc>
                <w:tcPr>
                  <w:tcW w:w="510" w:type="pct"/>
                  <w:tcBorders>
                    <w:tl2br w:val="nil"/>
                    <w:tr2bl w:val="nil"/>
                  </w:tcBorders>
                  <w:shd w:val="clear" w:color="auto" w:fill="auto"/>
                  <w:noWrap w:val="0"/>
                  <w:vAlign w:val="center"/>
                </w:tcPr>
                <w:p w14:paraId="40A0D653">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cs="Times New Roman"/>
                      <w:b w:val="0"/>
                      <w:bCs/>
                      <w:color w:val="auto"/>
                      <w:spacing w:val="0"/>
                      <w:sz w:val="21"/>
                      <w:szCs w:val="21"/>
                      <w:lang w:val="en-US" w:eastAsia="zh-CN"/>
                    </w:rPr>
                    <w:t>1.11</w:t>
                  </w:r>
                </w:p>
              </w:tc>
              <w:tc>
                <w:tcPr>
                  <w:tcW w:w="2183" w:type="pct"/>
                  <w:tcBorders>
                    <w:tl2br w:val="nil"/>
                    <w:tr2bl w:val="nil"/>
                  </w:tcBorders>
                  <w:noWrap w:val="0"/>
                  <w:vAlign w:val="center"/>
                </w:tcPr>
                <w:p w14:paraId="49CCF20B">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又名碳酸钠，俗称苏打，白色粉末或细粒结晶，易溶于水，水溶液呈碱性</w:t>
                  </w:r>
                </w:p>
              </w:tc>
              <w:tc>
                <w:tcPr>
                  <w:tcW w:w="1102" w:type="pct"/>
                  <w:tcBorders>
                    <w:tl2br w:val="nil"/>
                    <w:tr2bl w:val="nil"/>
                  </w:tcBorders>
                  <w:noWrap w:val="0"/>
                  <w:vAlign w:val="center"/>
                </w:tcPr>
                <w:p w14:paraId="0FCE9F54">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用于调节钻井液pH值、软化水质</w:t>
                  </w:r>
                </w:p>
              </w:tc>
            </w:tr>
            <w:tr w14:paraId="0D88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79687F9">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3</w:t>
                  </w:r>
                </w:p>
              </w:tc>
              <w:tc>
                <w:tcPr>
                  <w:tcW w:w="919" w:type="pct"/>
                  <w:tcBorders>
                    <w:tl2br w:val="nil"/>
                    <w:tr2bl w:val="nil"/>
                  </w:tcBorders>
                  <w:noWrap w:val="0"/>
                  <w:vAlign w:val="center"/>
                </w:tcPr>
                <w:p w14:paraId="764AEA01">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羟甲基纤维素钠盐CMC</w:t>
                  </w:r>
                </w:p>
              </w:tc>
              <w:tc>
                <w:tcPr>
                  <w:tcW w:w="895" w:type="dxa"/>
                  <w:tcBorders>
                    <w:tl2br w:val="nil"/>
                    <w:tr2bl w:val="nil"/>
                  </w:tcBorders>
                  <w:shd w:val="clear" w:color="auto" w:fill="auto"/>
                  <w:noWrap w:val="0"/>
                  <w:vAlign w:val="center"/>
                </w:tcPr>
                <w:p w14:paraId="5BADA4CF">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0.7</w:t>
                  </w:r>
                  <w:r>
                    <w:rPr>
                      <w:rFonts w:hint="eastAsia" w:cs="Times New Roman"/>
                      <w:b w:val="0"/>
                      <w:bCs/>
                      <w:color w:val="auto"/>
                      <w:spacing w:val="0"/>
                      <w:sz w:val="21"/>
                      <w:szCs w:val="21"/>
                      <w:lang w:val="en-US" w:eastAsia="zh-CN"/>
                    </w:rPr>
                    <w:t>9</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0720FDB1">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是葡萄糖聚合度为100~2000的纤维素衍生物，相对分子质量242.16。白色纤维状或颗粒状粉末，无臭无味，有吸湿性，不溶于有机溶剂</w:t>
                  </w:r>
                </w:p>
              </w:tc>
              <w:tc>
                <w:tcPr>
                  <w:tcW w:w="1102" w:type="pct"/>
                  <w:tcBorders>
                    <w:tl2br w:val="nil"/>
                    <w:tr2bl w:val="nil"/>
                  </w:tcBorders>
                  <w:noWrap w:val="0"/>
                  <w:vAlign w:val="center"/>
                </w:tcPr>
                <w:p w14:paraId="27AF72FA">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钻井液处理剂，用作增粘、降滤失剂</w:t>
                  </w:r>
                </w:p>
              </w:tc>
            </w:tr>
            <w:tr w14:paraId="0876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30D284A6">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4</w:t>
                  </w:r>
                </w:p>
              </w:tc>
              <w:tc>
                <w:tcPr>
                  <w:tcW w:w="919" w:type="pct"/>
                  <w:tcBorders>
                    <w:tl2br w:val="nil"/>
                    <w:tr2bl w:val="nil"/>
                  </w:tcBorders>
                  <w:noWrap w:val="0"/>
                  <w:vAlign w:val="center"/>
                </w:tcPr>
                <w:p w14:paraId="35404192">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氢氧化钠NaOH</w:t>
                  </w:r>
                </w:p>
              </w:tc>
              <w:tc>
                <w:tcPr>
                  <w:tcW w:w="895" w:type="dxa"/>
                  <w:tcBorders>
                    <w:tl2br w:val="nil"/>
                    <w:tr2bl w:val="nil"/>
                  </w:tcBorders>
                  <w:shd w:val="clear" w:color="auto" w:fill="auto"/>
                  <w:noWrap w:val="0"/>
                  <w:vAlign w:val="center"/>
                </w:tcPr>
                <w:p w14:paraId="0724D9E7">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34</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0639F6D3">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俗称烧碱，无色晶体，易溶于水，水溶液呈强碱性，为强电解质，易风化，具有强腐蚀性</w:t>
                  </w:r>
                </w:p>
              </w:tc>
              <w:tc>
                <w:tcPr>
                  <w:tcW w:w="1102" w:type="pct"/>
                  <w:tcBorders>
                    <w:tl2br w:val="nil"/>
                    <w:tr2bl w:val="nil"/>
                  </w:tcBorders>
                  <w:noWrap w:val="0"/>
                  <w:vAlign w:val="center"/>
                </w:tcPr>
                <w:p w14:paraId="16AA0899">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用于调节钻井液pH值</w:t>
                  </w:r>
                </w:p>
              </w:tc>
            </w:tr>
            <w:tr w14:paraId="004E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7BCD02C">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5</w:t>
                  </w:r>
                </w:p>
              </w:tc>
              <w:tc>
                <w:tcPr>
                  <w:tcW w:w="919" w:type="pct"/>
                  <w:tcBorders>
                    <w:tl2br w:val="nil"/>
                    <w:tr2bl w:val="nil"/>
                  </w:tcBorders>
                  <w:noWrap w:val="0"/>
                  <w:vAlign w:val="center"/>
                </w:tcPr>
                <w:p w14:paraId="78DAB67B">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低粘度聚阴离子纤维素 PAC-LV</w:t>
                  </w:r>
                </w:p>
              </w:tc>
              <w:tc>
                <w:tcPr>
                  <w:tcW w:w="895" w:type="dxa"/>
                  <w:tcBorders>
                    <w:tl2br w:val="nil"/>
                    <w:tr2bl w:val="nil"/>
                  </w:tcBorders>
                  <w:shd w:val="clear" w:color="auto" w:fill="auto"/>
                  <w:noWrap w:val="0"/>
                  <w:vAlign w:val="center"/>
                </w:tcPr>
                <w:p w14:paraId="3588A698">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cs="Times New Roman"/>
                      <w:b w:val="0"/>
                      <w:bCs/>
                      <w:color w:val="auto"/>
                      <w:spacing w:val="0"/>
                      <w:sz w:val="21"/>
                      <w:szCs w:val="21"/>
                      <w:lang w:val="en-US" w:eastAsia="zh-CN"/>
                    </w:rPr>
                    <w:t>8.35</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73C8B66E">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由天然纤维素经化学改性制得的线性高分子聚合物，白色或微黄色粉末，溶于水形成胶体溶液，低粘度特性</w:t>
                  </w:r>
                </w:p>
              </w:tc>
              <w:tc>
                <w:tcPr>
                  <w:tcW w:w="1102" w:type="pct"/>
                  <w:tcBorders>
                    <w:tl2br w:val="nil"/>
                    <w:tr2bl w:val="nil"/>
                  </w:tcBorders>
                  <w:noWrap w:val="0"/>
                  <w:vAlign w:val="center"/>
                </w:tcPr>
                <w:p w14:paraId="22F27850">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钻井液降滤失剂，可控制滤失量、稳定井壁</w:t>
                  </w:r>
                </w:p>
              </w:tc>
            </w:tr>
            <w:tr w14:paraId="2146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7D076247">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6</w:t>
                  </w:r>
                </w:p>
              </w:tc>
              <w:tc>
                <w:tcPr>
                  <w:tcW w:w="919" w:type="pct"/>
                  <w:tcBorders>
                    <w:tl2br w:val="nil"/>
                    <w:tr2bl w:val="nil"/>
                  </w:tcBorders>
                  <w:noWrap w:val="0"/>
                  <w:vAlign w:val="center"/>
                </w:tcPr>
                <w:p w14:paraId="5ED4F793">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聚丙烯酰胺钾盐K-PAM</w:t>
                  </w:r>
                </w:p>
              </w:tc>
              <w:tc>
                <w:tcPr>
                  <w:tcW w:w="895" w:type="dxa"/>
                  <w:tcBorders>
                    <w:tl2br w:val="nil"/>
                    <w:tr2bl w:val="nil"/>
                  </w:tcBorders>
                  <w:shd w:val="clear" w:color="auto" w:fill="auto"/>
                  <w:noWrap w:val="0"/>
                  <w:vAlign w:val="center"/>
                </w:tcPr>
                <w:p w14:paraId="651A2208">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6.</w:t>
                  </w:r>
                  <w:r>
                    <w:rPr>
                      <w:rFonts w:hint="eastAsia" w:cs="Times New Roman"/>
                      <w:b w:val="0"/>
                      <w:bCs/>
                      <w:color w:val="auto"/>
                      <w:spacing w:val="0"/>
                      <w:sz w:val="21"/>
                      <w:szCs w:val="21"/>
                      <w:lang w:val="en-US" w:eastAsia="zh-CN"/>
                    </w:rPr>
                    <w:t>94</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54B04A3A">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白色或微黄色粉末，阴离子型高分子聚合物，易溶于水，具有絮凝、抑制、增粘作用</w:t>
                  </w:r>
                </w:p>
              </w:tc>
              <w:tc>
                <w:tcPr>
                  <w:tcW w:w="1102" w:type="pct"/>
                  <w:tcBorders>
                    <w:tl2br w:val="nil"/>
                    <w:tr2bl w:val="nil"/>
                  </w:tcBorders>
                  <w:noWrap w:val="0"/>
                  <w:vAlign w:val="center"/>
                </w:tcPr>
                <w:p w14:paraId="3F611671">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钻井液抑制剂，用于抑制地层黏土水化膨胀</w:t>
                  </w:r>
                </w:p>
              </w:tc>
            </w:tr>
            <w:tr w14:paraId="066E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B52ACF1">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7</w:t>
                  </w:r>
                </w:p>
              </w:tc>
              <w:tc>
                <w:tcPr>
                  <w:tcW w:w="919" w:type="pct"/>
                  <w:tcBorders>
                    <w:tl2br w:val="nil"/>
                    <w:tr2bl w:val="nil"/>
                  </w:tcBorders>
                  <w:noWrap w:val="0"/>
                  <w:vAlign w:val="center"/>
                </w:tcPr>
                <w:p w14:paraId="382EDF17">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w:t>
                  </w:r>
                  <w:r>
                    <w:rPr>
                      <w:rFonts w:hint="default" w:ascii="Times New Roman" w:hAnsi="Times New Roman" w:eastAsia="宋体" w:cs="Times New Roman"/>
                      <w:b w:val="0"/>
                      <w:bCs/>
                      <w:color w:val="auto"/>
                      <w:spacing w:val="0"/>
                      <w:sz w:val="21"/>
                      <w:szCs w:val="21"/>
                      <w:lang w:val="en-US" w:eastAsia="zh-CN"/>
                    </w:rPr>
                    <w:t>晴铵</w:t>
                  </w:r>
                  <w:r>
                    <w:rPr>
                      <w:rFonts w:hint="default" w:ascii="Times New Roman" w:hAnsi="Times New Roman" w:eastAsia="宋体" w:cs="Times New Roman"/>
                      <w:b w:val="0"/>
                      <w:bCs/>
                      <w:color w:val="auto"/>
                      <w:spacing w:val="0"/>
                      <w:sz w:val="21"/>
                      <w:szCs w:val="21"/>
                    </w:rPr>
                    <w:t>盐</w:t>
                  </w:r>
                  <w:r>
                    <w:rPr>
                      <w:rFonts w:hint="default" w:ascii="Times New Roman" w:hAnsi="Times New Roman" w:eastAsia="宋体" w:cs="Times New Roman"/>
                      <w:b w:val="0"/>
                      <w:bCs/>
                      <w:color w:val="auto"/>
                      <w:spacing w:val="0"/>
                      <w:sz w:val="21"/>
                      <w:szCs w:val="21"/>
                      <w:lang w:val="en-US" w:eastAsia="zh-CN"/>
                    </w:rPr>
                    <w:t>NH₄-H</w:t>
                  </w:r>
                  <w:r>
                    <w:rPr>
                      <w:rFonts w:hint="default" w:ascii="Times New Roman" w:hAnsi="Times New Roman" w:eastAsia="宋体" w:cs="Times New Roman"/>
                      <w:b w:val="0"/>
                      <w:bCs/>
                      <w:color w:val="auto"/>
                      <w:spacing w:val="0"/>
                      <w:sz w:val="21"/>
                      <w:szCs w:val="21"/>
                    </w:rPr>
                    <w:t>PA</w:t>
                  </w:r>
                  <w:r>
                    <w:rPr>
                      <w:rFonts w:hint="default" w:ascii="Times New Roman" w:hAnsi="Times New Roman" w:eastAsia="宋体" w:cs="Times New Roman"/>
                      <w:b w:val="0"/>
                      <w:bCs/>
                      <w:color w:val="auto"/>
                      <w:spacing w:val="0"/>
                      <w:sz w:val="21"/>
                      <w:szCs w:val="21"/>
                      <w:lang w:val="en-US" w:eastAsia="zh-CN"/>
                    </w:rPr>
                    <w:t>N</w:t>
                  </w:r>
                </w:p>
              </w:tc>
              <w:tc>
                <w:tcPr>
                  <w:tcW w:w="895" w:type="dxa"/>
                  <w:tcBorders>
                    <w:tl2br w:val="nil"/>
                    <w:tr2bl w:val="nil"/>
                  </w:tcBorders>
                  <w:shd w:val="clear" w:color="auto" w:fill="auto"/>
                  <w:noWrap w:val="0"/>
                  <w:vAlign w:val="center"/>
                </w:tcPr>
                <w:p w14:paraId="14179FFA">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6.</w:t>
                  </w:r>
                  <w:r>
                    <w:rPr>
                      <w:rFonts w:hint="eastAsia" w:cs="Times New Roman"/>
                      <w:b w:val="0"/>
                      <w:bCs/>
                      <w:color w:val="auto"/>
                      <w:spacing w:val="0"/>
                      <w:sz w:val="21"/>
                      <w:szCs w:val="21"/>
                      <w:lang w:val="en-US" w:eastAsia="zh-CN"/>
                    </w:rPr>
                    <w:t>61</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194C976D">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淡黄色粉末或颗粒，水溶性高分子聚合物，易溶于水，具有降滤失、抑制和防塌作用</w:t>
                  </w:r>
                </w:p>
              </w:tc>
              <w:tc>
                <w:tcPr>
                  <w:tcW w:w="1102" w:type="pct"/>
                  <w:tcBorders>
                    <w:tl2br w:val="nil"/>
                    <w:tr2bl w:val="nil"/>
                  </w:tcBorders>
                  <w:noWrap w:val="0"/>
                  <w:vAlign w:val="center"/>
                </w:tcPr>
                <w:p w14:paraId="0464767D">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钻井液处理剂，用作降滤失、防塌剂</w:t>
                  </w:r>
                </w:p>
              </w:tc>
            </w:tr>
            <w:tr w14:paraId="1E1E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48CD479">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8</w:t>
                  </w:r>
                </w:p>
              </w:tc>
              <w:tc>
                <w:tcPr>
                  <w:tcW w:w="919" w:type="pct"/>
                  <w:tcBorders>
                    <w:tl2br w:val="nil"/>
                    <w:tr2bl w:val="nil"/>
                  </w:tcBorders>
                  <w:noWrap w:val="0"/>
                  <w:vAlign w:val="center"/>
                </w:tcPr>
                <w:p w14:paraId="52E1733C">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聚丙烯</w:t>
                  </w:r>
                  <w:r>
                    <w:rPr>
                      <w:rFonts w:hint="default" w:ascii="Times New Roman" w:hAnsi="Times New Roman" w:eastAsia="宋体" w:cs="Times New Roman"/>
                      <w:b w:val="0"/>
                      <w:bCs/>
                      <w:color w:val="auto"/>
                      <w:spacing w:val="0"/>
                      <w:sz w:val="21"/>
                      <w:szCs w:val="21"/>
                      <w:lang w:val="en-US" w:eastAsia="zh-CN"/>
                    </w:rPr>
                    <w:t>晴</w:t>
                  </w:r>
                  <w:r>
                    <w:rPr>
                      <w:rFonts w:hint="default" w:ascii="Times New Roman" w:hAnsi="Times New Roman" w:eastAsia="宋体" w:cs="Times New Roman"/>
                      <w:b w:val="0"/>
                      <w:bCs/>
                      <w:color w:val="auto"/>
                      <w:spacing w:val="0"/>
                      <w:sz w:val="21"/>
                      <w:szCs w:val="21"/>
                    </w:rPr>
                    <w:t>钾盐K-</w:t>
                  </w:r>
                  <w:r>
                    <w:rPr>
                      <w:rFonts w:hint="default" w:ascii="Times New Roman" w:hAnsi="Times New Roman" w:eastAsia="宋体" w:cs="Times New Roman"/>
                      <w:b w:val="0"/>
                      <w:bCs/>
                      <w:color w:val="auto"/>
                      <w:spacing w:val="0"/>
                      <w:sz w:val="21"/>
                      <w:szCs w:val="21"/>
                      <w:lang w:val="en-US" w:eastAsia="zh-CN"/>
                    </w:rPr>
                    <w:t>H</w:t>
                  </w:r>
                  <w:r>
                    <w:rPr>
                      <w:rFonts w:hint="default" w:ascii="Times New Roman" w:hAnsi="Times New Roman" w:eastAsia="宋体" w:cs="Times New Roman"/>
                      <w:b w:val="0"/>
                      <w:bCs/>
                      <w:color w:val="auto"/>
                      <w:spacing w:val="0"/>
                      <w:sz w:val="21"/>
                      <w:szCs w:val="21"/>
                    </w:rPr>
                    <w:t>PA</w:t>
                  </w:r>
                  <w:r>
                    <w:rPr>
                      <w:rFonts w:hint="default" w:ascii="Times New Roman" w:hAnsi="Times New Roman" w:eastAsia="宋体" w:cs="Times New Roman"/>
                      <w:b w:val="0"/>
                      <w:bCs/>
                      <w:color w:val="auto"/>
                      <w:spacing w:val="0"/>
                      <w:sz w:val="21"/>
                      <w:szCs w:val="21"/>
                      <w:lang w:val="en-US" w:eastAsia="zh-CN"/>
                    </w:rPr>
                    <w:t>N</w:t>
                  </w:r>
                </w:p>
              </w:tc>
              <w:tc>
                <w:tcPr>
                  <w:tcW w:w="895" w:type="dxa"/>
                  <w:tcBorders>
                    <w:tl2br w:val="nil"/>
                    <w:tr2bl w:val="nil"/>
                  </w:tcBorders>
                  <w:shd w:val="clear" w:color="auto" w:fill="auto"/>
                  <w:noWrap w:val="0"/>
                  <w:vAlign w:val="center"/>
                </w:tcPr>
                <w:p w14:paraId="65EBD85B">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5.</w:t>
                  </w:r>
                  <w:r>
                    <w:rPr>
                      <w:rFonts w:hint="eastAsia" w:cs="Times New Roman"/>
                      <w:b w:val="0"/>
                      <w:bCs/>
                      <w:color w:val="auto"/>
                      <w:spacing w:val="0"/>
                      <w:sz w:val="21"/>
                      <w:szCs w:val="21"/>
                      <w:lang w:val="en-US" w:eastAsia="zh-CN"/>
                    </w:rPr>
                    <w:t>96</w:t>
                  </w:r>
                </w:p>
              </w:tc>
              <w:tc>
                <w:tcPr>
                  <w:tcW w:w="2183" w:type="pct"/>
                  <w:tcBorders>
                    <w:tl2br w:val="nil"/>
                    <w:tr2bl w:val="nil"/>
                  </w:tcBorders>
                  <w:noWrap w:val="0"/>
                  <w:vAlign w:val="center"/>
                </w:tcPr>
                <w:p w14:paraId="4A9C26B2">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淡黄色粉末，阴离子型高分子聚合物，溶于水，兼具降滤失、抑制黏土分散的功能</w:t>
                  </w:r>
                </w:p>
              </w:tc>
              <w:tc>
                <w:tcPr>
                  <w:tcW w:w="1102" w:type="pct"/>
                  <w:tcBorders>
                    <w:tl2br w:val="nil"/>
                    <w:tr2bl w:val="nil"/>
                  </w:tcBorders>
                  <w:noWrap w:val="0"/>
                  <w:vAlign w:val="center"/>
                </w:tcPr>
                <w:p w14:paraId="19E6B638">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钻井液处理剂，用于降滤失、稳定井壁</w:t>
                  </w:r>
                </w:p>
              </w:tc>
            </w:tr>
            <w:tr w14:paraId="439E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3847D306">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9</w:t>
                  </w:r>
                </w:p>
              </w:tc>
              <w:tc>
                <w:tcPr>
                  <w:tcW w:w="919" w:type="pct"/>
                  <w:tcBorders>
                    <w:tl2br w:val="nil"/>
                    <w:tr2bl w:val="nil"/>
                  </w:tcBorders>
                  <w:noWrap w:val="0"/>
                  <w:vAlign w:val="center"/>
                </w:tcPr>
                <w:p w14:paraId="1EE87C15">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spacing w:val="0"/>
                      <w:kern w:val="0"/>
                      <w:sz w:val="21"/>
                      <w:szCs w:val="21"/>
                      <w:u w:val="none"/>
                      <w:lang w:val="en-US" w:eastAsia="zh-CN" w:bidi="ar"/>
                    </w:rPr>
                    <w:t>硅醇降粘剂</w:t>
                  </w:r>
                </w:p>
              </w:tc>
              <w:tc>
                <w:tcPr>
                  <w:tcW w:w="895" w:type="dxa"/>
                  <w:tcBorders>
                    <w:tl2br w:val="nil"/>
                    <w:tr2bl w:val="nil"/>
                  </w:tcBorders>
                  <w:shd w:val="clear" w:color="auto" w:fill="auto"/>
                  <w:noWrap w:val="0"/>
                  <w:vAlign w:val="center"/>
                </w:tcPr>
                <w:p w14:paraId="7FE88756">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cs="Times New Roman"/>
                      <w:b w:val="0"/>
                      <w:bCs/>
                      <w:color w:val="auto"/>
                      <w:spacing w:val="0"/>
                      <w:sz w:val="21"/>
                      <w:szCs w:val="21"/>
                      <w:lang w:val="en-US" w:eastAsia="zh-CN"/>
                    </w:rPr>
                    <w:t>3.26</w:t>
                  </w:r>
                </w:p>
              </w:tc>
              <w:tc>
                <w:tcPr>
                  <w:tcW w:w="2183" w:type="pct"/>
                  <w:tcBorders>
                    <w:tl2br w:val="nil"/>
                    <w:tr2bl w:val="nil"/>
                  </w:tcBorders>
                  <w:noWrap w:val="0"/>
                  <w:vAlign w:val="center"/>
                </w:tcPr>
                <w:p w14:paraId="041D4D94">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有机硅类高分子化合物，液体或固体粉末，易溶于水，能破坏钻井液的网状结构，降低体系黏度</w:t>
                  </w:r>
                </w:p>
              </w:tc>
              <w:tc>
                <w:tcPr>
                  <w:tcW w:w="1102" w:type="pct"/>
                  <w:tcBorders>
                    <w:tl2br w:val="nil"/>
                    <w:tr2bl w:val="nil"/>
                  </w:tcBorders>
                  <w:noWrap w:val="0"/>
                  <w:vAlign w:val="center"/>
                </w:tcPr>
                <w:p w14:paraId="28E27D40">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钻井液降黏剂，用于降低钻井液粘度、改善流变性</w:t>
                  </w:r>
                </w:p>
              </w:tc>
            </w:tr>
            <w:tr w14:paraId="465D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B088400">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10</w:t>
                  </w:r>
                </w:p>
              </w:tc>
              <w:tc>
                <w:tcPr>
                  <w:tcW w:w="919" w:type="pct"/>
                  <w:tcBorders>
                    <w:tl2br w:val="nil"/>
                    <w:tr2bl w:val="nil"/>
                  </w:tcBorders>
                  <w:noWrap w:val="0"/>
                  <w:vAlign w:val="center"/>
                </w:tcPr>
                <w:p w14:paraId="195D9857">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氯化钾KC</w:t>
                  </w:r>
                  <w:r>
                    <w:rPr>
                      <w:rFonts w:hint="default" w:ascii="Times New Roman" w:hAnsi="Times New Roman" w:eastAsia="宋体" w:cs="Times New Roman"/>
                      <w:b w:val="0"/>
                      <w:bCs/>
                      <w:color w:val="auto"/>
                      <w:spacing w:val="0"/>
                      <w:sz w:val="21"/>
                      <w:szCs w:val="21"/>
                      <w:lang w:val="en-US" w:eastAsia="zh-CN"/>
                    </w:rPr>
                    <w:t>l</w:t>
                  </w:r>
                </w:p>
              </w:tc>
              <w:tc>
                <w:tcPr>
                  <w:tcW w:w="895" w:type="dxa"/>
                  <w:tcBorders>
                    <w:tl2br w:val="nil"/>
                    <w:tr2bl w:val="nil"/>
                  </w:tcBorders>
                  <w:shd w:val="clear" w:color="auto" w:fill="auto"/>
                  <w:noWrap w:val="0"/>
                  <w:vAlign w:val="center"/>
                </w:tcPr>
                <w:p w14:paraId="2A6F170E">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5.</w:t>
                  </w:r>
                  <w:r>
                    <w:rPr>
                      <w:rFonts w:hint="eastAsia" w:cs="Times New Roman"/>
                      <w:b w:val="0"/>
                      <w:bCs/>
                      <w:color w:val="auto"/>
                      <w:spacing w:val="0"/>
                      <w:sz w:val="21"/>
                      <w:szCs w:val="21"/>
                      <w:lang w:val="en-US" w:eastAsia="zh-CN"/>
                    </w:rPr>
                    <w:t>96</w:t>
                  </w:r>
                </w:p>
              </w:tc>
              <w:tc>
                <w:tcPr>
                  <w:tcW w:w="2183" w:type="pct"/>
                  <w:tcBorders>
                    <w:tl2br w:val="nil"/>
                    <w:tr2bl w:val="nil"/>
                  </w:tcBorders>
                  <w:noWrap w:val="0"/>
                  <w:vAlign w:val="center"/>
                </w:tcPr>
                <w:p w14:paraId="723891BF">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无色细长菱形或立方晶体，白色结晶小颗粒粉末，易溶于水，水溶液呈中性</w:t>
                  </w:r>
                </w:p>
              </w:tc>
              <w:tc>
                <w:tcPr>
                  <w:tcW w:w="1102" w:type="pct"/>
                  <w:tcBorders>
                    <w:tl2br w:val="nil"/>
                    <w:tr2bl w:val="nil"/>
                  </w:tcBorders>
                  <w:noWrap w:val="0"/>
                  <w:vAlign w:val="center"/>
                </w:tcPr>
                <w:p w14:paraId="5519C126">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钻井液抑制剂，用于抑制黏土水化膨胀、防塌</w:t>
                  </w:r>
                </w:p>
              </w:tc>
            </w:tr>
            <w:tr w14:paraId="3286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F3A5EA4">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11</w:t>
                  </w:r>
                </w:p>
              </w:tc>
              <w:tc>
                <w:tcPr>
                  <w:tcW w:w="919" w:type="pct"/>
                  <w:tcBorders>
                    <w:tl2br w:val="nil"/>
                    <w:tr2bl w:val="nil"/>
                  </w:tcBorders>
                  <w:noWrap w:val="0"/>
                  <w:vAlign w:val="center"/>
                </w:tcPr>
                <w:p w14:paraId="2A783C7A">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生物聚合物XC</w:t>
                  </w:r>
                </w:p>
              </w:tc>
              <w:tc>
                <w:tcPr>
                  <w:tcW w:w="895" w:type="dxa"/>
                  <w:tcBorders>
                    <w:tl2br w:val="nil"/>
                    <w:tr2bl w:val="nil"/>
                  </w:tcBorders>
                  <w:shd w:val="clear" w:color="auto" w:fill="auto"/>
                  <w:noWrap w:val="0"/>
                  <w:vAlign w:val="center"/>
                </w:tcPr>
                <w:p w14:paraId="235EB6F1">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3.</w:t>
                  </w:r>
                  <w:r>
                    <w:rPr>
                      <w:rFonts w:hint="eastAsia" w:cs="Times New Roman"/>
                      <w:b w:val="0"/>
                      <w:bCs/>
                      <w:color w:val="auto"/>
                      <w:spacing w:val="0"/>
                      <w:sz w:val="21"/>
                      <w:szCs w:val="21"/>
                      <w:lang w:val="en-US" w:eastAsia="zh-CN"/>
                    </w:rPr>
                    <w:t>26</w:t>
                  </w:r>
                </w:p>
              </w:tc>
              <w:tc>
                <w:tcPr>
                  <w:tcW w:w="2183" w:type="pct"/>
                  <w:tcBorders>
                    <w:tl2br w:val="nil"/>
                    <w:tr2bl w:val="nil"/>
                  </w:tcBorders>
                  <w:noWrap w:val="0"/>
                  <w:vAlign w:val="center"/>
                </w:tcPr>
                <w:p w14:paraId="3B793778">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由微生物发酵产生的高分子多糖，白色或淡黄色粉末，溶于水形成高粘度胶体溶液，耐盐性好</w:t>
                  </w:r>
                </w:p>
              </w:tc>
              <w:tc>
                <w:tcPr>
                  <w:tcW w:w="1102" w:type="pct"/>
                  <w:tcBorders>
                    <w:tl2br w:val="nil"/>
                    <w:tr2bl w:val="nil"/>
                  </w:tcBorders>
                  <w:noWrap w:val="0"/>
                  <w:vAlign w:val="center"/>
                </w:tcPr>
                <w:p w14:paraId="6DF85B4F">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钻井液增粘剂，用于提粘、携砂、稳定井壁</w:t>
                  </w:r>
                </w:p>
              </w:tc>
            </w:tr>
            <w:tr w14:paraId="18E6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63E33DF8">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12</w:t>
                  </w:r>
                </w:p>
              </w:tc>
              <w:tc>
                <w:tcPr>
                  <w:tcW w:w="919" w:type="pct"/>
                  <w:tcBorders>
                    <w:tl2br w:val="nil"/>
                    <w:tr2bl w:val="nil"/>
                  </w:tcBorders>
                  <w:noWrap w:val="0"/>
                  <w:vAlign w:val="center"/>
                </w:tcPr>
                <w:p w14:paraId="65E7B451">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乳化沥青</w:t>
                  </w:r>
                </w:p>
              </w:tc>
              <w:tc>
                <w:tcPr>
                  <w:tcW w:w="895" w:type="dxa"/>
                  <w:tcBorders>
                    <w:tl2br w:val="nil"/>
                    <w:tr2bl w:val="nil"/>
                  </w:tcBorders>
                  <w:shd w:val="clear" w:color="auto" w:fill="auto"/>
                  <w:noWrap w:val="0"/>
                  <w:vAlign w:val="center"/>
                </w:tcPr>
                <w:p w14:paraId="47F0C808">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1</w:t>
                  </w:r>
                  <w:r>
                    <w:rPr>
                      <w:rFonts w:hint="eastAsia" w:cs="Times New Roman"/>
                      <w:b w:val="0"/>
                      <w:bCs/>
                      <w:color w:val="auto"/>
                      <w:spacing w:val="0"/>
                      <w:sz w:val="21"/>
                      <w:szCs w:val="21"/>
                      <w:lang w:val="en-US" w:eastAsia="zh-CN"/>
                    </w:rPr>
                    <w:t>1.65</w:t>
                  </w:r>
                </w:p>
              </w:tc>
              <w:tc>
                <w:tcPr>
                  <w:tcW w:w="2183" w:type="pct"/>
                  <w:tcBorders>
                    <w:tl2br w:val="nil"/>
                    <w:tr2bl w:val="nil"/>
                  </w:tcBorders>
                  <w:noWrap w:val="0"/>
                  <w:vAlign w:val="center"/>
                </w:tcPr>
                <w:p w14:paraId="16013587">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由沥青、乳化剂和水制成的乳状液，呈棕褐色液体，分散性好，成膜性强</w:t>
                  </w:r>
                </w:p>
              </w:tc>
              <w:tc>
                <w:tcPr>
                  <w:tcW w:w="1102" w:type="pct"/>
                  <w:tcBorders>
                    <w:tl2br w:val="nil"/>
                    <w:tr2bl w:val="nil"/>
                  </w:tcBorders>
                  <w:noWrap w:val="0"/>
                  <w:vAlign w:val="center"/>
                </w:tcPr>
                <w:p w14:paraId="5700FD24">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钻井液防塌剂、润滑剂，用于封堵地层微裂缝、改善泥饼质量</w:t>
                  </w:r>
                </w:p>
              </w:tc>
            </w:tr>
            <w:tr w14:paraId="1AAD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1DD539A">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13</w:t>
                  </w:r>
                </w:p>
              </w:tc>
              <w:tc>
                <w:tcPr>
                  <w:tcW w:w="919" w:type="pct"/>
                  <w:tcBorders>
                    <w:tl2br w:val="nil"/>
                    <w:tr2bl w:val="nil"/>
                  </w:tcBorders>
                  <w:noWrap w:val="0"/>
                  <w:vAlign w:val="center"/>
                </w:tcPr>
                <w:p w14:paraId="4368A976">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FA367</w:t>
                  </w:r>
                </w:p>
              </w:tc>
              <w:tc>
                <w:tcPr>
                  <w:tcW w:w="895" w:type="dxa"/>
                  <w:tcBorders>
                    <w:tl2br w:val="nil"/>
                    <w:tr2bl w:val="nil"/>
                  </w:tcBorders>
                  <w:shd w:val="clear" w:color="auto" w:fill="auto"/>
                  <w:noWrap w:val="0"/>
                  <w:vAlign w:val="center"/>
                </w:tcPr>
                <w:p w14:paraId="3AF0065F">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88</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62DDC81E">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为两性离子聚合物强包被剂，在分子中引入阳离子、阴离子和非离子基团的线性大聚合物，外观为灰黄色粉末，溶于水，水溶液为黏稠状液体</w:t>
                  </w:r>
                </w:p>
              </w:tc>
              <w:tc>
                <w:tcPr>
                  <w:tcW w:w="1102" w:type="pct"/>
                  <w:tcBorders>
                    <w:tl2br w:val="nil"/>
                    <w:tr2bl w:val="nil"/>
                  </w:tcBorders>
                  <w:noWrap w:val="0"/>
                  <w:vAlign w:val="center"/>
                </w:tcPr>
                <w:p w14:paraId="76D85A1E">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钻井液包被抑制剂，用于抑制钻屑分散、稳定井壁</w:t>
                  </w:r>
                </w:p>
              </w:tc>
            </w:tr>
            <w:tr w14:paraId="421E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A41E605">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14</w:t>
                  </w:r>
                </w:p>
              </w:tc>
              <w:tc>
                <w:tcPr>
                  <w:tcW w:w="919" w:type="pct"/>
                  <w:tcBorders>
                    <w:tl2br w:val="nil"/>
                    <w:tr2bl w:val="nil"/>
                  </w:tcBorders>
                  <w:noWrap w:val="0"/>
                  <w:vAlign w:val="center"/>
                </w:tcPr>
                <w:p w14:paraId="72452397">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纳米封堵剂</w:t>
                  </w:r>
                </w:p>
              </w:tc>
              <w:tc>
                <w:tcPr>
                  <w:tcW w:w="895" w:type="dxa"/>
                  <w:tcBorders>
                    <w:tl2br w:val="nil"/>
                    <w:tr2bl w:val="nil"/>
                  </w:tcBorders>
                  <w:shd w:val="clear" w:color="auto" w:fill="auto"/>
                  <w:noWrap w:val="0"/>
                  <w:vAlign w:val="center"/>
                </w:tcPr>
                <w:p w14:paraId="02937C6D">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88</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73E9321C">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纳米级无机或有机颗粒材料，分散性好，粒径小，能进入地层微孔隙和裂缝，形成封堵层</w:t>
                  </w:r>
                </w:p>
              </w:tc>
              <w:tc>
                <w:tcPr>
                  <w:tcW w:w="1102" w:type="pct"/>
                  <w:tcBorders>
                    <w:tl2br w:val="nil"/>
                    <w:tr2bl w:val="nil"/>
                  </w:tcBorders>
                  <w:noWrap w:val="0"/>
                  <w:vAlign w:val="center"/>
                </w:tcPr>
                <w:p w14:paraId="4E824A65">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钻井液封堵剂，用于封堵地层微裂缝、降低滤失量</w:t>
                  </w:r>
                </w:p>
              </w:tc>
            </w:tr>
            <w:tr w14:paraId="31E8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357015D">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15</w:t>
                  </w:r>
                </w:p>
              </w:tc>
              <w:tc>
                <w:tcPr>
                  <w:tcW w:w="919" w:type="pct"/>
                  <w:tcBorders>
                    <w:tl2br w:val="nil"/>
                    <w:tr2bl w:val="nil"/>
                  </w:tcBorders>
                  <w:noWrap w:val="0"/>
                  <w:vAlign w:val="center"/>
                </w:tcPr>
                <w:p w14:paraId="51D443A5">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油层保护剂</w:t>
                  </w:r>
                </w:p>
              </w:tc>
              <w:tc>
                <w:tcPr>
                  <w:tcW w:w="895" w:type="dxa"/>
                  <w:tcBorders>
                    <w:tl2br w:val="nil"/>
                    <w:tr2bl w:val="nil"/>
                  </w:tcBorders>
                  <w:shd w:val="clear" w:color="auto" w:fill="auto"/>
                  <w:noWrap w:val="0"/>
                  <w:vAlign w:val="center"/>
                </w:tcPr>
                <w:p w14:paraId="61A3D1EB">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88</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083FF7C0">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具有暂堵、屏蔽功能的高分子或无机材料，可在井壁形成可降解或易解除的暂堵层，防止钻井液侵入储层</w:t>
                  </w:r>
                </w:p>
              </w:tc>
              <w:tc>
                <w:tcPr>
                  <w:tcW w:w="1102" w:type="pct"/>
                  <w:tcBorders>
                    <w:tl2br w:val="nil"/>
                    <w:tr2bl w:val="nil"/>
                  </w:tcBorders>
                  <w:noWrap w:val="0"/>
                  <w:vAlign w:val="center"/>
                </w:tcPr>
                <w:p w14:paraId="12573DA3">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用于保护油气层，减少钻井液对储层的伤害</w:t>
                  </w:r>
                </w:p>
              </w:tc>
            </w:tr>
            <w:tr w14:paraId="03FC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75E007FA">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16</w:t>
                  </w:r>
                </w:p>
              </w:tc>
              <w:tc>
                <w:tcPr>
                  <w:tcW w:w="919" w:type="pct"/>
                  <w:tcBorders>
                    <w:tl2br w:val="nil"/>
                    <w:tr2bl w:val="nil"/>
                  </w:tcBorders>
                  <w:noWrap w:val="0"/>
                  <w:vAlign w:val="center"/>
                </w:tcPr>
                <w:p w14:paraId="64A007BA">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超细碳酸钙</w:t>
                  </w:r>
                  <w:r>
                    <w:rPr>
                      <w:rFonts w:hint="default" w:ascii="Times New Roman" w:hAnsi="Times New Roman" w:eastAsia="宋体" w:cs="Times New Roman"/>
                      <w:b w:val="0"/>
                      <w:bCs/>
                      <w:color w:val="auto"/>
                      <w:spacing w:val="0"/>
                      <w:sz w:val="21"/>
                      <w:szCs w:val="21"/>
                      <w:lang w:val="en-US" w:eastAsia="zh-CN"/>
                    </w:rPr>
                    <w:t>QS-1</w:t>
                  </w:r>
                </w:p>
              </w:tc>
              <w:tc>
                <w:tcPr>
                  <w:tcW w:w="895" w:type="dxa"/>
                  <w:tcBorders>
                    <w:tl2br w:val="nil"/>
                    <w:tr2bl w:val="nil"/>
                  </w:tcBorders>
                  <w:shd w:val="clear" w:color="auto" w:fill="auto"/>
                  <w:noWrap w:val="0"/>
                  <w:vAlign w:val="center"/>
                </w:tcPr>
                <w:p w14:paraId="54EAA963">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1</w:t>
                  </w:r>
                  <w:r>
                    <w:rPr>
                      <w:rFonts w:hint="eastAsia" w:cs="Times New Roman"/>
                      <w:b w:val="0"/>
                      <w:bCs/>
                      <w:color w:val="auto"/>
                      <w:spacing w:val="0"/>
                      <w:sz w:val="21"/>
                      <w:szCs w:val="21"/>
                      <w:lang w:val="en-US" w:eastAsia="zh-CN"/>
                    </w:rPr>
                    <w:t>6.27</w:t>
                  </w:r>
                </w:p>
              </w:tc>
              <w:tc>
                <w:tcPr>
                  <w:tcW w:w="2183" w:type="pct"/>
                  <w:tcBorders>
                    <w:tl2br w:val="nil"/>
                    <w:tr2bl w:val="nil"/>
                  </w:tcBorders>
                  <w:noWrap w:val="0"/>
                  <w:vAlign w:val="center"/>
                </w:tcPr>
                <w:p w14:paraId="0C358505">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白色微细粉末，粒径分布均匀，比表面积大，分散性好，化学性质稳定</w:t>
                  </w:r>
                </w:p>
              </w:tc>
              <w:tc>
                <w:tcPr>
                  <w:tcW w:w="1102" w:type="pct"/>
                  <w:tcBorders>
                    <w:tl2br w:val="nil"/>
                    <w:tr2bl w:val="nil"/>
                  </w:tcBorders>
                  <w:noWrap w:val="0"/>
                  <w:vAlign w:val="center"/>
                </w:tcPr>
                <w:p w14:paraId="217049BE">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钻井液封堵剂、加重剂，用于封堵地层孔隙、改善泥饼质量</w:t>
                  </w:r>
                </w:p>
              </w:tc>
            </w:tr>
            <w:tr w14:paraId="7847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3CC4FB7">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17</w:t>
                  </w:r>
                </w:p>
              </w:tc>
              <w:tc>
                <w:tcPr>
                  <w:tcW w:w="919" w:type="pct"/>
                  <w:tcBorders>
                    <w:tl2br w:val="nil"/>
                    <w:tr2bl w:val="nil"/>
                  </w:tcBorders>
                  <w:noWrap w:val="0"/>
                  <w:vAlign w:val="center"/>
                </w:tcPr>
                <w:p w14:paraId="00B9EDDE">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rPr>
                    <w:t>超细碳酸钙</w:t>
                  </w:r>
                  <w:r>
                    <w:rPr>
                      <w:rFonts w:hint="default" w:ascii="Times New Roman" w:hAnsi="Times New Roman" w:eastAsia="宋体" w:cs="Times New Roman"/>
                      <w:b w:val="0"/>
                      <w:bCs/>
                      <w:color w:val="auto"/>
                      <w:spacing w:val="0"/>
                      <w:sz w:val="21"/>
                      <w:szCs w:val="21"/>
                      <w:lang w:val="en-US" w:eastAsia="zh-CN"/>
                    </w:rPr>
                    <w:t>QS-2</w:t>
                  </w:r>
                </w:p>
              </w:tc>
              <w:tc>
                <w:tcPr>
                  <w:tcW w:w="895" w:type="dxa"/>
                  <w:tcBorders>
                    <w:tl2br w:val="nil"/>
                    <w:tr2bl w:val="nil"/>
                  </w:tcBorders>
                  <w:shd w:val="clear" w:color="auto" w:fill="auto"/>
                  <w:noWrap w:val="0"/>
                  <w:vAlign w:val="center"/>
                </w:tcPr>
                <w:p w14:paraId="3BE34194">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1</w:t>
                  </w:r>
                  <w:r>
                    <w:rPr>
                      <w:rFonts w:hint="eastAsia" w:cs="Times New Roman"/>
                      <w:b w:val="0"/>
                      <w:bCs/>
                      <w:color w:val="auto"/>
                      <w:spacing w:val="0"/>
                      <w:sz w:val="21"/>
                      <w:szCs w:val="21"/>
                      <w:lang w:val="en-US" w:eastAsia="zh-CN"/>
                    </w:rPr>
                    <w:t>6.27</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5998D982">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白色微细粉末，粒径分布均匀，比表面积大，分散性好，化学性质稳定，粒径与 QS-1 不同</w:t>
                  </w:r>
                </w:p>
              </w:tc>
              <w:tc>
                <w:tcPr>
                  <w:tcW w:w="1102" w:type="pct"/>
                  <w:tcBorders>
                    <w:tl2br w:val="nil"/>
                    <w:tr2bl w:val="nil"/>
                  </w:tcBorders>
                  <w:noWrap w:val="0"/>
                  <w:vAlign w:val="center"/>
                </w:tcPr>
                <w:p w14:paraId="6B81FFD3">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钻井液封堵剂，用于分级封堵地层孔隙，降低滤失量</w:t>
                  </w:r>
                </w:p>
              </w:tc>
            </w:tr>
            <w:tr w14:paraId="295A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3B22DE6">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18</w:t>
                  </w:r>
                </w:p>
              </w:tc>
              <w:tc>
                <w:tcPr>
                  <w:tcW w:w="919" w:type="pct"/>
                  <w:tcBorders>
                    <w:tl2br w:val="nil"/>
                    <w:tr2bl w:val="nil"/>
                  </w:tcBorders>
                  <w:noWrap w:val="0"/>
                  <w:vAlign w:val="center"/>
                </w:tcPr>
                <w:p w14:paraId="6F9FE8A5">
                  <w:pPr>
                    <w:pStyle w:val="131"/>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pacing w:val="0"/>
                      <w:sz w:val="21"/>
                      <w:szCs w:val="21"/>
                      <w:lang w:val="en-US" w:eastAsia="zh-CN"/>
                    </w:rPr>
                    <w:t>液体润滑剂</w:t>
                  </w:r>
                </w:p>
              </w:tc>
              <w:tc>
                <w:tcPr>
                  <w:tcW w:w="895" w:type="dxa"/>
                  <w:tcBorders>
                    <w:tl2br w:val="nil"/>
                    <w:tr2bl w:val="nil"/>
                  </w:tcBorders>
                  <w:shd w:val="clear" w:color="auto" w:fill="auto"/>
                  <w:noWrap w:val="0"/>
                  <w:vAlign w:val="center"/>
                </w:tcPr>
                <w:p w14:paraId="3AF229E1">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88</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580CE1BE">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油基或水基乳液状液体，表面张力低，润滑性好，能在金属表面形成润滑膜</w:t>
                  </w:r>
                </w:p>
              </w:tc>
              <w:tc>
                <w:tcPr>
                  <w:tcW w:w="1102" w:type="pct"/>
                  <w:tcBorders>
                    <w:tl2br w:val="nil"/>
                    <w:tr2bl w:val="nil"/>
                  </w:tcBorders>
                  <w:noWrap w:val="0"/>
                  <w:vAlign w:val="center"/>
                </w:tcPr>
                <w:p w14:paraId="121ACEF7">
                  <w:pPr>
                    <w:keepNext w:val="0"/>
                    <w:keepLines w:val="0"/>
                    <w:widowControl/>
                    <w:suppressLineNumbers w:val="0"/>
                    <w:jc w:val="center"/>
                    <w:textAlignment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kern w:val="0"/>
                      <w:sz w:val="21"/>
                      <w:szCs w:val="21"/>
                      <w:u w:val="none"/>
                      <w:lang w:val="en-US" w:eastAsia="zh-CN" w:bidi="ar"/>
                    </w:rPr>
                    <w:t>钻井液润滑剂，用于降低钻具与井壁间的摩擦阻力，防止卡钻</w:t>
                  </w:r>
                </w:p>
              </w:tc>
            </w:tr>
            <w:tr w14:paraId="770F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C166D52">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19</w:t>
                  </w:r>
                </w:p>
              </w:tc>
              <w:tc>
                <w:tcPr>
                  <w:tcW w:w="919" w:type="pct"/>
                  <w:tcBorders>
                    <w:tl2br w:val="nil"/>
                    <w:tr2bl w:val="nil"/>
                  </w:tcBorders>
                  <w:noWrap w:val="0"/>
                  <w:vAlign w:val="center"/>
                </w:tcPr>
                <w:p w14:paraId="21C8FEBC">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kern w:val="0"/>
                      <w:sz w:val="21"/>
                      <w:szCs w:val="21"/>
                      <w:highlight w:val="none"/>
                      <w:lang w:bidi="ar"/>
                    </w:rPr>
                    <w:t>黄原胶</w:t>
                  </w:r>
                </w:p>
              </w:tc>
              <w:tc>
                <w:tcPr>
                  <w:tcW w:w="895" w:type="dxa"/>
                  <w:tcBorders>
                    <w:tl2br w:val="nil"/>
                    <w:tr2bl w:val="nil"/>
                  </w:tcBorders>
                  <w:shd w:val="clear" w:color="auto" w:fill="auto"/>
                  <w:noWrap w:val="0"/>
                  <w:vAlign w:val="center"/>
                </w:tcPr>
                <w:p w14:paraId="62E2D9F6">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0.4</w:t>
                  </w:r>
                  <w:r>
                    <w:rPr>
                      <w:rFonts w:hint="eastAsia" w:cs="Times New Roman"/>
                      <w:b w:val="0"/>
                      <w:bCs/>
                      <w:color w:val="auto"/>
                      <w:spacing w:val="0"/>
                      <w:sz w:val="21"/>
                      <w:szCs w:val="21"/>
                      <w:lang w:val="en-US" w:eastAsia="zh-CN"/>
                    </w:rPr>
                    <w:t>8</w:t>
                  </w:r>
                </w:p>
              </w:tc>
              <w:tc>
                <w:tcPr>
                  <w:tcW w:w="2183" w:type="pct"/>
                  <w:tcBorders>
                    <w:tl2br w:val="nil"/>
                    <w:tr2bl w:val="nil"/>
                  </w:tcBorders>
                  <w:noWrap w:val="0"/>
                  <w:vAlign w:val="center"/>
                </w:tcPr>
                <w:p w14:paraId="3CE698D6">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黄原胶是一种由黄单胞杆菌发酵产生的细胞外酸性杂多糖。是由D</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葡萄糖、D-甘露糖和D-</w:t>
                  </w:r>
                  <w:r>
                    <w:rPr>
                      <w:rFonts w:hint="default" w:ascii="Times New Roman" w:hAnsi="Times New Roman" w:eastAsia="宋体" w:cs="Times New Roman"/>
                      <w:b w:val="0"/>
                      <w:bCs/>
                      <w:color w:val="auto"/>
                      <w:spacing w:val="0"/>
                      <w:kern w:val="21"/>
                      <w:sz w:val="21"/>
                      <w:szCs w:val="21"/>
                      <w:highlight w:val="none"/>
                      <w:lang w:eastAsia="zh-CN" w:bidi="ar"/>
                    </w:rPr>
                    <w:t>葡糖醛酸</w:t>
                  </w:r>
                  <w:r>
                    <w:rPr>
                      <w:rFonts w:hint="default" w:ascii="Times New Roman" w:hAnsi="Times New Roman" w:eastAsia="宋体" w:cs="Times New Roman"/>
                      <w:b w:val="0"/>
                      <w:bCs/>
                      <w:color w:val="auto"/>
                      <w:spacing w:val="0"/>
                      <w:kern w:val="21"/>
                      <w:sz w:val="21"/>
                      <w:szCs w:val="21"/>
                      <w:highlight w:val="none"/>
                      <w:lang w:bidi="ar"/>
                    </w:rPr>
                    <w:t>按2:2:1组成的多糖类高分子化合物，相对分子质量在100万以上；黄原胶为浅黄色至白色可流动粉末，稍带臭味。易溶于冷、热水中，溶液中性，耐冻结和解冻，不溶于乙醇。遇水分散、乳化变成稳定的亲水性粘稠胶体</w:t>
                  </w:r>
                  <w:r>
                    <w:rPr>
                      <w:rFonts w:hint="default" w:ascii="Times New Roman" w:hAnsi="Times New Roman" w:eastAsia="宋体" w:cs="Times New Roman"/>
                      <w:b w:val="0"/>
                      <w:bCs/>
                      <w:color w:val="auto"/>
                      <w:spacing w:val="0"/>
                      <w:kern w:val="21"/>
                      <w:sz w:val="21"/>
                      <w:szCs w:val="21"/>
                      <w:highlight w:val="none"/>
                      <w:lang w:eastAsia="zh-CN" w:bidi="ar"/>
                    </w:rPr>
                    <w:t>。小鼠经口LD50&gt;10g/kg，可安全用于食品，不属于易燃易爆物质。</w:t>
                  </w:r>
                </w:p>
              </w:tc>
              <w:tc>
                <w:tcPr>
                  <w:tcW w:w="1102" w:type="pct"/>
                  <w:tcBorders>
                    <w:tl2br w:val="nil"/>
                    <w:tr2bl w:val="nil"/>
                  </w:tcBorders>
                  <w:noWrap w:val="0"/>
                  <w:vAlign w:val="center"/>
                </w:tcPr>
                <w:p w14:paraId="01A03A62">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钻井液增粘剂，用于提高钻井液粘度和携砂能力</w:t>
                  </w:r>
                </w:p>
              </w:tc>
            </w:tr>
            <w:tr w14:paraId="089D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6F65E543">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20</w:t>
                  </w:r>
                </w:p>
              </w:tc>
              <w:tc>
                <w:tcPr>
                  <w:tcW w:w="919" w:type="pct"/>
                  <w:tcBorders>
                    <w:tl2br w:val="nil"/>
                    <w:tr2bl w:val="nil"/>
                  </w:tcBorders>
                  <w:noWrap w:val="0"/>
                  <w:vAlign w:val="center"/>
                </w:tcPr>
                <w:p w14:paraId="1B10C70D">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sz w:val="21"/>
                      <w:szCs w:val="21"/>
                      <w:highlight w:val="none"/>
                    </w:rPr>
                    <w:t>破乳剂</w:t>
                  </w:r>
                </w:p>
              </w:tc>
              <w:tc>
                <w:tcPr>
                  <w:tcW w:w="895" w:type="dxa"/>
                  <w:tcBorders>
                    <w:tl2br w:val="nil"/>
                    <w:tr2bl w:val="nil"/>
                  </w:tcBorders>
                  <w:shd w:val="clear" w:color="auto" w:fill="auto"/>
                  <w:noWrap w:val="0"/>
                  <w:vAlign w:val="center"/>
                </w:tcPr>
                <w:p w14:paraId="278DC23A">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0.</w:t>
                  </w:r>
                  <w:r>
                    <w:rPr>
                      <w:rFonts w:hint="eastAsia" w:cs="Times New Roman"/>
                      <w:b w:val="0"/>
                      <w:bCs/>
                      <w:color w:val="auto"/>
                      <w:spacing w:val="0"/>
                      <w:sz w:val="21"/>
                      <w:szCs w:val="21"/>
                      <w:lang w:val="en-US" w:eastAsia="zh-CN"/>
                    </w:rPr>
                    <w:t>81</w:t>
                  </w:r>
                </w:p>
              </w:tc>
              <w:tc>
                <w:tcPr>
                  <w:tcW w:w="2183" w:type="pct"/>
                  <w:tcBorders>
                    <w:tl2br w:val="nil"/>
                    <w:tr2bl w:val="nil"/>
                  </w:tcBorders>
                  <w:noWrap w:val="0"/>
                  <w:vAlign w:val="center"/>
                </w:tcPr>
                <w:p w14:paraId="051E4787">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含量3%的1，2-丙二醇、甲基环氧乙烷、环氧乙烷的共聚物，其余为水</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val="en-US" w:eastAsia="zh-CN" w:bidi="ar"/>
                    </w:rPr>
                    <w:t>无毒，</w:t>
                  </w:r>
                  <w:r>
                    <w:rPr>
                      <w:rFonts w:hint="default" w:ascii="Times New Roman" w:hAnsi="Times New Roman" w:eastAsia="宋体" w:cs="Times New Roman"/>
                      <w:b w:val="0"/>
                      <w:bCs/>
                      <w:color w:val="auto"/>
                      <w:spacing w:val="0"/>
                      <w:kern w:val="21"/>
                      <w:sz w:val="21"/>
                      <w:szCs w:val="21"/>
                      <w:highlight w:val="none"/>
                      <w:lang w:eastAsia="zh-CN" w:bidi="ar"/>
                    </w:rPr>
                    <w:t>不属于易燃易爆物质。</w:t>
                  </w:r>
                </w:p>
              </w:tc>
              <w:tc>
                <w:tcPr>
                  <w:tcW w:w="1102" w:type="pct"/>
                  <w:tcBorders>
                    <w:tl2br w:val="nil"/>
                    <w:tr2bl w:val="nil"/>
                  </w:tcBorders>
                  <w:noWrap w:val="0"/>
                  <w:vAlign w:val="center"/>
                </w:tcPr>
                <w:p w14:paraId="6FC518DD">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用于压裂/试油返排液破乳处理，辅助油水分离</w:t>
                  </w:r>
                </w:p>
              </w:tc>
            </w:tr>
            <w:tr w14:paraId="47C0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6DC3FE25">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21</w:t>
                  </w:r>
                </w:p>
              </w:tc>
              <w:tc>
                <w:tcPr>
                  <w:tcW w:w="919" w:type="pct"/>
                  <w:tcBorders>
                    <w:tl2br w:val="nil"/>
                    <w:tr2bl w:val="nil"/>
                  </w:tcBorders>
                  <w:noWrap w:val="0"/>
                  <w:vAlign w:val="center"/>
                </w:tcPr>
                <w:p w14:paraId="3E1BA8B4">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sz w:val="21"/>
                      <w:szCs w:val="21"/>
                      <w:highlight w:val="none"/>
                    </w:rPr>
                    <w:t>氯化钾</w:t>
                  </w:r>
                </w:p>
              </w:tc>
              <w:tc>
                <w:tcPr>
                  <w:tcW w:w="895" w:type="dxa"/>
                  <w:tcBorders>
                    <w:tl2br w:val="nil"/>
                    <w:tr2bl w:val="nil"/>
                  </w:tcBorders>
                  <w:shd w:val="clear" w:color="auto" w:fill="auto"/>
                  <w:noWrap w:val="0"/>
                  <w:vAlign w:val="center"/>
                </w:tcPr>
                <w:p w14:paraId="2C0DBFAF">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4.</w:t>
                  </w:r>
                  <w:r>
                    <w:rPr>
                      <w:rFonts w:hint="eastAsia" w:cs="Times New Roman"/>
                      <w:b w:val="0"/>
                      <w:bCs/>
                      <w:color w:val="auto"/>
                      <w:spacing w:val="0"/>
                      <w:sz w:val="21"/>
                      <w:szCs w:val="21"/>
                      <w:lang w:val="en-US" w:eastAsia="zh-CN"/>
                    </w:rPr>
                    <w:t>88</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17A2531C">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无色细长菱形或立方晶体，或白色结晶小颗粒粉末，用作添加剂</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口服过量氯化钾有毒；</w:t>
                  </w:r>
                  <w:r>
                    <w:rPr>
                      <w:rFonts w:hint="default" w:ascii="Times New Roman" w:hAnsi="Times New Roman" w:eastAsia="宋体" w:cs="Times New Roman"/>
                      <w:b w:val="0"/>
                      <w:bCs/>
                      <w:color w:val="auto"/>
                      <w:spacing w:val="0"/>
                      <w:kern w:val="21"/>
                      <w:sz w:val="21"/>
                      <w:szCs w:val="21"/>
                      <w:highlight w:val="none"/>
                      <w:lang w:bidi="ar"/>
                    </w:rPr>
                    <w:fldChar w:fldCharType="begin"/>
                  </w:r>
                  <w:r>
                    <w:rPr>
                      <w:rFonts w:hint="default" w:ascii="Times New Roman" w:hAnsi="Times New Roman" w:eastAsia="宋体" w:cs="Times New Roman"/>
                      <w:b w:val="0"/>
                      <w:bCs/>
                      <w:color w:val="auto"/>
                      <w:spacing w:val="0"/>
                      <w:kern w:val="21"/>
                      <w:sz w:val="21"/>
                      <w:szCs w:val="21"/>
                      <w:highlight w:val="none"/>
                      <w:lang w:bidi="ar"/>
                    </w:rPr>
                    <w:instrText xml:space="preserve"> HYPERLINK "https://baike.baidu.com/item/%E5%8D%8A%E6%95%B0%E8%87%B4%E6%AD%BB%E9%87%8F/10479386?fromModule=lemma_inlink" \t "https://baike.baidu.com/item/%E6%B0%AF%E5%8C%96%E9%92%BE/_blank" </w:instrText>
                  </w:r>
                  <w:r>
                    <w:rPr>
                      <w:rFonts w:hint="default" w:ascii="Times New Roman" w:hAnsi="Times New Roman" w:eastAsia="宋体" w:cs="Times New Roman"/>
                      <w:b w:val="0"/>
                      <w:bCs/>
                      <w:color w:val="auto"/>
                      <w:spacing w:val="0"/>
                      <w:kern w:val="21"/>
                      <w:sz w:val="21"/>
                      <w:szCs w:val="21"/>
                      <w:highlight w:val="none"/>
                      <w:lang w:bidi="ar"/>
                    </w:rPr>
                    <w:fldChar w:fldCharType="separate"/>
                  </w:r>
                  <w:r>
                    <w:rPr>
                      <w:rFonts w:hint="default" w:ascii="Times New Roman" w:hAnsi="Times New Roman" w:eastAsia="宋体" w:cs="Times New Roman"/>
                      <w:b w:val="0"/>
                      <w:bCs/>
                      <w:color w:val="auto"/>
                      <w:spacing w:val="0"/>
                      <w:kern w:val="21"/>
                      <w:sz w:val="21"/>
                      <w:szCs w:val="21"/>
                      <w:highlight w:val="none"/>
                      <w:lang w:bidi="ar"/>
                    </w:rPr>
                    <w:t>半数致死量</w:t>
                  </w:r>
                  <w:r>
                    <w:rPr>
                      <w:rFonts w:hint="default" w:ascii="Times New Roman" w:hAnsi="Times New Roman" w:eastAsia="宋体" w:cs="Times New Roman"/>
                      <w:b w:val="0"/>
                      <w:bCs/>
                      <w:color w:val="auto"/>
                      <w:spacing w:val="0"/>
                      <w:kern w:val="21"/>
                      <w:sz w:val="21"/>
                      <w:szCs w:val="21"/>
                      <w:highlight w:val="none"/>
                      <w:lang w:bidi="ar"/>
                    </w:rPr>
                    <w:fldChar w:fldCharType="end"/>
                  </w:r>
                  <w:r>
                    <w:rPr>
                      <w:rFonts w:hint="default" w:ascii="Times New Roman" w:hAnsi="Times New Roman" w:eastAsia="宋体" w:cs="Times New Roman"/>
                      <w:b w:val="0"/>
                      <w:bCs/>
                      <w:color w:val="auto"/>
                      <w:spacing w:val="0"/>
                      <w:kern w:val="21"/>
                      <w:sz w:val="21"/>
                      <w:szCs w:val="21"/>
                      <w:highlight w:val="none"/>
                      <w:lang w:bidi="ar"/>
                    </w:rPr>
                    <w:t>约为2500mg/kg（与普通盐毒性近似</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bidi="ar"/>
                    </w:rPr>
                    <w:t>。静脉注射的半数致死量约为100mg/kg</w:t>
                  </w:r>
                  <w:r>
                    <w:rPr>
                      <w:rFonts w:hint="default" w:ascii="Times New Roman" w:hAnsi="Times New Roman" w:eastAsia="宋体" w:cs="Times New Roman"/>
                      <w:b w:val="0"/>
                      <w:bCs/>
                      <w:color w:val="auto"/>
                      <w:spacing w:val="0"/>
                      <w:kern w:val="21"/>
                      <w:sz w:val="21"/>
                      <w:szCs w:val="21"/>
                      <w:highlight w:val="none"/>
                      <w:lang w:eastAsia="zh-CN" w:bidi="ar"/>
                    </w:rPr>
                    <w:t>。燃爆危害：不易燃不易爆。</w:t>
                  </w:r>
                </w:p>
              </w:tc>
              <w:tc>
                <w:tcPr>
                  <w:tcW w:w="1102" w:type="pct"/>
                  <w:tcBorders>
                    <w:tl2br w:val="nil"/>
                    <w:tr2bl w:val="nil"/>
                  </w:tcBorders>
                  <w:noWrap w:val="0"/>
                  <w:vAlign w:val="center"/>
                </w:tcPr>
                <w:p w14:paraId="74D166F9">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钻井液抑制剂，用于抑制黏土水化膨胀、防塌</w:t>
                  </w:r>
                </w:p>
              </w:tc>
            </w:tr>
            <w:tr w14:paraId="50F4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0765EAEC">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0"/>
                      <w:sz w:val="21"/>
                      <w:szCs w:val="21"/>
                      <w:highlight w:val="none"/>
                      <w:lang w:val="en-US" w:eastAsia="zh-CN"/>
                    </w:rPr>
                  </w:pPr>
                  <w:r>
                    <w:rPr>
                      <w:rFonts w:hint="default" w:ascii="Times New Roman" w:hAnsi="Times New Roman" w:eastAsia="宋体" w:cs="Times New Roman"/>
                      <w:b w:val="0"/>
                      <w:bCs/>
                      <w:color w:val="auto"/>
                      <w:spacing w:val="0"/>
                      <w:sz w:val="21"/>
                      <w:szCs w:val="21"/>
                      <w:highlight w:val="none"/>
                      <w:lang w:val="en-US" w:eastAsia="zh-CN"/>
                    </w:rPr>
                    <w:t>22</w:t>
                  </w:r>
                </w:p>
              </w:tc>
              <w:tc>
                <w:tcPr>
                  <w:tcW w:w="919" w:type="pct"/>
                  <w:tcBorders>
                    <w:tl2br w:val="nil"/>
                    <w:tr2bl w:val="nil"/>
                  </w:tcBorders>
                  <w:noWrap w:val="0"/>
                  <w:vAlign w:val="center"/>
                </w:tcPr>
                <w:p w14:paraId="24569AD0">
                  <w:pPr>
                    <w:keepNext w:val="0"/>
                    <w:keepLines w:val="0"/>
                    <w:pageBreakBefore w:val="0"/>
                    <w:widowControl w:val="0"/>
                    <w:kinsoku/>
                    <w:wordWrap/>
                    <w:overflowPunct/>
                    <w:topLinePunct w:val="0"/>
                    <w:autoSpaceDE/>
                    <w:autoSpaceDN/>
                    <w:bidi w:val="0"/>
                    <w:snapToGrid/>
                    <w:spacing w:line="0" w:lineRule="atLeast"/>
                    <w:jc w:val="center"/>
                    <w:textAlignment w:val="center"/>
                    <w:outlineLvl w:val="9"/>
                    <w:rPr>
                      <w:rFonts w:hint="default" w:ascii="Times New Roman" w:hAnsi="Times New Roman" w:eastAsia="宋体" w:cs="Times New Roman"/>
                      <w:b w:val="0"/>
                      <w:bCs/>
                      <w:color w:val="auto"/>
                      <w:spacing w:val="0"/>
                      <w:sz w:val="21"/>
                      <w:szCs w:val="21"/>
                      <w:lang w:val="en-US" w:eastAsia="zh-CN"/>
                    </w:rPr>
                  </w:pPr>
                  <w:r>
                    <w:rPr>
                      <w:rFonts w:hint="default" w:ascii="Times New Roman" w:hAnsi="Times New Roman" w:eastAsia="宋体" w:cs="Times New Roman"/>
                      <w:b w:val="0"/>
                      <w:bCs/>
                      <w:color w:val="auto"/>
                      <w:spacing w:val="0"/>
                      <w:kern w:val="21"/>
                      <w:sz w:val="21"/>
                      <w:szCs w:val="21"/>
                      <w:highlight w:val="none"/>
                      <w:lang w:bidi="ar"/>
                    </w:rPr>
                    <w:t>支撑剂</w:t>
                  </w:r>
                </w:p>
              </w:tc>
              <w:tc>
                <w:tcPr>
                  <w:tcW w:w="895" w:type="dxa"/>
                  <w:tcBorders>
                    <w:tl2br w:val="nil"/>
                    <w:tr2bl w:val="nil"/>
                  </w:tcBorders>
                  <w:shd w:val="clear" w:color="auto" w:fill="auto"/>
                  <w:noWrap w:val="0"/>
                  <w:vAlign w:val="center"/>
                </w:tcPr>
                <w:p w14:paraId="2ED7C740">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3</w:t>
                  </w:r>
                  <w:r>
                    <w:rPr>
                      <w:rFonts w:hint="eastAsia" w:cs="Times New Roman"/>
                      <w:b w:val="0"/>
                      <w:bCs/>
                      <w:color w:val="auto"/>
                      <w:spacing w:val="0"/>
                      <w:sz w:val="21"/>
                      <w:szCs w:val="21"/>
                      <w:lang w:val="en-US" w:eastAsia="zh-CN"/>
                    </w:rPr>
                    <w:t>2.54</w:t>
                  </w:r>
                  <w:r>
                    <w:rPr>
                      <w:rFonts w:hint="eastAsia" w:ascii="Times New Roman" w:hAnsi="Times New Roman" w:cs="Times New Roman"/>
                      <w:b w:val="0"/>
                      <w:bCs/>
                      <w:color w:val="auto"/>
                      <w:spacing w:val="0"/>
                      <w:sz w:val="21"/>
                      <w:szCs w:val="21"/>
                      <w:lang w:val="en-US" w:eastAsia="zh-CN"/>
                    </w:rPr>
                    <w:t xml:space="preserve"> </w:t>
                  </w:r>
                </w:p>
              </w:tc>
              <w:tc>
                <w:tcPr>
                  <w:tcW w:w="2183" w:type="pct"/>
                  <w:tcBorders>
                    <w:tl2br w:val="nil"/>
                    <w:tr2bl w:val="nil"/>
                  </w:tcBorders>
                  <w:noWrap w:val="0"/>
                  <w:vAlign w:val="center"/>
                </w:tcPr>
                <w:p w14:paraId="4ECDFF54">
                  <w:pPr>
                    <w:keepNext w:val="0"/>
                    <w:keepLines w:val="0"/>
                    <w:pageBreakBefore w:val="0"/>
                    <w:widowControl w:val="0"/>
                    <w:kinsoku/>
                    <w:wordWrap/>
                    <w:overflowPunct/>
                    <w:topLinePunct w:val="0"/>
                    <w:autoSpaceDE/>
                    <w:autoSpaceDN/>
                    <w:bidi w:val="0"/>
                    <w:adjustRightInd w:val="0"/>
                    <w:snapToGrid/>
                    <w:spacing w:line="0" w:lineRule="atLeast"/>
                    <w:jc w:val="left"/>
                    <w:textAlignment w:val="center"/>
                    <w:outlineLvl w:val="9"/>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color w:val="auto"/>
                      <w:spacing w:val="0"/>
                      <w:kern w:val="21"/>
                      <w:sz w:val="21"/>
                      <w:szCs w:val="21"/>
                      <w:highlight w:val="none"/>
                      <w:lang w:bidi="ar"/>
                    </w:rPr>
                    <w:t>压裂支撑剂是一种石英砂、陶瓷颗粒产品，具有很高的压裂强度，主要用于油田井下支撑，以增加石油</w:t>
                  </w:r>
                  <w:r>
                    <w:rPr>
                      <w:rFonts w:hint="eastAsia" w:cs="Times New Roman"/>
                      <w:b w:val="0"/>
                      <w:bCs/>
                      <w:color w:val="auto"/>
                      <w:spacing w:val="0"/>
                      <w:kern w:val="21"/>
                      <w:sz w:val="21"/>
                      <w:szCs w:val="21"/>
                      <w:highlight w:val="none"/>
                      <w:lang w:eastAsia="zh-CN" w:bidi="ar"/>
                    </w:rPr>
                    <w:t>天然气</w:t>
                  </w:r>
                  <w:r>
                    <w:rPr>
                      <w:rFonts w:hint="default" w:ascii="Times New Roman" w:hAnsi="Times New Roman" w:eastAsia="宋体" w:cs="Times New Roman"/>
                      <w:b w:val="0"/>
                      <w:bCs/>
                      <w:color w:val="auto"/>
                      <w:spacing w:val="0"/>
                      <w:kern w:val="21"/>
                      <w:sz w:val="21"/>
                      <w:szCs w:val="21"/>
                      <w:highlight w:val="none"/>
                      <w:lang w:bidi="ar"/>
                    </w:rPr>
                    <w:t>的产量</w:t>
                  </w:r>
                  <w:r>
                    <w:rPr>
                      <w:rFonts w:hint="default" w:ascii="Times New Roman" w:hAnsi="Times New Roman" w:eastAsia="宋体" w:cs="Times New Roman"/>
                      <w:b w:val="0"/>
                      <w:bCs/>
                      <w:color w:val="auto"/>
                      <w:spacing w:val="0"/>
                      <w:kern w:val="21"/>
                      <w:sz w:val="21"/>
                      <w:szCs w:val="21"/>
                      <w:highlight w:val="none"/>
                      <w:lang w:eastAsia="zh-CN" w:bidi="ar"/>
                    </w:rPr>
                    <w:t>。</w:t>
                  </w:r>
                  <w:r>
                    <w:rPr>
                      <w:rFonts w:hint="default" w:ascii="Times New Roman" w:hAnsi="Times New Roman" w:eastAsia="宋体" w:cs="Times New Roman"/>
                      <w:b w:val="0"/>
                      <w:bCs/>
                      <w:color w:val="auto"/>
                      <w:spacing w:val="0"/>
                      <w:kern w:val="21"/>
                      <w:sz w:val="21"/>
                      <w:szCs w:val="21"/>
                      <w:highlight w:val="none"/>
                      <w:lang w:val="en-US" w:eastAsia="zh-CN" w:bidi="ar"/>
                    </w:rPr>
                    <w:t>无毒，</w:t>
                  </w:r>
                  <w:r>
                    <w:rPr>
                      <w:rFonts w:hint="default" w:ascii="Times New Roman" w:hAnsi="Times New Roman" w:eastAsia="宋体" w:cs="Times New Roman"/>
                      <w:b w:val="0"/>
                      <w:bCs/>
                      <w:color w:val="auto"/>
                      <w:spacing w:val="0"/>
                      <w:kern w:val="21"/>
                      <w:sz w:val="21"/>
                      <w:szCs w:val="21"/>
                      <w:highlight w:val="none"/>
                      <w:lang w:eastAsia="zh-CN" w:bidi="ar"/>
                    </w:rPr>
                    <w:t>不属于易燃易爆物质。</w:t>
                  </w:r>
                </w:p>
              </w:tc>
              <w:tc>
                <w:tcPr>
                  <w:tcW w:w="1102" w:type="pct"/>
                  <w:tcBorders>
                    <w:tl2br w:val="nil"/>
                    <w:tr2bl w:val="nil"/>
                  </w:tcBorders>
                  <w:noWrap w:val="0"/>
                  <w:vAlign w:val="center"/>
                </w:tcPr>
                <w:p w14:paraId="06C328F7">
                  <w:pPr>
                    <w:keepNext w:val="0"/>
                    <w:keepLines w:val="0"/>
                    <w:widowControl/>
                    <w:suppressLineNumbers w:val="0"/>
                    <w:jc w:val="center"/>
                    <w:textAlignment w:val="center"/>
                    <w:rPr>
                      <w:rFonts w:hint="default" w:ascii="Times New Roman" w:hAnsi="Times New Roman" w:eastAsia="宋体" w:cs="Times New Roman"/>
                      <w:b w:val="0"/>
                      <w:bCs/>
                      <w:i w:val="0"/>
                      <w:iCs w:val="0"/>
                      <w:color w:val="auto"/>
                      <w:kern w:val="0"/>
                      <w:sz w:val="21"/>
                      <w:szCs w:val="21"/>
                      <w:u w:val="none"/>
                      <w:lang w:val="en-US" w:eastAsia="zh-CN" w:bidi="ar"/>
                    </w:rPr>
                  </w:pPr>
                  <w:r>
                    <w:rPr>
                      <w:rFonts w:hint="default" w:ascii="Times New Roman" w:hAnsi="Times New Roman" w:eastAsia="宋体" w:cs="Times New Roman"/>
                      <w:b w:val="0"/>
                      <w:bCs/>
                      <w:i w:val="0"/>
                      <w:iCs w:val="0"/>
                      <w:color w:val="auto"/>
                      <w:kern w:val="0"/>
                      <w:sz w:val="21"/>
                      <w:szCs w:val="21"/>
                      <w:u w:val="none"/>
                      <w:lang w:val="en-US" w:eastAsia="zh-CN" w:bidi="ar"/>
                    </w:rPr>
                    <w:t>用于支撑裂缝、提高导流能力</w:t>
                  </w:r>
                </w:p>
              </w:tc>
            </w:tr>
            <w:tr w14:paraId="03D9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48C33BEB">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23</w:t>
                  </w:r>
                </w:p>
              </w:tc>
              <w:tc>
                <w:tcPr>
                  <w:tcW w:w="919" w:type="pct"/>
                  <w:tcBorders>
                    <w:tl2br w:val="nil"/>
                    <w:tr2bl w:val="nil"/>
                  </w:tcBorders>
                  <w:noWrap w:val="0"/>
                  <w:vAlign w:val="center"/>
                </w:tcPr>
                <w:p w14:paraId="0AB3E0E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柴油</w:t>
                  </w:r>
                </w:p>
              </w:tc>
              <w:tc>
                <w:tcPr>
                  <w:tcW w:w="895" w:type="dxa"/>
                  <w:tcBorders>
                    <w:tl2br w:val="nil"/>
                    <w:tr2bl w:val="nil"/>
                  </w:tcBorders>
                  <w:shd w:val="clear" w:color="auto" w:fill="auto"/>
                  <w:noWrap w:val="0"/>
                  <w:vAlign w:val="center"/>
                </w:tcPr>
                <w:p w14:paraId="456F9CD7">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cs="Times New Roman"/>
                      <w:b w:val="0"/>
                      <w:bCs/>
                      <w:color w:val="auto"/>
                      <w:spacing w:val="0"/>
                      <w:sz w:val="21"/>
                      <w:szCs w:val="21"/>
                      <w:lang w:val="en-US" w:eastAsia="zh-CN"/>
                    </w:rPr>
                    <w:t>15</w:t>
                  </w:r>
                </w:p>
              </w:tc>
              <w:tc>
                <w:tcPr>
                  <w:tcW w:w="2183" w:type="pct"/>
                  <w:tcBorders>
                    <w:tl2br w:val="nil"/>
                    <w:tr2bl w:val="nil"/>
                  </w:tcBorders>
                  <w:noWrap w:val="0"/>
                  <w:vAlign w:val="center"/>
                </w:tcPr>
                <w:p w14:paraId="6D67F65D">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柴油是沸点范围和黏度介于煤油与润滑油之间的液态石油馏分。易燃易挥发，不溶于水，易溶于醇和其他有机溶剂。是组分复杂的混合物，沸点范围有180℃~370℃和350℃~410℃两类。柴油用作基油时应具备以下条件：闪点和燃点分别在82℃和93℃以上；芳烃含量不宜过高，一般要求柴油的苯胺点在60℃以上；黏度不宜过高。柴油基钻井液抗高温高压稳定性好，可以有效避免钻井液不稳定的情况发生。</w:t>
                  </w:r>
                </w:p>
              </w:tc>
              <w:tc>
                <w:tcPr>
                  <w:tcW w:w="1102" w:type="pct"/>
                  <w:tcBorders>
                    <w:tl2br w:val="nil"/>
                    <w:tr2bl w:val="nil"/>
                  </w:tcBorders>
                  <w:noWrap w:val="0"/>
                  <w:vAlign w:val="center"/>
                </w:tcPr>
                <w:p w14:paraId="6A5ABE1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备用柴油发电机发电</w:t>
                  </w:r>
                </w:p>
              </w:tc>
            </w:tr>
            <w:tr w14:paraId="2FD3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DD4F029">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24</w:t>
                  </w:r>
                </w:p>
              </w:tc>
              <w:tc>
                <w:tcPr>
                  <w:tcW w:w="919" w:type="pct"/>
                  <w:tcBorders>
                    <w:tl2br w:val="nil"/>
                    <w:tr2bl w:val="nil"/>
                  </w:tcBorders>
                  <w:noWrap w:val="0"/>
                  <w:vAlign w:val="center"/>
                </w:tcPr>
                <w:p w14:paraId="24B49DA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水</w:t>
                  </w:r>
                </w:p>
              </w:tc>
              <w:tc>
                <w:tcPr>
                  <w:tcW w:w="895" w:type="dxa"/>
                  <w:tcBorders>
                    <w:tl2br w:val="nil"/>
                    <w:tr2bl w:val="nil"/>
                  </w:tcBorders>
                  <w:shd w:val="clear" w:color="auto" w:fill="auto"/>
                  <w:noWrap w:val="0"/>
                  <w:vAlign w:val="center"/>
                </w:tcPr>
                <w:p w14:paraId="58EB0987">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5252</w:t>
                  </w:r>
                </w:p>
              </w:tc>
              <w:tc>
                <w:tcPr>
                  <w:tcW w:w="2183" w:type="pct"/>
                  <w:tcBorders>
                    <w:tl2br w:val="nil"/>
                    <w:tr2bl w:val="nil"/>
                  </w:tcBorders>
                  <w:noWrap w:val="0"/>
                  <w:vAlign w:val="center"/>
                </w:tcPr>
                <w:p w14:paraId="6FB4D8A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c>
                <w:tcPr>
                  <w:tcW w:w="1102" w:type="pct"/>
                  <w:tcBorders>
                    <w:tl2br w:val="nil"/>
                    <w:tr2bl w:val="nil"/>
                  </w:tcBorders>
                  <w:noWrap w:val="0"/>
                  <w:vAlign w:val="center"/>
                </w:tcPr>
                <w:p w14:paraId="68E75FF5">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r>
            <w:tr w14:paraId="358D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6F229BE0">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default" w:ascii="Times New Roman" w:hAnsi="Times New Roman" w:eastAsia="宋体" w:cs="Times New Roman"/>
                      <w:b w:val="0"/>
                      <w:bCs/>
                      <w:color w:val="auto"/>
                      <w:spacing w:val="-10"/>
                      <w:kern w:val="2"/>
                      <w:sz w:val="21"/>
                      <w:szCs w:val="21"/>
                      <w:highlight w:val="none"/>
                      <w:lang w:val="en-US" w:eastAsia="zh-CN" w:bidi="ar-SA"/>
                    </w:rPr>
                    <w:t>25</w:t>
                  </w:r>
                </w:p>
              </w:tc>
              <w:tc>
                <w:tcPr>
                  <w:tcW w:w="919" w:type="pct"/>
                  <w:tcBorders>
                    <w:tl2br w:val="nil"/>
                    <w:tr2bl w:val="nil"/>
                  </w:tcBorders>
                  <w:noWrap w:val="0"/>
                  <w:vAlign w:val="center"/>
                </w:tcPr>
                <w:p w14:paraId="3F48C96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电</w:t>
                  </w:r>
                </w:p>
              </w:tc>
              <w:tc>
                <w:tcPr>
                  <w:tcW w:w="895" w:type="dxa"/>
                  <w:tcBorders>
                    <w:tl2br w:val="nil"/>
                    <w:tr2bl w:val="nil"/>
                  </w:tcBorders>
                  <w:shd w:val="clear" w:color="auto" w:fill="auto"/>
                  <w:noWrap w:val="0"/>
                  <w:vAlign w:val="center"/>
                </w:tcPr>
                <w:p w14:paraId="423A14EA">
                  <w:pPr>
                    <w:keepNext w:val="0"/>
                    <w:keepLines w:val="0"/>
                    <w:pageBreakBefore w:val="0"/>
                    <w:wordWrap/>
                    <w:overflowPunct/>
                    <w:topLinePunct w:val="0"/>
                    <w:bidi w:val="0"/>
                    <w:spacing w:line="240" w:lineRule="auto"/>
                    <w:ind w:left="0" w:leftChars="0" w:firstLine="0" w:firstLineChars="0"/>
                    <w:jc w:val="center"/>
                    <w:rPr>
                      <w:rFonts w:hint="default" w:ascii="Times New Roman" w:hAnsi="Times New Roman" w:cs="Times New Roman"/>
                      <w:b w:val="0"/>
                      <w:bCs/>
                      <w:color w:val="auto"/>
                      <w:spacing w:val="0"/>
                      <w:sz w:val="21"/>
                      <w:szCs w:val="21"/>
                      <w:lang w:val="en-US" w:eastAsia="zh-CN"/>
                    </w:rPr>
                  </w:pPr>
                  <w:r>
                    <w:rPr>
                      <w:rFonts w:hint="eastAsia" w:ascii="Times New Roman" w:hAnsi="Times New Roman" w:cs="Times New Roman"/>
                      <w:b w:val="0"/>
                      <w:bCs/>
                      <w:color w:val="auto"/>
                      <w:spacing w:val="0"/>
                      <w:sz w:val="21"/>
                      <w:szCs w:val="21"/>
                      <w:lang w:val="en-US" w:eastAsia="zh-CN"/>
                    </w:rPr>
                    <w:t>80万kwh</w:t>
                  </w:r>
                </w:p>
              </w:tc>
              <w:tc>
                <w:tcPr>
                  <w:tcW w:w="2183" w:type="pct"/>
                  <w:tcBorders>
                    <w:tl2br w:val="nil"/>
                    <w:tr2bl w:val="nil"/>
                  </w:tcBorders>
                  <w:noWrap w:val="0"/>
                  <w:vAlign w:val="center"/>
                </w:tcPr>
                <w:p w14:paraId="468437B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c>
                <w:tcPr>
                  <w:tcW w:w="1102" w:type="pct"/>
                  <w:tcBorders>
                    <w:tl2br w:val="nil"/>
                    <w:tr2bl w:val="nil"/>
                  </w:tcBorders>
                  <w:noWrap w:val="0"/>
                  <w:vAlign w:val="center"/>
                </w:tcPr>
                <w:p w14:paraId="6EB17BC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w:t>
                  </w:r>
                </w:p>
              </w:tc>
            </w:tr>
            <w:tr w14:paraId="5CDA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83" w:type="pct"/>
                  <w:tcBorders>
                    <w:tl2br w:val="nil"/>
                    <w:tr2bl w:val="nil"/>
                  </w:tcBorders>
                  <w:noWrap w:val="0"/>
                  <w:vAlign w:val="center"/>
                </w:tcPr>
                <w:p w14:paraId="1FF522E9">
                  <w:pPr>
                    <w:pStyle w:val="10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spacing w:val="-10"/>
                      <w:kern w:val="2"/>
                      <w:sz w:val="21"/>
                      <w:szCs w:val="21"/>
                      <w:highlight w:val="none"/>
                      <w:lang w:val="en-US" w:eastAsia="zh-CN" w:bidi="ar-SA"/>
                    </w:rPr>
                  </w:pPr>
                  <w:r>
                    <w:rPr>
                      <w:rFonts w:hint="eastAsia" w:ascii="Times New Roman" w:cs="Times New Roman"/>
                      <w:b w:val="0"/>
                      <w:bCs/>
                      <w:color w:val="auto"/>
                      <w:spacing w:val="-10"/>
                      <w:kern w:val="2"/>
                      <w:sz w:val="21"/>
                      <w:szCs w:val="21"/>
                      <w:highlight w:val="none"/>
                      <w:lang w:val="en-US" w:eastAsia="zh-CN" w:bidi="ar-SA"/>
                    </w:rPr>
                    <w:t>26</w:t>
                  </w:r>
                </w:p>
              </w:tc>
              <w:tc>
                <w:tcPr>
                  <w:tcW w:w="919" w:type="pct"/>
                  <w:tcBorders>
                    <w:tl2br w:val="nil"/>
                    <w:tr2bl w:val="nil"/>
                  </w:tcBorders>
                  <w:noWrap w:val="0"/>
                  <w:vAlign w:val="center"/>
                </w:tcPr>
                <w:p w14:paraId="1871B1C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天然气</w:t>
                  </w:r>
                </w:p>
              </w:tc>
              <w:tc>
                <w:tcPr>
                  <w:tcW w:w="895" w:type="dxa"/>
                  <w:tcBorders>
                    <w:tl2br w:val="nil"/>
                    <w:tr2bl w:val="nil"/>
                  </w:tcBorders>
                  <w:shd w:val="clear" w:color="auto" w:fill="auto"/>
                  <w:noWrap w:val="0"/>
                  <w:vAlign w:val="center"/>
                </w:tcPr>
                <w:p w14:paraId="5232B5BF">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Times New Roman" w:hAnsi="Times New Roman" w:cs="Times New Roman"/>
                      <w:b w:val="0"/>
                      <w:bCs/>
                      <w:color w:val="auto"/>
                      <w:spacing w:val="0"/>
                      <w:sz w:val="21"/>
                      <w:szCs w:val="21"/>
                      <w:lang w:val="en-US" w:eastAsia="zh-CN"/>
                    </w:rPr>
                  </w:pPr>
                  <w:r>
                    <w:rPr>
                      <w:rFonts w:hint="eastAsia" w:cs="Times New Roman"/>
                      <w:b w:val="0"/>
                      <w:bCs/>
                      <w:color w:val="auto"/>
                      <w:kern w:val="2"/>
                      <w:sz w:val="21"/>
                      <w:szCs w:val="21"/>
                      <w:highlight w:val="none"/>
                      <w:lang w:val="en-US" w:eastAsia="zh-CN" w:bidi="ar-SA"/>
                    </w:rPr>
                    <w:t>65万m</w:t>
                  </w:r>
                  <w:r>
                    <w:rPr>
                      <w:rFonts w:hint="eastAsia" w:cs="Times New Roman"/>
                      <w:b w:val="0"/>
                      <w:bCs/>
                      <w:color w:val="auto"/>
                      <w:kern w:val="2"/>
                      <w:sz w:val="21"/>
                      <w:szCs w:val="21"/>
                      <w:highlight w:val="none"/>
                      <w:vertAlign w:val="superscript"/>
                      <w:lang w:val="en-US" w:eastAsia="zh-CN" w:bidi="ar-SA"/>
                    </w:rPr>
                    <w:t>3</w:t>
                  </w:r>
                </w:p>
              </w:tc>
              <w:tc>
                <w:tcPr>
                  <w:tcW w:w="2183" w:type="pct"/>
                  <w:tcBorders>
                    <w:tl2br w:val="nil"/>
                    <w:tr2bl w:val="nil"/>
                  </w:tcBorders>
                  <w:noWrap w:val="0"/>
                  <w:vAlign w:val="center"/>
                </w:tcPr>
                <w:p w14:paraId="4CB00B5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是存在于地下岩石储集层中以烃为主体的混合气体的统称，比重约0.65，比空气轻，具有无色、无味、无毒之特性。</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不溶于水，密度为0.7174kg/m</w:t>
                  </w:r>
                  <w:r>
                    <w:rPr>
                      <w:rFonts w:hint="default" w:ascii="Times New Roman" w:hAnsi="Times New Roman" w:eastAsia="宋体" w:cs="Times New Roman"/>
                      <w:b w:val="0"/>
                      <w:bCs/>
                      <w:color w:val="auto"/>
                      <w:kern w:val="2"/>
                      <w:sz w:val="21"/>
                      <w:szCs w:val="21"/>
                      <w:highlight w:val="none"/>
                      <w:vertAlign w:val="superscript"/>
                      <w:lang w:val="en-US" w:eastAsia="zh-CN" w:bidi="ar-SA"/>
                    </w:rPr>
                    <w:t>3</w:t>
                  </w:r>
                  <w:r>
                    <w:rPr>
                      <w:rFonts w:hint="default" w:ascii="Times New Roman" w:hAnsi="Times New Roman" w:eastAsia="宋体" w:cs="Times New Roman"/>
                      <w:b w:val="0"/>
                      <w:bCs/>
                      <w:color w:val="auto"/>
                      <w:kern w:val="2"/>
                      <w:sz w:val="21"/>
                      <w:szCs w:val="21"/>
                      <w:highlight w:val="none"/>
                      <w:lang w:val="en-US" w:eastAsia="zh-CN" w:bidi="ar-SA"/>
                    </w:rPr>
                    <w:t>，相对密度（水）为0.45（液化）燃点（℃）为650，爆炸极限（V%）为5-15。在标准状况下，甲烷至丁烷以气体状态存在，戊烷以上为液体。甲烷是最短和最轻的烃分子。</w:t>
                  </w:r>
                </w:p>
                <w:p w14:paraId="286A7145">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在空气中含量达到一定程度后会使人窒息。</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不像一氧化碳那样具有毒性，它本质上是对人体无害的。不过如果</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处于高浓度的状态，并使空气中的氧气不足以维持生命的话，还是会致人死亡的，毕竟</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不能用于人类呼吸。作为燃料，</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也会因发生爆炸而造成伤亡。</w:t>
                  </w:r>
                </w:p>
                <w:p w14:paraId="2FC01EB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虽然</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比空气轻而容易发散，但是当</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在房屋或帐篷等封闭环境里聚集的情况下，达到一定的比例时，就会触发威力巨大的爆炸。爆炸可能会夷平整座房屋，甚至殃及邻近的建筑。甲烷在空气中的爆炸极限下限为5%，上限为15%。</w:t>
                  </w:r>
                </w:p>
                <w:p w14:paraId="4ED03A7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车辆发动机中要利用的压缩</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的爆炸，由于气体挥发的性质，在自发的条件下基本是不具备的，所以需要使用外力将</w:t>
                  </w:r>
                  <w:r>
                    <w:rPr>
                      <w:rFonts w:hint="eastAsia" w:cs="Times New Roman"/>
                      <w:b w:val="0"/>
                      <w:bCs/>
                      <w:color w:val="auto"/>
                      <w:kern w:val="2"/>
                      <w:sz w:val="21"/>
                      <w:szCs w:val="21"/>
                      <w:highlight w:val="none"/>
                      <w:lang w:val="en-US" w:eastAsia="zh-CN" w:bidi="ar-SA"/>
                    </w:rPr>
                    <w:t>天然气</w:t>
                  </w:r>
                  <w:r>
                    <w:rPr>
                      <w:rFonts w:hint="default" w:ascii="Times New Roman" w:hAnsi="Times New Roman" w:eastAsia="宋体" w:cs="Times New Roman"/>
                      <w:b w:val="0"/>
                      <w:bCs/>
                      <w:color w:val="auto"/>
                      <w:kern w:val="2"/>
                      <w:sz w:val="21"/>
                      <w:szCs w:val="21"/>
                      <w:highlight w:val="none"/>
                      <w:lang w:val="en-US" w:eastAsia="zh-CN" w:bidi="ar-SA"/>
                    </w:rPr>
                    <w:t>浓度维持在5%到15%之间以触发爆炸。</w:t>
                  </w:r>
                </w:p>
              </w:tc>
              <w:tc>
                <w:tcPr>
                  <w:tcW w:w="1102" w:type="pct"/>
                  <w:tcBorders>
                    <w:tl2br w:val="nil"/>
                    <w:tr2bl w:val="nil"/>
                  </w:tcBorders>
                  <w:noWrap w:val="0"/>
                  <w:vAlign w:val="center"/>
                </w:tcPr>
                <w:p w14:paraId="591F83B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燃气</w:t>
                  </w:r>
                  <w:r>
                    <w:rPr>
                      <w:rFonts w:hint="default" w:ascii="Times New Roman" w:hAnsi="Times New Roman" w:eastAsia="宋体" w:cs="Times New Roman"/>
                      <w:b w:val="0"/>
                      <w:bCs/>
                      <w:color w:val="auto"/>
                      <w:kern w:val="2"/>
                      <w:sz w:val="21"/>
                      <w:szCs w:val="21"/>
                      <w:highlight w:val="none"/>
                      <w:lang w:val="en-US" w:eastAsia="zh-CN" w:bidi="ar-SA"/>
                    </w:rPr>
                    <w:t>发电机发电</w:t>
                  </w:r>
                </w:p>
              </w:tc>
            </w:tr>
          </w:tbl>
          <w:p w14:paraId="48106B19">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公用工程</w:t>
            </w:r>
          </w:p>
          <w:p w14:paraId="3C178B5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供水</w:t>
            </w:r>
          </w:p>
          <w:p w14:paraId="6236D3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工程用水主要包括钻井用水和生活用水</w:t>
            </w:r>
            <w:r>
              <w:rPr>
                <w:rFonts w:hint="eastAsia" w:cs="Times New Roman"/>
                <w:color w:val="auto"/>
                <w:sz w:val="24"/>
                <w:szCs w:val="24"/>
                <w:highlight w:val="none"/>
                <w:lang w:val="en-US" w:eastAsia="zh-CN"/>
              </w:rPr>
              <w:t>。</w:t>
            </w:r>
          </w:p>
          <w:p w14:paraId="5E5EE22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钻井用水由水罐车拉至井场，钻井新水用量</w:t>
            </w:r>
            <w:r>
              <w:rPr>
                <w:rFonts w:hint="eastAsia" w:cs="Times New Roman"/>
                <w:color w:val="auto"/>
                <w:sz w:val="24"/>
                <w:szCs w:val="24"/>
                <w:highlight w:val="none"/>
                <w:lang w:val="en-US" w:eastAsia="zh-CN"/>
              </w:rPr>
              <w:t>638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，主要用于配制泥浆等；酸化压裂用水</w:t>
            </w:r>
            <w:r>
              <w:rPr>
                <w:rFonts w:hint="eastAsia" w:cs="Times New Roman"/>
                <w:color w:val="auto"/>
                <w:sz w:val="24"/>
                <w:szCs w:val="24"/>
                <w:highlight w:val="none"/>
                <w:lang w:val="en-US" w:eastAsia="zh-CN"/>
              </w:rPr>
              <w:t>3750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；生活用水由水罐车拉至井场和生活区</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工程井队人数约60人，施工天数</w:t>
            </w:r>
            <w:r>
              <w:rPr>
                <w:rFonts w:hint="eastAsia"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lang w:val="en-US" w:eastAsia="zh-CN"/>
              </w:rPr>
              <w:t>d，按生活用水量</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0L/d·人计，生活用水量约8</w:t>
            </w:r>
            <w:r>
              <w:rPr>
                <w:rFonts w:hint="eastAsia" w:cs="Times New Roman"/>
                <w:color w:val="auto"/>
                <w:sz w:val="24"/>
                <w:szCs w:val="24"/>
                <w:highlight w:val="none"/>
                <w:lang w:val="en-US" w:eastAsia="zh-CN"/>
              </w:rPr>
              <w:t>64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（4.8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；工程总用水量</w:t>
            </w:r>
            <w:r>
              <w:rPr>
                <w:rFonts w:hint="eastAsia" w:cs="Times New Roman"/>
                <w:color w:val="auto"/>
                <w:sz w:val="24"/>
                <w:szCs w:val="24"/>
                <w:highlight w:val="none"/>
                <w:lang w:val="en-US" w:eastAsia="zh-CN"/>
              </w:rPr>
              <w:t>5252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w:t>
            </w:r>
          </w:p>
          <w:p w14:paraId="539D670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（2）排水</w:t>
            </w:r>
          </w:p>
          <w:p w14:paraId="252EE5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工程废水主要为钻井废水、</w:t>
            </w:r>
            <w:r>
              <w:rPr>
                <w:rFonts w:hint="default" w:ascii="Times New Roman" w:hAnsi="Times New Roman" w:eastAsia="宋体" w:cs="Times New Roman"/>
                <w:color w:val="auto"/>
                <w:sz w:val="24"/>
                <w:szCs w:val="24"/>
                <w:highlight w:val="none"/>
                <w:lang w:val="en-US" w:eastAsia="zh-CN"/>
              </w:rPr>
              <w:t>酸化</w:t>
            </w:r>
            <w:r>
              <w:rPr>
                <w:rFonts w:hint="default" w:ascii="Times New Roman" w:hAnsi="Times New Roman" w:eastAsia="宋体" w:cs="Times New Roman"/>
                <w:b w:val="0"/>
                <w:bCs w:val="0"/>
                <w:color w:val="auto"/>
                <w:sz w:val="24"/>
                <w:szCs w:val="24"/>
                <w:highlight w:val="none"/>
                <w:lang w:val="en-US" w:eastAsia="zh-CN"/>
              </w:rPr>
              <w:t>压裂返排液和生活污水</w:t>
            </w:r>
            <w:r>
              <w:rPr>
                <w:rFonts w:hint="eastAsia" w:cs="Times New Roman"/>
                <w:b w:val="0"/>
                <w:bCs w:val="0"/>
                <w:color w:val="auto"/>
                <w:sz w:val="24"/>
                <w:szCs w:val="24"/>
                <w:highlight w:val="none"/>
                <w:lang w:val="en-US" w:eastAsia="zh-CN"/>
              </w:rPr>
              <w:t>。</w:t>
            </w:r>
          </w:p>
          <w:p w14:paraId="586C1A2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钻井废水与钻井泥浆、岩屑一同进入泥浆固控系统处理，处理后的作业阶段液相优先回用于钻井液配置；完井后无法回用的废液作为钻井废液罐车外运处置</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不外排；压裂作业产生的</w:t>
            </w:r>
            <w:r>
              <w:rPr>
                <w:rFonts w:hint="default" w:ascii="Times New Roman" w:hAnsi="Times New Roman" w:eastAsia="宋体" w:cs="Times New Roman"/>
                <w:color w:val="auto"/>
                <w:sz w:val="24"/>
                <w:szCs w:val="24"/>
                <w:highlight w:val="none"/>
                <w:lang w:val="en-US" w:eastAsia="zh-CN"/>
              </w:rPr>
              <w:t>酸化</w:t>
            </w:r>
            <w:r>
              <w:rPr>
                <w:rFonts w:hint="default" w:ascii="Times New Roman" w:hAnsi="Times New Roman" w:eastAsia="宋体" w:cs="Times New Roman"/>
                <w:b w:val="0"/>
                <w:bCs w:val="0"/>
                <w:color w:val="auto"/>
                <w:sz w:val="24"/>
                <w:szCs w:val="24"/>
                <w:highlight w:val="none"/>
                <w:lang w:val="en-US" w:eastAsia="zh-CN"/>
              </w:rPr>
              <w:t>压裂返排液，产生量约</w:t>
            </w:r>
            <w:r>
              <w:rPr>
                <w:rFonts w:hint="eastAsia" w:cs="Times New Roman"/>
                <w:b w:val="0"/>
                <w:bCs w:val="0"/>
                <w:color w:val="auto"/>
                <w:sz w:val="24"/>
                <w:szCs w:val="24"/>
                <w:highlight w:val="none"/>
                <w:lang w:val="en-US" w:eastAsia="zh-CN"/>
              </w:rPr>
              <w:t>3750</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，采用专用废液收集罐暂存，</w:t>
            </w:r>
            <w:r>
              <w:rPr>
                <w:rFonts w:hint="eastAsia" w:cs="Times New Roman"/>
                <w:b w:val="0"/>
                <w:bCs w:val="0"/>
                <w:color w:val="auto"/>
                <w:sz w:val="24"/>
                <w:szCs w:val="24"/>
                <w:highlight w:val="none"/>
                <w:lang w:val="en-US" w:eastAsia="zh-CN"/>
              </w:rPr>
              <w:t>定期</w:t>
            </w:r>
            <w:r>
              <w:rPr>
                <w:rFonts w:hint="default" w:ascii="Times New Roman" w:hAnsi="Times New Roman" w:eastAsia="宋体" w:cs="Times New Roman"/>
                <w:b w:val="0"/>
                <w:bCs w:val="0"/>
                <w:color w:val="auto"/>
                <w:sz w:val="24"/>
                <w:szCs w:val="24"/>
                <w:highlight w:val="none"/>
                <w:lang w:val="en-US" w:eastAsia="zh-CN"/>
              </w:rPr>
              <w:t>运至新疆腾疆环保科技有限公司处置；生活污水主要为盥洗废水，产生量约</w:t>
            </w:r>
            <w:r>
              <w:rPr>
                <w:rFonts w:hint="eastAsia" w:cs="Times New Roman"/>
                <w:b w:val="0"/>
                <w:bCs w:val="0"/>
                <w:color w:val="auto"/>
                <w:sz w:val="24"/>
                <w:szCs w:val="24"/>
                <w:highlight w:val="none"/>
                <w:lang w:val="en-US" w:eastAsia="zh-CN"/>
              </w:rPr>
              <w:t>691.2</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eastAsia" w:cs="Times New Roman"/>
                <w:b w:val="0"/>
                <w:bCs w:val="0"/>
                <w:color w:val="auto"/>
                <w:sz w:val="24"/>
                <w:szCs w:val="24"/>
                <w:highlight w:val="none"/>
                <w:lang w:val="en-US" w:eastAsia="zh-CN"/>
              </w:rPr>
              <w:t>（3.84</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，生活污水经井场撬装式污水处理装置处理后，水质达到《农村生活污水处理排放标准》（DB65</w:t>
            </w:r>
            <w:r>
              <w:rPr>
                <w:rFonts w:hint="eastAsia"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4275-2019）表2的B级标准，用于荒漠灌溉</w:t>
            </w:r>
            <w:r>
              <w:rPr>
                <w:rFonts w:hint="eastAsia" w:cs="Times New Roman"/>
                <w:b w:val="0"/>
                <w:bCs w:val="0"/>
                <w:color w:val="auto"/>
                <w:sz w:val="24"/>
                <w:szCs w:val="24"/>
                <w:highlight w:val="none"/>
                <w:lang w:val="en-US" w:eastAsia="zh-CN"/>
              </w:rPr>
              <w:t>。</w:t>
            </w:r>
          </w:p>
          <w:p w14:paraId="6718D5ED">
            <w:pPr>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object>
                <v:shape id="_x0000_i1025" o:spt="75" type="#_x0000_t75" style="height:188.45pt;width:439.45pt;" o:ole="t" filled="f" o:preferrelative="t" stroked="f" coordsize="21600,21600">
                  <v:path/>
                  <v:fill on="f" focussize="0,0"/>
                  <v:stroke on="f"/>
                  <v:imagedata r:id="rId9" o:title=""/>
                  <o:lock v:ext="edit" aspectratio="f"/>
                  <w10:wrap type="none"/>
                  <w10:anchorlock/>
                </v:shape>
                <o:OLEObject Type="Embed" ProgID="Visio.Drawing.15" ShapeID="_x0000_i1025" DrawAspect="Content" ObjectID="_1468075725" r:id="rId8">
                  <o:LockedField>false</o:LockedField>
                </o:OLEObject>
              </w:object>
            </w:r>
          </w:p>
          <w:p w14:paraId="473BACEA">
            <w:pPr>
              <w:jc w:val="center"/>
              <w:rPr>
                <w:rFonts w:hint="default" w:ascii="Times New Roman" w:hAnsi="Times New Roman" w:eastAsia="宋体" w:cs="Times New Roman"/>
                <w:b/>
                <w:bCs/>
                <w:snapToGrid w:val="0"/>
                <w:color w:val="auto"/>
                <w:highlight w:val="none"/>
                <w:lang w:val="en-US" w:eastAsia="zh-CN"/>
              </w:rPr>
            </w:pPr>
            <w:r>
              <w:rPr>
                <w:rFonts w:hint="default" w:ascii="Times New Roman" w:hAnsi="Times New Roman" w:eastAsia="宋体" w:cs="Times New Roman"/>
                <w:b/>
                <w:bCs/>
                <w:snapToGrid w:val="0"/>
                <w:color w:val="auto"/>
                <w:highlight w:val="none"/>
                <w:lang w:val="en-US" w:eastAsia="zh-CN"/>
              </w:rPr>
              <w:t>图2-2   水平衡图（m</w:t>
            </w:r>
            <w:r>
              <w:rPr>
                <w:rFonts w:hint="default" w:ascii="Times New Roman" w:hAnsi="Times New Roman" w:eastAsia="宋体" w:cs="Times New Roman"/>
                <w:b/>
                <w:bCs/>
                <w:snapToGrid w:val="0"/>
                <w:color w:val="auto"/>
                <w:highlight w:val="none"/>
                <w:vertAlign w:val="superscript"/>
                <w:lang w:val="en-US" w:eastAsia="zh-CN"/>
              </w:rPr>
              <w:t>3</w:t>
            </w:r>
            <w:r>
              <w:rPr>
                <w:rFonts w:hint="default" w:ascii="Times New Roman" w:hAnsi="Times New Roman" w:eastAsia="宋体" w:cs="Times New Roman"/>
                <w:b/>
                <w:bCs/>
                <w:snapToGrid w:val="0"/>
                <w:color w:val="auto"/>
                <w:highlight w:val="none"/>
                <w:lang w:val="en-US" w:eastAsia="zh-CN"/>
              </w:rPr>
              <w:t>）</w:t>
            </w:r>
          </w:p>
          <w:p w14:paraId="57C7394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（3）供电</w:t>
            </w:r>
          </w:p>
          <w:p w14:paraId="4F598D2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本项目勘探期供电由</w:t>
            </w:r>
            <w:r>
              <w:rPr>
                <w:rFonts w:hint="eastAsia" w:cs="Times New Roman"/>
                <w:b w:val="0"/>
                <w:bCs w:val="0"/>
                <w:color w:val="auto"/>
                <w:sz w:val="24"/>
                <w:szCs w:val="24"/>
                <w:highlight w:val="none"/>
                <w:lang w:val="en-US" w:eastAsia="zh-CN"/>
              </w:rPr>
              <w:t>燃气</w:t>
            </w:r>
            <w:r>
              <w:rPr>
                <w:rFonts w:hint="default" w:ascii="Times New Roman" w:hAnsi="Times New Roman" w:eastAsia="宋体" w:cs="Times New Roman"/>
                <w:b w:val="0"/>
                <w:bCs w:val="0"/>
                <w:color w:val="auto"/>
                <w:sz w:val="24"/>
                <w:szCs w:val="24"/>
                <w:highlight w:val="none"/>
                <w:lang w:val="en-US" w:eastAsia="zh-CN"/>
              </w:rPr>
              <w:t>发电机组作为电源，出现异常情况由备用燃油发电机发电。</w:t>
            </w:r>
          </w:p>
          <w:p w14:paraId="4DBD679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（4）供暖</w:t>
            </w:r>
          </w:p>
          <w:p w14:paraId="405FADD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办公生活区供暖方式为电采暖。</w:t>
            </w:r>
          </w:p>
          <w:p w14:paraId="4BF8A22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.作业主要流程</w:t>
            </w:r>
          </w:p>
          <w:p w14:paraId="5076660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（1）钻前工程</w:t>
            </w:r>
          </w:p>
          <w:p w14:paraId="52965C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工程主要包括：场地平整、井场基础建设（泥浆循环系统及设备的基础准备）、钻井设备搬运和安装以及配套设施布置与建设（井口设备准备以及办公用房搭建等）。这些设施建成并经验收合格后进入钻井工程。</w:t>
            </w:r>
          </w:p>
          <w:p w14:paraId="307E96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（2）钻井工程</w:t>
            </w:r>
          </w:p>
          <w:p w14:paraId="024EADF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钻井工程包括设备安装、钻井、录井及测井、完井、测试放喷等，主要工程量见表2-6。</w:t>
            </w:r>
          </w:p>
          <w:p w14:paraId="5B889256">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表2-6  钻井及完井测试工程主要内容一览表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821"/>
              <w:gridCol w:w="6950"/>
            </w:tblGrid>
            <w:tr w14:paraId="70A5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14:paraId="3596E3E6">
                  <w:pPr>
                    <w:jc w:val="center"/>
                    <w:rPr>
                      <w:rFonts w:hint="default"/>
                      <w:color w:val="auto"/>
                    </w:rPr>
                  </w:pPr>
                  <w:r>
                    <w:rPr>
                      <w:rFonts w:hint="default"/>
                      <w:color w:val="auto"/>
                    </w:rPr>
                    <w:t>项目组成</w:t>
                  </w:r>
                </w:p>
              </w:tc>
              <w:tc>
                <w:tcPr>
                  <w:tcW w:w="3961" w:type="pct"/>
                  <w:tcBorders>
                    <w:tl2br w:val="nil"/>
                    <w:tr2bl w:val="nil"/>
                  </w:tcBorders>
                  <w:noWrap w:val="0"/>
                  <w:vAlign w:val="center"/>
                </w:tcPr>
                <w:p w14:paraId="63F716B5">
                  <w:pPr>
                    <w:jc w:val="center"/>
                    <w:rPr>
                      <w:rFonts w:hint="default"/>
                      <w:color w:val="auto"/>
                    </w:rPr>
                  </w:pPr>
                  <w:r>
                    <w:rPr>
                      <w:rFonts w:hint="default"/>
                      <w:color w:val="auto"/>
                    </w:rPr>
                    <w:t>工程内容及规模</w:t>
                  </w:r>
                </w:p>
              </w:tc>
            </w:tr>
            <w:tr w14:paraId="15E5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14:paraId="1D2FE223">
                  <w:pPr>
                    <w:jc w:val="center"/>
                    <w:rPr>
                      <w:rFonts w:hint="default"/>
                      <w:color w:val="auto"/>
                    </w:rPr>
                  </w:pPr>
                  <w:r>
                    <w:rPr>
                      <w:rFonts w:hint="default"/>
                      <w:color w:val="auto"/>
                    </w:rPr>
                    <w:t>钻井设备安装</w:t>
                  </w:r>
                </w:p>
              </w:tc>
              <w:tc>
                <w:tcPr>
                  <w:tcW w:w="3961" w:type="pct"/>
                  <w:tcBorders>
                    <w:tl2br w:val="nil"/>
                    <w:tr2bl w:val="nil"/>
                  </w:tcBorders>
                  <w:noWrap w:val="0"/>
                  <w:vAlign w:val="center"/>
                </w:tcPr>
                <w:p w14:paraId="5B455D1D">
                  <w:pPr>
                    <w:jc w:val="center"/>
                    <w:rPr>
                      <w:rFonts w:hint="default"/>
                      <w:color w:val="auto"/>
                    </w:rPr>
                  </w:pPr>
                  <w:r>
                    <w:rPr>
                      <w:rFonts w:hint="default"/>
                      <w:color w:val="auto"/>
                    </w:rPr>
                    <w:t>钻井成套设备搬运、安装、调试</w:t>
                  </w:r>
                </w:p>
              </w:tc>
            </w:tr>
            <w:tr w14:paraId="1587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14:paraId="345AA6EA">
                  <w:pPr>
                    <w:jc w:val="center"/>
                    <w:rPr>
                      <w:rFonts w:hint="default"/>
                      <w:color w:val="auto"/>
                    </w:rPr>
                  </w:pPr>
                  <w:r>
                    <w:rPr>
                      <w:rFonts w:hint="default"/>
                      <w:color w:val="auto"/>
                    </w:rPr>
                    <w:t>钻井作业</w:t>
                  </w:r>
                </w:p>
              </w:tc>
              <w:tc>
                <w:tcPr>
                  <w:tcW w:w="3961" w:type="pct"/>
                  <w:tcBorders>
                    <w:tl2br w:val="nil"/>
                    <w:tr2bl w:val="nil"/>
                  </w:tcBorders>
                  <w:noWrap w:val="0"/>
                  <w:vAlign w:val="center"/>
                </w:tcPr>
                <w:p w14:paraId="6925517B">
                  <w:pPr>
                    <w:jc w:val="center"/>
                    <w:rPr>
                      <w:rFonts w:hint="default"/>
                      <w:color w:val="auto"/>
                    </w:rPr>
                  </w:pPr>
                  <w:r>
                    <w:rPr>
                      <w:rFonts w:hint="default"/>
                      <w:color w:val="auto"/>
                    </w:rPr>
                    <w:t>采用常规旋转钻井工艺，钻至目的层完钻</w:t>
                  </w:r>
                </w:p>
              </w:tc>
            </w:tr>
            <w:tr w14:paraId="777E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038" w:type="pct"/>
                  <w:tcBorders>
                    <w:tl2br w:val="nil"/>
                    <w:tr2bl w:val="nil"/>
                  </w:tcBorders>
                  <w:noWrap w:val="0"/>
                  <w:vAlign w:val="center"/>
                </w:tcPr>
                <w:p w14:paraId="69A16B7F">
                  <w:pPr>
                    <w:jc w:val="center"/>
                    <w:rPr>
                      <w:rFonts w:hint="default"/>
                      <w:color w:val="auto"/>
                    </w:rPr>
                  </w:pPr>
                  <w:r>
                    <w:rPr>
                      <w:rFonts w:hint="default"/>
                      <w:color w:val="auto"/>
                    </w:rPr>
                    <w:t>录井、测井</w:t>
                  </w:r>
                </w:p>
              </w:tc>
              <w:tc>
                <w:tcPr>
                  <w:tcW w:w="3961" w:type="pct"/>
                  <w:tcBorders>
                    <w:tl2br w:val="nil"/>
                    <w:tr2bl w:val="nil"/>
                  </w:tcBorders>
                  <w:noWrap w:val="0"/>
                  <w:vAlign w:val="center"/>
                </w:tcPr>
                <w:p w14:paraId="3834F15D">
                  <w:pPr>
                    <w:jc w:val="center"/>
                    <w:rPr>
                      <w:rFonts w:hint="default"/>
                      <w:color w:val="auto"/>
                    </w:rPr>
                  </w:pPr>
                  <w:r>
                    <w:rPr>
                      <w:rFonts w:hint="default"/>
                      <w:color w:val="auto"/>
                    </w:rPr>
                    <w:t>记录钻井过程中的所有地质参数；并对岩层孔度等进行测量</w:t>
                  </w:r>
                </w:p>
              </w:tc>
            </w:tr>
          </w:tbl>
          <w:p w14:paraId="536CD2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（3）储层改造工程</w:t>
            </w:r>
          </w:p>
          <w:p w14:paraId="776A900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储层改造采用酸化压裂工艺，酸化液由酸罐车运至井场暂存，压裂液由施工单位现场按比例配制；各类原料通过车辆运输至井场，利用在线混配车、管汇车输送至压裂车，高压泵注酸化液、压裂液至地层，当压力超过岩石破裂压力时形成人工裂缝，施工结束后开井返排，含油气地层返排液量较少，不含油气地层返排液量较大。返排液经废液储存罐收集，定期</w:t>
            </w:r>
            <w:r>
              <w:rPr>
                <w:rFonts w:hint="eastAsia" w:cs="Times New Roman"/>
                <w:b w:val="0"/>
                <w:bCs w:val="0"/>
                <w:color w:val="auto"/>
                <w:sz w:val="24"/>
                <w:szCs w:val="24"/>
                <w:highlight w:val="none"/>
                <w:lang w:val="en-US" w:eastAsia="zh-CN"/>
              </w:rPr>
              <w:t>运至</w:t>
            </w:r>
            <w:r>
              <w:rPr>
                <w:rFonts w:hint="default" w:ascii="Times New Roman" w:hAnsi="Times New Roman" w:eastAsia="宋体" w:cs="Times New Roman"/>
                <w:b w:val="0"/>
                <w:bCs w:val="0"/>
                <w:color w:val="auto"/>
                <w:sz w:val="24"/>
                <w:szCs w:val="24"/>
                <w:highlight w:val="none"/>
                <w:lang w:val="en-US" w:eastAsia="zh-CN"/>
              </w:rPr>
              <w:t>新疆腾疆环保科技有限公司处置。</w:t>
            </w:r>
          </w:p>
          <w:p w14:paraId="7490E04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（4）测试放喷</w:t>
            </w:r>
          </w:p>
          <w:p w14:paraId="7F1BE9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测试放喷主要有设备安装、测试放喷两部分。其主要工程量见表2-7。</w:t>
            </w:r>
          </w:p>
          <w:p w14:paraId="5958F394">
            <w:pPr>
              <w:pStyle w:val="6"/>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表2-7  油气测试主要工程量一览表</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49"/>
              <w:gridCol w:w="7424"/>
            </w:tblGrid>
            <w:tr w14:paraId="5880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14:paraId="665E94B4">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项目组成</w:t>
                  </w:r>
                </w:p>
              </w:tc>
              <w:tc>
                <w:tcPr>
                  <w:tcW w:w="4230" w:type="pct"/>
                  <w:noWrap w:val="0"/>
                  <w:vAlign w:val="center"/>
                </w:tcPr>
                <w:p w14:paraId="1042393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工程内容</w:t>
                  </w:r>
                </w:p>
              </w:tc>
            </w:tr>
            <w:tr w14:paraId="4DE4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14:paraId="6481A32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设备安装</w:t>
                  </w:r>
                </w:p>
              </w:tc>
              <w:tc>
                <w:tcPr>
                  <w:tcW w:w="4230" w:type="pct"/>
                  <w:noWrap w:val="0"/>
                  <w:vAlign w:val="center"/>
                </w:tcPr>
                <w:p w14:paraId="43D9F3F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设备搬运、安装</w:t>
                  </w:r>
                  <w:r>
                    <w:rPr>
                      <w:rFonts w:hint="default" w:ascii="Times New Roman" w:hAnsi="Times New Roman" w:eastAsia="宋体" w:cs="Times New Roman"/>
                      <w:color w:val="auto"/>
                      <w:sz w:val="21"/>
                      <w:szCs w:val="21"/>
                      <w:lang w:val="en-US" w:eastAsia="zh-CN"/>
                    </w:rPr>
                    <w:t>采油</w:t>
                  </w:r>
                  <w:r>
                    <w:rPr>
                      <w:rFonts w:hint="default" w:ascii="Times New Roman" w:hAnsi="Times New Roman" w:eastAsia="宋体" w:cs="Times New Roman"/>
                      <w:color w:val="auto"/>
                      <w:sz w:val="21"/>
                      <w:szCs w:val="21"/>
                    </w:rPr>
                    <w:t>树、安全阀、</w:t>
                  </w:r>
                  <w:r>
                    <w:rPr>
                      <w:rFonts w:hint="default" w:ascii="Times New Roman" w:hAnsi="Times New Roman" w:eastAsia="宋体" w:cs="Times New Roman"/>
                      <w:color w:val="auto"/>
                      <w:sz w:val="21"/>
                      <w:szCs w:val="21"/>
                      <w:lang w:val="en-US" w:eastAsia="zh-CN"/>
                    </w:rPr>
                    <w:t>节流</w:t>
                  </w:r>
                  <w:r>
                    <w:rPr>
                      <w:rFonts w:hint="default" w:ascii="Times New Roman" w:hAnsi="Times New Roman" w:eastAsia="宋体" w:cs="Times New Roman"/>
                      <w:color w:val="auto"/>
                      <w:sz w:val="21"/>
                      <w:szCs w:val="21"/>
                    </w:rPr>
                    <w:t>管汇、压井管汇、两相分离器、计量罐、</w:t>
                  </w:r>
                  <w:r>
                    <w:rPr>
                      <w:rFonts w:hint="default" w:ascii="Times New Roman" w:hAnsi="Times New Roman" w:eastAsia="宋体" w:cs="Times New Roman"/>
                      <w:color w:val="auto"/>
                      <w:sz w:val="21"/>
                      <w:szCs w:val="21"/>
                      <w:lang w:val="en-US" w:eastAsia="zh-CN"/>
                    </w:rPr>
                    <w:t>原油</w:t>
                  </w:r>
                  <w:r>
                    <w:rPr>
                      <w:rFonts w:hint="default" w:ascii="Times New Roman" w:hAnsi="Times New Roman" w:eastAsia="宋体" w:cs="Times New Roman"/>
                      <w:color w:val="auto"/>
                      <w:sz w:val="21"/>
                      <w:szCs w:val="21"/>
                    </w:rPr>
                    <w:t>罐</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油罐</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、油气水进出口管线、放喷管线等设备</w:t>
                  </w:r>
                </w:p>
              </w:tc>
            </w:tr>
            <w:tr w14:paraId="37E6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9" w:type="pct"/>
                  <w:noWrap w:val="0"/>
                  <w:vAlign w:val="center"/>
                </w:tcPr>
                <w:p w14:paraId="6B8E752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测试放喷</w:t>
                  </w:r>
                </w:p>
              </w:tc>
              <w:tc>
                <w:tcPr>
                  <w:tcW w:w="4230" w:type="pct"/>
                  <w:noWrap w:val="0"/>
                  <w:vAlign w:val="center"/>
                </w:tcPr>
                <w:p w14:paraId="424751BB">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主要目的：证实地层储性、查明已知油</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气</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层某些专门问题。本项目放喷的目的重在证实油气的储性</w:t>
                  </w:r>
                </w:p>
              </w:tc>
            </w:tr>
          </w:tbl>
          <w:p w14:paraId="6D19F4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（5）钻后工程</w:t>
            </w:r>
          </w:p>
          <w:p w14:paraId="511E0E1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Cs w:val="21"/>
                <w:highlight w:val="none"/>
                <w:lang w:val="en-US"/>
              </w:rPr>
            </w:pPr>
            <w:r>
              <w:rPr>
                <w:rFonts w:hint="default" w:ascii="Times New Roman" w:hAnsi="Times New Roman" w:eastAsia="宋体" w:cs="Times New Roman"/>
                <w:b w:val="0"/>
                <w:bCs w:val="0"/>
                <w:color w:val="auto"/>
                <w:sz w:val="24"/>
                <w:szCs w:val="24"/>
                <w:highlight w:val="none"/>
                <w:lang w:val="en-US" w:eastAsia="zh-CN"/>
              </w:rPr>
              <w:t>测试放喷结束后，根据油气产量情况及上部测试层位需要决定是否封堵该井，若需要封堵，则打50m厚度水泥塞进行产层封堵；否则，关井交井，撤离恢复原有地貌。</w:t>
            </w:r>
          </w:p>
        </w:tc>
      </w:tr>
      <w:tr w14:paraId="174ED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41" w:type="pct"/>
            <w:noWrap w:val="0"/>
            <w:vAlign w:val="center"/>
          </w:tcPr>
          <w:p w14:paraId="0CA3E415">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总平面及现场布置</w:t>
            </w:r>
          </w:p>
        </w:tc>
        <w:tc>
          <w:tcPr>
            <w:tcW w:w="4758" w:type="pct"/>
            <w:noWrap w:val="0"/>
            <w:vAlign w:val="center"/>
          </w:tcPr>
          <w:p w14:paraId="34F6748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.平面布置及施工现场布置</w:t>
            </w:r>
          </w:p>
          <w:p w14:paraId="4CC5F6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1.总平面布置</w:t>
            </w:r>
          </w:p>
          <w:p w14:paraId="3E2F4BB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（1）钻井工程井场布置</w:t>
            </w:r>
          </w:p>
          <w:p w14:paraId="0C34A1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本井场整体为矩形布置，总占地面积21463m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，主入口位于</w:t>
            </w:r>
            <w:r>
              <w:rPr>
                <w:rFonts w:hint="eastAsia" w:cs="Times New Roman"/>
                <w:b w:val="0"/>
                <w:bCs w:val="0"/>
                <w:color w:val="auto"/>
                <w:sz w:val="24"/>
                <w:szCs w:val="24"/>
                <w:highlight w:val="none"/>
                <w:lang w:val="en-US" w:eastAsia="zh-CN"/>
              </w:rPr>
              <w:t>南侧</w:t>
            </w:r>
            <w:r>
              <w:rPr>
                <w:rFonts w:hint="default" w:ascii="Times New Roman" w:hAnsi="Times New Roman" w:eastAsia="宋体" w:cs="Times New Roman"/>
                <w:b w:val="0"/>
                <w:bCs w:val="0"/>
                <w:color w:val="auto"/>
                <w:sz w:val="24"/>
                <w:szCs w:val="24"/>
                <w:highlight w:val="none"/>
                <w:lang w:val="en-US" w:eastAsia="zh-CN"/>
              </w:rPr>
              <w:t>。以中间的车载钻机及井口为核心，</w:t>
            </w:r>
            <w:r>
              <w:rPr>
                <w:rFonts w:hint="eastAsia" w:cs="Times New Roman"/>
                <w:b w:val="0"/>
                <w:bCs w:val="0"/>
                <w:color w:val="auto"/>
                <w:sz w:val="24"/>
                <w:szCs w:val="24"/>
                <w:highlight w:val="none"/>
                <w:lang w:val="en-US" w:eastAsia="zh-CN"/>
              </w:rPr>
              <w:t>南侧</w:t>
            </w:r>
            <w:r>
              <w:rPr>
                <w:rFonts w:hint="default" w:ascii="Times New Roman" w:hAnsi="Times New Roman" w:eastAsia="宋体" w:cs="Times New Roman"/>
                <w:b w:val="0"/>
                <w:bCs w:val="0"/>
                <w:color w:val="auto"/>
                <w:sz w:val="24"/>
                <w:szCs w:val="24"/>
                <w:highlight w:val="none"/>
                <w:lang w:val="en-US" w:eastAsia="zh-CN"/>
              </w:rPr>
              <w:t>布置泥浆不落地处理区、泥浆罐组</w:t>
            </w:r>
            <w:r>
              <w:rPr>
                <w:rFonts w:hint="eastAsia" w:cs="Times New Roman"/>
                <w:b w:val="0"/>
                <w:bCs w:val="0"/>
                <w:color w:val="auto"/>
                <w:sz w:val="24"/>
                <w:szCs w:val="24"/>
                <w:highlight w:val="none"/>
                <w:lang w:val="en-US" w:eastAsia="zh-CN"/>
              </w:rPr>
              <w:t>，西北侧</w:t>
            </w:r>
            <w:r>
              <w:rPr>
                <w:rFonts w:hint="default" w:ascii="Times New Roman" w:hAnsi="Times New Roman" w:eastAsia="宋体" w:cs="Times New Roman"/>
                <w:b w:val="0"/>
                <w:bCs w:val="0"/>
                <w:color w:val="auto"/>
                <w:sz w:val="24"/>
                <w:szCs w:val="24"/>
                <w:highlight w:val="none"/>
                <w:lang w:val="en-US" w:eastAsia="zh-CN"/>
              </w:rPr>
              <w:t>布置放喷池；</w:t>
            </w:r>
            <w:r>
              <w:rPr>
                <w:rFonts w:hint="eastAsia" w:cs="Times New Roman"/>
                <w:b w:val="0"/>
                <w:bCs w:val="0"/>
                <w:color w:val="auto"/>
                <w:sz w:val="24"/>
                <w:szCs w:val="24"/>
                <w:highlight w:val="none"/>
                <w:lang w:val="en-US" w:eastAsia="zh-CN"/>
              </w:rPr>
              <w:t>东北</w:t>
            </w:r>
            <w:r>
              <w:rPr>
                <w:rFonts w:hint="default" w:ascii="Times New Roman" w:hAnsi="Times New Roman" w:eastAsia="宋体" w:cs="Times New Roman"/>
                <w:b w:val="0"/>
                <w:bCs w:val="0"/>
                <w:color w:val="auto"/>
                <w:sz w:val="24"/>
                <w:szCs w:val="24"/>
                <w:highlight w:val="none"/>
                <w:lang w:val="en-US" w:eastAsia="zh-CN"/>
              </w:rPr>
              <w:t>侧布置发电房、工具房、消防房及油罐；</w:t>
            </w:r>
            <w:r>
              <w:rPr>
                <w:rFonts w:hint="eastAsia" w:cs="Times New Roman"/>
                <w:b w:val="0"/>
                <w:bCs w:val="0"/>
                <w:color w:val="auto"/>
                <w:sz w:val="24"/>
                <w:szCs w:val="24"/>
                <w:highlight w:val="none"/>
                <w:lang w:val="en-US" w:eastAsia="zh-CN"/>
              </w:rPr>
              <w:t>西</w:t>
            </w:r>
            <w:r>
              <w:rPr>
                <w:rFonts w:hint="default" w:ascii="Times New Roman" w:hAnsi="Times New Roman" w:eastAsia="宋体" w:cs="Times New Roman"/>
                <w:b w:val="0"/>
                <w:bCs w:val="0"/>
                <w:color w:val="auto"/>
                <w:sz w:val="24"/>
                <w:szCs w:val="24"/>
                <w:highlight w:val="none"/>
                <w:lang w:val="en-US" w:eastAsia="zh-CN"/>
              </w:rPr>
              <w:t>侧布置办公区域，功能分区清晰、流程顺畅，满足勘探井安全环保要求。项目井场施工现场布置示意图见附图</w:t>
            </w:r>
            <w:r>
              <w:rPr>
                <w:rFonts w:hint="eastAsia" w:cs="Times New Roman"/>
                <w:b w:val="0"/>
                <w:bCs w:val="0"/>
                <w:color w:val="auto"/>
                <w:sz w:val="24"/>
                <w:szCs w:val="24"/>
                <w:highlight w:val="none"/>
                <w:lang w:val="en-US" w:eastAsia="zh-CN"/>
              </w:rPr>
              <w:t>2-3</w:t>
            </w:r>
            <w:r>
              <w:rPr>
                <w:rFonts w:hint="default" w:ascii="Times New Roman" w:hAnsi="Times New Roman" w:eastAsia="宋体" w:cs="Times New Roman"/>
                <w:b w:val="0"/>
                <w:bCs w:val="0"/>
                <w:color w:val="auto"/>
                <w:sz w:val="24"/>
                <w:szCs w:val="24"/>
                <w:highlight w:val="none"/>
                <w:lang w:val="en-US" w:eastAsia="zh-CN"/>
              </w:rPr>
              <w:t>。</w:t>
            </w:r>
          </w:p>
          <w:p w14:paraId="5C1E0F3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（2）测试放喷期井场平面布置</w:t>
            </w:r>
          </w:p>
          <w:p w14:paraId="2D90055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测试前先安装井口放喷专用管线、各种计量设备、油气两相分离设备、原油回收罐等。如评价井有油气资源，则产出液经两相分离器分离后，原油进入井口原油储罐回收，</w:t>
            </w:r>
            <w:r>
              <w:rPr>
                <w:rFonts w:hint="eastAsia" w:cs="Times New Roman"/>
                <w:b w:val="0"/>
                <w:bCs w:val="0"/>
                <w:color w:val="auto"/>
                <w:sz w:val="24"/>
                <w:szCs w:val="24"/>
                <w:highlight w:val="none"/>
                <w:lang w:val="en-US" w:eastAsia="zh-CN"/>
              </w:rPr>
              <w:t>天然气</w:t>
            </w:r>
            <w:r>
              <w:rPr>
                <w:rFonts w:hint="default" w:ascii="Times New Roman" w:hAnsi="Times New Roman" w:eastAsia="宋体" w:cs="Times New Roman"/>
                <w:b w:val="0"/>
                <w:bCs w:val="0"/>
                <w:color w:val="auto"/>
                <w:sz w:val="24"/>
                <w:szCs w:val="24"/>
                <w:highlight w:val="none"/>
                <w:lang w:val="en-US" w:eastAsia="zh-CN"/>
              </w:rPr>
              <w:t>经过管线引至火炬燃烧。</w:t>
            </w:r>
          </w:p>
          <w:p w14:paraId="480F56D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2.施工现场布置</w:t>
            </w:r>
          </w:p>
          <w:p w14:paraId="79C654C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（1）生活办公区</w:t>
            </w:r>
          </w:p>
          <w:p w14:paraId="344BAD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井场内设置生活营地，井场内设置井控房、钻井办公室等办公场地。</w:t>
            </w:r>
          </w:p>
          <w:p w14:paraId="1818141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（2）井场道路</w:t>
            </w:r>
          </w:p>
          <w:p w14:paraId="4A847B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临时进场道路接引至附近现有井场道路，砂石路面，宽6m。</w:t>
            </w:r>
          </w:p>
          <w:p w14:paraId="283B1E2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（3）施工用水水源</w:t>
            </w:r>
          </w:p>
          <w:p w14:paraId="7DD020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生活用水</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钻井作业用水</w:t>
            </w:r>
            <w:r>
              <w:rPr>
                <w:rFonts w:hint="eastAsia" w:cs="Times New Roman"/>
                <w:b w:val="0"/>
                <w:bCs w:val="0"/>
                <w:color w:val="auto"/>
                <w:sz w:val="24"/>
                <w:szCs w:val="24"/>
                <w:highlight w:val="none"/>
                <w:lang w:val="en-US" w:eastAsia="zh-CN"/>
              </w:rPr>
              <w:t>均</w:t>
            </w:r>
            <w:r>
              <w:rPr>
                <w:rFonts w:hint="default" w:ascii="Times New Roman" w:hAnsi="Times New Roman" w:eastAsia="宋体" w:cs="Times New Roman"/>
                <w:b w:val="0"/>
                <w:bCs w:val="0"/>
                <w:color w:val="auto"/>
                <w:sz w:val="24"/>
                <w:szCs w:val="24"/>
                <w:highlight w:val="none"/>
                <w:lang w:val="en-US" w:eastAsia="zh-CN"/>
              </w:rPr>
              <w:t>由水罐车由附近村镇拉运。</w:t>
            </w:r>
          </w:p>
          <w:p w14:paraId="297419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（4）施工用电电源</w:t>
            </w:r>
          </w:p>
          <w:p w14:paraId="217B7CD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项目勘探期供电由</w:t>
            </w:r>
            <w:r>
              <w:rPr>
                <w:rFonts w:hint="eastAsia" w:cs="Times New Roman"/>
                <w:b w:val="0"/>
                <w:bCs w:val="0"/>
                <w:color w:val="auto"/>
                <w:sz w:val="24"/>
                <w:szCs w:val="24"/>
                <w:highlight w:val="none"/>
                <w:lang w:val="en-US" w:eastAsia="zh-CN"/>
              </w:rPr>
              <w:t>燃气</w:t>
            </w:r>
            <w:r>
              <w:rPr>
                <w:rFonts w:hint="default" w:ascii="Times New Roman" w:hAnsi="Times New Roman" w:eastAsia="宋体" w:cs="Times New Roman"/>
                <w:b w:val="0"/>
                <w:bCs w:val="0"/>
                <w:color w:val="auto"/>
                <w:sz w:val="24"/>
                <w:szCs w:val="24"/>
                <w:highlight w:val="none"/>
                <w:lang w:val="en-US" w:eastAsia="zh-CN"/>
              </w:rPr>
              <w:t>发电机组作为电源，出现停电等异常情况由备用燃油发电机发电。</w:t>
            </w:r>
          </w:p>
          <w:p w14:paraId="6B6A7D2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（5）取、弃土场</w:t>
            </w:r>
          </w:p>
          <w:p w14:paraId="2290FA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本项目钻前工程场地平整产生的土石方全部用于井场及进场道路的平整填筑，不外运，本项目不设置专门的取、弃土场。</w:t>
            </w:r>
          </w:p>
          <w:p w14:paraId="24FBA5C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（6）临时堆土场</w:t>
            </w:r>
          </w:p>
          <w:p w14:paraId="66F300A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b w:val="0"/>
                <w:bCs w:val="0"/>
                <w:color w:val="auto"/>
                <w:sz w:val="24"/>
                <w:szCs w:val="24"/>
                <w:highlight w:val="none"/>
                <w:lang w:val="en-US" w:eastAsia="zh-CN"/>
              </w:rPr>
              <w:t>本项目场地平整产生的土石方全部用于井场及进场道路平整填筑，不长期堆存，不设置专门的临时堆土场，少量临时堆放土石方采取土工布覆盖防护，作业完成后全部就地平整利用。</w:t>
            </w:r>
          </w:p>
        </w:tc>
      </w:tr>
      <w:tr w14:paraId="105816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 w:type="pct"/>
            <w:noWrap w:val="0"/>
            <w:vAlign w:val="center"/>
          </w:tcPr>
          <w:p w14:paraId="451062C3">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施工方案</w:t>
            </w:r>
          </w:p>
        </w:tc>
        <w:tc>
          <w:tcPr>
            <w:tcW w:w="4758" w:type="pct"/>
            <w:noWrap w:val="0"/>
            <w:vAlign w:val="center"/>
          </w:tcPr>
          <w:p w14:paraId="0BDFCEDC">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bCs/>
                <w:color w:val="auto"/>
                <w:sz w:val="24"/>
                <w:szCs w:val="24"/>
                <w:highlight w:val="none"/>
              </w:rPr>
            </w:pPr>
            <w:r>
              <w:rPr>
                <w:rFonts w:hint="eastAsia"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施工工艺流程</w:t>
            </w:r>
          </w:p>
          <w:p w14:paraId="2A4F85B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为油田勘探开发中的前期勘探，前期勘探包含地质勘探和钻井，钻井是在有利地形油气构造或油气田范围内，为确定油气藏是否存在，圈定油气藏的边界，并对油气藏进行工业评价及取得油气开发所需的地质资料而钻的井。项目为勘探井项目，主要环境影响发生在施工期，项目无运营期。</w:t>
            </w:r>
          </w:p>
          <w:p w14:paraId="626FA6D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项目施工期主要包括钻前工程（井场建设、设备搬运及安装）、钻井工程（含测试放喷）、钻后工程等。工艺流程及产污环节如下图所示。</w:t>
            </w:r>
          </w:p>
          <w:p w14:paraId="1BF3336B">
            <w:pPr>
              <w:pStyle w:val="112"/>
              <w:pageBreakBefore w:val="0"/>
              <w:widowControl w:val="0"/>
              <w:kinsoku/>
              <w:wordWrap/>
              <w:topLinePunct w:val="0"/>
              <w:autoSpaceDE/>
              <w:autoSpaceDN/>
              <w:bidi w:val="0"/>
              <w:snapToGrid/>
              <w:spacing w:after="0" w:line="480" w:lineRule="exact"/>
              <w:ind w:left="0" w:leftChars="0" w:firstLine="0" w:firstLineChars="0"/>
              <w:jc w:val="center"/>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color w:val="auto"/>
                <w:sz w:val="24"/>
                <w:szCs w:val="24"/>
                <w:highlight w:val="none"/>
                <w:vertAlign w:val="subscript"/>
                <w:lang w:eastAsia="zh-CN"/>
              </w:rPr>
              <w:drawing>
                <wp:anchor distT="0" distB="0" distL="114300" distR="114300" simplePos="0" relativeHeight="251663360" behindDoc="0" locked="0" layoutInCell="1" allowOverlap="1">
                  <wp:simplePos x="0" y="0"/>
                  <wp:positionH relativeFrom="column">
                    <wp:posOffset>537210</wp:posOffset>
                  </wp:positionH>
                  <wp:positionV relativeFrom="paragraph">
                    <wp:posOffset>16510</wp:posOffset>
                  </wp:positionV>
                  <wp:extent cx="4253230" cy="4161155"/>
                  <wp:effectExtent l="0" t="0" r="13970" b="10795"/>
                  <wp:wrapTopAndBottom/>
                  <wp:docPr id="21327062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06237" name="图片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253230" cy="4161155"/>
                          </a:xfrm>
                          <a:prstGeom prst="rect">
                            <a:avLst/>
                          </a:prstGeom>
                        </pic:spPr>
                      </pic:pic>
                    </a:graphicData>
                  </a:graphic>
                </wp:anchor>
              </w:drawing>
            </w:r>
            <w:r>
              <w:rPr>
                <w:rFonts w:hint="default" w:ascii="Times New Roman" w:hAnsi="Times New Roman" w:eastAsia="宋体" w:cs="Times New Roman"/>
                <w:b/>
                <w:bCs w:val="0"/>
                <w:color w:val="auto"/>
                <w:sz w:val="24"/>
                <w:szCs w:val="24"/>
                <w:highlight w:val="none"/>
              </w:rPr>
              <w:t>图</w:t>
            </w:r>
            <w:r>
              <w:rPr>
                <w:rFonts w:hint="default" w:ascii="Times New Roman" w:hAnsi="Times New Roman" w:eastAsia="宋体" w:cs="Times New Roman"/>
                <w:b/>
                <w:bCs w:val="0"/>
                <w:color w:val="auto"/>
                <w:sz w:val="24"/>
                <w:szCs w:val="24"/>
                <w:highlight w:val="none"/>
                <w:lang w:val="en-US" w:eastAsia="zh-CN"/>
              </w:rPr>
              <w:t>2-3</w:t>
            </w:r>
            <w:r>
              <w:rPr>
                <w:rFonts w:hint="default" w:ascii="Times New Roman" w:hAnsi="Times New Roman" w:eastAsia="宋体" w:cs="Times New Roman"/>
                <w:b/>
                <w:bCs w:val="0"/>
                <w:color w:val="auto"/>
                <w:sz w:val="24"/>
                <w:szCs w:val="24"/>
                <w:highlight w:val="none"/>
              </w:rPr>
              <w:t xml:space="preserve">   工程</w:t>
            </w:r>
            <w:r>
              <w:rPr>
                <w:rFonts w:hint="default" w:ascii="Times New Roman" w:hAnsi="Times New Roman" w:eastAsia="宋体" w:cs="Times New Roman"/>
                <w:b/>
                <w:bCs w:val="0"/>
                <w:color w:val="auto"/>
                <w:sz w:val="24"/>
                <w:szCs w:val="24"/>
                <w:highlight w:val="none"/>
                <w:lang w:eastAsia="zh-CN"/>
              </w:rPr>
              <w:t>施工工艺流程</w:t>
            </w:r>
            <w:r>
              <w:rPr>
                <w:rFonts w:hint="default" w:ascii="Times New Roman" w:hAnsi="Times New Roman" w:eastAsia="宋体" w:cs="Times New Roman"/>
                <w:b/>
                <w:bCs w:val="0"/>
                <w:color w:val="auto"/>
                <w:sz w:val="24"/>
                <w:szCs w:val="24"/>
                <w:highlight w:val="none"/>
                <w:lang w:val="en-US" w:eastAsia="zh-CN"/>
              </w:rPr>
              <w:t>及产物节点</w:t>
            </w:r>
            <w:r>
              <w:rPr>
                <w:rFonts w:hint="default" w:ascii="Times New Roman" w:hAnsi="Times New Roman" w:eastAsia="宋体" w:cs="Times New Roman"/>
                <w:b/>
                <w:bCs w:val="0"/>
                <w:color w:val="auto"/>
                <w:sz w:val="24"/>
                <w:szCs w:val="24"/>
                <w:highlight w:val="none"/>
              </w:rPr>
              <w:t>示意图</w:t>
            </w:r>
          </w:p>
          <w:p w14:paraId="3B6D1EDB">
            <w:pPr>
              <w:pStyle w:val="3"/>
              <w:pageBreakBefore w:val="0"/>
              <w:widowControl w:val="0"/>
              <w:kinsoku/>
              <w:wordWrap/>
              <w:topLinePunct w:val="0"/>
              <w:autoSpaceDE/>
              <w:autoSpaceDN/>
              <w:bidi w:val="0"/>
              <w:snapToGrid/>
              <w:spacing w:line="480" w:lineRule="exact"/>
              <w:ind w:firstLine="480" w:firstLineChars="200"/>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8</w:t>
            </w:r>
            <w:r>
              <w:rPr>
                <w:rFonts w:hint="default" w:ascii="Times New Roman" w:hAnsi="Times New Roman" w:eastAsia="宋体" w:cs="Times New Roman"/>
                <w:b w:val="0"/>
                <w:bCs w:val="0"/>
                <w:color w:val="auto"/>
                <w:kern w:val="2"/>
                <w:sz w:val="24"/>
                <w:szCs w:val="24"/>
                <w:highlight w:val="none"/>
                <w:lang w:val="en-US" w:eastAsia="zh-CN" w:bidi="ar-SA"/>
              </w:rPr>
              <w:t>.1钻前工程简述</w:t>
            </w:r>
          </w:p>
          <w:p w14:paraId="1C694BD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钻前工程包括井场平整，设备基础等的建设。</w:t>
            </w:r>
          </w:p>
          <w:p w14:paraId="036D71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钻井地井位确定后，建设井场道路、平整井场、搭建钻井平台等。前期场地准备完毕后，钻井设备由汽车运至井场安装，打好安装钻机的基础并安装井架和钻机，准备钻井。</w:t>
            </w:r>
          </w:p>
          <w:p w14:paraId="428101B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钻前过程主要污染物为施工扬尘、机械汽车尾气以及设备安装产生的噪声</w:t>
            </w:r>
            <w:bookmarkStart w:id="7" w:name="_Toc27343"/>
            <w:bookmarkStart w:id="8" w:name="_Toc8607"/>
            <w:r>
              <w:rPr>
                <w:rFonts w:hint="default" w:ascii="Times New Roman" w:hAnsi="Times New Roman" w:eastAsia="宋体" w:cs="Times New Roman"/>
                <w:b w:val="0"/>
                <w:bCs w:val="0"/>
                <w:color w:val="auto"/>
                <w:sz w:val="24"/>
                <w:szCs w:val="24"/>
                <w:highlight w:val="none"/>
                <w:lang w:val="en-US" w:eastAsia="zh-CN"/>
              </w:rPr>
              <w:t>。</w:t>
            </w:r>
          </w:p>
          <w:p w14:paraId="129F299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.2钻井工程简述</w:t>
            </w:r>
            <w:bookmarkEnd w:id="7"/>
            <w:bookmarkEnd w:id="8"/>
          </w:p>
          <w:p w14:paraId="663F0D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钻井工程主要包含钻井、固井、录井及测井、完井、测试放喷等工作。</w:t>
            </w:r>
          </w:p>
          <w:p w14:paraId="0A13B10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（1）钻井工程</w:t>
            </w:r>
          </w:p>
          <w:p w14:paraId="1449936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钻井阶段使用的钻机动力由</w:t>
            </w:r>
            <w:r>
              <w:rPr>
                <w:rFonts w:hint="eastAsia" w:cs="Times New Roman"/>
                <w:b w:val="0"/>
                <w:bCs w:val="0"/>
                <w:color w:val="auto"/>
                <w:sz w:val="24"/>
                <w:szCs w:val="24"/>
                <w:highlight w:val="none"/>
                <w:lang w:val="en-US" w:eastAsia="zh-CN"/>
              </w:rPr>
              <w:t>燃气</w:t>
            </w:r>
            <w:r>
              <w:rPr>
                <w:rFonts w:hint="default" w:ascii="Times New Roman" w:hAnsi="Times New Roman" w:eastAsia="宋体" w:cs="Times New Roman"/>
                <w:b w:val="0"/>
                <w:bCs w:val="0"/>
                <w:color w:val="auto"/>
                <w:sz w:val="24"/>
                <w:szCs w:val="24"/>
                <w:highlight w:val="none"/>
                <w:lang w:val="en-US" w:eastAsia="zh-CN"/>
              </w:rPr>
              <w:t>发电机组作为电源，出现停电等异常情况由备用燃油发电机发电，通过钻机、转盘，带动钻杆切削地层，同时由泥浆泵经钻杆将泥浆注入井筒冲刷井底，将切削下的岩屑不断带至地面，整个过程循环进行，使井不断加深，直至目的井深。钻井泥浆在泥浆罐内配置，在钻井过程中根据地层对泥浆性能的要求不同在循环泥浆中添加不同量原料，配制泥浆用原料暂存于井场内，配置时由人工破袋加入泥浆罐中，本项目钻井采用的为水基泥浆。</w:t>
            </w:r>
          </w:p>
          <w:p w14:paraId="3A447DA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根据钻井深度、地层岩性、油藏特点本项目钻井确定为三开井。</w:t>
            </w:r>
          </w:p>
          <w:p w14:paraId="6299750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主要设备包括钻机、钻头、钻井液和固控装置等。钻井作业时，依靠钻机的动力带动钻杆和钻头旋转，钻头逐次向下破碎遇到的岩层，并形成一个井筒（井眼）。钻头在破碎岩层的同时，通过空心的钻杆向地下注入钻井液（钻井泥浆），将钻头在破碎地层而产生的大量岩屑由循环的钻井泥浆带到地面。地面的固控装置包括振动筛和泥浆泵，将钻井泥浆中的岩屑清除后，通过钻井泵再次将钻井泥浆打入井内。钻井泥浆经过钻杆内孔到达钻头水眼处，再从井壁与钻柱的环形空间返回流至地面。钻进的过程即钻头破碎岩石及钻井泥浆通过循环不断携带出钻屑并形成井筒的过程。钻井过程中，根据钻井深度和实际情况选用不同体系的钻井泥浆，钻井泥浆重复利用。</w:t>
            </w:r>
          </w:p>
          <w:p w14:paraId="53B939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固井是在已钻成的井筒内下入套管，然后在套管与井壁之间环孔内注入水泥浆，将套管和地层固结在一起的工艺过程，可防止复杂情况，以保证安全继续钻进下一段井筒或保证顺利开采生产层中的油气资源。</w:t>
            </w:r>
          </w:p>
          <w:p w14:paraId="596E306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录井：钻井至设计井深中段开始进行录井（主要工作是记录钻井过程中的所有地质参数），主要包括钻时录井、气测录井、钻井液录井、岩屑录井、岩心录井和压力录井，其中岩屑录井是获取井下地层岩石样品的重要手段。</w:t>
            </w:r>
          </w:p>
          <w:p w14:paraId="005F3DA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电测：根据地质需要，选用适合的测井项目对钻开地层进行电测，最终根据电测曲线了解地层的特征及地层含油、气情况。</w:t>
            </w:r>
          </w:p>
          <w:p w14:paraId="4D4A756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测井是利用专用仪器设备测量岩层的电化学特性、导电特性、声学特性、放射性等地球物理特性，以获取岩层的孔隙度、渗透率以及含油气情况等地层信息。</w:t>
            </w:r>
          </w:p>
          <w:p w14:paraId="455DD7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本钻井工程产生的污染物为设备噪声、泥浆和岩屑、设备检修产生的废机油、废防渗材料及废烧碱包装材料等固体废物等，钻井过程产生的岩屑、泥浆采用“泥浆不落地”进行处理。</w:t>
            </w:r>
          </w:p>
          <w:p w14:paraId="4164356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（3）钻井泥浆随钻不落地系统</w:t>
            </w:r>
          </w:p>
          <w:p w14:paraId="7589EED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钻井过程中，岩石经钻头和泥浆的研磨而破碎成岩屑，并经泥浆携带至地面，故钻井岩屑与钻井泥浆共同处理，采用“随钻不落地固液分离处理”工艺。</w:t>
            </w:r>
          </w:p>
          <w:p w14:paraId="3CC1FE3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①岩屑分离系统</w:t>
            </w:r>
          </w:p>
          <w:p w14:paraId="04DFBA6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钻井作业中钻井泥浆随着钻探深度及地质而变化，钻至岩屑层时，钻井泥浆出料以岩屑、砂和钻井液为主；通过高架管汇流入泥浆振动筛处理掉大的固体颗粒后，砂泵把处理过的泥浆抽入除砂器、除泥器、离心机进行除砂除泥，把泥浆里的岩屑、沙和泥处理掉，处理后的液相直接送入钻井液循环箱中循环利用；岩屑由螺旋输送机送入岩屑收集装置，检测合格后可综合利用。</w:t>
            </w:r>
          </w:p>
          <w:p w14:paraId="619F604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②随钻处理系统</w:t>
            </w:r>
          </w:p>
          <w:p w14:paraId="61FDAB7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将钻井泥浆首先送至岩屑分离装置，把大颗粒及砂状岩屑分离收集，泥水暂存储罐，用泵提升至混凝罐进行加药、破胶、破稳，经脱稳处理后的泥水在自然状态下经过一段时间的沉降，混凝液自流至固液分离装置（压滤压榨）使其迅速进行固液分离。</w:t>
            </w:r>
          </w:p>
          <w:p w14:paraId="615C538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随钻不落地固液分离处理技术，是通过絮凝－破稳等物理化学方法，处理钻井废弃泥浆，实现钻井废弃物减量化的一项系统化技术，使之分离成固相（岩屑和泥饼）和水两个部分。其中分离水直接回用于其他钻井的泥浆配制过程。分离后的膨润土体系废弃钻井泥浆及岩屑泥浆不落地处理区暂存，经检测达标后，用于铺垫油区内的井场、道路。</w:t>
            </w:r>
          </w:p>
          <w:p w14:paraId="2E445F5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.3试油期测试放喷简述</w:t>
            </w:r>
          </w:p>
          <w:p w14:paraId="4E7F39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（1）储层改造</w:t>
            </w:r>
          </w:p>
          <w:p w14:paraId="5BA624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当钻至目的层后，对油气进行测试，需进行射孔，用射孔枪打开产层，用酸化</w:t>
            </w:r>
            <w:r>
              <w:rPr>
                <w:rFonts w:hint="eastAsia" w:cs="Times New Roman"/>
                <w:b w:val="0"/>
                <w:bCs w:val="0"/>
                <w:color w:val="auto"/>
                <w:sz w:val="24"/>
                <w:szCs w:val="24"/>
                <w:highlight w:val="none"/>
                <w:lang w:val="en-US" w:eastAsia="zh-CN"/>
              </w:rPr>
              <w:t>压裂液</w:t>
            </w:r>
            <w:r>
              <w:rPr>
                <w:rFonts w:hint="default" w:ascii="Times New Roman" w:hAnsi="Times New Roman" w:eastAsia="宋体" w:cs="Times New Roman"/>
                <w:b w:val="0"/>
                <w:bCs w:val="0"/>
                <w:color w:val="auto"/>
                <w:sz w:val="24"/>
                <w:szCs w:val="24"/>
                <w:highlight w:val="none"/>
                <w:lang w:val="en-US" w:eastAsia="zh-CN"/>
              </w:rPr>
              <w:t>清洗裂隙，改善地层近井地带渗透率，使含油层的油气资源通过裂隙采出。</w:t>
            </w:r>
          </w:p>
          <w:p w14:paraId="1E8F31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（2）测试放喷</w:t>
            </w:r>
          </w:p>
          <w:p w14:paraId="21C440F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前安装井口放喷专用管线、各种计量设备、油气两相分离设备，计量罐、储液罐（油罐）、油气水进出口管线等设备。如有油气资源，油气经井口装置节流、降压，进入油气计量分离器，分离后的液相（包括油和水）通过管线输送至原油储罐，再由油罐车拉走，</w:t>
            </w:r>
            <w:r>
              <w:rPr>
                <w:rFonts w:hint="eastAsia" w:cs="Times New Roman"/>
                <w:b w:val="0"/>
                <w:bCs w:val="0"/>
                <w:color w:val="auto"/>
                <w:sz w:val="24"/>
                <w:szCs w:val="24"/>
                <w:highlight w:val="none"/>
                <w:lang w:val="en-US" w:eastAsia="zh-CN"/>
              </w:rPr>
              <w:t>天然气</w:t>
            </w:r>
            <w:r>
              <w:rPr>
                <w:rFonts w:hint="default" w:ascii="Times New Roman" w:hAnsi="Times New Roman" w:eastAsia="宋体" w:cs="Times New Roman"/>
                <w:b w:val="0"/>
                <w:bCs w:val="0"/>
                <w:color w:val="auto"/>
                <w:sz w:val="24"/>
                <w:szCs w:val="24"/>
                <w:highlight w:val="none"/>
                <w:lang w:val="en-US" w:eastAsia="zh-CN"/>
              </w:rPr>
              <w:t>通过管线输送至火炬燃烧。依据具体情况设定放喷时间。</w:t>
            </w:r>
          </w:p>
          <w:p w14:paraId="5478D4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测试放喷过程主要污染物为伴生气、酸化压裂返排液和噪声。</w:t>
            </w:r>
          </w:p>
          <w:p w14:paraId="0469F0E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bookmarkStart w:id="9" w:name="_Toc13227"/>
            <w:r>
              <w:rPr>
                <w:rFonts w:hint="default" w:ascii="Times New Roman" w:hAnsi="Times New Roman" w:eastAsia="宋体" w:cs="Times New Roman"/>
                <w:b w:val="0"/>
                <w:bCs w:val="0"/>
                <w:color w:val="auto"/>
                <w:sz w:val="24"/>
                <w:szCs w:val="24"/>
                <w:highlight w:val="none"/>
                <w:lang w:val="en-US" w:eastAsia="zh-CN"/>
              </w:rPr>
              <w:t>（3）完井</w:t>
            </w:r>
          </w:p>
          <w:p w14:paraId="2381371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完井测试结果若表明勘探井有工业开采的价值，拆除与采油无关的设备，进行设备拆除，临时占地设施清理平整。根据钻井作业规范和钻井环保管理规定，钻井泥浆全部回收，不得遗弃在井场，酸化压裂返排液和危险废物须交由资质单位处置，做到“工完、料尽、场地清”。临时占地恢复，场地平整，植被自然恢复。</w:t>
            </w:r>
          </w:p>
          <w:p w14:paraId="50F419D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（4）封井</w:t>
            </w:r>
          </w:p>
          <w:p w14:paraId="306F0D4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勘探工作完成后，经过经济评价，如果钻井有经济利用价值，则作为开发井作临时封井，进行下一步开发；如果钻井没有经济利用价值，则作为废弃井进行永久性封井</w:t>
            </w:r>
            <w:bookmarkEnd w:id="9"/>
            <w:r>
              <w:rPr>
                <w:rFonts w:hint="default" w:ascii="Times New Roman" w:hAnsi="Times New Roman" w:eastAsia="宋体" w:cs="Times New Roman"/>
                <w:b w:val="0"/>
                <w:bCs w:val="0"/>
                <w:color w:val="auto"/>
                <w:sz w:val="24"/>
                <w:szCs w:val="24"/>
                <w:highlight w:val="none"/>
                <w:lang w:val="en-US" w:eastAsia="zh-CN"/>
              </w:rPr>
              <w:t>。</w:t>
            </w:r>
          </w:p>
          <w:p w14:paraId="745B0E7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.4污染物产生情况</w:t>
            </w:r>
          </w:p>
          <w:p w14:paraId="035B6D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主要产污环节及污染物见下表。</w:t>
            </w:r>
          </w:p>
          <w:p w14:paraId="3284590E">
            <w:pPr>
              <w:pStyle w:val="44"/>
              <w:rPr>
                <w:rFonts w:hint="default"/>
                <w:lang w:val="en-US" w:eastAsia="zh-CN"/>
              </w:rPr>
            </w:pPr>
          </w:p>
          <w:p w14:paraId="62334E74">
            <w:pPr>
              <w:keepNext/>
              <w:keepLines w:val="0"/>
              <w:pageBreakBefore w:val="0"/>
              <w:widowControl w:val="0"/>
              <w:kinsoku/>
              <w:wordWrap/>
              <w:overflowPunct/>
              <w:topLinePunct w:val="0"/>
              <w:autoSpaceDE/>
              <w:autoSpaceDN/>
              <w:bidi w:val="0"/>
              <w:adjustRightInd w:val="0"/>
              <w:snapToGrid w:val="0"/>
              <w:spacing w:line="480" w:lineRule="exact"/>
              <w:jc w:val="center"/>
              <w:textAlignment w:val="auto"/>
              <w:outlineLvl w:val="0"/>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表2-8   工程污染物产生位置及种类汇总一览表</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48"/>
              <w:gridCol w:w="1423"/>
              <w:gridCol w:w="6202"/>
            </w:tblGrid>
            <w:tr w14:paraId="658A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14:paraId="08D9A178">
                  <w:pPr>
                    <w:jc w:val="center"/>
                    <w:rPr>
                      <w:rFonts w:hint="default"/>
                      <w:color w:val="auto"/>
                    </w:rPr>
                  </w:pPr>
                  <w:r>
                    <w:rPr>
                      <w:rFonts w:hint="default"/>
                      <w:color w:val="auto"/>
                    </w:rPr>
                    <w:t>项目组成</w:t>
                  </w:r>
                </w:p>
              </w:tc>
              <w:tc>
                <w:tcPr>
                  <w:tcW w:w="811" w:type="pct"/>
                  <w:tcBorders>
                    <w:tl2br w:val="nil"/>
                    <w:tr2bl w:val="nil"/>
                  </w:tcBorders>
                  <w:noWrap w:val="0"/>
                  <w:vAlign w:val="center"/>
                </w:tcPr>
                <w:p w14:paraId="44977B9B">
                  <w:pPr>
                    <w:jc w:val="center"/>
                    <w:rPr>
                      <w:rFonts w:hint="default"/>
                      <w:color w:val="auto"/>
                    </w:rPr>
                  </w:pPr>
                  <w:r>
                    <w:rPr>
                      <w:rFonts w:hint="default"/>
                      <w:color w:val="auto"/>
                    </w:rPr>
                    <w:t>产污位置</w:t>
                  </w:r>
                </w:p>
              </w:tc>
              <w:tc>
                <w:tcPr>
                  <w:tcW w:w="3534" w:type="pct"/>
                  <w:tcBorders>
                    <w:tl2br w:val="nil"/>
                    <w:tr2bl w:val="nil"/>
                  </w:tcBorders>
                  <w:noWrap w:val="0"/>
                  <w:vAlign w:val="center"/>
                </w:tcPr>
                <w:p w14:paraId="25C1BB53">
                  <w:pPr>
                    <w:jc w:val="center"/>
                    <w:rPr>
                      <w:rFonts w:hint="default"/>
                      <w:color w:val="auto"/>
                    </w:rPr>
                  </w:pPr>
                  <w:r>
                    <w:rPr>
                      <w:rFonts w:hint="default"/>
                      <w:color w:val="auto"/>
                    </w:rPr>
                    <w:t>污染物种类及对生态环境影响因素</w:t>
                  </w:r>
                </w:p>
              </w:tc>
            </w:tr>
            <w:tr w14:paraId="6B6E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1" w:hRule="atLeast"/>
                <w:jc w:val="center"/>
              </w:trPr>
              <w:tc>
                <w:tcPr>
                  <w:tcW w:w="654" w:type="pct"/>
                  <w:tcBorders>
                    <w:tl2br w:val="nil"/>
                    <w:tr2bl w:val="nil"/>
                  </w:tcBorders>
                  <w:noWrap w:val="0"/>
                  <w:vAlign w:val="center"/>
                </w:tcPr>
                <w:p w14:paraId="398BAAB4">
                  <w:pPr>
                    <w:jc w:val="center"/>
                    <w:rPr>
                      <w:rFonts w:hint="default"/>
                      <w:color w:val="auto"/>
                    </w:rPr>
                  </w:pPr>
                  <w:r>
                    <w:rPr>
                      <w:rFonts w:hint="default"/>
                      <w:color w:val="auto"/>
                    </w:rPr>
                    <w:t>钻前工程</w:t>
                  </w:r>
                </w:p>
              </w:tc>
              <w:tc>
                <w:tcPr>
                  <w:tcW w:w="811" w:type="pct"/>
                  <w:tcBorders>
                    <w:tl2br w:val="nil"/>
                    <w:tr2bl w:val="nil"/>
                  </w:tcBorders>
                  <w:noWrap w:val="0"/>
                  <w:vAlign w:val="center"/>
                </w:tcPr>
                <w:p w14:paraId="7A484A21">
                  <w:pPr>
                    <w:jc w:val="center"/>
                    <w:rPr>
                      <w:rFonts w:hint="default"/>
                      <w:color w:val="auto"/>
                    </w:rPr>
                  </w:pPr>
                  <w:r>
                    <w:rPr>
                      <w:rFonts w:hint="default"/>
                      <w:color w:val="auto"/>
                    </w:rPr>
                    <w:t>修整进场道路</w:t>
                  </w:r>
                </w:p>
                <w:p w14:paraId="37E90514">
                  <w:pPr>
                    <w:jc w:val="center"/>
                    <w:rPr>
                      <w:rFonts w:hint="default"/>
                      <w:color w:val="auto"/>
                    </w:rPr>
                  </w:pPr>
                  <w:r>
                    <w:rPr>
                      <w:rFonts w:hint="default"/>
                      <w:color w:val="auto"/>
                    </w:rPr>
                    <w:t>井场建设</w:t>
                  </w:r>
                </w:p>
              </w:tc>
              <w:tc>
                <w:tcPr>
                  <w:tcW w:w="3534" w:type="pct"/>
                  <w:tcBorders>
                    <w:tl2br w:val="nil"/>
                    <w:tr2bl w:val="nil"/>
                  </w:tcBorders>
                  <w:noWrap w:val="0"/>
                  <w:vAlign w:val="center"/>
                </w:tcPr>
                <w:p w14:paraId="4F1D10A6">
                  <w:pPr>
                    <w:jc w:val="center"/>
                    <w:rPr>
                      <w:rFonts w:hint="default"/>
                      <w:color w:val="auto"/>
                    </w:rPr>
                  </w:pPr>
                  <w:r>
                    <w:rPr>
                      <w:rFonts w:hint="default"/>
                      <w:color w:val="auto"/>
                    </w:rPr>
                    <w:t>施工及运输机械噪声、施工及运输机械废气、扬尘、土地性质改变等</w:t>
                  </w:r>
                </w:p>
              </w:tc>
            </w:tr>
            <w:tr w14:paraId="7778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14:paraId="15EC695C">
                  <w:pPr>
                    <w:jc w:val="center"/>
                    <w:rPr>
                      <w:rFonts w:hint="default"/>
                      <w:color w:val="auto"/>
                    </w:rPr>
                  </w:pPr>
                  <w:r>
                    <w:rPr>
                      <w:rFonts w:hint="default"/>
                      <w:color w:val="auto"/>
                    </w:rPr>
                    <w:t>钻井工程</w:t>
                  </w:r>
                </w:p>
              </w:tc>
              <w:tc>
                <w:tcPr>
                  <w:tcW w:w="811" w:type="pct"/>
                  <w:tcBorders>
                    <w:tl2br w:val="nil"/>
                    <w:tr2bl w:val="nil"/>
                  </w:tcBorders>
                  <w:noWrap w:val="0"/>
                  <w:vAlign w:val="center"/>
                </w:tcPr>
                <w:p w14:paraId="3F5ABA13">
                  <w:pPr>
                    <w:jc w:val="center"/>
                    <w:rPr>
                      <w:rFonts w:hint="default"/>
                      <w:color w:val="auto"/>
                    </w:rPr>
                  </w:pPr>
                  <w:r>
                    <w:rPr>
                      <w:rFonts w:hint="default"/>
                      <w:color w:val="auto"/>
                    </w:rPr>
                    <w:t>钻井过程</w:t>
                  </w:r>
                </w:p>
              </w:tc>
              <w:tc>
                <w:tcPr>
                  <w:tcW w:w="3534" w:type="pct"/>
                  <w:tcBorders>
                    <w:tl2br w:val="nil"/>
                    <w:tr2bl w:val="nil"/>
                  </w:tcBorders>
                  <w:noWrap w:val="0"/>
                  <w:vAlign w:val="center"/>
                </w:tcPr>
                <w:p w14:paraId="5016B114">
                  <w:pPr>
                    <w:jc w:val="center"/>
                    <w:rPr>
                      <w:rFonts w:hint="default"/>
                      <w:color w:val="auto"/>
                      <w:lang w:eastAsia="zh-CN"/>
                    </w:rPr>
                  </w:pPr>
                  <w:r>
                    <w:rPr>
                      <w:rFonts w:hint="default"/>
                      <w:color w:val="auto"/>
                    </w:rPr>
                    <w:t>废气</w:t>
                  </w:r>
                  <w:r>
                    <w:rPr>
                      <w:rFonts w:hint="default"/>
                      <w:color w:val="auto"/>
                      <w:lang w:eastAsia="zh-CN"/>
                    </w:rPr>
                    <w:t>（柴油发电机燃烧废气、钻井及压裂作业无组织油气废气）</w:t>
                  </w:r>
                  <w:r>
                    <w:rPr>
                      <w:rFonts w:hint="default"/>
                      <w:color w:val="auto"/>
                    </w:rPr>
                    <w:t>、废水</w:t>
                  </w:r>
                  <w:r>
                    <w:rPr>
                      <w:rFonts w:hint="default"/>
                      <w:color w:val="auto"/>
                      <w:lang w:eastAsia="zh-CN"/>
                    </w:rPr>
                    <w:t>（</w:t>
                  </w:r>
                  <w:r>
                    <w:rPr>
                      <w:rFonts w:hint="default"/>
                      <w:color w:val="auto"/>
                      <w:lang w:val="en-US" w:eastAsia="zh-CN"/>
                    </w:rPr>
                    <w:t>钻井废水和酸化</w:t>
                  </w:r>
                  <w:r>
                    <w:rPr>
                      <w:rFonts w:hint="default"/>
                      <w:color w:val="auto"/>
                      <w:lang w:eastAsia="zh-CN"/>
                    </w:rPr>
                    <w:t>压裂</w:t>
                  </w:r>
                  <w:r>
                    <w:rPr>
                      <w:rFonts w:hint="default"/>
                      <w:color w:val="auto"/>
                    </w:rPr>
                    <w:t>废水</w:t>
                  </w:r>
                  <w:r>
                    <w:rPr>
                      <w:rFonts w:hint="default"/>
                      <w:color w:val="auto"/>
                      <w:lang w:eastAsia="zh-CN"/>
                    </w:rPr>
                    <w:t>）</w:t>
                  </w:r>
                  <w:r>
                    <w:rPr>
                      <w:rFonts w:hint="default"/>
                      <w:color w:val="auto"/>
                    </w:rPr>
                    <w:t>、设备噪声、固体废物</w:t>
                  </w:r>
                  <w:r>
                    <w:rPr>
                      <w:rFonts w:hint="default"/>
                      <w:color w:val="auto"/>
                      <w:lang w:eastAsia="zh-CN"/>
                    </w:rPr>
                    <w:t>（</w:t>
                  </w:r>
                  <w:r>
                    <w:rPr>
                      <w:rFonts w:hint="default"/>
                      <w:color w:val="auto"/>
                    </w:rPr>
                    <w:t>岩屑、废泥浆、</w:t>
                  </w:r>
                  <w:r>
                    <w:rPr>
                      <w:rFonts w:hint="default"/>
                      <w:color w:val="auto"/>
                      <w:lang w:val="en-US" w:eastAsia="zh-CN"/>
                    </w:rPr>
                    <w:t>废机油、落地油</w:t>
                  </w:r>
                  <w:r>
                    <w:rPr>
                      <w:rFonts w:hint="default"/>
                      <w:color w:val="auto"/>
                    </w:rPr>
                    <w:t>、</w:t>
                  </w:r>
                  <w:r>
                    <w:rPr>
                      <w:rFonts w:hint="default"/>
                      <w:color w:val="auto"/>
                      <w:lang w:val="en-US" w:eastAsia="zh-CN"/>
                    </w:rPr>
                    <w:t>废弃</w:t>
                  </w:r>
                  <w:r>
                    <w:rPr>
                      <w:rFonts w:hint="default"/>
                      <w:color w:val="auto"/>
                    </w:rPr>
                    <w:t>包装</w:t>
                  </w:r>
                  <w:r>
                    <w:rPr>
                      <w:rFonts w:hint="default"/>
                      <w:color w:val="auto"/>
                      <w:lang w:val="en-US" w:eastAsia="zh-CN"/>
                    </w:rPr>
                    <w:t>材料</w:t>
                  </w:r>
                  <w:r>
                    <w:rPr>
                      <w:rFonts w:hint="default"/>
                      <w:color w:val="auto"/>
                    </w:rPr>
                    <w:t>、废防渗材料</w:t>
                  </w:r>
                  <w:r>
                    <w:rPr>
                      <w:rFonts w:hint="default"/>
                      <w:color w:val="auto"/>
                      <w:lang w:eastAsia="zh-CN"/>
                    </w:rPr>
                    <w:t>）</w:t>
                  </w:r>
                </w:p>
              </w:tc>
            </w:tr>
            <w:tr w14:paraId="2A8C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14:paraId="1EAAADE1">
                  <w:pPr>
                    <w:jc w:val="center"/>
                    <w:rPr>
                      <w:rFonts w:hint="default"/>
                      <w:color w:val="auto"/>
                    </w:rPr>
                  </w:pPr>
                  <w:r>
                    <w:rPr>
                      <w:rFonts w:hint="default"/>
                      <w:color w:val="auto"/>
                    </w:rPr>
                    <w:t>测试放喷</w:t>
                  </w:r>
                </w:p>
              </w:tc>
              <w:tc>
                <w:tcPr>
                  <w:tcW w:w="811" w:type="pct"/>
                  <w:tcBorders>
                    <w:tl2br w:val="nil"/>
                    <w:tr2bl w:val="nil"/>
                  </w:tcBorders>
                  <w:noWrap w:val="0"/>
                  <w:vAlign w:val="center"/>
                </w:tcPr>
                <w:p w14:paraId="54E0ACD6">
                  <w:pPr>
                    <w:jc w:val="center"/>
                    <w:rPr>
                      <w:rFonts w:hint="default"/>
                      <w:color w:val="auto"/>
                    </w:rPr>
                  </w:pPr>
                  <w:r>
                    <w:rPr>
                      <w:rFonts w:hint="default"/>
                      <w:color w:val="auto"/>
                    </w:rPr>
                    <w:t>测试放喷作业</w:t>
                  </w:r>
                </w:p>
              </w:tc>
              <w:tc>
                <w:tcPr>
                  <w:tcW w:w="3534" w:type="pct"/>
                  <w:tcBorders>
                    <w:tl2br w:val="nil"/>
                    <w:tr2bl w:val="nil"/>
                  </w:tcBorders>
                  <w:noWrap w:val="0"/>
                  <w:vAlign w:val="center"/>
                </w:tcPr>
                <w:p w14:paraId="3AF7FFCA">
                  <w:pPr>
                    <w:jc w:val="center"/>
                    <w:rPr>
                      <w:rFonts w:hint="default"/>
                      <w:color w:val="auto"/>
                    </w:rPr>
                  </w:pPr>
                  <w:r>
                    <w:rPr>
                      <w:rFonts w:hint="default"/>
                      <w:color w:val="auto"/>
                    </w:rPr>
                    <w:t>测试放喷废气、放喷气流噪声</w:t>
                  </w:r>
                </w:p>
              </w:tc>
            </w:tr>
            <w:tr w14:paraId="6E02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tcBorders>
                    <w:tl2br w:val="nil"/>
                    <w:tr2bl w:val="nil"/>
                  </w:tcBorders>
                  <w:noWrap w:val="0"/>
                  <w:vAlign w:val="center"/>
                </w:tcPr>
                <w:p w14:paraId="79E8FB58">
                  <w:pPr>
                    <w:jc w:val="center"/>
                    <w:rPr>
                      <w:rFonts w:hint="default"/>
                      <w:color w:val="auto"/>
                    </w:rPr>
                  </w:pPr>
                  <w:r>
                    <w:rPr>
                      <w:rFonts w:hint="default"/>
                      <w:color w:val="auto"/>
                    </w:rPr>
                    <w:t>钻后工程</w:t>
                  </w:r>
                </w:p>
              </w:tc>
              <w:tc>
                <w:tcPr>
                  <w:tcW w:w="811" w:type="pct"/>
                  <w:tcBorders>
                    <w:tl2br w:val="nil"/>
                    <w:tr2bl w:val="nil"/>
                  </w:tcBorders>
                  <w:noWrap w:val="0"/>
                  <w:vAlign w:val="center"/>
                </w:tcPr>
                <w:p w14:paraId="7F9468D4">
                  <w:pPr>
                    <w:jc w:val="center"/>
                    <w:rPr>
                      <w:rFonts w:hint="default"/>
                      <w:color w:val="auto"/>
                    </w:rPr>
                  </w:pPr>
                  <w:r>
                    <w:rPr>
                      <w:rFonts w:hint="default"/>
                      <w:color w:val="auto"/>
                    </w:rPr>
                    <w:t>设备搬运及临时占地恢复</w:t>
                  </w:r>
                </w:p>
              </w:tc>
              <w:tc>
                <w:tcPr>
                  <w:tcW w:w="3534" w:type="pct"/>
                  <w:tcBorders>
                    <w:tl2br w:val="nil"/>
                    <w:tr2bl w:val="nil"/>
                  </w:tcBorders>
                  <w:noWrap w:val="0"/>
                  <w:vAlign w:val="center"/>
                </w:tcPr>
                <w:p w14:paraId="3ACF671D">
                  <w:pPr>
                    <w:jc w:val="center"/>
                    <w:rPr>
                      <w:rFonts w:hint="default"/>
                      <w:color w:val="auto"/>
                    </w:rPr>
                  </w:pPr>
                  <w:r>
                    <w:rPr>
                      <w:rFonts w:hint="default"/>
                      <w:color w:val="auto"/>
                    </w:rPr>
                    <w:t>噪声、扬尘</w:t>
                  </w:r>
                  <w:r>
                    <w:rPr>
                      <w:rFonts w:hint="default"/>
                      <w:color w:val="auto"/>
                      <w:lang w:eastAsia="zh-CN"/>
                    </w:rPr>
                    <w:t>、</w:t>
                  </w:r>
                  <w:r>
                    <w:rPr>
                      <w:rFonts w:hint="default"/>
                      <w:color w:val="auto"/>
                    </w:rPr>
                    <w:t>固体废物</w:t>
                  </w:r>
                  <w:r>
                    <w:rPr>
                      <w:rFonts w:hint="default"/>
                      <w:color w:val="auto"/>
                      <w:lang w:eastAsia="zh-CN"/>
                    </w:rPr>
                    <w:t>（</w:t>
                  </w:r>
                  <w:r>
                    <w:rPr>
                      <w:rFonts w:hint="default"/>
                      <w:color w:val="auto"/>
                    </w:rPr>
                    <w:t>岩屑</w:t>
                  </w:r>
                  <w:r>
                    <w:rPr>
                      <w:rFonts w:hint="default"/>
                      <w:color w:val="auto"/>
                      <w:lang w:eastAsia="zh-CN"/>
                    </w:rPr>
                    <w:t>）</w:t>
                  </w:r>
                  <w:r>
                    <w:rPr>
                      <w:rFonts w:hint="default"/>
                      <w:color w:val="auto"/>
                    </w:rPr>
                    <w:t>等</w:t>
                  </w:r>
                </w:p>
              </w:tc>
            </w:tr>
          </w:tbl>
          <w:p w14:paraId="7AC16DF2">
            <w:pPr>
              <w:pStyle w:val="2"/>
              <w:keepNext/>
              <w:keepLines w:val="0"/>
              <w:pageBreakBefore w:val="0"/>
              <w:widowControl w:val="0"/>
              <w:kinsoku/>
              <w:wordWrap/>
              <w:overflowPunct w:val="0"/>
              <w:topLinePunct w:val="0"/>
              <w:autoSpaceDE/>
              <w:autoSpaceDN/>
              <w:bidi w:val="0"/>
              <w:adjustRightInd w:val="0"/>
              <w:snapToGrid w:val="0"/>
              <w:spacing w:before="0" w:after="0" w:line="480" w:lineRule="exact"/>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eastAsia="宋体"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.施工时序及建设周期</w:t>
            </w:r>
          </w:p>
          <w:p w14:paraId="1598AEA6">
            <w:pPr>
              <w:pStyle w:val="2"/>
              <w:keepNext/>
              <w:keepLines w:val="0"/>
              <w:pageBreakBefore w:val="0"/>
              <w:widowControl w:val="0"/>
              <w:kinsoku/>
              <w:wordWrap/>
              <w:overflowPunct w:val="0"/>
              <w:topLinePunct w:val="0"/>
              <w:autoSpaceDE/>
              <w:autoSpaceDN/>
              <w:bidi w:val="0"/>
              <w:adjustRightInd w:val="0"/>
              <w:snapToGrid w:val="0"/>
              <w:spacing w:before="0" w:after="0" w:line="480" w:lineRule="exact"/>
              <w:ind w:left="0"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本项目施工周期约180d，其中钻前准备30天，钻井工程约110天，完测试放喷10天，完井拆除设备搬迁30天。</w:t>
            </w:r>
          </w:p>
          <w:p w14:paraId="0D8DCACE">
            <w:pPr>
              <w:pStyle w:val="2"/>
              <w:keepNext/>
              <w:keepLines w:val="0"/>
              <w:pageBreakBefore w:val="0"/>
              <w:widowControl w:val="0"/>
              <w:kinsoku/>
              <w:wordWrap/>
              <w:overflowPunct w:val="0"/>
              <w:topLinePunct w:val="0"/>
              <w:autoSpaceDE/>
              <w:autoSpaceDN/>
              <w:bidi w:val="0"/>
              <w:adjustRightInd w:val="0"/>
              <w:snapToGrid w:val="0"/>
              <w:spacing w:before="0" w:after="0" w:line="480" w:lineRule="exact"/>
              <w:ind w:lef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钻前工程每天工作8h，钻井期每天工作24h，四班三运转，测试放喷每天工作8h。</w:t>
            </w:r>
          </w:p>
        </w:tc>
      </w:tr>
      <w:tr w14:paraId="6F3B5A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 w:type="pct"/>
            <w:noWrap w:val="0"/>
            <w:vAlign w:val="center"/>
          </w:tcPr>
          <w:p w14:paraId="15D01525">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4"/>
                <w:szCs w:val="24"/>
                <w:highlight w:val="none"/>
              </w:rPr>
              <w:t>其他</w:t>
            </w:r>
          </w:p>
        </w:tc>
        <w:tc>
          <w:tcPr>
            <w:tcW w:w="4758" w:type="pct"/>
            <w:noWrap w:val="0"/>
            <w:vAlign w:val="center"/>
          </w:tcPr>
          <w:p w14:paraId="088C50C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jc w:val="center"/>
              <w:textAlignment w:val="auto"/>
              <w:rPr>
                <w:rFonts w:hint="default" w:ascii="Times New Roman" w:hAnsi="Times New Roman" w:eastAsia="宋体" w:cs="Times New Roman"/>
                <w:color w:val="auto"/>
                <w:kern w:val="0"/>
                <w:sz w:val="24"/>
                <w:szCs w:val="21"/>
                <w:highlight w:val="none"/>
                <w:lang w:val="en-US" w:eastAsia="zh-CN" w:bidi="ar-SA"/>
              </w:rPr>
            </w:pPr>
            <w:r>
              <w:rPr>
                <w:rFonts w:hint="default" w:ascii="Times New Roman" w:hAnsi="Times New Roman" w:eastAsia="宋体" w:cs="Times New Roman"/>
                <w:color w:val="auto"/>
                <w:highlight w:val="none"/>
                <w:lang w:val="en-US" w:eastAsia="zh-CN"/>
              </w:rPr>
              <w:t>无</w:t>
            </w:r>
          </w:p>
        </w:tc>
      </w:tr>
    </w:tbl>
    <w:p w14:paraId="723B0A0F">
      <w:pPr>
        <w:pStyle w:val="3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仿宋_GB2312" w:cs="Times New Roman"/>
          <w:b/>
          <w:bCs/>
          <w:color w:val="auto"/>
          <w:highlight w:val="none"/>
        </w:rPr>
        <w:br w:type="page"/>
      </w:r>
      <w:bookmarkStart w:id="10" w:name="_Toc31398"/>
      <w:r>
        <w:rPr>
          <w:rFonts w:hint="default" w:ascii="Times New Roman" w:hAnsi="Times New Roman" w:eastAsia="黑体" w:cs="Times New Roman"/>
          <w:snapToGrid w:val="0"/>
          <w:color w:val="auto"/>
          <w:sz w:val="30"/>
          <w:szCs w:val="30"/>
          <w:highlight w:val="none"/>
        </w:rPr>
        <w:t>三、生态环境现状、保护目标及评价标准</w:t>
      </w:r>
      <w:bookmarkEnd w:id="10"/>
    </w:p>
    <w:tbl>
      <w:tblPr>
        <w:tblStyle w:val="3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9003"/>
      </w:tblGrid>
      <w:tr w14:paraId="0AA6B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240" w:type="pct"/>
            <w:noWrap w:val="0"/>
            <w:vAlign w:val="center"/>
          </w:tcPr>
          <w:p w14:paraId="645E112A">
            <w:pPr>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生态环境现状</w:t>
            </w:r>
          </w:p>
        </w:tc>
        <w:tc>
          <w:tcPr>
            <w:tcW w:w="4759" w:type="pct"/>
            <w:noWrap w:val="0"/>
            <w:vAlign w:val="center"/>
          </w:tcPr>
          <w:p w14:paraId="475703F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z w:val="24"/>
                <w:szCs w:val="24"/>
                <w:lang w:val="en-US" w:eastAsia="zh-CN"/>
              </w:rPr>
            </w:pPr>
            <w:bookmarkStart w:id="11" w:name="_Toc467057572"/>
            <w:bookmarkStart w:id="12" w:name="_Toc29722416"/>
            <w:r>
              <w:rPr>
                <w:rFonts w:hint="default" w:ascii="Times New Roman" w:hAnsi="Times New Roman" w:eastAsia="宋体" w:cs="Times New Roman"/>
                <w:b/>
                <w:bCs w:val="0"/>
                <w:color w:val="auto"/>
                <w:spacing w:val="-10"/>
                <w:kern w:val="0"/>
                <w:sz w:val="24"/>
                <w:szCs w:val="24"/>
                <w:lang w:eastAsia="zh-CN"/>
              </w:rPr>
              <w:t>1</w:t>
            </w:r>
            <w:bookmarkEnd w:id="11"/>
            <w:bookmarkEnd w:id="12"/>
            <w:bookmarkStart w:id="13" w:name="_Toc29722417"/>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生态环境</w:t>
            </w:r>
            <w:bookmarkEnd w:id="13"/>
          </w:p>
          <w:p w14:paraId="3ECCEAB8">
            <w:pPr>
              <w:pStyle w:val="9"/>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1.1 主体功能区划</w:t>
            </w:r>
          </w:p>
          <w:p w14:paraId="72516827">
            <w:pPr>
              <w:pStyle w:val="68"/>
              <w:keepNext w:val="0"/>
              <w:keepLines w:val="0"/>
              <w:pageBreakBefore w:val="0"/>
              <w:widowControl w:val="0"/>
              <w:kinsoku/>
              <w:wordWrap/>
              <w:overflowPunct/>
              <w:topLinePunct w:val="0"/>
              <w:autoSpaceDE/>
              <w:autoSpaceDN/>
              <w:bidi w:val="0"/>
              <w:adjustRightInd/>
              <w:snapToGrid/>
              <w:spacing w:line="440" w:lineRule="exact"/>
              <w:ind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根据《新疆维吾尔自治区主体功能区规划》，本工程</w:t>
            </w:r>
            <w:r>
              <w:rPr>
                <w:rFonts w:hint="eastAsia" w:cs="Times New Roman"/>
                <w:b w:val="0"/>
                <w:bCs/>
                <w:color w:val="auto"/>
                <w:kern w:val="2"/>
                <w:sz w:val="24"/>
                <w:szCs w:val="24"/>
                <w:lang w:val="en-US" w:eastAsia="zh-CN" w:bidi="ar-SA"/>
              </w:rPr>
              <w:t>位于国家级重点生态功能区，</w:t>
            </w:r>
            <w:r>
              <w:rPr>
                <w:rFonts w:hint="default" w:ascii="Times New Roman" w:hAnsi="Times New Roman" w:eastAsia="宋体" w:cs="Times New Roman"/>
                <w:b w:val="0"/>
                <w:bCs/>
                <w:color w:val="auto"/>
                <w:kern w:val="2"/>
                <w:sz w:val="24"/>
                <w:szCs w:val="24"/>
                <w:lang w:val="en-US" w:eastAsia="zh-CN" w:bidi="ar-SA"/>
              </w:rPr>
              <w:t>不在新疆维吾尔自治区主体功能区规划划定的禁止开发区，主要目的是勘探油气资源，开发强度不会超过区域规划目标。工程施工过程中严格控制施工占地，井场施工结束后，采取措施及时恢复临时占地，尽可能减少对区域生态环境的影响。</w:t>
            </w:r>
          </w:p>
          <w:p w14:paraId="41789B96">
            <w:pPr>
              <w:pStyle w:val="68"/>
              <w:keepNext w:val="0"/>
              <w:keepLines w:val="0"/>
              <w:pageBreakBefore w:val="0"/>
              <w:widowControl w:val="0"/>
              <w:kinsoku/>
              <w:wordWrap/>
              <w:overflowPunct/>
              <w:topLinePunct w:val="0"/>
              <w:autoSpaceDE/>
              <w:autoSpaceDN/>
              <w:bidi w:val="0"/>
              <w:adjustRightInd/>
              <w:snapToGrid/>
              <w:spacing w:line="440" w:lineRule="exact"/>
              <w:ind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kern w:val="2"/>
                <w:sz w:val="24"/>
                <w:szCs w:val="24"/>
                <w:lang w:val="en-US" w:eastAsia="zh-CN" w:bidi="ar-SA"/>
              </w:rPr>
              <w:t>综上所述，工程未处于主体功能区划中的禁止开发区，与区域主体功能区划目标相协调，项目主体功能区划见附图3-1。</w:t>
            </w:r>
          </w:p>
          <w:p w14:paraId="4ADD390B">
            <w:pPr>
              <w:pStyle w:val="9"/>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b w:val="0"/>
                <w:bCs/>
                <w:color w:val="auto"/>
                <w:sz w:val="24"/>
                <w:szCs w:val="24"/>
                <w:lang w:val="en-US"/>
              </w:rPr>
            </w:pPr>
            <w:r>
              <w:rPr>
                <w:rFonts w:hint="default" w:ascii="Times New Roman" w:hAnsi="Times New Roman" w:eastAsia="宋体" w:cs="Times New Roman"/>
                <w:b w:val="0"/>
                <w:bCs/>
                <w:color w:val="auto"/>
                <w:kern w:val="2"/>
                <w:sz w:val="24"/>
                <w:szCs w:val="24"/>
                <w:lang w:val="en-US" w:eastAsia="zh-CN" w:bidi="ar-SA"/>
              </w:rPr>
              <w:t xml:space="preserve">1.2 </w:t>
            </w:r>
            <w:r>
              <w:rPr>
                <w:rFonts w:hint="default" w:ascii="Times New Roman" w:hAnsi="Times New Roman" w:eastAsia="宋体" w:cs="Times New Roman"/>
                <w:b w:val="0"/>
                <w:bCs/>
                <w:color w:val="auto"/>
                <w:sz w:val="24"/>
                <w:szCs w:val="24"/>
              </w:rPr>
              <w:t>生态功能区划</w:t>
            </w:r>
          </w:p>
          <w:p w14:paraId="4C312272">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根据《新疆生态功能区划》，本项目主要生态服务功能、生态敏感因子、主要生态问题和主要保护目标见表3-</w:t>
            </w:r>
            <w:r>
              <w:rPr>
                <w:rFonts w:hint="eastAsia" w:cs="Times New Roman"/>
                <w:b w:val="0"/>
                <w:bCs/>
                <w:color w:val="auto"/>
                <w:kern w:val="2"/>
                <w:sz w:val="24"/>
                <w:szCs w:val="24"/>
                <w:lang w:val="en-US" w:eastAsia="zh-CN" w:bidi="ar-SA"/>
              </w:rPr>
              <w:t>1</w:t>
            </w:r>
            <w:r>
              <w:rPr>
                <w:rFonts w:hint="default" w:ascii="Times New Roman" w:hAnsi="Times New Roman" w:eastAsia="宋体" w:cs="Times New Roman"/>
                <w:b w:val="0"/>
                <w:bCs/>
                <w:color w:val="auto"/>
                <w:kern w:val="2"/>
                <w:sz w:val="24"/>
                <w:szCs w:val="24"/>
                <w:lang w:val="en-US" w:eastAsia="zh-CN" w:bidi="ar-SA"/>
              </w:rPr>
              <w:t>，新疆生态功能区划图见附图</w:t>
            </w:r>
            <w:r>
              <w:rPr>
                <w:rFonts w:hint="eastAsia" w:cs="Times New Roman"/>
                <w:b w:val="0"/>
                <w:bCs/>
                <w:color w:val="auto"/>
                <w:kern w:val="2"/>
                <w:sz w:val="24"/>
                <w:szCs w:val="24"/>
                <w:lang w:val="en-US" w:eastAsia="zh-CN" w:bidi="ar-SA"/>
              </w:rPr>
              <w:t>3-2</w:t>
            </w:r>
            <w:r>
              <w:rPr>
                <w:rFonts w:hint="default" w:ascii="Times New Roman" w:hAnsi="Times New Roman" w:eastAsia="宋体" w:cs="Times New Roman"/>
                <w:b w:val="0"/>
                <w:bCs/>
                <w:color w:val="auto"/>
                <w:kern w:val="2"/>
                <w:sz w:val="24"/>
                <w:szCs w:val="24"/>
                <w:lang w:val="en-US" w:eastAsia="zh-CN" w:bidi="ar-SA"/>
              </w:rPr>
              <w:t>。</w:t>
            </w:r>
          </w:p>
          <w:p w14:paraId="5A33E503">
            <w:pPr>
              <w:keepNext w:val="0"/>
              <w:keepLines w:val="0"/>
              <w:pageBreakBefore w:val="0"/>
              <w:widowControl/>
              <w:kinsoku/>
              <w:wordWrap/>
              <w:overflowPunct/>
              <w:topLinePunct w:val="0"/>
              <w:autoSpaceDE/>
              <w:autoSpaceDN/>
              <w:bidi w:val="0"/>
              <w:adjustRightInd/>
              <w:snapToGrid/>
              <w:spacing w:before="0" w:line="440" w:lineRule="exact"/>
              <w:jc w:val="center"/>
              <w:textAlignment w:val="auto"/>
              <w:rPr>
                <w:rFonts w:hint="default" w:ascii="Times New Roman" w:hAnsi="Times New Roman" w:eastAsia="宋体" w:cs="Times New Roman"/>
                <w:b/>
                <w:bCs w:val="0"/>
                <w:color w:val="auto"/>
                <w:kern w:val="2"/>
                <w:sz w:val="21"/>
                <w:szCs w:val="21"/>
                <w:lang w:val="zh-CN" w:eastAsia="zh-CN" w:bidi="ar-SA"/>
              </w:rPr>
            </w:pPr>
            <w:r>
              <w:rPr>
                <w:rFonts w:hint="default" w:ascii="Times New Roman" w:hAnsi="Times New Roman" w:eastAsia="宋体" w:cs="Times New Roman"/>
                <w:b/>
                <w:bCs w:val="0"/>
                <w:color w:val="auto"/>
                <w:kern w:val="2"/>
                <w:sz w:val="21"/>
                <w:szCs w:val="21"/>
                <w:lang w:val="zh-CN" w:eastAsia="zh-CN" w:bidi="ar-SA"/>
              </w:rPr>
              <w:t>表</w:t>
            </w:r>
            <w:r>
              <w:rPr>
                <w:rFonts w:hint="default" w:ascii="Times New Roman" w:hAnsi="Times New Roman" w:eastAsia="宋体" w:cs="Times New Roman"/>
                <w:b/>
                <w:bCs w:val="0"/>
                <w:color w:val="auto"/>
                <w:kern w:val="2"/>
                <w:sz w:val="21"/>
                <w:szCs w:val="21"/>
                <w:lang w:val="en-US" w:eastAsia="zh-CN" w:bidi="ar-SA"/>
              </w:rPr>
              <w:t>3-</w:t>
            </w:r>
            <w:r>
              <w:rPr>
                <w:rFonts w:hint="eastAsia" w:cs="Times New Roman"/>
                <w:b/>
                <w:bCs w:val="0"/>
                <w:color w:val="auto"/>
                <w:kern w:val="2"/>
                <w:sz w:val="21"/>
                <w:szCs w:val="21"/>
                <w:lang w:val="en-US" w:eastAsia="zh-CN" w:bidi="ar-SA"/>
              </w:rPr>
              <w:t>1</w:t>
            </w:r>
            <w:r>
              <w:rPr>
                <w:rFonts w:hint="default" w:ascii="Times New Roman" w:hAnsi="Times New Roman" w:eastAsia="宋体" w:cs="Times New Roman"/>
                <w:b/>
                <w:bCs w:val="0"/>
                <w:color w:val="auto"/>
                <w:kern w:val="2"/>
                <w:sz w:val="21"/>
                <w:szCs w:val="21"/>
                <w:lang w:val="en-US" w:eastAsia="zh-CN" w:bidi="ar-SA"/>
              </w:rPr>
              <w:t xml:space="preserve">   </w:t>
            </w:r>
            <w:r>
              <w:rPr>
                <w:rFonts w:hint="default" w:ascii="Times New Roman" w:hAnsi="Times New Roman" w:eastAsia="宋体" w:cs="Times New Roman"/>
                <w:b/>
                <w:bCs w:val="0"/>
                <w:color w:val="auto"/>
                <w:kern w:val="2"/>
                <w:sz w:val="21"/>
                <w:szCs w:val="21"/>
                <w:lang w:val="zh-CN" w:eastAsia="zh-CN" w:bidi="ar-SA"/>
              </w:rPr>
              <w:t xml:space="preserve"> 项目所在区域生态功能区划</w:t>
            </w: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702"/>
              <w:gridCol w:w="695"/>
              <w:gridCol w:w="657"/>
              <w:gridCol w:w="758"/>
              <w:gridCol w:w="1111"/>
              <w:gridCol w:w="762"/>
              <w:gridCol w:w="1115"/>
              <w:gridCol w:w="1118"/>
              <w:gridCol w:w="1118"/>
            </w:tblGrid>
            <w:tr w14:paraId="7FF6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214" w:type="pct"/>
                  <w:gridSpan w:val="3"/>
                  <w:tcBorders>
                    <w:tl2br w:val="nil"/>
                    <w:tr2bl w:val="nil"/>
                  </w:tcBorders>
                  <w:noWrap w:val="0"/>
                  <w:vAlign w:val="center"/>
                </w:tcPr>
                <w:p w14:paraId="5A368382">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生态功能分区单元</w:t>
                  </w:r>
                </w:p>
              </w:tc>
              <w:tc>
                <w:tcPr>
                  <w:tcW w:w="374" w:type="pct"/>
                  <w:vMerge w:val="restart"/>
                  <w:tcBorders>
                    <w:tl2br w:val="nil"/>
                    <w:tr2bl w:val="nil"/>
                  </w:tcBorders>
                  <w:noWrap w:val="0"/>
                  <w:vAlign w:val="center"/>
                </w:tcPr>
                <w:p w14:paraId="337B3F51">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隶属行政区</w:t>
                  </w:r>
                </w:p>
              </w:tc>
              <w:tc>
                <w:tcPr>
                  <w:tcW w:w="432" w:type="pct"/>
                  <w:vMerge w:val="restart"/>
                  <w:tcBorders>
                    <w:tl2br w:val="nil"/>
                    <w:tr2bl w:val="nil"/>
                  </w:tcBorders>
                  <w:shd w:val="clear" w:color="auto" w:fill="auto"/>
                  <w:noWrap w:val="0"/>
                  <w:vAlign w:val="center"/>
                </w:tcPr>
                <w:p w14:paraId="6213C351">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主要生态服务功能</w:t>
                  </w:r>
                </w:p>
              </w:tc>
              <w:tc>
                <w:tcPr>
                  <w:tcW w:w="633" w:type="pct"/>
                  <w:vMerge w:val="restart"/>
                  <w:tcBorders>
                    <w:tl2br w:val="nil"/>
                    <w:tr2bl w:val="nil"/>
                  </w:tcBorders>
                  <w:shd w:val="clear" w:color="auto" w:fill="auto"/>
                  <w:noWrap w:val="0"/>
                  <w:vAlign w:val="center"/>
                </w:tcPr>
                <w:p w14:paraId="415C95A1">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主要生态环境问题</w:t>
                  </w:r>
                </w:p>
              </w:tc>
              <w:tc>
                <w:tcPr>
                  <w:tcW w:w="434" w:type="pct"/>
                  <w:vMerge w:val="restart"/>
                  <w:tcBorders>
                    <w:tl2br w:val="nil"/>
                    <w:tr2bl w:val="nil"/>
                  </w:tcBorders>
                  <w:shd w:val="clear" w:color="auto" w:fill="auto"/>
                  <w:noWrap w:val="0"/>
                  <w:vAlign w:val="center"/>
                </w:tcPr>
                <w:p w14:paraId="5492B24C">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主要生态敏感因子、敏感程度</w:t>
                  </w:r>
                </w:p>
              </w:tc>
              <w:tc>
                <w:tcPr>
                  <w:tcW w:w="635" w:type="pct"/>
                  <w:vMerge w:val="restart"/>
                  <w:tcBorders>
                    <w:tl2br w:val="nil"/>
                    <w:tr2bl w:val="nil"/>
                  </w:tcBorders>
                  <w:shd w:val="clear" w:color="auto" w:fill="auto"/>
                  <w:noWrap w:val="0"/>
                  <w:vAlign w:val="center"/>
                </w:tcPr>
                <w:p w14:paraId="1B607D21">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主要保护目标</w:t>
                  </w:r>
                </w:p>
              </w:tc>
              <w:tc>
                <w:tcPr>
                  <w:tcW w:w="637" w:type="pct"/>
                  <w:vMerge w:val="restart"/>
                  <w:tcBorders>
                    <w:tl2br w:val="nil"/>
                    <w:tr2bl w:val="nil"/>
                  </w:tcBorders>
                  <w:shd w:val="clear" w:color="auto" w:fill="auto"/>
                  <w:noWrap w:val="0"/>
                  <w:vAlign w:val="center"/>
                </w:tcPr>
                <w:p w14:paraId="35061EFA">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保护措施</w:t>
                  </w:r>
                </w:p>
              </w:tc>
              <w:tc>
                <w:tcPr>
                  <w:tcW w:w="637" w:type="pct"/>
                  <w:vMerge w:val="restart"/>
                  <w:tcBorders>
                    <w:tl2br w:val="nil"/>
                    <w:tr2bl w:val="nil"/>
                  </w:tcBorders>
                  <w:shd w:val="clear" w:color="auto" w:fill="auto"/>
                  <w:noWrap w:val="0"/>
                  <w:vAlign w:val="center"/>
                </w:tcPr>
                <w:p w14:paraId="7BE82EDA">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发展方向</w:t>
                  </w:r>
                </w:p>
              </w:tc>
            </w:tr>
            <w:tr w14:paraId="33F6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8" w:type="pct"/>
                  <w:tcBorders>
                    <w:tl2br w:val="nil"/>
                    <w:tr2bl w:val="nil"/>
                  </w:tcBorders>
                  <w:noWrap w:val="0"/>
                  <w:vAlign w:val="center"/>
                </w:tcPr>
                <w:p w14:paraId="613AA1EB">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生态区</w:t>
                  </w:r>
                </w:p>
              </w:tc>
              <w:tc>
                <w:tcPr>
                  <w:tcW w:w="400" w:type="pct"/>
                  <w:tcBorders>
                    <w:tl2br w:val="nil"/>
                    <w:tr2bl w:val="nil"/>
                  </w:tcBorders>
                  <w:noWrap w:val="0"/>
                  <w:vAlign w:val="center"/>
                </w:tcPr>
                <w:p w14:paraId="1831F4D2">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w:t>
                  </w:r>
                </w:p>
                <w:p w14:paraId="53444BC9">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亚区</w:t>
                  </w:r>
                </w:p>
              </w:tc>
              <w:tc>
                <w:tcPr>
                  <w:tcW w:w="395" w:type="pct"/>
                  <w:tcBorders>
                    <w:tl2br w:val="nil"/>
                    <w:tr2bl w:val="nil"/>
                  </w:tcBorders>
                  <w:noWrap w:val="0"/>
                  <w:vAlign w:val="center"/>
                </w:tcPr>
                <w:p w14:paraId="4273B47D">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w:t>
                  </w:r>
                </w:p>
                <w:p w14:paraId="6815C46B">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功能区</w:t>
                  </w:r>
                </w:p>
              </w:tc>
              <w:tc>
                <w:tcPr>
                  <w:tcW w:w="374" w:type="pct"/>
                  <w:vMerge w:val="continue"/>
                  <w:tcBorders>
                    <w:tl2br w:val="nil"/>
                    <w:tr2bl w:val="nil"/>
                  </w:tcBorders>
                  <w:noWrap w:val="0"/>
                  <w:vAlign w:val="center"/>
                </w:tcPr>
                <w:p w14:paraId="4372EDD5">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432" w:type="pct"/>
                  <w:vMerge w:val="continue"/>
                  <w:tcBorders>
                    <w:tl2br w:val="nil"/>
                    <w:tr2bl w:val="nil"/>
                  </w:tcBorders>
                  <w:noWrap w:val="0"/>
                  <w:vAlign w:val="center"/>
                </w:tcPr>
                <w:p w14:paraId="7FDED879">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3" w:type="pct"/>
                  <w:vMerge w:val="continue"/>
                  <w:tcBorders>
                    <w:tl2br w:val="nil"/>
                    <w:tr2bl w:val="nil"/>
                  </w:tcBorders>
                  <w:noWrap w:val="0"/>
                  <w:vAlign w:val="center"/>
                </w:tcPr>
                <w:p w14:paraId="0186605D">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434" w:type="pct"/>
                  <w:vMerge w:val="continue"/>
                  <w:tcBorders>
                    <w:tl2br w:val="nil"/>
                    <w:tr2bl w:val="nil"/>
                  </w:tcBorders>
                  <w:noWrap w:val="0"/>
                  <w:vAlign w:val="center"/>
                </w:tcPr>
                <w:p w14:paraId="7A168ACD">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5" w:type="pct"/>
                  <w:vMerge w:val="continue"/>
                  <w:tcBorders>
                    <w:tl2br w:val="nil"/>
                    <w:tr2bl w:val="nil"/>
                  </w:tcBorders>
                  <w:noWrap w:val="0"/>
                  <w:vAlign w:val="center"/>
                </w:tcPr>
                <w:p w14:paraId="0882280B">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7" w:type="pct"/>
                  <w:vMerge w:val="continue"/>
                  <w:tcBorders>
                    <w:tl2br w:val="nil"/>
                    <w:tr2bl w:val="nil"/>
                  </w:tcBorders>
                  <w:noWrap w:val="0"/>
                  <w:vAlign w:val="center"/>
                </w:tcPr>
                <w:p w14:paraId="191BFEB1">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c>
                <w:tcPr>
                  <w:tcW w:w="637" w:type="pct"/>
                  <w:vMerge w:val="continue"/>
                  <w:tcBorders>
                    <w:tl2br w:val="nil"/>
                    <w:tr2bl w:val="nil"/>
                  </w:tcBorders>
                  <w:noWrap w:val="0"/>
                  <w:vAlign w:val="center"/>
                </w:tcPr>
                <w:p w14:paraId="176D3A2F">
                  <w:pPr>
                    <w:keepNext w:val="0"/>
                    <w:keepLines w:val="0"/>
                    <w:pageBreakBefore w:val="0"/>
                    <w:widowControl w:val="0"/>
                    <w:kinsoku/>
                    <w:wordWrap/>
                    <w:overflowPunct/>
                    <w:bidi w:val="0"/>
                    <w:spacing w:line="240" w:lineRule="auto"/>
                    <w:jc w:val="center"/>
                    <w:textAlignment w:val="auto"/>
                    <w:rPr>
                      <w:rFonts w:hint="default" w:ascii="Times New Roman" w:hAnsi="Times New Roman" w:eastAsia="宋体" w:cs="Times New Roman"/>
                      <w:sz w:val="21"/>
                      <w:szCs w:val="21"/>
                    </w:rPr>
                  </w:pPr>
                </w:p>
              </w:tc>
            </w:tr>
            <w:tr w14:paraId="7BB7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8" w:type="pct"/>
                  <w:tcBorders>
                    <w:tl2br w:val="nil"/>
                    <w:tr2bl w:val="nil"/>
                  </w:tcBorders>
                  <w:noWrap w:val="0"/>
                  <w:vAlign w:val="center"/>
                </w:tcPr>
                <w:p w14:paraId="7CBF0726">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Ⅳ塔里木盆地暖温带极干旱沙漠、戈壁及绿洲农业生态区</w:t>
                  </w:r>
                </w:p>
              </w:tc>
              <w:tc>
                <w:tcPr>
                  <w:tcW w:w="400" w:type="pct"/>
                  <w:tcBorders>
                    <w:tl2br w:val="nil"/>
                    <w:tr2bl w:val="nil"/>
                  </w:tcBorders>
                  <w:noWrap w:val="0"/>
                  <w:vAlign w:val="center"/>
                </w:tcPr>
                <w:p w14:paraId="0F2FBF1E">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Ⅳ3塔里木盆地中部塔克拉玛干流动沙漠敏感生态亚区</w:t>
                  </w:r>
                </w:p>
              </w:tc>
              <w:tc>
                <w:tcPr>
                  <w:tcW w:w="395" w:type="pct"/>
                  <w:tcBorders>
                    <w:tl2br w:val="nil"/>
                    <w:tr2bl w:val="nil"/>
                  </w:tcBorders>
                  <w:noWrap w:val="0"/>
                  <w:vAlign w:val="center"/>
                </w:tcPr>
                <w:p w14:paraId="16852467">
                  <w:pPr>
                    <w:keepNext w:val="0"/>
                    <w:keepLines w:val="0"/>
                    <w:pageBreakBefore w:val="0"/>
                    <w:widowControl w:val="0"/>
                    <w:kinsoku/>
                    <w:wordWrap/>
                    <w:overflowPunct/>
                    <w:bidi w:val="0"/>
                    <w:adjustRightInd w:val="0"/>
                    <w:spacing w:line="240" w:lineRule="auto"/>
                    <w:jc w:val="center"/>
                    <w:textAlignment w:val="auto"/>
                    <w:rPr>
                      <w:rFonts w:hint="default" w:ascii="Times New Roman" w:hAnsi="Times New Roman" w:eastAsia="宋体" w:cs="Times New Roman"/>
                      <w:sz w:val="21"/>
                      <w:szCs w:val="21"/>
                    </w:rPr>
                  </w:pPr>
                  <w:r>
                    <w:rPr>
                      <w:rFonts w:hint="eastAsia" w:cs="Times New Roman"/>
                      <w:sz w:val="21"/>
                      <w:szCs w:val="21"/>
                      <w:lang w:val="en-US" w:eastAsia="zh-CN"/>
                    </w:rPr>
                    <w:t>71.</w:t>
                  </w:r>
                  <w:r>
                    <w:rPr>
                      <w:rFonts w:hint="default" w:ascii="Times New Roman" w:hAnsi="Times New Roman" w:eastAsia="宋体" w:cs="Times New Roman"/>
                      <w:sz w:val="21"/>
                      <w:szCs w:val="21"/>
                    </w:rPr>
                    <w:t>塔克拉玛干东部流动沙漠油田开发生态功能区</w:t>
                  </w:r>
                </w:p>
              </w:tc>
              <w:tc>
                <w:tcPr>
                  <w:tcW w:w="374" w:type="pct"/>
                  <w:tcBorders>
                    <w:tl2br w:val="nil"/>
                    <w:tr2bl w:val="nil"/>
                  </w:tcBorders>
                  <w:noWrap w:val="0"/>
                  <w:vAlign w:val="center"/>
                </w:tcPr>
                <w:p w14:paraId="536788F0">
                  <w:pPr>
                    <w:jc w:val="center"/>
                    <w:rPr>
                      <w:rFonts w:hint="default" w:ascii="Times New Roman" w:hAnsi="Times New Roman" w:eastAsia="宋体" w:cs="Times New Roman"/>
                      <w:sz w:val="21"/>
                      <w:szCs w:val="21"/>
                    </w:rPr>
                  </w:pPr>
                  <w:r>
                    <w:rPr>
                      <w:rFonts w:hint="eastAsia"/>
                    </w:rPr>
                    <w:t>洛甫县、策勒县、于田县、民丰县、且末县、若羌县、尉犁县、沙雅县、阿克苏市</w:t>
                  </w:r>
                </w:p>
              </w:tc>
              <w:tc>
                <w:tcPr>
                  <w:tcW w:w="432" w:type="pct"/>
                  <w:tcBorders>
                    <w:tl2br w:val="nil"/>
                    <w:tr2bl w:val="nil"/>
                  </w:tcBorders>
                  <w:noWrap w:val="0"/>
                  <w:vAlign w:val="center"/>
                </w:tcPr>
                <w:p w14:paraId="2108BA4E">
                  <w:pPr>
                    <w:jc w:val="center"/>
                    <w:rPr>
                      <w:rFonts w:hint="default" w:ascii="Times New Roman" w:hAnsi="Times New Roman" w:eastAsia="宋体" w:cs="Times New Roman"/>
                      <w:sz w:val="21"/>
                      <w:szCs w:val="21"/>
                    </w:rPr>
                  </w:pPr>
                  <w:r>
                    <w:rPr>
                      <w:rFonts w:hint="eastAsia"/>
                    </w:rPr>
                    <w:t>沙漠景观、风沙源地、油气资源</w:t>
                  </w:r>
                </w:p>
              </w:tc>
              <w:tc>
                <w:tcPr>
                  <w:tcW w:w="633" w:type="pct"/>
                  <w:tcBorders>
                    <w:tl2br w:val="nil"/>
                    <w:tr2bl w:val="nil"/>
                  </w:tcBorders>
                  <w:noWrap w:val="0"/>
                  <w:vAlign w:val="center"/>
                </w:tcPr>
                <w:p w14:paraId="42D01503">
                  <w:pPr>
                    <w:jc w:val="center"/>
                    <w:rPr>
                      <w:rFonts w:hint="default" w:ascii="Times New Roman" w:hAnsi="Times New Roman" w:eastAsia="宋体" w:cs="Times New Roman"/>
                      <w:sz w:val="21"/>
                      <w:szCs w:val="21"/>
                    </w:rPr>
                  </w:pPr>
                  <w:r>
                    <w:rPr>
                      <w:rFonts w:hint="eastAsia"/>
                    </w:rPr>
                    <w:t>风沙</w:t>
                  </w:r>
                  <w:r>
                    <w:rPr>
                      <w:rFonts w:hint="eastAsia"/>
                      <w:lang w:eastAsia="zh-CN"/>
                    </w:rPr>
                    <w:t>威胁</w:t>
                  </w:r>
                  <w:r>
                    <w:rPr>
                      <w:rFonts w:hint="eastAsia"/>
                    </w:rPr>
                    <w:t>绿洲和公路以及油田设施、石油开发区环境污染</w:t>
                  </w:r>
                </w:p>
              </w:tc>
              <w:tc>
                <w:tcPr>
                  <w:tcW w:w="434" w:type="pct"/>
                  <w:tcBorders>
                    <w:tl2br w:val="nil"/>
                    <w:tr2bl w:val="nil"/>
                  </w:tcBorders>
                  <w:noWrap w:val="0"/>
                  <w:vAlign w:val="center"/>
                </w:tcPr>
                <w:p w14:paraId="74860E54">
                  <w:pPr>
                    <w:jc w:val="center"/>
                    <w:rPr>
                      <w:rFonts w:hint="default" w:ascii="Times New Roman" w:hAnsi="Times New Roman" w:eastAsia="宋体" w:cs="Times New Roman"/>
                      <w:sz w:val="21"/>
                      <w:szCs w:val="21"/>
                    </w:rPr>
                  </w:pPr>
                  <w:r>
                    <w:rPr>
                      <w:rFonts w:hint="eastAsia"/>
                    </w:rPr>
                    <w:t>生物多样性和生境不敏感，土壤侵蚀高度敏感，土地沙漠化极度敏感，土壤盐渍化轻度敏感。</w:t>
                  </w:r>
                </w:p>
              </w:tc>
              <w:tc>
                <w:tcPr>
                  <w:tcW w:w="635" w:type="pct"/>
                  <w:tcBorders>
                    <w:tl2br w:val="nil"/>
                    <w:tr2bl w:val="nil"/>
                  </w:tcBorders>
                  <w:noWrap w:val="0"/>
                  <w:vAlign w:val="center"/>
                </w:tcPr>
                <w:p w14:paraId="49B92E48">
                  <w:pPr>
                    <w:jc w:val="center"/>
                    <w:rPr>
                      <w:rFonts w:hint="default" w:ascii="Times New Roman" w:hAnsi="Times New Roman" w:eastAsia="宋体" w:cs="Times New Roman"/>
                      <w:sz w:val="21"/>
                      <w:szCs w:val="21"/>
                    </w:rPr>
                  </w:pPr>
                  <w:r>
                    <w:rPr>
                      <w:rFonts w:hint="eastAsia"/>
                    </w:rPr>
                    <w:t>保护油田设施和沙漠公路、保护文物古迹</w:t>
                  </w:r>
                </w:p>
              </w:tc>
              <w:tc>
                <w:tcPr>
                  <w:tcW w:w="637" w:type="pct"/>
                  <w:tcBorders>
                    <w:tl2br w:val="nil"/>
                    <w:tr2bl w:val="nil"/>
                  </w:tcBorders>
                  <w:shd w:val="clear" w:color="auto" w:fill="auto"/>
                  <w:noWrap w:val="0"/>
                  <w:vAlign w:val="center"/>
                </w:tcPr>
                <w:p w14:paraId="3518F7B4">
                  <w:pPr>
                    <w:jc w:val="center"/>
                    <w:rPr>
                      <w:rFonts w:hint="default" w:ascii="Times New Roman" w:hAnsi="Times New Roman" w:eastAsia="宋体" w:cs="Times New Roman"/>
                      <w:kern w:val="2"/>
                      <w:sz w:val="21"/>
                      <w:szCs w:val="24"/>
                      <w:lang w:val="en-US" w:eastAsia="zh-CN" w:bidi="ar-SA"/>
                    </w:rPr>
                  </w:pPr>
                  <w:r>
                    <w:rPr>
                      <w:rFonts w:hint="eastAsia"/>
                    </w:rPr>
                    <w:t>建立机械与生物相结合的油田和公路防风固沙体系、规范油气勘探开发作业、清洁化生产、防止油气污染和窜层、在沙漠南缘建设生态防护林</w:t>
                  </w:r>
                </w:p>
              </w:tc>
              <w:tc>
                <w:tcPr>
                  <w:tcW w:w="637" w:type="pct"/>
                  <w:tcBorders>
                    <w:tl2br w:val="nil"/>
                    <w:tr2bl w:val="nil"/>
                  </w:tcBorders>
                  <w:shd w:val="clear" w:color="auto" w:fill="auto"/>
                  <w:noWrap w:val="0"/>
                  <w:vAlign w:val="center"/>
                </w:tcPr>
                <w:p w14:paraId="5C470045">
                  <w:pPr>
                    <w:jc w:val="center"/>
                    <w:rPr>
                      <w:rFonts w:hint="default" w:ascii="Times New Roman" w:hAnsi="Times New Roman" w:eastAsia="宋体" w:cs="Times New Roman"/>
                      <w:kern w:val="2"/>
                      <w:sz w:val="21"/>
                      <w:szCs w:val="24"/>
                      <w:lang w:val="en-US" w:eastAsia="zh-CN" w:bidi="ar-SA"/>
                    </w:rPr>
                  </w:pPr>
                  <w:r>
                    <w:rPr>
                      <w:rFonts w:hint="eastAsia"/>
                    </w:rPr>
                    <w:t>加强沙漠油气资源勘探开发，适度开发地下水进行油田区和公路绿化，发展沙漠探险旅游。</w:t>
                  </w:r>
                </w:p>
              </w:tc>
            </w:tr>
          </w:tbl>
          <w:p w14:paraId="3CBB5BCE">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本项目为油气资源勘探项目，工程占地面积小，以施工期为主，具有临时性、短暂性特点，钻井过程中产生的废气、废水、固体废物均采取有效预防和治理措施，不会对区域主要保护目标造成明显影响；本项目属于油气勘探项目</w:t>
            </w:r>
            <w:r>
              <w:rPr>
                <w:rFonts w:hint="eastAsia" w:cs="Times New Roman"/>
                <w:b w:val="0"/>
                <w:bCs/>
                <w:color w:val="auto"/>
                <w:kern w:val="2"/>
                <w:sz w:val="24"/>
                <w:szCs w:val="24"/>
                <w:lang w:val="en-US" w:eastAsia="zh-CN" w:bidi="ar-SA"/>
              </w:rPr>
              <w:t>，符合</w:t>
            </w:r>
            <w:r>
              <w:rPr>
                <w:rFonts w:hint="default" w:ascii="Times New Roman" w:hAnsi="Times New Roman" w:eastAsia="宋体" w:cs="Times New Roman"/>
                <w:b w:val="0"/>
                <w:bCs/>
                <w:color w:val="auto"/>
                <w:kern w:val="2"/>
                <w:sz w:val="24"/>
                <w:szCs w:val="24"/>
                <w:lang w:val="en-US" w:eastAsia="zh-CN" w:bidi="ar-SA"/>
              </w:rPr>
              <w:t>区域发展方向。</w:t>
            </w:r>
          </w:p>
          <w:p w14:paraId="65AE7A46">
            <w:pPr>
              <w:keepNext w:val="0"/>
              <w:keepLines w:val="0"/>
              <w:pageBreakBefore w:val="0"/>
              <w:widowControl/>
              <w:kinsoku/>
              <w:wordWrap/>
              <w:overflowPunct/>
              <w:topLinePunct w:val="0"/>
              <w:autoSpaceDE/>
              <w:autoSpaceDN/>
              <w:bidi w:val="0"/>
              <w:adjustRightInd/>
              <w:spacing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1.3 生态环境现状</w:t>
            </w:r>
          </w:p>
          <w:p w14:paraId="6087692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（1）生态系统</w:t>
            </w:r>
          </w:p>
          <w:p w14:paraId="2B58FDD9">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本项目气候类型属</w:t>
            </w:r>
            <w:r>
              <w:rPr>
                <w:rFonts w:ascii="宋体" w:hAnsi="宋体" w:eastAsia="宋体" w:cs="宋体"/>
                <w:sz w:val="24"/>
                <w:szCs w:val="24"/>
              </w:rPr>
              <w:t>温带大陆性干旱气候</w:t>
            </w:r>
            <w:r>
              <w:rPr>
                <w:rFonts w:hint="default" w:ascii="Times New Roman" w:hAnsi="Times New Roman" w:eastAsia="宋体" w:cs="Times New Roman"/>
                <w:b w:val="0"/>
                <w:bCs/>
                <w:color w:val="auto"/>
                <w:sz w:val="24"/>
                <w:szCs w:val="24"/>
                <w:lang w:val="en-US" w:eastAsia="zh-CN"/>
              </w:rPr>
              <w:t>，干旱少雨，不利于土壤中矿物质分解，土壤发育较差，类型较为简单。项目占地现状为沙漠</w:t>
            </w:r>
            <w:r>
              <w:rPr>
                <w:rFonts w:hint="eastAsia" w:cs="Times New Roman"/>
                <w:b w:val="0"/>
                <w:bCs/>
                <w:color w:val="auto"/>
                <w:sz w:val="24"/>
                <w:szCs w:val="24"/>
                <w:lang w:val="en-US" w:eastAsia="zh-CN"/>
              </w:rPr>
              <w:t>、盐碱地</w:t>
            </w:r>
            <w:r>
              <w:rPr>
                <w:rFonts w:hint="default" w:ascii="Times New Roman" w:hAnsi="Times New Roman" w:eastAsia="宋体" w:cs="Times New Roman"/>
                <w:b w:val="0"/>
                <w:bCs/>
                <w:color w:val="auto"/>
                <w:sz w:val="24"/>
                <w:szCs w:val="24"/>
                <w:lang w:val="en-US" w:eastAsia="zh-CN"/>
              </w:rPr>
              <w:t>，主要有多枝柽柳和一些伴生种，植物群落类型单一、生物量低，生物多样性单一，群落稳定性差。</w:t>
            </w:r>
          </w:p>
          <w:p w14:paraId="3626084C">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本项目位于塔克拉玛干沙漠</w:t>
            </w:r>
            <w:r>
              <w:rPr>
                <w:rFonts w:hint="eastAsia" w:ascii="Times New Roman" w:hAnsi="Times New Roman" w:eastAsia="宋体" w:cs="Times New Roman"/>
                <w:b w:val="0"/>
                <w:bCs/>
                <w:color w:val="auto"/>
                <w:sz w:val="24"/>
                <w:szCs w:val="24"/>
                <w:lang w:val="en-US" w:eastAsia="zh-CN"/>
              </w:rPr>
              <w:t>东</w:t>
            </w:r>
            <w:r>
              <w:rPr>
                <w:rFonts w:hint="default" w:ascii="Times New Roman" w:hAnsi="Times New Roman" w:eastAsia="宋体" w:cs="Times New Roman"/>
                <w:b w:val="0"/>
                <w:bCs/>
                <w:color w:val="auto"/>
                <w:sz w:val="24"/>
                <w:szCs w:val="24"/>
                <w:lang w:val="en-US" w:eastAsia="zh-CN"/>
              </w:rPr>
              <w:t>部，塔里木河南岸，属于典型的荒漠生态系统，由于水分缺乏，植被极其稀疏，植物种类单调，生物生产量很低，能量流动和物质循环缓慢</w:t>
            </w:r>
            <w:r>
              <w:rPr>
                <w:rFonts w:hint="eastAsia" w:ascii="Times New Roman" w:hAnsi="Times New Roman" w:eastAsia="宋体" w:cs="Times New Roman"/>
                <w:b w:val="0"/>
                <w:bCs/>
                <w:color w:val="auto"/>
                <w:sz w:val="24"/>
                <w:szCs w:val="24"/>
                <w:lang w:val="en-US" w:eastAsia="zh-CN"/>
              </w:rPr>
              <w:t>。</w:t>
            </w:r>
          </w:p>
          <w:p w14:paraId="699DAAA7">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w:t>
            </w:r>
            <w:r>
              <w:rPr>
                <w:rFonts w:hint="default" w:ascii="Times New Roman" w:hAnsi="Times New Roman" w:eastAsia="宋体" w:cs="Times New Roman"/>
                <w:b w:val="0"/>
                <w:bCs/>
                <w:color w:val="auto"/>
                <w:sz w:val="24"/>
                <w:szCs w:val="24"/>
                <w:lang w:val="en-US" w:eastAsia="zh-CN"/>
              </w:rPr>
              <w:t>2</w:t>
            </w:r>
            <w:r>
              <w:rPr>
                <w:rFonts w:hint="default" w:ascii="Times New Roman" w:hAnsi="Times New Roman" w:eastAsia="宋体" w:cs="Times New Roman"/>
                <w:b w:val="0"/>
                <w:bCs/>
                <w:color w:val="auto"/>
                <w:sz w:val="24"/>
                <w:szCs w:val="24"/>
              </w:rPr>
              <w:t>）植被</w:t>
            </w:r>
            <w:r>
              <w:rPr>
                <w:rFonts w:hint="default" w:ascii="Times New Roman" w:hAnsi="Times New Roman" w:eastAsia="宋体" w:cs="Times New Roman"/>
                <w:b w:val="0"/>
                <w:bCs/>
                <w:color w:val="auto"/>
                <w:sz w:val="24"/>
                <w:szCs w:val="24"/>
                <w:lang w:val="en-US" w:eastAsia="zh-CN"/>
              </w:rPr>
              <w:t>现状调查</w:t>
            </w:r>
          </w:p>
          <w:p w14:paraId="15D62E43">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按中国植被自然地理区划，工程区属塔里木荒漠省、塔克拉玛干荒漠亚省、塔里木河谷州。本区域生态环境条件较差，荒漠景观决定了该区域植被组成简单，类型单一，种类贫乏等特点，零星分布有多枝柽柳、疏叶骆驼刺、合头草等，不构成完整的植被群落。</w:t>
            </w:r>
          </w:p>
          <w:p w14:paraId="4AF9A47C">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本项目所在区域周围为</w:t>
            </w:r>
            <w:r>
              <w:rPr>
                <w:rFonts w:hint="default" w:ascii="Times New Roman" w:hAnsi="Times New Roman" w:eastAsia="宋体" w:cs="Times New Roman"/>
                <w:b w:val="0"/>
                <w:bCs/>
                <w:color w:val="auto"/>
                <w:sz w:val="24"/>
                <w:szCs w:val="24"/>
                <w:lang w:val="en-US" w:eastAsia="zh-CN"/>
              </w:rPr>
              <w:t>沙漠</w:t>
            </w:r>
            <w:r>
              <w:rPr>
                <w:rFonts w:hint="eastAsia" w:cs="Times New Roman"/>
                <w:b w:val="0"/>
                <w:bCs/>
                <w:color w:val="auto"/>
                <w:sz w:val="24"/>
                <w:szCs w:val="24"/>
                <w:lang w:val="en-US" w:eastAsia="zh-CN"/>
              </w:rPr>
              <w:t>、盐碱地</w:t>
            </w:r>
            <w:r>
              <w:rPr>
                <w:rFonts w:hint="default" w:ascii="Times New Roman" w:hAnsi="Times New Roman" w:eastAsia="宋体" w:cs="Times New Roman"/>
                <w:b w:val="0"/>
                <w:bCs/>
                <w:color w:val="auto"/>
                <w:sz w:val="24"/>
                <w:szCs w:val="24"/>
              </w:rPr>
              <w:t>，区域主要植被为多枝柽柳、疏叶骆驼刺、合头草</w:t>
            </w:r>
            <w:r>
              <w:rPr>
                <w:rFonts w:hint="default" w:ascii="Times New Roman" w:hAnsi="Times New Roman" w:eastAsia="宋体" w:cs="Times New Roman"/>
                <w:b w:val="0"/>
                <w:bCs/>
                <w:color w:val="auto"/>
                <w:sz w:val="24"/>
                <w:szCs w:val="24"/>
                <w:lang w:eastAsia="zh-CN"/>
              </w:rPr>
              <w:t>等</w:t>
            </w:r>
            <w:r>
              <w:rPr>
                <w:rFonts w:hint="default" w:ascii="Times New Roman" w:hAnsi="Times New Roman" w:eastAsia="宋体" w:cs="Times New Roman"/>
                <w:b w:val="0"/>
                <w:bCs/>
                <w:color w:val="auto"/>
                <w:sz w:val="24"/>
                <w:szCs w:val="24"/>
              </w:rPr>
              <w:t>，施工区域植被覆盖度</w:t>
            </w:r>
            <w:r>
              <w:rPr>
                <w:rFonts w:hint="eastAsia" w:cs="Times New Roman"/>
                <w:b w:val="0"/>
                <w:bCs/>
                <w:color w:val="auto"/>
                <w:sz w:val="24"/>
                <w:szCs w:val="24"/>
                <w:lang w:eastAsia="zh-CN"/>
              </w:rPr>
              <w:t>为5%</w:t>
            </w:r>
            <w:r>
              <w:rPr>
                <w:rFonts w:hint="default" w:ascii="Times New Roman" w:hAnsi="Times New Roman" w:eastAsia="宋体" w:cs="Times New Roman"/>
                <w:b w:val="0"/>
                <w:bCs/>
                <w:color w:val="auto"/>
                <w:sz w:val="24"/>
                <w:szCs w:val="24"/>
              </w:rPr>
              <w:t>。</w:t>
            </w:r>
          </w:p>
          <w:p w14:paraId="583DDC58">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植被类型图见附图3-3。</w:t>
            </w:r>
          </w:p>
          <w:p w14:paraId="7C4CE71A">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（3）土壤现状调查与评价</w:t>
            </w:r>
          </w:p>
          <w:p w14:paraId="0D564C64">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根据国家土壤信息服务平台发布的中国1公里发生分类土壤图（数据来源：二普调查，2016年），《中国土壤分类与代码》（GB/T17296-2009）中土壤分类及现场踏勘结果，土壤类型以荒漠风沙土为主</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土壤类型图见附图3-4。</w:t>
            </w:r>
          </w:p>
          <w:p w14:paraId="38386D80">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（4）动物类型</w:t>
            </w:r>
          </w:p>
          <w:p w14:paraId="577C94C8">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项目所在区域动物种群数量较少，多为荒漠鸟类、爬行类和啮齿类动物，这些动物能够在沙漠环境中相对独立生存（仅能短暂栖息、途经沙漠区域的物种则不计入内）。沙漠中物种区系成分基本为中亚类型。项目所在区域较为空旷，野生动物较少，所属区域生活的野生动物主要为荒漠动物群，以啮齿类和有蹄类动物繁盛为特征。该区域野生动物代表种有雀类等，无珍稀、濒危物种分布，生态结构比较简单。</w:t>
            </w:r>
          </w:p>
          <w:p w14:paraId="1627C0DE">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根据《国家重点保护野生动物名录》（国家林业和草原局 农业农村部公告2021年第3号）及《新疆维吾尔自治区重点保护野生动物名录（修订）》，该区域不涉及国家级重点保护动物。</w:t>
            </w:r>
          </w:p>
          <w:p w14:paraId="1A5CE2C2">
            <w:pPr>
              <w:pStyle w:val="68"/>
              <w:keepNext w:val="0"/>
              <w:keepLines w:val="0"/>
              <w:pageBreakBefore w:val="0"/>
              <w:widowControl w:val="0"/>
              <w:kinsoku/>
              <w:wordWrap/>
              <w:overflowPunct/>
              <w:topLinePunct w:val="0"/>
              <w:autoSpaceDE/>
              <w:autoSpaceDN/>
              <w:bidi w:val="0"/>
              <w:adjustRightInd/>
              <w:spacing w:line="440" w:lineRule="exact"/>
              <w:ind w:firstLineChars="200"/>
              <w:jc w:val="both"/>
              <w:textAlignment w:val="auto"/>
              <w:rPr>
                <w:rFonts w:hint="default" w:ascii="Times New Roman" w:hAnsi="Times New Roman" w:eastAsia="宋体" w:cs="Times New Roman"/>
                <w:b w:val="0"/>
                <w:bCs/>
                <w:color w:val="auto"/>
                <w:sz w:val="24"/>
                <w:szCs w:val="32"/>
                <w:highlight w:val="none"/>
                <w:lang w:val="en-US" w:eastAsia="zh-CN"/>
              </w:rPr>
            </w:pPr>
            <w:r>
              <w:rPr>
                <w:rFonts w:hint="default" w:ascii="Times New Roman" w:hAnsi="Times New Roman" w:eastAsia="宋体" w:cs="Times New Roman"/>
                <w:b w:val="0"/>
                <w:bCs/>
                <w:color w:val="auto"/>
                <w:sz w:val="24"/>
                <w:szCs w:val="32"/>
                <w:highlight w:val="none"/>
                <w:lang w:val="en-US" w:eastAsia="zh-CN"/>
              </w:rPr>
              <w:t>通过对区域动物的实地调查和有关调查资料的查询，本工程范围较小，因油气田开发建设活动早已开展，人类活动频繁，野生动物在本区出现较少，区域内主要有鸟类及啮齿类动物活动</w:t>
            </w:r>
            <w:r>
              <w:rPr>
                <w:rFonts w:hint="eastAsia" w:ascii="Times New Roman" w:hAnsi="Times New Roman" w:eastAsia="宋体" w:cs="Times New Roman"/>
                <w:b w:val="0"/>
                <w:bCs/>
                <w:color w:val="auto"/>
                <w:sz w:val="24"/>
                <w:szCs w:val="32"/>
                <w:highlight w:val="none"/>
                <w:lang w:val="en-US" w:eastAsia="zh-CN"/>
              </w:rPr>
              <w:t>。</w:t>
            </w:r>
          </w:p>
          <w:p w14:paraId="1F39C76F">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eastAsia="zh-CN"/>
              </w:rPr>
            </w:pPr>
            <w:r>
              <w:rPr>
                <w:rFonts w:hint="eastAsia" w:cs="Times New Roman"/>
                <w:b w:val="0"/>
                <w:bCs/>
                <w:color w:val="auto"/>
                <w:sz w:val="24"/>
                <w:szCs w:val="24"/>
                <w:lang w:eastAsia="zh-CN"/>
              </w:rPr>
              <w:t>（</w:t>
            </w:r>
            <w:r>
              <w:rPr>
                <w:rFonts w:hint="eastAsia" w:cs="Times New Roman"/>
                <w:b w:val="0"/>
                <w:bCs/>
                <w:color w:val="auto"/>
                <w:sz w:val="24"/>
                <w:szCs w:val="24"/>
                <w:lang w:val="en-US" w:eastAsia="zh-CN"/>
              </w:rPr>
              <w:t>5</w:t>
            </w:r>
            <w:r>
              <w:rPr>
                <w:rFonts w:hint="eastAsia" w:cs="Times New Roman"/>
                <w:b w:val="0"/>
                <w:bCs/>
                <w:color w:val="auto"/>
                <w:sz w:val="24"/>
                <w:szCs w:val="24"/>
                <w:lang w:eastAsia="zh-CN"/>
              </w:rPr>
              <w:t>）</w:t>
            </w:r>
            <w:r>
              <w:rPr>
                <w:rFonts w:hint="default" w:ascii="Times New Roman" w:hAnsi="Times New Roman" w:eastAsia="宋体" w:cs="Times New Roman"/>
                <w:b w:val="0"/>
                <w:bCs/>
                <w:color w:val="auto"/>
                <w:sz w:val="24"/>
                <w:szCs w:val="24"/>
                <w:lang w:eastAsia="zh-CN"/>
              </w:rPr>
              <w:t>生态敏感区调查</w:t>
            </w:r>
          </w:p>
          <w:p w14:paraId="3228B3AD">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eastAsia="zh-CN"/>
              </w:rPr>
            </w:pPr>
            <w:r>
              <w:rPr>
                <w:rFonts w:hint="default" w:ascii="Times New Roman" w:hAnsi="Times New Roman" w:eastAsia="宋体" w:cs="Times New Roman"/>
                <w:b w:val="0"/>
                <w:bCs/>
                <w:color w:val="auto"/>
                <w:sz w:val="24"/>
                <w:szCs w:val="24"/>
                <w:lang w:eastAsia="zh-CN"/>
              </w:rPr>
              <w:t>本项目不在生态保护红线范围内。本工程施工区域、占地区域、井场及道路周边无依据法律法规、政策等规范性文件划定或确认的国家公园、自然保护区、自然公园等自然保护地、世界自然遗产、生态保护红线等区域及重要物种的天然集中分布区、栖息地，重要水生生物的产卵场、索饵场、越冬场和洄游通道，迁徙鸟类的重要繁殖地、停歇地、越冬地以及野生动物迁徙通道等</w:t>
            </w:r>
            <w:r>
              <w:rPr>
                <w:rFonts w:hint="eastAsia" w:cs="Times New Roman"/>
                <w:b w:val="0"/>
                <w:bCs/>
                <w:color w:val="auto"/>
                <w:sz w:val="24"/>
                <w:szCs w:val="24"/>
                <w:lang w:eastAsia="zh-CN"/>
              </w:rPr>
              <w:t>。</w:t>
            </w:r>
          </w:p>
          <w:p w14:paraId="4ADDA280">
            <w:pPr>
              <w:keepNext w:val="0"/>
              <w:keepLines w:val="0"/>
              <w:pageBreakBefore w:val="0"/>
              <w:widowControl/>
              <w:kinsoku/>
              <w:wordWrap/>
              <w:overflowPunct/>
              <w:topLinePunct w:val="0"/>
              <w:autoSpaceDE/>
              <w:autoSpaceDN/>
              <w:bidi w:val="0"/>
              <w:adjustRightInd/>
              <w:snapToGrid/>
              <w:spacing w:before="0" w:line="440" w:lineRule="exact"/>
              <w:ind w:left="0"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lang w:val="en-US" w:eastAsia="zh-CN"/>
              </w:rPr>
              <w:t>5</w:t>
            </w: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sz w:val="24"/>
                <w:szCs w:val="24"/>
                <w:lang w:val="en-US" w:eastAsia="zh-CN"/>
              </w:rPr>
              <w:t>水土流失现状</w:t>
            </w:r>
          </w:p>
          <w:p w14:paraId="5711EB52">
            <w:pPr>
              <w:keepNext w:val="0"/>
              <w:keepLines w:val="0"/>
              <w:pageBreakBefore w:val="0"/>
              <w:widowControl w:val="0"/>
              <w:kinsoku/>
              <w:wordWrap/>
              <w:overflowPunct/>
              <w:topLinePunct w:val="0"/>
              <w:autoSpaceDE/>
              <w:autoSpaceDN/>
              <w:bidi w:val="0"/>
              <w:adjustRightInd/>
              <w:spacing w:line="440" w:lineRule="exact"/>
              <w:ind w:left="0"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根据《新疆维吾尔自治区202</w:t>
            </w:r>
            <w:r>
              <w:rPr>
                <w:rFonts w:hint="eastAsia" w:cs="Times New Roman"/>
                <w:b w:val="0"/>
                <w:bCs/>
                <w:color w:val="auto"/>
                <w:sz w:val="24"/>
                <w:szCs w:val="24"/>
                <w:lang w:val="en-US" w:eastAsia="zh-CN"/>
              </w:rPr>
              <w:t>5</w:t>
            </w:r>
            <w:r>
              <w:rPr>
                <w:rFonts w:hint="default" w:ascii="Times New Roman" w:hAnsi="Times New Roman" w:eastAsia="宋体" w:cs="Times New Roman"/>
                <w:b w:val="0"/>
                <w:bCs/>
                <w:color w:val="auto"/>
                <w:sz w:val="24"/>
                <w:szCs w:val="24"/>
                <w:lang w:val="en-US" w:eastAsia="zh-CN"/>
              </w:rPr>
              <w:t>年度水土流失动态监测年报》，2025年若羌县水土流失面积82864.00km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占全县土地面积的41.59%。其中水力侵蚀面积为342.92km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占水土流失面积的0.41%</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风力侵蚀面积为82521.08km</w:t>
            </w:r>
            <w:r>
              <w:rPr>
                <w:rFonts w:hint="default" w:ascii="Times New Roman" w:hAnsi="Times New Roman" w:eastAsia="宋体" w:cs="Times New Roman"/>
                <w:b w:val="0"/>
                <w:bCs/>
                <w:color w:val="auto"/>
                <w:sz w:val="24"/>
                <w:szCs w:val="24"/>
                <w:vertAlign w:val="superscript"/>
                <w:lang w:val="en-US" w:eastAsia="zh-CN"/>
              </w:rPr>
              <w:t>2</w:t>
            </w:r>
            <w:r>
              <w:rPr>
                <w:rFonts w:hint="eastAsia" w:cs="Times New Roman"/>
                <w:b w:val="0"/>
                <w:bCs/>
                <w:color w:val="auto"/>
                <w:sz w:val="24"/>
                <w:szCs w:val="24"/>
                <w:lang w:val="en-US" w:eastAsia="zh-CN"/>
              </w:rPr>
              <w:t>，</w:t>
            </w:r>
            <w:r>
              <w:rPr>
                <w:rFonts w:hint="default" w:ascii="Times New Roman" w:hAnsi="Times New Roman" w:eastAsia="宋体" w:cs="Times New Roman"/>
                <w:b w:val="0"/>
                <w:bCs/>
                <w:color w:val="auto"/>
                <w:sz w:val="24"/>
                <w:szCs w:val="24"/>
                <w:lang w:val="en-US" w:eastAsia="zh-CN"/>
              </w:rPr>
              <w:t>占水土流失面积的99.59%。</w:t>
            </w:r>
          </w:p>
          <w:p w14:paraId="0829A0EB">
            <w:pPr>
              <w:keepNext w:val="0"/>
              <w:keepLines w:val="0"/>
              <w:pageBreakBefore w:val="0"/>
              <w:widowControl w:val="0"/>
              <w:kinsoku/>
              <w:wordWrap/>
              <w:overflowPunct/>
              <w:topLinePunct w:val="0"/>
              <w:autoSpaceDE/>
              <w:autoSpaceDN/>
              <w:bidi w:val="0"/>
              <w:adjustRightInd/>
              <w:spacing w:line="440" w:lineRule="exact"/>
              <w:ind w:left="0"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若羌县2025年水土流失面积比2024年减少了51.35km</w:t>
            </w:r>
            <w:r>
              <w:rPr>
                <w:rFonts w:hint="default" w:ascii="Times New Roman" w:hAnsi="Times New Roman" w:eastAsia="宋体" w:cs="Times New Roman"/>
                <w:b w:val="0"/>
                <w:bCs/>
                <w:color w:val="auto"/>
                <w:sz w:val="24"/>
                <w:szCs w:val="24"/>
                <w:vertAlign w:val="superscript"/>
                <w:lang w:val="en-US" w:eastAsia="zh-CN"/>
              </w:rPr>
              <w:t>2</w:t>
            </w:r>
            <w:r>
              <w:rPr>
                <w:rFonts w:hint="default" w:ascii="Times New Roman" w:hAnsi="Times New Roman" w:eastAsia="宋体" w:cs="Times New Roman"/>
                <w:b w:val="0"/>
                <w:bCs/>
                <w:color w:val="auto"/>
                <w:sz w:val="24"/>
                <w:szCs w:val="24"/>
                <w:lang w:val="en-US" w:eastAsia="zh-CN"/>
              </w:rPr>
              <w:t>。</w:t>
            </w:r>
          </w:p>
          <w:p w14:paraId="5F286A66">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sz w:val="24"/>
                <w:szCs w:val="24"/>
                <w:lang w:eastAsia="zh-CN"/>
              </w:rPr>
              <w:t>（</w:t>
            </w:r>
            <w:r>
              <w:rPr>
                <w:rFonts w:hint="default" w:ascii="Times New Roman" w:hAnsi="Times New Roman" w:eastAsia="宋体" w:cs="Times New Roman"/>
                <w:b w:val="0"/>
                <w:bCs/>
                <w:color w:val="auto"/>
                <w:kern w:val="2"/>
                <w:sz w:val="24"/>
                <w:szCs w:val="24"/>
                <w:lang w:val="en-US" w:eastAsia="zh-CN" w:bidi="ar-SA"/>
              </w:rPr>
              <w:t>6）沙化情况</w:t>
            </w:r>
          </w:p>
          <w:p w14:paraId="6E587A4E">
            <w:pPr>
              <w:keepNext w:val="0"/>
              <w:keepLines w:val="0"/>
              <w:pageBreakBefore w:val="0"/>
              <w:widowControl/>
              <w:kinsoku/>
              <w:wordWrap/>
              <w:overflowPunct/>
              <w:topLinePunct w:val="0"/>
              <w:autoSpaceDE/>
              <w:autoSpaceDN/>
              <w:bidi w:val="0"/>
              <w:adjustRightInd/>
              <w:snapToGrid/>
              <w:spacing w:before="0" w:line="440" w:lineRule="exact"/>
              <w:ind w:firstLine="480" w:firstLineChars="200"/>
              <w:jc w:val="both"/>
              <w:textAlignment w:val="auto"/>
              <w:rPr>
                <w:rFonts w:hint="default" w:ascii="Times New Roman" w:hAnsi="Times New Roman" w:eastAsia="宋体" w:cs="Times New Roman"/>
                <w:b w:val="0"/>
                <w:bCs/>
                <w:color w:val="auto"/>
                <w:sz w:val="24"/>
                <w:szCs w:val="32"/>
                <w:lang w:val="en-US" w:eastAsia="zh-CN"/>
              </w:rPr>
            </w:pPr>
            <w:r>
              <w:rPr>
                <w:rFonts w:hint="default" w:ascii="Times New Roman" w:hAnsi="Times New Roman" w:eastAsia="宋体" w:cs="Times New Roman"/>
                <w:b w:val="0"/>
                <w:bCs/>
                <w:color w:val="auto"/>
                <w:kern w:val="2"/>
                <w:sz w:val="24"/>
                <w:szCs w:val="24"/>
                <w:lang w:val="en-US" w:eastAsia="zh-CN" w:bidi="ar-SA"/>
              </w:rPr>
              <w:t>根据《新疆第六次沙化监测报告》，</w:t>
            </w:r>
            <w:r>
              <w:rPr>
                <w:rFonts w:hint="default" w:ascii="Times New Roman" w:hAnsi="Times New Roman" w:eastAsia="宋体" w:cs="Times New Roman"/>
                <w:b w:val="0"/>
                <w:bCs/>
                <w:color w:val="auto"/>
                <w:sz w:val="24"/>
                <w:szCs w:val="24"/>
                <w:lang w:val="en-US" w:eastAsia="zh-CN"/>
              </w:rPr>
              <w:t>项目所在地</w:t>
            </w:r>
            <w:r>
              <w:rPr>
                <w:rFonts w:hint="default" w:ascii="Times New Roman" w:hAnsi="Times New Roman" w:eastAsia="宋体" w:cs="Times New Roman"/>
                <w:b w:val="0"/>
                <w:bCs/>
                <w:color w:val="auto"/>
                <w:kern w:val="2"/>
                <w:sz w:val="24"/>
                <w:szCs w:val="24"/>
                <w:lang w:val="en-US" w:eastAsia="zh-CN" w:bidi="ar-SA"/>
              </w:rPr>
              <w:t>属于</w:t>
            </w:r>
            <w:r>
              <w:rPr>
                <w:rFonts w:hint="eastAsia" w:cs="Times New Roman"/>
                <w:b w:val="0"/>
                <w:bCs/>
                <w:color w:val="auto"/>
                <w:kern w:val="2"/>
                <w:sz w:val="24"/>
                <w:szCs w:val="24"/>
                <w:lang w:val="en-US" w:eastAsia="zh-CN" w:bidi="ar-SA"/>
              </w:rPr>
              <w:t>流动沙地、盐碱地</w:t>
            </w:r>
            <w:r>
              <w:rPr>
                <w:rFonts w:hint="default" w:ascii="Times New Roman" w:hAnsi="Times New Roman" w:eastAsia="宋体" w:cs="Times New Roman"/>
                <w:b w:val="0"/>
                <w:bCs/>
                <w:color w:val="auto"/>
                <w:kern w:val="2"/>
                <w:sz w:val="24"/>
                <w:szCs w:val="24"/>
                <w:lang w:val="en-US" w:eastAsia="zh-CN" w:bidi="ar-SA"/>
              </w:rPr>
              <w:t>。沙化土地类型图见附图3-5。</w:t>
            </w:r>
          </w:p>
          <w:p w14:paraId="014BCE8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pacing w:val="-10"/>
                <w:kern w:val="0"/>
                <w:sz w:val="24"/>
                <w:szCs w:val="24"/>
                <w:lang w:eastAsia="zh-CN"/>
              </w:rPr>
            </w:pPr>
            <w:bookmarkStart w:id="14" w:name="_Toc407380158"/>
            <w:r>
              <w:rPr>
                <w:rFonts w:hint="default" w:ascii="Times New Roman" w:hAnsi="Times New Roman" w:eastAsia="宋体" w:cs="Times New Roman"/>
                <w:b/>
                <w:bCs w:val="0"/>
                <w:color w:val="auto"/>
                <w:spacing w:val="-10"/>
                <w:kern w:val="0"/>
                <w:sz w:val="24"/>
                <w:szCs w:val="24"/>
                <w:lang w:val="en-US" w:eastAsia="zh-CN"/>
              </w:rPr>
              <w:t>2</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eastAsia="zh-CN"/>
              </w:rPr>
              <w:t>环境空气质量现状调查与评价</w:t>
            </w:r>
          </w:p>
          <w:bookmarkEnd w:id="14"/>
          <w:p w14:paraId="790D2B0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 w:val="0"/>
                <w:bCs/>
                <w:color w:val="auto"/>
                <w:spacing w:val="0"/>
                <w:kern w:val="2"/>
                <w:sz w:val="24"/>
                <w:szCs w:val="24"/>
                <w:highlight w:val="none"/>
                <w:lang w:val="en-US" w:eastAsia="zh-CN" w:bidi="ar-SA"/>
              </w:rPr>
            </w:pPr>
            <w:r>
              <w:rPr>
                <w:rFonts w:hint="default" w:ascii="Times New Roman" w:hAnsi="Times New Roman" w:eastAsia="宋体" w:cs="Times New Roman"/>
                <w:b w:val="0"/>
                <w:bCs/>
                <w:color w:val="auto"/>
                <w:spacing w:val="0"/>
                <w:kern w:val="2"/>
                <w:sz w:val="24"/>
                <w:szCs w:val="24"/>
                <w:highlight w:val="none"/>
                <w:lang w:val="en-US" w:eastAsia="zh-CN" w:bidi="ar-SA"/>
              </w:rPr>
              <w:t>（1）评价数据选用</w:t>
            </w:r>
          </w:p>
          <w:p w14:paraId="2AD26184">
            <w:pPr>
              <w:pStyle w:val="14"/>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z w:val="24"/>
              </w:rPr>
              <w:t>本次环境空气质量评价选取距离本项目最近的国控监测站位于</w:t>
            </w:r>
            <w:r>
              <w:rPr>
                <w:rFonts w:hint="eastAsia" w:cs="Times New Roman"/>
                <w:bCs/>
                <w:color w:val="auto"/>
                <w:sz w:val="24"/>
                <w:lang w:val="en-US" w:eastAsia="zh-CN"/>
              </w:rPr>
              <w:t>若羌县</w:t>
            </w:r>
            <w:r>
              <w:rPr>
                <w:rFonts w:hint="default" w:ascii="Times New Roman" w:hAnsi="Times New Roman" w:eastAsia="宋体" w:cs="Times New Roman"/>
                <w:bCs/>
                <w:color w:val="auto"/>
                <w:sz w:val="24"/>
                <w:lang w:val="en-US" w:eastAsia="zh-CN"/>
              </w:rPr>
              <w:t>2024</w:t>
            </w:r>
            <w:r>
              <w:rPr>
                <w:rFonts w:hint="default" w:ascii="Times New Roman" w:hAnsi="Times New Roman" w:eastAsia="宋体" w:cs="Times New Roman"/>
                <w:bCs/>
                <w:color w:val="auto"/>
                <w:sz w:val="24"/>
              </w:rPr>
              <w:t>年环境空气自动监测站全年监测统计数据，作为项目区域环境空气现状评价基本污染物SO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、NO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、PM</w:t>
            </w:r>
            <w:r>
              <w:rPr>
                <w:rFonts w:hint="default" w:ascii="Times New Roman" w:hAnsi="Times New Roman" w:eastAsia="宋体" w:cs="Times New Roman"/>
                <w:bCs/>
                <w:color w:val="auto"/>
                <w:sz w:val="24"/>
                <w:vertAlign w:val="subscript"/>
              </w:rPr>
              <w:t>10</w:t>
            </w:r>
            <w:r>
              <w:rPr>
                <w:rFonts w:hint="default" w:ascii="Times New Roman" w:hAnsi="Times New Roman" w:eastAsia="宋体" w:cs="Times New Roman"/>
                <w:bCs/>
                <w:color w:val="auto"/>
                <w:sz w:val="24"/>
              </w:rPr>
              <w:t>、PM</w:t>
            </w:r>
            <w:r>
              <w:rPr>
                <w:rFonts w:hint="default" w:ascii="Times New Roman" w:hAnsi="Times New Roman" w:eastAsia="宋体" w:cs="Times New Roman"/>
                <w:bCs/>
                <w:color w:val="auto"/>
                <w:sz w:val="24"/>
                <w:vertAlign w:val="subscript"/>
              </w:rPr>
              <w:t>2.5</w:t>
            </w:r>
            <w:r>
              <w:rPr>
                <w:rFonts w:hint="default" w:ascii="Times New Roman" w:hAnsi="Times New Roman" w:eastAsia="宋体" w:cs="Times New Roman"/>
                <w:bCs/>
                <w:color w:val="auto"/>
                <w:sz w:val="24"/>
              </w:rPr>
              <w:t>、CO和O</w:t>
            </w:r>
            <w:r>
              <w:rPr>
                <w:rFonts w:hint="default" w:ascii="Times New Roman" w:hAnsi="Times New Roman" w:eastAsia="宋体" w:cs="Times New Roman"/>
                <w:bCs/>
                <w:color w:val="auto"/>
                <w:sz w:val="24"/>
                <w:vertAlign w:val="subscript"/>
              </w:rPr>
              <w:t>3</w:t>
            </w:r>
            <w:r>
              <w:rPr>
                <w:rFonts w:hint="default" w:ascii="Times New Roman" w:hAnsi="Times New Roman" w:eastAsia="宋体" w:cs="Times New Roman"/>
                <w:bCs/>
                <w:color w:val="auto"/>
                <w:sz w:val="24"/>
              </w:rPr>
              <w:t>的数据来源。基本污染物环境空气质量现状表见</w:t>
            </w:r>
            <w:r>
              <w:rPr>
                <w:rFonts w:hint="default" w:ascii="Times New Roman" w:hAnsi="Times New Roman" w:eastAsia="宋体" w:cs="Times New Roman"/>
                <w:color w:val="auto"/>
                <w:sz w:val="24"/>
                <w:szCs w:val="24"/>
                <w:lang w:val="en-US" w:eastAsia="zh-CN"/>
              </w:rPr>
              <w:t>下表。</w:t>
            </w:r>
          </w:p>
          <w:p w14:paraId="5179FB66">
            <w:pPr>
              <w:pStyle w:val="14"/>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cs="Times New Roman"/>
                <w:b/>
                <w:bCs/>
                <w:color w:val="auto"/>
                <w:sz w:val="21"/>
                <w:szCs w:val="21"/>
                <w:lang w:val="en-US" w:eastAsia="zh-CN"/>
              </w:rPr>
              <w:t>2</w:t>
            </w:r>
            <w:r>
              <w:rPr>
                <w:rFonts w:hint="default" w:ascii="Times New Roman" w:hAnsi="Times New Roman" w:eastAsia="宋体" w:cs="Times New Roman"/>
                <w:b/>
                <w:bCs/>
                <w:color w:val="auto"/>
                <w:sz w:val="21"/>
                <w:szCs w:val="21"/>
                <w:lang w:val="en-US" w:eastAsia="zh-CN"/>
              </w:rPr>
              <w:t xml:space="preserve">   区域空气质量现状监测数据统计表</w:t>
            </w:r>
          </w:p>
          <w:tbl>
            <w:tblPr>
              <w:tblStyle w:val="3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866"/>
              <w:gridCol w:w="1452"/>
              <w:gridCol w:w="2012"/>
              <w:gridCol w:w="1079"/>
              <w:gridCol w:w="1179"/>
            </w:tblGrid>
            <w:tr w14:paraId="27BB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14:paraId="6AE8330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污染物</w:t>
                  </w:r>
                </w:p>
              </w:tc>
              <w:tc>
                <w:tcPr>
                  <w:tcW w:w="1064" w:type="pct"/>
                  <w:tcBorders>
                    <w:tl2br w:val="nil"/>
                    <w:tr2bl w:val="nil"/>
                  </w:tcBorders>
                  <w:noWrap w:val="0"/>
                  <w:vAlign w:val="center"/>
                </w:tcPr>
                <w:p w14:paraId="39CF85C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评价项目</w:t>
                  </w:r>
                </w:p>
              </w:tc>
              <w:tc>
                <w:tcPr>
                  <w:tcW w:w="828" w:type="pct"/>
                  <w:tcBorders>
                    <w:tl2br w:val="nil"/>
                    <w:tr2bl w:val="nil"/>
                  </w:tcBorders>
                  <w:noWrap w:val="0"/>
                  <w:vAlign w:val="center"/>
                </w:tcPr>
                <w:p w14:paraId="0981A72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浓度（μ</w:t>
                  </w:r>
                  <w:r>
                    <w:rPr>
                      <w:rFonts w:hint="eastAsia" w:ascii="Times New Roman" w:hAnsi="Times New Roman" w:eastAsia="宋体" w:cs="Times New Roman"/>
                      <w:color w:val="auto"/>
                      <w:sz w:val="21"/>
                      <w:szCs w:val="21"/>
                      <w:highlight w:val="none"/>
                      <w:lang w:val="en-US" w:eastAsia="zh-CN"/>
                    </w:rPr>
                    <w:t>g</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1147" w:type="pct"/>
                  <w:tcBorders>
                    <w:tl2br w:val="nil"/>
                    <w:tr2bl w:val="nil"/>
                  </w:tcBorders>
                  <w:noWrap w:val="0"/>
                  <w:vAlign w:val="center"/>
                </w:tcPr>
                <w:p w14:paraId="7C5C9D6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标准（二级）</w:t>
                  </w:r>
                  <w:r>
                    <w:rPr>
                      <w:rFonts w:hint="default" w:ascii="Times New Roman" w:hAnsi="Times New Roman" w:eastAsia="宋体" w:cs="Times New Roman"/>
                      <w:color w:val="auto"/>
                      <w:sz w:val="21"/>
                      <w:szCs w:val="21"/>
                      <w:highlight w:val="none"/>
                    </w:rPr>
                    <w:t>（μ</w:t>
                  </w:r>
                  <w:r>
                    <w:rPr>
                      <w:rFonts w:hint="eastAsia" w:ascii="Times New Roman" w:hAnsi="Times New Roman" w:eastAsia="宋体" w:cs="Times New Roman"/>
                      <w:color w:val="auto"/>
                      <w:sz w:val="21"/>
                      <w:szCs w:val="21"/>
                      <w:highlight w:val="none"/>
                      <w:lang w:val="en-US" w:eastAsia="zh-CN"/>
                    </w:rPr>
                    <w:t>g</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615" w:type="pct"/>
                  <w:tcBorders>
                    <w:tl2br w:val="nil"/>
                    <w:tr2bl w:val="nil"/>
                  </w:tcBorders>
                  <w:noWrap w:val="0"/>
                  <w:vAlign w:val="center"/>
                </w:tcPr>
                <w:p w14:paraId="5597DA92">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占标率</w:t>
                  </w:r>
                  <w:r>
                    <w:rPr>
                      <w:rFonts w:hint="eastAsia" w:ascii="Times New Roman" w:hAnsi="Times New Roman" w:eastAsia="宋体" w:cs="Times New Roman"/>
                      <w:color w:val="auto"/>
                      <w:sz w:val="21"/>
                      <w:szCs w:val="21"/>
                      <w:highlight w:val="none"/>
                      <w:lang w:val="en-US" w:eastAsia="zh-CN"/>
                    </w:rPr>
                    <w:t>%</w:t>
                  </w:r>
                </w:p>
              </w:tc>
              <w:tc>
                <w:tcPr>
                  <w:tcW w:w="672" w:type="pct"/>
                  <w:tcBorders>
                    <w:tl2br w:val="nil"/>
                    <w:tr2bl w:val="nil"/>
                  </w:tcBorders>
                  <w:noWrap w:val="0"/>
                  <w:vAlign w:val="center"/>
                </w:tcPr>
                <w:p w14:paraId="506CF23A">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达标情况</w:t>
                  </w:r>
                </w:p>
              </w:tc>
            </w:tr>
            <w:tr w14:paraId="0B49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14:paraId="3C1A30C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SO</w:t>
                  </w:r>
                  <w:r>
                    <w:rPr>
                      <w:rFonts w:hint="eastAsia" w:ascii="Times New Roman" w:hAnsi="Times New Roman" w:eastAsia="宋体" w:cs="Times New Roman"/>
                      <w:color w:val="auto"/>
                      <w:sz w:val="21"/>
                      <w:szCs w:val="21"/>
                      <w:highlight w:val="none"/>
                      <w:vertAlign w:val="subscript"/>
                    </w:rPr>
                    <w:t>2</w:t>
                  </w:r>
                </w:p>
              </w:tc>
              <w:tc>
                <w:tcPr>
                  <w:tcW w:w="1064" w:type="pct"/>
                  <w:tcBorders>
                    <w:tl2br w:val="nil"/>
                    <w:tr2bl w:val="nil"/>
                  </w:tcBorders>
                  <w:noWrap w:val="0"/>
                  <w:vAlign w:val="center"/>
                </w:tcPr>
                <w:p w14:paraId="46FC049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14:paraId="582430DB">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1147" w:type="pct"/>
                  <w:tcBorders>
                    <w:tl2br w:val="nil"/>
                    <w:tr2bl w:val="nil"/>
                  </w:tcBorders>
                  <w:noWrap w:val="0"/>
                  <w:vAlign w:val="center"/>
                </w:tcPr>
                <w:p w14:paraId="22BF8CA7">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c>
                <w:tcPr>
                  <w:tcW w:w="615" w:type="pct"/>
                  <w:tcBorders>
                    <w:tl2br w:val="nil"/>
                    <w:tr2bl w:val="nil"/>
                  </w:tcBorders>
                  <w:noWrap w:val="0"/>
                  <w:vAlign w:val="center"/>
                </w:tcPr>
                <w:p w14:paraId="3225444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672" w:type="pct"/>
                  <w:tcBorders>
                    <w:tl2br w:val="nil"/>
                    <w:tr2bl w:val="nil"/>
                  </w:tcBorders>
                  <w:noWrap w:val="0"/>
                  <w:vAlign w:val="center"/>
                </w:tcPr>
                <w:p w14:paraId="4A74E4CE">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达标</w:t>
                  </w:r>
                </w:p>
              </w:tc>
            </w:tr>
            <w:tr w14:paraId="32D2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14:paraId="76BCD32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14:paraId="33AD379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24h平均第98百分位数</w:t>
                  </w:r>
                </w:p>
              </w:tc>
              <w:tc>
                <w:tcPr>
                  <w:tcW w:w="828" w:type="pct"/>
                  <w:tcBorders>
                    <w:tl2br w:val="nil"/>
                    <w:tr2bl w:val="nil"/>
                  </w:tcBorders>
                  <w:noWrap w:val="0"/>
                  <w:vAlign w:val="center"/>
                </w:tcPr>
                <w:p w14:paraId="052AD97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1147" w:type="pct"/>
                  <w:tcBorders>
                    <w:tl2br w:val="nil"/>
                    <w:tr2bl w:val="nil"/>
                  </w:tcBorders>
                  <w:noWrap w:val="0"/>
                  <w:vAlign w:val="center"/>
                </w:tcPr>
                <w:p w14:paraId="34ACE95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150</w:t>
                  </w:r>
                </w:p>
              </w:tc>
              <w:tc>
                <w:tcPr>
                  <w:tcW w:w="615" w:type="pct"/>
                  <w:tcBorders>
                    <w:tl2br w:val="nil"/>
                    <w:tr2bl w:val="nil"/>
                  </w:tcBorders>
                  <w:noWrap w:val="0"/>
                  <w:vAlign w:val="center"/>
                </w:tcPr>
                <w:p w14:paraId="0225B424">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672" w:type="pct"/>
                  <w:tcBorders>
                    <w:tl2br w:val="nil"/>
                    <w:tr2bl w:val="nil"/>
                  </w:tcBorders>
                  <w:noWrap w:val="0"/>
                  <w:vAlign w:val="center"/>
                </w:tcPr>
                <w:p w14:paraId="5EE8829A">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1295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14:paraId="15BEC005">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NO</w:t>
                  </w:r>
                  <w:r>
                    <w:rPr>
                      <w:rFonts w:hint="eastAsia" w:ascii="Times New Roman" w:hAnsi="Times New Roman" w:eastAsia="宋体" w:cs="Times New Roman"/>
                      <w:color w:val="auto"/>
                      <w:sz w:val="21"/>
                      <w:szCs w:val="21"/>
                      <w:highlight w:val="none"/>
                      <w:vertAlign w:val="subscript"/>
                    </w:rPr>
                    <w:t>2</w:t>
                  </w:r>
                </w:p>
              </w:tc>
              <w:tc>
                <w:tcPr>
                  <w:tcW w:w="1064" w:type="pct"/>
                  <w:tcBorders>
                    <w:tl2br w:val="nil"/>
                    <w:tr2bl w:val="nil"/>
                  </w:tcBorders>
                  <w:noWrap w:val="0"/>
                  <w:vAlign w:val="center"/>
                </w:tcPr>
                <w:p w14:paraId="473701D7">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14:paraId="5D2D633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1147" w:type="pct"/>
                  <w:tcBorders>
                    <w:tl2br w:val="nil"/>
                    <w:tr2bl w:val="nil"/>
                  </w:tcBorders>
                  <w:noWrap w:val="0"/>
                  <w:vAlign w:val="center"/>
                </w:tcPr>
                <w:p w14:paraId="28E09BD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40</w:t>
                  </w:r>
                </w:p>
              </w:tc>
              <w:tc>
                <w:tcPr>
                  <w:tcW w:w="615" w:type="pct"/>
                  <w:tcBorders>
                    <w:tl2br w:val="nil"/>
                    <w:tr2bl w:val="nil"/>
                  </w:tcBorders>
                  <w:noWrap w:val="0"/>
                  <w:vAlign w:val="center"/>
                </w:tcPr>
                <w:p w14:paraId="2121AB5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672" w:type="pct"/>
                  <w:tcBorders>
                    <w:tl2br w:val="nil"/>
                    <w:tr2bl w:val="nil"/>
                  </w:tcBorders>
                  <w:noWrap w:val="0"/>
                  <w:vAlign w:val="center"/>
                </w:tcPr>
                <w:p w14:paraId="08C78456">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337B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14:paraId="0D01C71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14:paraId="2C8C8C7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24h平均第98百分位数</w:t>
                  </w:r>
                </w:p>
              </w:tc>
              <w:tc>
                <w:tcPr>
                  <w:tcW w:w="828" w:type="pct"/>
                  <w:tcBorders>
                    <w:tl2br w:val="nil"/>
                    <w:tr2bl w:val="nil"/>
                  </w:tcBorders>
                  <w:noWrap w:val="0"/>
                  <w:vAlign w:val="center"/>
                </w:tcPr>
                <w:p w14:paraId="2DFF619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1147" w:type="pct"/>
                  <w:tcBorders>
                    <w:tl2br w:val="nil"/>
                    <w:tr2bl w:val="nil"/>
                  </w:tcBorders>
                  <w:noWrap w:val="0"/>
                  <w:vAlign w:val="center"/>
                </w:tcPr>
                <w:p w14:paraId="30B494D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80</w:t>
                  </w:r>
                </w:p>
              </w:tc>
              <w:tc>
                <w:tcPr>
                  <w:tcW w:w="615" w:type="pct"/>
                  <w:tcBorders>
                    <w:tl2br w:val="nil"/>
                    <w:tr2bl w:val="nil"/>
                  </w:tcBorders>
                  <w:noWrap w:val="0"/>
                  <w:vAlign w:val="center"/>
                </w:tcPr>
                <w:p w14:paraId="5E5326F2">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w:t>
                  </w:r>
                </w:p>
              </w:tc>
              <w:tc>
                <w:tcPr>
                  <w:tcW w:w="672" w:type="pct"/>
                  <w:tcBorders>
                    <w:tl2br w:val="nil"/>
                    <w:tr2bl w:val="nil"/>
                  </w:tcBorders>
                  <w:noWrap w:val="0"/>
                  <w:vAlign w:val="center"/>
                </w:tcPr>
                <w:p w14:paraId="4458495E">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252D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14:paraId="5A7C168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CO（mg/m</w:t>
                  </w:r>
                  <w:r>
                    <w:rPr>
                      <w:rFonts w:hint="eastAsia"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rPr>
                    <w:t>）</w:t>
                  </w:r>
                </w:p>
              </w:tc>
              <w:tc>
                <w:tcPr>
                  <w:tcW w:w="1064" w:type="pct"/>
                  <w:tcBorders>
                    <w:tl2br w:val="nil"/>
                    <w:tr2bl w:val="nil"/>
                  </w:tcBorders>
                  <w:noWrap w:val="0"/>
                  <w:vAlign w:val="center"/>
                </w:tcPr>
                <w:p w14:paraId="73C0113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14:paraId="7945E45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w:t>
                  </w:r>
                </w:p>
              </w:tc>
              <w:tc>
                <w:tcPr>
                  <w:tcW w:w="1147" w:type="pct"/>
                  <w:tcBorders>
                    <w:tl2br w:val="nil"/>
                    <w:tr2bl w:val="nil"/>
                  </w:tcBorders>
                  <w:noWrap w:val="0"/>
                  <w:vAlign w:val="center"/>
                </w:tcPr>
                <w:p w14:paraId="059DE265">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w:t>
                  </w:r>
                </w:p>
              </w:tc>
              <w:tc>
                <w:tcPr>
                  <w:tcW w:w="615" w:type="pct"/>
                  <w:tcBorders>
                    <w:tl2br w:val="nil"/>
                    <w:tr2bl w:val="nil"/>
                  </w:tcBorders>
                  <w:noWrap w:val="0"/>
                  <w:vAlign w:val="center"/>
                </w:tcPr>
                <w:p w14:paraId="2281BF0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w:t>
                  </w:r>
                </w:p>
              </w:tc>
              <w:tc>
                <w:tcPr>
                  <w:tcW w:w="672" w:type="pct"/>
                  <w:tcBorders>
                    <w:tl2br w:val="nil"/>
                    <w:tr2bl w:val="nil"/>
                  </w:tcBorders>
                  <w:noWrap w:val="0"/>
                  <w:vAlign w:val="center"/>
                </w:tcPr>
                <w:p w14:paraId="5D58C85F">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2EF3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tcBorders>
                    <w:tl2br w:val="nil"/>
                    <w:tr2bl w:val="nil"/>
                  </w:tcBorders>
                  <w:noWrap w:val="0"/>
                  <w:vAlign w:val="center"/>
                </w:tcPr>
                <w:p w14:paraId="71627F1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O</w:t>
                  </w:r>
                  <w:r>
                    <w:rPr>
                      <w:rFonts w:hint="eastAsia" w:ascii="Times New Roman" w:hAnsi="Times New Roman" w:eastAsia="宋体" w:cs="Times New Roman"/>
                      <w:color w:val="auto"/>
                      <w:sz w:val="21"/>
                      <w:szCs w:val="21"/>
                      <w:highlight w:val="none"/>
                      <w:vertAlign w:val="subscript"/>
                    </w:rPr>
                    <w:t>3</w:t>
                  </w:r>
                </w:p>
              </w:tc>
              <w:tc>
                <w:tcPr>
                  <w:tcW w:w="1064" w:type="pct"/>
                  <w:tcBorders>
                    <w:tl2br w:val="nil"/>
                    <w:tr2bl w:val="nil"/>
                  </w:tcBorders>
                  <w:noWrap w:val="0"/>
                  <w:vAlign w:val="center"/>
                </w:tcPr>
                <w:p w14:paraId="1167425A">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最大8小时滑动平均值的第90百分位数</w:t>
                  </w:r>
                </w:p>
              </w:tc>
              <w:tc>
                <w:tcPr>
                  <w:tcW w:w="828" w:type="pct"/>
                  <w:tcBorders>
                    <w:tl2br w:val="nil"/>
                    <w:tr2bl w:val="nil"/>
                  </w:tcBorders>
                  <w:noWrap w:val="0"/>
                  <w:vAlign w:val="center"/>
                </w:tcPr>
                <w:p w14:paraId="1A2E3BE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131</w:t>
                  </w:r>
                </w:p>
              </w:tc>
              <w:tc>
                <w:tcPr>
                  <w:tcW w:w="1147" w:type="pct"/>
                  <w:tcBorders>
                    <w:tl2br w:val="nil"/>
                    <w:tr2bl w:val="nil"/>
                  </w:tcBorders>
                  <w:noWrap w:val="0"/>
                  <w:vAlign w:val="center"/>
                </w:tcPr>
                <w:p w14:paraId="56AD71B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160</w:t>
                  </w:r>
                </w:p>
              </w:tc>
              <w:tc>
                <w:tcPr>
                  <w:tcW w:w="615" w:type="pct"/>
                  <w:tcBorders>
                    <w:tl2br w:val="nil"/>
                    <w:tr2bl w:val="nil"/>
                  </w:tcBorders>
                  <w:noWrap w:val="0"/>
                  <w:vAlign w:val="center"/>
                </w:tcPr>
                <w:p w14:paraId="6D24D71F">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w:t>
                  </w:r>
                </w:p>
              </w:tc>
              <w:tc>
                <w:tcPr>
                  <w:tcW w:w="672" w:type="pct"/>
                  <w:tcBorders>
                    <w:tl2br w:val="nil"/>
                    <w:tr2bl w:val="nil"/>
                  </w:tcBorders>
                  <w:noWrap w:val="0"/>
                  <w:vAlign w:val="center"/>
                </w:tcPr>
                <w:p w14:paraId="4C60FF21">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1028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14:paraId="25DDF60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PM</w:t>
                  </w:r>
                  <w:r>
                    <w:rPr>
                      <w:rFonts w:hint="eastAsia" w:ascii="Times New Roman" w:hAnsi="Times New Roman" w:eastAsia="宋体" w:cs="Times New Roman"/>
                      <w:color w:val="auto"/>
                      <w:sz w:val="21"/>
                      <w:szCs w:val="21"/>
                      <w:highlight w:val="none"/>
                      <w:vertAlign w:val="subscript"/>
                    </w:rPr>
                    <w:t>10</w:t>
                  </w:r>
                </w:p>
              </w:tc>
              <w:tc>
                <w:tcPr>
                  <w:tcW w:w="1064" w:type="pct"/>
                  <w:tcBorders>
                    <w:tl2br w:val="nil"/>
                    <w:tr2bl w:val="nil"/>
                  </w:tcBorders>
                  <w:noWrap w:val="0"/>
                  <w:vAlign w:val="center"/>
                </w:tcPr>
                <w:p w14:paraId="734C727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14:paraId="66C5885B">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284</w:t>
                  </w:r>
                </w:p>
              </w:tc>
              <w:tc>
                <w:tcPr>
                  <w:tcW w:w="1147" w:type="pct"/>
                  <w:tcBorders>
                    <w:tl2br w:val="nil"/>
                    <w:tr2bl w:val="nil"/>
                  </w:tcBorders>
                  <w:noWrap w:val="0"/>
                  <w:vAlign w:val="center"/>
                </w:tcPr>
                <w:p w14:paraId="5966051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60</w:t>
                  </w:r>
                </w:p>
              </w:tc>
              <w:tc>
                <w:tcPr>
                  <w:tcW w:w="615" w:type="pct"/>
                  <w:tcBorders>
                    <w:tl2br w:val="nil"/>
                    <w:tr2bl w:val="nil"/>
                  </w:tcBorders>
                  <w:noWrap w:val="0"/>
                  <w:vAlign w:val="center"/>
                </w:tcPr>
                <w:p w14:paraId="332A5FB6">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473</w:t>
                  </w:r>
                </w:p>
              </w:tc>
              <w:tc>
                <w:tcPr>
                  <w:tcW w:w="672" w:type="pct"/>
                  <w:tcBorders>
                    <w:tl2br w:val="nil"/>
                    <w:tr2bl w:val="nil"/>
                  </w:tcBorders>
                  <w:noWrap w:val="0"/>
                  <w:vAlign w:val="center"/>
                </w:tcPr>
                <w:p w14:paraId="1621EC8A">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14:paraId="69D7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14:paraId="66E9EAA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14:paraId="6189D8C1">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14:paraId="378B3A2B">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876</w:t>
                  </w:r>
                </w:p>
              </w:tc>
              <w:tc>
                <w:tcPr>
                  <w:tcW w:w="1147" w:type="pct"/>
                  <w:tcBorders>
                    <w:tl2br w:val="nil"/>
                    <w:tr2bl w:val="nil"/>
                  </w:tcBorders>
                  <w:noWrap w:val="0"/>
                  <w:vAlign w:val="center"/>
                </w:tcPr>
                <w:p w14:paraId="2C4E7A3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120</w:t>
                  </w:r>
                </w:p>
              </w:tc>
              <w:tc>
                <w:tcPr>
                  <w:tcW w:w="615" w:type="pct"/>
                  <w:tcBorders>
                    <w:tl2br w:val="nil"/>
                    <w:tr2bl w:val="nil"/>
                  </w:tcBorders>
                  <w:noWrap w:val="0"/>
                  <w:vAlign w:val="center"/>
                </w:tcPr>
                <w:p w14:paraId="77C4760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730</w:t>
                  </w:r>
                </w:p>
              </w:tc>
              <w:tc>
                <w:tcPr>
                  <w:tcW w:w="672" w:type="pct"/>
                  <w:tcBorders>
                    <w:tl2br w:val="nil"/>
                    <w:tr2bl w:val="nil"/>
                  </w:tcBorders>
                  <w:noWrap w:val="0"/>
                  <w:vAlign w:val="center"/>
                </w:tcPr>
                <w:p w14:paraId="31F5BD85">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14:paraId="22A0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restart"/>
                  <w:tcBorders>
                    <w:tl2br w:val="nil"/>
                    <w:tr2bl w:val="nil"/>
                  </w:tcBorders>
                  <w:noWrap w:val="0"/>
                  <w:vAlign w:val="center"/>
                </w:tcPr>
                <w:p w14:paraId="3E258F9E">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PM</w:t>
                  </w:r>
                  <w:r>
                    <w:rPr>
                      <w:rFonts w:hint="eastAsia" w:ascii="Times New Roman" w:hAnsi="Times New Roman" w:eastAsia="宋体" w:cs="Times New Roman"/>
                      <w:color w:val="auto"/>
                      <w:sz w:val="21"/>
                      <w:szCs w:val="21"/>
                      <w:highlight w:val="none"/>
                      <w:vertAlign w:val="subscript"/>
                    </w:rPr>
                    <w:t>2.5</w:t>
                  </w:r>
                </w:p>
              </w:tc>
              <w:tc>
                <w:tcPr>
                  <w:tcW w:w="1064" w:type="pct"/>
                  <w:tcBorders>
                    <w:tl2br w:val="nil"/>
                    <w:tr2bl w:val="nil"/>
                  </w:tcBorders>
                  <w:noWrap w:val="0"/>
                  <w:vAlign w:val="center"/>
                </w:tcPr>
                <w:p w14:paraId="1A0A22D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年平均</w:t>
                  </w:r>
                </w:p>
              </w:tc>
              <w:tc>
                <w:tcPr>
                  <w:tcW w:w="828" w:type="pct"/>
                  <w:tcBorders>
                    <w:tl2br w:val="nil"/>
                    <w:tr2bl w:val="nil"/>
                  </w:tcBorders>
                  <w:noWrap w:val="0"/>
                  <w:vAlign w:val="center"/>
                </w:tcPr>
                <w:p w14:paraId="14EC18A9">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94</w:t>
                  </w:r>
                </w:p>
              </w:tc>
              <w:tc>
                <w:tcPr>
                  <w:tcW w:w="1147" w:type="pct"/>
                  <w:tcBorders>
                    <w:tl2br w:val="nil"/>
                    <w:tr2bl w:val="nil"/>
                  </w:tcBorders>
                  <w:noWrap w:val="0"/>
                  <w:vAlign w:val="center"/>
                </w:tcPr>
                <w:p w14:paraId="0DB5C7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30</w:t>
                  </w:r>
                </w:p>
              </w:tc>
              <w:tc>
                <w:tcPr>
                  <w:tcW w:w="615" w:type="pct"/>
                  <w:tcBorders>
                    <w:tl2br w:val="nil"/>
                    <w:tr2bl w:val="nil"/>
                  </w:tcBorders>
                  <w:noWrap w:val="0"/>
                  <w:vAlign w:val="center"/>
                </w:tcPr>
                <w:p w14:paraId="0277D47C">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313</w:t>
                  </w:r>
                </w:p>
              </w:tc>
              <w:tc>
                <w:tcPr>
                  <w:tcW w:w="672" w:type="pct"/>
                  <w:tcBorders>
                    <w:tl2br w:val="nil"/>
                    <w:tr2bl w:val="nil"/>
                  </w:tcBorders>
                  <w:noWrap w:val="0"/>
                  <w:vAlign w:val="center"/>
                </w:tcPr>
                <w:p w14:paraId="4EE9B3CC">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r w14:paraId="7118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pct"/>
                  <w:vMerge w:val="continue"/>
                  <w:tcBorders>
                    <w:tl2br w:val="nil"/>
                    <w:tr2bl w:val="nil"/>
                  </w:tcBorders>
                  <w:noWrap w:val="0"/>
                  <w:vAlign w:val="center"/>
                </w:tcPr>
                <w:p w14:paraId="6E1FE010">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064" w:type="pct"/>
                  <w:tcBorders>
                    <w:tl2br w:val="nil"/>
                    <w:tr2bl w:val="nil"/>
                  </w:tcBorders>
                  <w:noWrap w:val="0"/>
                  <w:vAlign w:val="center"/>
                </w:tcPr>
                <w:p w14:paraId="3F141984">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24h平均第95百分位数</w:t>
                  </w:r>
                </w:p>
              </w:tc>
              <w:tc>
                <w:tcPr>
                  <w:tcW w:w="828" w:type="pct"/>
                  <w:tcBorders>
                    <w:tl2br w:val="nil"/>
                    <w:tr2bl w:val="nil"/>
                  </w:tcBorders>
                  <w:noWrap w:val="0"/>
                  <w:vAlign w:val="center"/>
                </w:tcPr>
                <w:p w14:paraId="3270362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320</w:t>
                  </w:r>
                </w:p>
              </w:tc>
              <w:tc>
                <w:tcPr>
                  <w:tcW w:w="1147" w:type="pct"/>
                  <w:tcBorders>
                    <w:tl2br w:val="nil"/>
                    <w:tr2bl w:val="nil"/>
                  </w:tcBorders>
                  <w:noWrap w:val="0"/>
                  <w:vAlign w:val="center"/>
                </w:tcPr>
                <w:p w14:paraId="4AB42E8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vertAlign w:val="baseline"/>
                      <w:lang w:val="en-US" w:eastAsia="zh-CN"/>
                    </w:rPr>
                    <w:t>60</w:t>
                  </w:r>
                </w:p>
              </w:tc>
              <w:tc>
                <w:tcPr>
                  <w:tcW w:w="615" w:type="pct"/>
                  <w:tcBorders>
                    <w:tl2br w:val="nil"/>
                    <w:tr2bl w:val="nil"/>
                  </w:tcBorders>
                  <w:noWrap w:val="0"/>
                  <w:vAlign w:val="center"/>
                </w:tcPr>
                <w:p w14:paraId="2F06BDC8">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533</w:t>
                  </w:r>
                </w:p>
              </w:tc>
              <w:tc>
                <w:tcPr>
                  <w:tcW w:w="672" w:type="pct"/>
                  <w:tcBorders>
                    <w:tl2br w:val="nil"/>
                    <w:tr2bl w:val="nil"/>
                  </w:tcBorders>
                  <w:noWrap w:val="0"/>
                  <w:vAlign w:val="center"/>
                </w:tcPr>
                <w:p w14:paraId="7085F5C5">
                  <w:pPr>
                    <w:keepNext w:val="0"/>
                    <w:keepLines w:val="0"/>
                    <w:pageBreakBefore w:val="0"/>
                    <w:widowControl w:val="0"/>
                    <w:kinsoku/>
                    <w:wordWrap/>
                    <w:overflowPunct/>
                    <w:topLinePunct w:val="0"/>
                    <w:bidi w:val="0"/>
                    <w:adjustRightInd w:val="0"/>
                    <w:snapToGrid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超标</w:t>
                  </w:r>
                </w:p>
              </w:tc>
            </w:tr>
          </w:tbl>
          <w:p w14:paraId="3057824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z w:val="24"/>
                <w:szCs w:val="24"/>
                <w:lang w:val="en-US" w:eastAsia="zh-CN"/>
              </w:rPr>
              <w:t>由统计结果可知，项目所在区域各污染因子中SO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、NO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、CO、O</w:t>
            </w:r>
            <w:r>
              <w:rPr>
                <w:rFonts w:hint="default" w:ascii="Times New Roman" w:hAnsi="Times New Roman" w:eastAsia="宋体" w:cs="Times New Roman"/>
                <w:b w:val="0"/>
                <w:bCs w:val="0"/>
                <w:color w:val="auto"/>
                <w:sz w:val="24"/>
                <w:szCs w:val="24"/>
                <w:vertAlign w:val="subscript"/>
                <w:lang w:val="en-US" w:eastAsia="zh-CN"/>
              </w:rPr>
              <w:t>3</w:t>
            </w:r>
            <w:r>
              <w:rPr>
                <w:rFonts w:hint="default" w:ascii="Times New Roman" w:hAnsi="Times New Roman" w:eastAsia="宋体" w:cs="Times New Roman"/>
                <w:b w:val="0"/>
                <w:bCs w:val="0"/>
                <w:color w:val="auto"/>
                <w:sz w:val="24"/>
                <w:szCs w:val="24"/>
              </w:rPr>
              <w:t>满足《环境空气质量标准》（GB3095-2026）过渡阶段浓度限值中二级标准，</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10</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2.5</w:t>
            </w:r>
            <w:r>
              <w:rPr>
                <w:rFonts w:hint="default" w:ascii="Times New Roman" w:hAnsi="Times New Roman" w:eastAsia="宋体" w:cs="Times New Roman"/>
                <w:b w:val="0"/>
                <w:bCs w:val="0"/>
                <w:color w:val="auto"/>
                <w:sz w:val="24"/>
                <w:szCs w:val="24"/>
                <w:lang w:val="en-US" w:eastAsia="zh-CN"/>
              </w:rPr>
              <w:t>年平均浓度和日平均不达标，项目所在区域PM</w:t>
            </w:r>
            <w:r>
              <w:rPr>
                <w:rFonts w:hint="default" w:ascii="Times New Roman" w:hAnsi="Times New Roman" w:eastAsia="宋体" w:cs="Times New Roman"/>
                <w:b w:val="0"/>
                <w:bCs w:val="0"/>
                <w:color w:val="auto"/>
                <w:sz w:val="24"/>
                <w:szCs w:val="24"/>
                <w:vertAlign w:val="subscript"/>
                <w:lang w:val="en-US" w:eastAsia="zh-CN"/>
              </w:rPr>
              <w:t>10</w:t>
            </w:r>
            <w:r>
              <w:rPr>
                <w:rFonts w:hint="default" w:ascii="Times New Roman" w:hAnsi="Times New Roman" w:eastAsia="宋体" w:cs="Times New Roman"/>
                <w:b w:val="0"/>
                <w:bCs w:val="0"/>
                <w:color w:val="auto"/>
                <w:sz w:val="24"/>
                <w:szCs w:val="24"/>
                <w:lang w:val="en-US" w:eastAsia="zh-CN"/>
              </w:rPr>
              <w:t>、PM</w:t>
            </w:r>
            <w:r>
              <w:rPr>
                <w:rFonts w:hint="default" w:ascii="Times New Roman" w:hAnsi="Times New Roman" w:eastAsia="宋体" w:cs="Times New Roman"/>
                <w:b w:val="0"/>
                <w:bCs w:val="0"/>
                <w:color w:val="auto"/>
                <w:sz w:val="24"/>
                <w:szCs w:val="24"/>
                <w:vertAlign w:val="subscript"/>
                <w:lang w:val="en-US" w:eastAsia="zh-CN"/>
              </w:rPr>
              <w:t>2.5</w:t>
            </w:r>
            <w:r>
              <w:rPr>
                <w:rFonts w:hint="default" w:ascii="Times New Roman" w:hAnsi="Times New Roman" w:eastAsia="宋体" w:cs="Times New Roman"/>
                <w:b w:val="0"/>
                <w:bCs w:val="0"/>
                <w:color w:val="auto"/>
                <w:sz w:val="24"/>
                <w:szCs w:val="24"/>
                <w:lang w:val="en-US" w:eastAsia="zh-CN"/>
              </w:rPr>
              <w:t>超标与区域地处干旱沙漠边缘自然环境有关。</w:t>
            </w:r>
            <w:r>
              <w:rPr>
                <w:rFonts w:hint="default" w:ascii="Times New Roman" w:hAnsi="Times New Roman" w:eastAsia="宋体" w:cs="Times New Roman"/>
                <w:b w:val="0"/>
                <w:bCs w:val="0"/>
                <w:color w:val="auto"/>
                <w:sz w:val="24"/>
                <w:szCs w:val="24"/>
              </w:rPr>
              <w:t>项目所在区域属于环境</w:t>
            </w:r>
            <w:r>
              <w:rPr>
                <w:rFonts w:hint="default" w:ascii="Times New Roman" w:hAnsi="Times New Roman" w:eastAsia="宋体" w:cs="Times New Roman"/>
                <w:b w:val="0"/>
                <w:bCs w:val="0"/>
                <w:color w:val="auto"/>
                <w:sz w:val="24"/>
                <w:szCs w:val="24"/>
                <w:lang w:eastAsia="zh-CN"/>
              </w:rPr>
              <w:t>空气质量</w:t>
            </w:r>
            <w:r>
              <w:rPr>
                <w:rFonts w:hint="default" w:ascii="Times New Roman" w:hAnsi="Times New Roman" w:eastAsia="宋体" w:cs="Times New Roman"/>
                <w:b w:val="0"/>
                <w:bCs w:val="0"/>
                <w:color w:val="auto"/>
                <w:sz w:val="24"/>
                <w:szCs w:val="24"/>
                <w:lang w:val="en-US" w:eastAsia="zh-CN"/>
              </w:rPr>
              <w:t>不</w:t>
            </w:r>
            <w:r>
              <w:rPr>
                <w:rFonts w:hint="default" w:ascii="Times New Roman" w:hAnsi="Times New Roman" w:eastAsia="宋体" w:cs="Times New Roman"/>
                <w:b w:val="0"/>
                <w:bCs w:val="0"/>
                <w:color w:val="auto"/>
                <w:sz w:val="24"/>
                <w:szCs w:val="24"/>
              </w:rPr>
              <w:t>达标区</w:t>
            </w:r>
            <w:r>
              <w:rPr>
                <w:rFonts w:hint="default" w:ascii="Times New Roman" w:hAnsi="Times New Roman" w:eastAsia="宋体" w:cs="Times New Roman"/>
                <w:b w:val="0"/>
                <w:bCs/>
                <w:color w:val="auto"/>
                <w:spacing w:val="0"/>
                <w:kern w:val="2"/>
                <w:sz w:val="24"/>
                <w:szCs w:val="24"/>
                <w:highlight w:val="none"/>
                <w:lang w:val="en-US" w:eastAsia="zh-CN" w:bidi="ar-SA"/>
              </w:rPr>
              <w:t>。</w:t>
            </w:r>
          </w:p>
          <w:p w14:paraId="2CB79F4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3</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地表水环境质量调查与评价</w:t>
            </w:r>
          </w:p>
          <w:p w14:paraId="25E5091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工程施工期钻井废水不外排。按照《环境影响评价技术导则 地表水环境》（HJ2.3-2018）中表1水污染影响型建设项目评价等级判定，结合本项目废水属于间接排放的特点，因此本项目可不开展区域污染源调查及现状监测。</w:t>
            </w:r>
          </w:p>
          <w:p w14:paraId="0857128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4</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声环境质量现状监测及评价</w:t>
            </w:r>
          </w:p>
          <w:p w14:paraId="39B49A0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参照《建设项目环境影响报告表编制技术指南》（污染影响类）（试行），项目厂界外周边50m范围内无声环境保护目标，无需进行质量现状监测。</w:t>
            </w:r>
          </w:p>
          <w:p w14:paraId="2ED7F7B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5</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地下水环境质量现状调查与评价</w:t>
            </w:r>
          </w:p>
          <w:p w14:paraId="3CD0DF9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snapToGrid w:val="0"/>
                <w:color w:val="auto"/>
                <w:sz w:val="24"/>
                <w:szCs w:val="24"/>
                <w:highlight w:val="none"/>
              </w:rPr>
              <w:t>根据《环境影响评价技术导则 地下水环境》（HJ610-2016）附录A，</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地下水环境影响评价行业分类表</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C.地质勘查</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24.矿产资源</w:t>
            </w:r>
            <w:r>
              <w:rPr>
                <w:rFonts w:hint="default" w:ascii="Times New Roman" w:hAnsi="Times New Roman" w:eastAsia="宋体" w:cs="Times New Roman"/>
                <w:snapToGrid w:val="0"/>
                <w:color w:val="auto"/>
                <w:sz w:val="24"/>
                <w:szCs w:val="24"/>
                <w:highlight w:val="none"/>
                <w:lang w:eastAsia="zh-CN"/>
              </w:rPr>
              <w:t>地质</w:t>
            </w:r>
            <w:r>
              <w:rPr>
                <w:rFonts w:hint="default" w:ascii="Times New Roman" w:hAnsi="Times New Roman" w:eastAsia="宋体" w:cs="Times New Roman"/>
                <w:snapToGrid w:val="0"/>
                <w:color w:val="auto"/>
                <w:sz w:val="24"/>
                <w:szCs w:val="24"/>
                <w:highlight w:val="none"/>
              </w:rPr>
              <w:t>勘查（包括勘探活动）</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snapToGrid w:val="0"/>
                <w:color w:val="auto"/>
                <w:sz w:val="24"/>
                <w:szCs w:val="24"/>
                <w:highlight w:val="none"/>
              </w:rPr>
              <w:t>，编制环境影响报告表的勘探项目属于Ⅳ类建设项目，Ⅳ类项</w:t>
            </w:r>
            <w:r>
              <w:rPr>
                <w:rFonts w:hint="default" w:ascii="Times New Roman" w:hAnsi="Times New Roman" w:eastAsia="宋体" w:cs="Times New Roman"/>
                <w:b w:val="0"/>
                <w:bCs w:val="0"/>
                <w:color w:val="auto"/>
                <w:sz w:val="24"/>
                <w:szCs w:val="24"/>
                <w:lang w:val="en-US" w:eastAsia="zh-CN"/>
              </w:rPr>
              <w:t>目不开展地下水环境影响评价。</w:t>
            </w:r>
          </w:p>
          <w:p w14:paraId="34EC31A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val="0"/>
                <w:color w:val="auto"/>
                <w:spacing w:val="-10"/>
                <w:kern w:val="0"/>
                <w:sz w:val="24"/>
                <w:szCs w:val="24"/>
                <w:lang w:val="en-US" w:eastAsia="zh-CN"/>
              </w:rPr>
            </w:pPr>
            <w:r>
              <w:rPr>
                <w:rFonts w:hint="default" w:ascii="Times New Roman" w:hAnsi="Times New Roman" w:eastAsia="宋体" w:cs="Times New Roman"/>
                <w:b/>
                <w:bCs w:val="0"/>
                <w:color w:val="auto"/>
                <w:spacing w:val="-10"/>
                <w:kern w:val="0"/>
                <w:sz w:val="24"/>
                <w:szCs w:val="24"/>
                <w:lang w:val="en-US" w:eastAsia="zh-CN"/>
              </w:rPr>
              <w:t>6</w:t>
            </w:r>
            <w:r>
              <w:rPr>
                <w:rFonts w:hint="eastAsia" w:cs="Times New Roman"/>
                <w:b/>
                <w:bCs w:val="0"/>
                <w:color w:val="auto"/>
                <w:spacing w:val="-10"/>
                <w:kern w:val="0"/>
                <w:sz w:val="24"/>
                <w:szCs w:val="24"/>
                <w:lang w:val="en-US" w:eastAsia="zh-CN"/>
              </w:rPr>
              <w:t>.</w:t>
            </w:r>
            <w:r>
              <w:rPr>
                <w:rFonts w:hint="default" w:ascii="Times New Roman" w:hAnsi="Times New Roman" w:eastAsia="宋体" w:cs="Times New Roman"/>
                <w:b/>
                <w:bCs w:val="0"/>
                <w:color w:val="auto"/>
                <w:spacing w:val="-10"/>
                <w:kern w:val="0"/>
                <w:sz w:val="24"/>
                <w:szCs w:val="24"/>
                <w:lang w:val="en-US" w:eastAsia="zh-CN"/>
              </w:rPr>
              <w:t>土壤环境质量现状调查与评价</w:t>
            </w:r>
          </w:p>
          <w:p w14:paraId="35DB251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both"/>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b w:val="0"/>
                <w:bCs w:val="0"/>
                <w:color w:val="auto"/>
                <w:sz w:val="24"/>
                <w:szCs w:val="24"/>
                <w:lang w:val="en-US" w:eastAsia="zh-CN"/>
              </w:rPr>
              <w:t>根据《环境影响评价技术导则 土壤环境（试行）》（HJ964-2018）附录A“表A.1 土壤环境影响评价项目类别”，本项目行业类别为“其他行业”，土壤环境影响评价项目类别属于Ⅳ类项目，不需开展土壤环境影响评价。</w:t>
            </w:r>
          </w:p>
        </w:tc>
      </w:tr>
      <w:tr w14:paraId="689A9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240" w:type="pct"/>
            <w:noWrap w:val="0"/>
            <w:vAlign w:val="center"/>
          </w:tcPr>
          <w:p w14:paraId="5D99D6DE">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Cs/>
                <w:color w:val="auto"/>
                <w:sz w:val="24"/>
                <w:szCs w:val="24"/>
                <w:highlight w:val="none"/>
              </w:rPr>
              <w:t>与项目有关的原有环境污染和生态破坏问题</w:t>
            </w:r>
          </w:p>
        </w:tc>
        <w:tc>
          <w:tcPr>
            <w:tcW w:w="4759" w:type="pct"/>
            <w:noWrap w:val="0"/>
            <w:vAlign w:val="center"/>
          </w:tcPr>
          <w:p w14:paraId="61B23720">
            <w:pPr>
              <w:pStyle w:val="82"/>
              <w:ind w:firstLine="48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拟建项目属于新建项目，现状占地为</w:t>
            </w:r>
            <w:r>
              <w:rPr>
                <w:rFonts w:hint="eastAsia" w:hAnsi="Times New Roman" w:cs="Times New Roman"/>
                <w:color w:val="auto"/>
                <w:kern w:val="0"/>
                <w:sz w:val="24"/>
                <w:szCs w:val="24"/>
                <w:highlight w:val="none"/>
                <w:lang w:val="en-US" w:eastAsia="zh-CN"/>
              </w:rPr>
              <w:t>沙地、盐碱地</w:t>
            </w:r>
            <w:r>
              <w:rPr>
                <w:rFonts w:hint="default" w:ascii="Times New Roman" w:hAnsi="Times New Roman" w:eastAsia="宋体" w:cs="Times New Roman"/>
                <w:color w:val="auto"/>
                <w:kern w:val="0"/>
                <w:sz w:val="24"/>
                <w:szCs w:val="24"/>
                <w:highlight w:val="none"/>
                <w:lang w:val="en-US" w:eastAsia="zh-CN"/>
              </w:rPr>
              <w:t>，不涉及原有环境污染问题。</w:t>
            </w:r>
          </w:p>
        </w:tc>
      </w:tr>
      <w:tr w14:paraId="7730C2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6" w:hRule="atLeast"/>
          <w:jc w:val="center"/>
        </w:trPr>
        <w:tc>
          <w:tcPr>
            <w:tcW w:w="240" w:type="pct"/>
            <w:noWrap w:val="0"/>
            <w:vAlign w:val="center"/>
          </w:tcPr>
          <w:p w14:paraId="0714D62F">
            <w:pPr>
              <w:adjustRightInd w:val="0"/>
              <w:snapToGrid w:val="0"/>
              <w:jc w:val="center"/>
              <w:rPr>
                <w:rFonts w:hint="default" w:ascii="Times New Roman" w:hAnsi="Times New Roman" w:eastAsia="宋体" w:cs="Times New Roman"/>
                <w:color w:val="auto"/>
                <w:kern w:val="0"/>
                <w:sz w:val="24"/>
                <w:szCs w:val="24"/>
                <w:highlight w:val="yellow"/>
              </w:rPr>
            </w:pPr>
            <w:r>
              <w:rPr>
                <w:rFonts w:hint="default" w:ascii="Times New Roman" w:hAnsi="Times New Roman" w:eastAsia="宋体" w:cs="Times New Roman"/>
                <w:color w:val="auto"/>
                <w:kern w:val="0"/>
                <w:sz w:val="24"/>
                <w:szCs w:val="24"/>
                <w:highlight w:val="none"/>
              </w:rPr>
              <w:t>生态环境保护目标</w:t>
            </w:r>
          </w:p>
        </w:tc>
        <w:tc>
          <w:tcPr>
            <w:tcW w:w="4759" w:type="pct"/>
            <w:noWrap w:val="0"/>
            <w:vAlign w:val="center"/>
          </w:tcPr>
          <w:p w14:paraId="6ABAFF04">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环境空气保护目标</w:t>
            </w:r>
          </w:p>
          <w:p w14:paraId="142E952D">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本项目仅涉及施工期，根据《环境影响评价技术导则 大气环境》（HJ2.2-2018），本项目不设置大气评价范围，但考虑到钻井过程中测试废气等可能会对周边居民产生一定影响，本次评价以井口周边500m为大气评价范围，</w:t>
            </w:r>
            <w:r>
              <w:rPr>
                <w:rFonts w:hint="eastAsia" w:ascii="Times New Roman" w:hAnsi="Times New Roman" w:eastAsia="宋体" w:cs="Times New Roman"/>
                <w:color w:val="auto"/>
                <w:kern w:val="0"/>
                <w:sz w:val="24"/>
                <w:szCs w:val="24"/>
                <w:highlight w:val="none"/>
                <w:lang w:val="en-US" w:eastAsia="zh-CN" w:bidi="ar-SA"/>
              </w:rPr>
              <w:t>经调查，井口周边500m</w:t>
            </w:r>
            <w:r>
              <w:rPr>
                <w:rFonts w:hint="eastAsia" w:cs="Times New Roman"/>
                <w:color w:val="auto"/>
                <w:kern w:val="0"/>
                <w:sz w:val="24"/>
                <w:szCs w:val="24"/>
                <w:highlight w:val="none"/>
                <w:lang w:val="en-US" w:eastAsia="zh-CN" w:bidi="ar-SA"/>
              </w:rPr>
              <w:t>无</w:t>
            </w:r>
            <w:r>
              <w:rPr>
                <w:rFonts w:hint="default" w:ascii="Times New Roman" w:hAnsi="Times New Roman" w:eastAsia="宋体" w:cs="Times New Roman"/>
                <w:color w:val="auto"/>
                <w:kern w:val="0"/>
                <w:sz w:val="24"/>
                <w:szCs w:val="24"/>
                <w:highlight w:val="none"/>
                <w:lang w:val="en-US" w:eastAsia="zh-CN" w:bidi="ar-SA"/>
              </w:rPr>
              <w:t>大气环境保护目标。</w:t>
            </w:r>
          </w:p>
          <w:p w14:paraId="2F6D7663">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地表水环境保护目标</w:t>
            </w:r>
          </w:p>
          <w:p w14:paraId="4B374AE7">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根据《环境影响评价技术导则 地表水环境》（HJ 2.3</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2018），本项目水环境调查范围为井口周边200m，无水环境保护目标。</w:t>
            </w:r>
          </w:p>
          <w:p w14:paraId="10642DE0">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3</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声环境保护目标</w:t>
            </w:r>
          </w:p>
          <w:p w14:paraId="341C438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根据《环境影响评价技术导则 声环境》（HJ2.4-2021），本项目声环境评价范围为</w:t>
            </w:r>
            <w:r>
              <w:rPr>
                <w:rFonts w:hint="eastAsia" w:cs="Times New Roman"/>
                <w:color w:val="auto"/>
                <w:kern w:val="0"/>
                <w:sz w:val="24"/>
                <w:szCs w:val="24"/>
                <w:highlight w:val="none"/>
                <w:lang w:val="en-US" w:eastAsia="zh-CN" w:bidi="ar-SA"/>
              </w:rPr>
              <w:t>50</w:t>
            </w:r>
            <w:r>
              <w:rPr>
                <w:rFonts w:hint="default" w:ascii="Times New Roman" w:hAnsi="Times New Roman" w:eastAsia="宋体" w:cs="Times New Roman"/>
                <w:color w:val="auto"/>
                <w:kern w:val="0"/>
                <w:sz w:val="24"/>
                <w:szCs w:val="24"/>
                <w:highlight w:val="none"/>
                <w:lang w:val="en-US" w:eastAsia="zh-CN" w:bidi="ar-SA"/>
              </w:rPr>
              <w:t>m。本项目评价范围内居民为主要声环境保护目标。</w:t>
            </w:r>
          </w:p>
          <w:p w14:paraId="15BCFF9E">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4</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地下水环境保护目标</w:t>
            </w:r>
          </w:p>
          <w:p w14:paraId="7E45A3FB">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本项目施工边界环境影响范围内无地下水集中式饮用水水源和热水、矿泉水、温泉等特殊地下水资源，因此本项目不再设置地下水环境保护目标。</w:t>
            </w:r>
          </w:p>
          <w:p w14:paraId="5390F80B">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5</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生态环境保护目标</w:t>
            </w:r>
          </w:p>
          <w:p w14:paraId="5C6C516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Cs w:val="21"/>
                <w:highlight w:val="yellow"/>
                <w:lang w:val="en-US" w:eastAsia="zh-CN"/>
              </w:rPr>
            </w:pPr>
            <w:r>
              <w:rPr>
                <w:rFonts w:hint="default" w:ascii="Times New Roman" w:hAnsi="Times New Roman" w:eastAsia="宋体" w:cs="Times New Roman"/>
                <w:color w:val="auto"/>
                <w:kern w:val="0"/>
                <w:sz w:val="24"/>
                <w:szCs w:val="24"/>
                <w:highlight w:val="none"/>
                <w:lang w:val="en-US" w:eastAsia="zh-CN" w:bidi="ar-SA"/>
              </w:rPr>
              <w:t>根据《环境影响评价技术导则 生态影响》（HJ19-2022），结合本项目工程内容及周围环境特征，生态环境评价范围为井场施工边界外扩50m，本项目施工所在区域不涉及国家公园、自然公园、世界自然遗产、生态保护红线及重要生境等生态敏感区，故不设置生态保护目标。</w:t>
            </w:r>
          </w:p>
        </w:tc>
      </w:tr>
      <w:tr w14:paraId="540E88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40" w:type="pct"/>
            <w:noWrap w:val="0"/>
            <w:vAlign w:val="center"/>
          </w:tcPr>
          <w:p w14:paraId="4DD6D823">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评价</w:t>
            </w:r>
          </w:p>
          <w:p w14:paraId="683EDD78">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标准</w:t>
            </w:r>
          </w:p>
        </w:tc>
        <w:tc>
          <w:tcPr>
            <w:tcW w:w="4759" w:type="pct"/>
            <w:noWrap w:val="0"/>
            <w:vAlign w:val="center"/>
          </w:tcPr>
          <w:p w14:paraId="01325764">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环境质量标准</w:t>
            </w:r>
          </w:p>
          <w:p w14:paraId="7042C397">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空气环境：PM</w:t>
            </w:r>
            <w:r>
              <w:rPr>
                <w:rFonts w:hint="default" w:ascii="Times New Roman" w:hAnsi="Times New Roman" w:eastAsia="宋体" w:cs="Times New Roman"/>
                <w:color w:val="auto"/>
                <w:kern w:val="0"/>
                <w:sz w:val="24"/>
                <w:szCs w:val="24"/>
                <w:highlight w:val="none"/>
                <w:vertAlign w:val="subscript"/>
                <w:lang w:val="en-US" w:eastAsia="zh-CN" w:bidi="ar-SA"/>
              </w:rPr>
              <w:t>10</w:t>
            </w:r>
            <w:r>
              <w:rPr>
                <w:rFonts w:hint="default" w:ascii="Times New Roman" w:hAnsi="Times New Roman" w:eastAsia="宋体" w:cs="Times New Roman"/>
                <w:color w:val="auto"/>
                <w:kern w:val="0"/>
                <w:sz w:val="24"/>
                <w:szCs w:val="24"/>
                <w:highlight w:val="none"/>
                <w:lang w:val="en-US" w:eastAsia="zh-CN" w:bidi="ar-SA"/>
              </w:rPr>
              <w:t>、PM</w:t>
            </w:r>
            <w:r>
              <w:rPr>
                <w:rFonts w:hint="default" w:ascii="Times New Roman" w:hAnsi="Times New Roman" w:eastAsia="宋体" w:cs="Times New Roman"/>
                <w:color w:val="auto"/>
                <w:kern w:val="0"/>
                <w:sz w:val="24"/>
                <w:szCs w:val="24"/>
                <w:highlight w:val="none"/>
                <w:vertAlign w:val="subscript"/>
                <w:lang w:val="en-US" w:eastAsia="zh-CN" w:bidi="ar-SA"/>
              </w:rPr>
              <w:t>2.5</w:t>
            </w:r>
            <w:r>
              <w:rPr>
                <w:rFonts w:hint="default" w:ascii="Times New Roman" w:hAnsi="Times New Roman" w:eastAsia="宋体" w:cs="Times New Roman"/>
                <w:color w:val="auto"/>
                <w:kern w:val="0"/>
                <w:sz w:val="24"/>
                <w:szCs w:val="24"/>
                <w:highlight w:val="none"/>
                <w:lang w:val="en-US" w:eastAsia="zh-CN" w:bidi="ar-SA"/>
              </w:rPr>
              <w:t>、CO、O</w:t>
            </w:r>
            <w:r>
              <w:rPr>
                <w:rFonts w:hint="default" w:ascii="Times New Roman" w:hAnsi="Times New Roman" w:eastAsia="宋体" w:cs="Times New Roman"/>
                <w:color w:val="auto"/>
                <w:kern w:val="0"/>
                <w:sz w:val="24"/>
                <w:szCs w:val="24"/>
                <w:highlight w:val="none"/>
                <w:vertAlign w:val="sub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、SO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、NO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执行《环境空气质量标准》（GB3095-2026）过渡阶段浓度限值二级标准；非甲烷总烃参照执行《大气污染物综合排放标准详解》中2.0mg/m</w:t>
            </w:r>
            <w:r>
              <w:rPr>
                <w:rFonts w:hint="default" w:ascii="Times New Roman" w:hAnsi="Times New Roman" w:eastAsia="宋体" w:cs="Times New Roman"/>
                <w:color w:val="auto"/>
                <w:kern w:val="0"/>
                <w:sz w:val="24"/>
                <w:szCs w:val="24"/>
                <w:highlight w:val="none"/>
                <w:vertAlign w:val="super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的浓度限值；硫化氢参考《环境影响评价技术导则 大气环境》（HJ2.2</w:t>
            </w:r>
            <w:r>
              <w:rPr>
                <w:rFonts w:hint="default" w:ascii="Times New Roman" w:hAnsi="Times New Roman" w:eastAsia="宋体" w:cs="Times New Roman"/>
                <w:color w:val="auto"/>
                <w:kern w:val="0"/>
                <w:sz w:val="24"/>
                <w:szCs w:val="24"/>
                <w:highlight w:val="none"/>
                <w:lang w:val="en-US" w:eastAsia="zh-CN" w:bidi="ar-SA"/>
              </w:rPr>
              <w:noBreakHyphen/>
            </w:r>
            <w:r>
              <w:rPr>
                <w:rFonts w:hint="default" w:ascii="Times New Roman" w:hAnsi="Times New Roman" w:eastAsia="宋体" w:cs="Times New Roman"/>
                <w:color w:val="auto"/>
                <w:kern w:val="0"/>
                <w:sz w:val="24"/>
                <w:szCs w:val="24"/>
                <w:highlight w:val="none"/>
                <w:lang w:val="en-US" w:eastAsia="zh-CN" w:bidi="ar-SA"/>
              </w:rPr>
              <w:t>2018）附录D参考浓度限值10μg/m³</w:t>
            </w:r>
            <w:r>
              <w:rPr>
                <w:rFonts w:hint="eastAsia" w:cs="Times New Roman"/>
                <w:color w:val="auto"/>
                <w:kern w:val="0"/>
                <w:sz w:val="24"/>
                <w:szCs w:val="24"/>
                <w:highlight w:val="none"/>
                <w:lang w:val="en-US" w:eastAsia="zh-CN" w:bidi="ar-SA"/>
              </w:rPr>
              <w:t>。</w:t>
            </w:r>
          </w:p>
          <w:p w14:paraId="5AD52EB5">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声环境：项目所在区域为荒漠戈壁，无居住人群，无划定的声环境功能区，执行《声环境质量标准》（GB3096-2008）2类区标准。</w:t>
            </w:r>
          </w:p>
          <w:p w14:paraId="65482D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w:t>
            </w:r>
            <w:r>
              <w:rPr>
                <w:rFonts w:hint="eastAsia" w:ascii="Times New Roman" w:hAnsi="Times New Roman" w:eastAsia="宋体" w:cs="Times New Roman"/>
                <w:b/>
                <w:bCs/>
                <w:color w:val="auto"/>
                <w:kern w:val="0"/>
                <w:sz w:val="21"/>
                <w:szCs w:val="21"/>
                <w:highlight w:val="none"/>
                <w:lang w:val="en-US" w:eastAsia="zh-CN" w:bidi="ar-SA"/>
              </w:rPr>
              <w:t>3-</w:t>
            </w:r>
            <w:r>
              <w:rPr>
                <w:rFonts w:hint="eastAsia" w:cs="Times New Roman"/>
                <w:b/>
                <w:bCs/>
                <w:color w:val="auto"/>
                <w:kern w:val="0"/>
                <w:sz w:val="21"/>
                <w:szCs w:val="21"/>
                <w:highlight w:val="none"/>
                <w:lang w:val="en-US" w:eastAsia="zh-CN" w:bidi="ar-SA"/>
              </w:rPr>
              <w:t>3</w:t>
            </w:r>
            <w:r>
              <w:rPr>
                <w:rFonts w:hint="default" w:ascii="Times New Roman" w:hAnsi="Times New Roman" w:eastAsia="宋体" w:cs="Times New Roman"/>
                <w:b/>
                <w:bCs/>
                <w:color w:val="auto"/>
                <w:kern w:val="0"/>
                <w:sz w:val="21"/>
                <w:szCs w:val="21"/>
                <w:highlight w:val="none"/>
                <w:lang w:val="en-US" w:eastAsia="zh-CN" w:bidi="ar-SA"/>
              </w:rPr>
              <w:t xml:space="preserve">   环境质量标准</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74"/>
              <w:gridCol w:w="757"/>
              <w:gridCol w:w="1875"/>
              <w:gridCol w:w="767"/>
              <w:gridCol w:w="836"/>
              <w:gridCol w:w="3768"/>
            </w:tblGrid>
            <w:tr w14:paraId="2F29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noWrap w:val="0"/>
                  <w:vAlign w:val="center"/>
                </w:tcPr>
                <w:p w14:paraId="48455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w:t>
                  </w:r>
                </w:p>
                <w:p w14:paraId="732026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要素</w:t>
                  </w:r>
                </w:p>
              </w:tc>
              <w:tc>
                <w:tcPr>
                  <w:tcW w:w="431" w:type="pct"/>
                  <w:noWrap w:val="0"/>
                  <w:vAlign w:val="center"/>
                </w:tcPr>
                <w:p w14:paraId="2FDE34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w:t>
                  </w:r>
                </w:p>
              </w:tc>
              <w:tc>
                <w:tcPr>
                  <w:tcW w:w="1068" w:type="pct"/>
                  <w:noWrap w:val="0"/>
                  <w:vAlign w:val="center"/>
                </w:tcPr>
                <w:p w14:paraId="124C0D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取值时间</w:t>
                  </w:r>
                </w:p>
              </w:tc>
              <w:tc>
                <w:tcPr>
                  <w:tcW w:w="437" w:type="pct"/>
                  <w:noWrap w:val="0"/>
                  <w:vAlign w:val="center"/>
                </w:tcPr>
                <w:p w14:paraId="5B9554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标准</w:t>
                  </w:r>
                </w:p>
              </w:tc>
              <w:tc>
                <w:tcPr>
                  <w:tcW w:w="476" w:type="pct"/>
                  <w:noWrap w:val="0"/>
                  <w:vAlign w:val="center"/>
                </w:tcPr>
                <w:p w14:paraId="06034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单位</w:t>
                  </w:r>
                </w:p>
              </w:tc>
              <w:tc>
                <w:tcPr>
                  <w:tcW w:w="2146" w:type="pct"/>
                  <w:noWrap w:val="0"/>
                  <w:vAlign w:val="center"/>
                </w:tcPr>
                <w:p w14:paraId="02EA79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标准来源</w:t>
                  </w:r>
                </w:p>
              </w:tc>
            </w:tr>
            <w:tr w14:paraId="5FA0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restart"/>
                  <w:noWrap w:val="0"/>
                  <w:vAlign w:val="center"/>
                </w:tcPr>
                <w:p w14:paraId="58A21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w:t>
                  </w:r>
                </w:p>
                <w:p w14:paraId="67DFEA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空气</w:t>
                  </w:r>
                </w:p>
              </w:tc>
              <w:tc>
                <w:tcPr>
                  <w:tcW w:w="431" w:type="pct"/>
                  <w:vMerge w:val="restart"/>
                  <w:noWrap w:val="0"/>
                  <w:vAlign w:val="center"/>
                </w:tcPr>
                <w:p w14:paraId="26890F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10</w:t>
                  </w:r>
                </w:p>
              </w:tc>
              <w:tc>
                <w:tcPr>
                  <w:tcW w:w="1068" w:type="pct"/>
                  <w:noWrap w:val="0"/>
                  <w:vAlign w:val="center"/>
                </w:tcPr>
                <w:p w14:paraId="1319BC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14:paraId="7ACA93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restart"/>
                  <w:noWrap w:val="0"/>
                  <w:vAlign w:val="center"/>
                </w:tcPr>
                <w:p w14:paraId="3AF6F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restart"/>
                  <w:noWrap w:val="0"/>
                  <w:vAlign w:val="center"/>
                </w:tcPr>
                <w:p w14:paraId="03E1B1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《环境空气质量标准》</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GB3095-2026</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过渡阶段浓度限值二级标准</w:t>
                  </w:r>
                </w:p>
              </w:tc>
            </w:tr>
            <w:tr w14:paraId="5A3D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064C6D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2BFE38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1670D4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14:paraId="2BC4A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120</w:t>
                  </w:r>
                </w:p>
              </w:tc>
              <w:tc>
                <w:tcPr>
                  <w:tcW w:w="476" w:type="pct"/>
                  <w:vMerge w:val="continue"/>
                  <w:noWrap w:val="0"/>
                  <w:vAlign w:val="center"/>
                </w:tcPr>
                <w:p w14:paraId="344F4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1BC2A5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3701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15EF77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14:paraId="3D1517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PM</w:t>
                  </w:r>
                  <w:r>
                    <w:rPr>
                      <w:rFonts w:hint="default" w:ascii="Times New Roman" w:hAnsi="Times New Roman" w:eastAsia="宋体" w:cs="Times New Roman"/>
                      <w:color w:val="auto"/>
                      <w:kern w:val="0"/>
                      <w:sz w:val="21"/>
                      <w:szCs w:val="21"/>
                      <w:highlight w:val="none"/>
                      <w:vertAlign w:val="subscript"/>
                      <w:lang w:val="en-US" w:eastAsia="zh-CN" w:bidi="ar-SA"/>
                    </w:rPr>
                    <w:t>2.5</w:t>
                  </w:r>
                </w:p>
              </w:tc>
              <w:tc>
                <w:tcPr>
                  <w:tcW w:w="1068" w:type="pct"/>
                  <w:noWrap w:val="0"/>
                  <w:vAlign w:val="center"/>
                </w:tcPr>
                <w:p w14:paraId="0C45C3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14:paraId="01DA26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30</w:t>
                  </w:r>
                </w:p>
              </w:tc>
              <w:tc>
                <w:tcPr>
                  <w:tcW w:w="476" w:type="pct"/>
                  <w:vMerge w:val="continue"/>
                  <w:noWrap w:val="0"/>
                  <w:vAlign w:val="center"/>
                </w:tcPr>
                <w:p w14:paraId="2BB898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02A6F5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6FD3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4863EA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2319F2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75CFF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14:paraId="4F733A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continue"/>
                  <w:noWrap w:val="0"/>
                  <w:vAlign w:val="center"/>
                </w:tcPr>
                <w:p w14:paraId="23FA9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42F1C2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4D27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21049A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14:paraId="688874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1068" w:type="pct"/>
                  <w:noWrap w:val="0"/>
                  <w:vAlign w:val="center"/>
                </w:tcPr>
                <w:p w14:paraId="11B5A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14:paraId="1E461A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476" w:type="pct"/>
                  <w:vMerge w:val="continue"/>
                  <w:noWrap w:val="0"/>
                  <w:vAlign w:val="center"/>
                </w:tcPr>
                <w:p w14:paraId="6494E8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77263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1641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16C009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16A994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0316C3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14:paraId="39565C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150</w:t>
                  </w:r>
                </w:p>
              </w:tc>
              <w:tc>
                <w:tcPr>
                  <w:tcW w:w="476" w:type="pct"/>
                  <w:vMerge w:val="continue"/>
                  <w:noWrap w:val="0"/>
                  <w:vAlign w:val="center"/>
                </w:tcPr>
                <w:p w14:paraId="341F80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0AF185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7327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281AE0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365DE9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0ED878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3BA19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c>
                <w:tcPr>
                  <w:tcW w:w="476" w:type="pct"/>
                  <w:vMerge w:val="continue"/>
                  <w:noWrap w:val="0"/>
                  <w:vAlign w:val="center"/>
                </w:tcPr>
                <w:p w14:paraId="3D27F5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56AB4F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1184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227A06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14:paraId="134E6F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NO</w:t>
                  </w:r>
                  <w:r>
                    <w:rPr>
                      <w:rFonts w:hint="default" w:ascii="Times New Roman" w:hAnsi="Times New Roman" w:eastAsia="宋体" w:cs="Times New Roman"/>
                      <w:color w:val="auto"/>
                      <w:kern w:val="0"/>
                      <w:sz w:val="21"/>
                      <w:szCs w:val="21"/>
                      <w:highlight w:val="none"/>
                      <w:vertAlign w:val="subscript"/>
                      <w:lang w:val="en-US" w:eastAsia="zh-CN" w:bidi="ar-SA"/>
                    </w:rPr>
                    <w:t>2</w:t>
                  </w:r>
                </w:p>
              </w:tc>
              <w:tc>
                <w:tcPr>
                  <w:tcW w:w="1068" w:type="pct"/>
                  <w:noWrap w:val="0"/>
                  <w:vAlign w:val="center"/>
                </w:tcPr>
                <w:p w14:paraId="447FF6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年平均</w:t>
                  </w:r>
                </w:p>
              </w:tc>
              <w:tc>
                <w:tcPr>
                  <w:tcW w:w="437" w:type="pct"/>
                  <w:noWrap w:val="0"/>
                  <w:vAlign w:val="center"/>
                </w:tcPr>
                <w:p w14:paraId="1F8505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40</w:t>
                  </w:r>
                </w:p>
              </w:tc>
              <w:tc>
                <w:tcPr>
                  <w:tcW w:w="476" w:type="pct"/>
                  <w:vMerge w:val="restart"/>
                  <w:noWrap w:val="0"/>
                  <w:vAlign w:val="center"/>
                </w:tcPr>
                <w:p w14:paraId="0F4E9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14:paraId="08993D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0B2E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18684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66937B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39DC59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14:paraId="4DDD78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80</w:t>
                  </w:r>
                </w:p>
              </w:tc>
              <w:tc>
                <w:tcPr>
                  <w:tcW w:w="476" w:type="pct"/>
                  <w:vMerge w:val="continue"/>
                  <w:noWrap w:val="0"/>
                  <w:vAlign w:val="center"/>
                </w:tcPr>
                <w:p w14:paraId="339F3F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3741E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187A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1A9939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0B15B5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0FB8CE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6A1CA2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200</w:t>
                  </w:r>
                </w:p>
              </w:tc>
              <w:tc>
                <w:tcPr>
                  <w:tcW w:w="476" w:type="pct"/>
                  <w:vMerge w:val="continue"/>
                  <w:noWrap w:val="0"/>
                  <w:vAlign w:val="center"/>
                </w:tcPr>
                <w:p w14:paraId="7FE53F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2F11B4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433D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321C06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14:paraId="425BF9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CO</w:t>
                  </w:r>
                </w:p>
              </w:tc>
              <w:tc>
                <w:tcPr>
                  <w:tcW w:w="1068" w:type="pct"/>
                  <w:noWrap w:val="0"/>
                  <w:vAlign w:val="center"/>
                </w:tcPr>
                <w:p w14:paraId="17C078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3F2FE6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476" w:type="pct"/>
                  <w:vMerge w:val="restart"/>
                  <w:noWrap w:val="0"/>
                  <w:vAlign w:val="center"/>
                </w:tcPr>
                <w:p w14:paraId="313154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mg/m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14:paraId="168379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6C32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0AEA0D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581E1D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6FCFE2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24小时平均</w:t>
                  </w:r>
                </w:p>
              </w:tc>
              <w:tc>
                <w:tcPr>
                  <w:tcW w:w="437" w:type="pct"/>
                  <w:noWrap w:val="0"/>
                  <w:vAlign w:val="center"/>
                </w:tcPr>
                <w:p w14:paraId="5B08C3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p>
              </w:tc>
              <w:tc>
                <w:tcPr>
                  <w:tcW w:w="476" w:type="pct"/>
                  <w:vMerge w:val="continue"/>
                  <w:noWrap w:val="0"/>
                  <w:vAlign w:val="center"/>
                </w:tcPr>
                <w:p w14:paraId="6DC025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13D87E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5C56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3CF842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restart"/>
                  <w:noWrap w:val="0"/>
                  <w:vAlign w:val="center"/>
                </w:tcPr>
                <w:p w14:paraId="7EF14F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O</w:t>
                  </w:r>
                  <w:r>
                    <w:rPr>
                      <w:rFonts w:hint="default" w:ascii="Times New Roman" w:hAnsi="Times New Roman" w:eastAsia="宋体" w:cs="Times New Roman"/>
                      <w:color w:val="auto"/>
                      <w:kern w:val="0"/>
                      <w:sz w:val="21"/>
                      <w:szCs w:val="21"/>
                      <w:highlight w:val="none"/>
                      <w:vertAlign w:val="subscript"/>
                      <w:lang w:val="en-US" w:eastAsia="zh-CN" w:bidi="ar-SA"/>
                    </w:rPr>
                    <w:t>3</w:t>
                  </w:r>
                </w:p>
              </w:tc>
              <w:tc>
                <w:tcPr>
                  <w:tcW w:w="1068" w:type="pct"/>
                  <w:noWrap w:val="0"/>
                  <w:vAlign w:val="center"/>
                </w:tcPr>
                <w:p w14:paraId="28E58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日最大8小时平均</w:t>
                  </w:r>
                </w:p>
              </w:tc>
              <w:tc>
                <w:tcPr>
                  <w:tcW w:w="437" w:type="pct"/>
                  <w:noWrap w:val="0"/>
                  <w:vAlign w:val="center"/>
                </w:tcPr>
                <w:p w14:paraId="71810A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160</w:t>
                  </w:r>
                </w:p>
              </w:tc>
              <w:tc>
                <w:tcPr>
                  <w:tcW w:w="476" w:type="pct"/>
                  <w:vMerge w:val="restart"/>
                  <w:noWrap w:val="0"/>
                  <w:vAlign w:val="center"/>
                </w:tcPr>
                <w:p w14:paraId="68753D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vMerge w:val="continue"/>
                  <w:noWrap w:val="0"/>
                  <w:vAlign w:val="center"/>
                </w:tcPr>
                <w:p w14:paraId="35847E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209B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559987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204F1C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3BFB36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7B19D5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200</w:t>
                  </w:r>
                </w:p>
              </w:tc>
              <w:tc>
                <w:tcPr>
                  <w:tcW w:w="476" w:type="pct"/>
                  <w:vMerge w:val="continue"/>
                  <w:noWrap w:val="0"/>
                  <w:vAlign w:val="center"/>
                </w:tcPr>
                <w:p w14:paraId="778C1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31C6F1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2A42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356F68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noWrap w:val="0"/>
                  <w:vAlign w:val="center"/>
                </w:tcPr>
                <w:p w14:paraId="25D4F3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1068" w:type="pct"/>
                  <w:noWrap w:val="0"/>
                  <w:vAlign w:val="center"/>
                </w:tcPr>
                <w:p w14:paraId="313354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0CCEB6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c>
                <w:tcPr>
                  <w:tcW w:w="476" w:type="pct"/>
                  <w:noWrap w:val="0"/>
                  <w:vAlign w:val="center"/>
                </w:tcPr>
                <w:p w14:paraId="0966D9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mg/m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noWrap w:val="0"/>
                  <w:vAlign w:val="center"/>
                </w:tcPr>
                <w:p w14:paraId="6076CE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《大气污染物综合排放标准详解》</w:t>
                  </w:r>
                </w:p>
              </w:tc>
            </w:tr>
            <w:tr w14:paraId="1328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18E065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noWrap w:val="0"/>
                  <w:vAlign w:val="center"/>
                </w:tcPr>
                <w:p w14:paraId="1A0559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H</w:t>
                  </w:r>
                  <w:r>
                    <w:rPr>
                      <w:rFonts w:hint="default" w:ascii="Times New Roman" w:hAnsi="Times New Roman" w:eastAsia="宋体" w:cs="Times New Roman"/>
                      <w:color w:val="auto"/>
                      <w:kern w:val="0"/>
                      <w:sz w:val="21"/>
                      <w:szCs w:val="21"/>
                      <w:highlight w:val="none"/>
                      <w:vertAlign w:val="subscript"/>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S</w:t>
                  </w:r>
                </w:p>
              </w:tc>
              <w:tc>
                <w:tcPr>
                  <w:tcW w:w="1068" w:type="pct"/>
                  <w:noWrap w:val="0"/>
                  <w:vAlign w:val="center"/>
                </w:tcPr>
                <w:p w14:paraId="396B8E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1小时平均</w:t>
                  </w:r>
                </w:p>
              </w:tc>
              <w:tc>
                <w:tcPr>
                  <w:tcW w:w="437" w:type="pct"/>
                  <w:noWrap w:val="0"/>
                  <w:vAlign w:val="center"/>
                </w:tcPr>
                <w:p w14:paraId="068669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w:t>
                  </w:r>
                </w:p>
              </w:tc>
              <w:tc>
                <w:tcPr>
                  <w:tcW w:w="476" w:type="pct"/>
                  <w:noWrap w:val="0"/>
                  <w:vAlign w:val="center"/>
                </w:tcPr>
                <w:p w14:paraId="3B2755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μg/m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2146" w:type="pct"/>
                  <w:noWrap w:val="0"/>
                  <w:vAlign w:val="center"/>
                </w:tcPr>
                <w:p w14:paraId="6288A1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《环境影响评价技术导则大气环境》（HJ2.2-2018）附录D中的浓度限值</w:t>
                  </w:r>
                </w:p>
              </w:tc>
            </w:tr>
            <w:tr w14:paraId="1017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restart"/>
                  <w:noWrap w:val="0"/>
                  <w:vAlign w:val="center"/>
                </w:tcPr>
                <w:p w14:paraId="1AD4B9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声环境</w:t>
                  </w:r>
                </w:p>
              </w:tc>
              <w:tc>
                <w:tcPr>
                  <w:tcW w:w="431" w:type="pct"/>
                  <w:vMerge w:val="restart"/>
                  <w:noWrap w:val="0"/>
                  <w:vAlign w:val="center"/>
                </w:tcPr>
                <w:p w14:paraId="675BC4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L</w:t>
                  </w:r>
                  <w:r>
                    <w:rPr>
                      <w:rFonts w:hint="default" w:ascii="Times New Roman" w:hAnsi="Times New Roman" w:eastAsia="宋体" w:cs="Times New Roman"/>
                      <w:color w:val="auto"/>
                      <w:kern w:val="0"/>
                      <w:sz w:val="21"/>
                      <w:szCs w:val="21"/>
                      <w:highlight w:val="none"/>
                      <w:vertAlign w:val="subscript"/>
                      <w:lang w:val="en-US" w:eastAsia="zh-CN" w:bidi="ar-SA"/>
                    </w:rPr>
                    <w:t>Aeq,T</w:t>
                  </w:r>
                </w:p>
              </w:tc>
              <w:tc>
                <w:tcPr>
                  <w:tcW w:w="1068" w:type="pct"/>
                  <w:noWrap w:val="0"/>
                  <w:vAlign w:val="center"/>
                </w:tcPr>
                <w:p w14:paraId="5E40DC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昼间</w:t>
                  </w:r>
                </w:p>
              </w:tc>
              <w:tc>
                <w:tcPr>
                  <w:tcW w:w="437" w:type="pct"/>
                  <w:noWrap w:val="0"/>
                  <w:vAlign w:val="center"/>
                </w:tcPr>
                <w:p w14:paraId="638C3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60</w:t>
                  </w:r>
                </w:p>
              </w:tc>
              <w:tc>
                <w:tcPr>
                  <w:tcW w:w="476" w:type="pct"/>
                  <w:vMerge w:val="restart"/>
                  <w:noWrap w:val="0"/>
                  <w:vAlign w:val="center"/>
                </w:tcPr>
                <w:p w14:paraId="030AE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dB(A)</w:t>
                  </w:r>
                </w:p>
              </w:tc>
              <w:tc>
                <w:tcPr>
                  <w:tcW w:w="2146" w:type="pct"/>
                  <w:vMerge w:val="restart"/>
                  <w:noWrap w:val="0"/>
                  <w:vAlign w:val="center"/>
                </w:tcPr>
                <w:p w14:paraId="020E4F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《声环境质量标准》</w:t>
                  </w:r>
                </w:p>
                <w:p w14:paraId="14256A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（GB3096-2008）</w:t>
                  </w:r>
                  <w:r>
                    <w:rPr>
                      <w:rFonts w:hint="eastAsia"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类标准</w:t>
                  </w:r>
                </w:p>
              </w:tc>
            </w:tr>
            <w:tr w14:paraId="492E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41" w:type="pct"/>
                  <w:vMerge w:val="continue"/>
                  <w:noWrap w:val="0"/>
                  <w:vAlign w:val="center"/>
                </w:tcPr>
                <w:p w14:paraId="7087AF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431" w:type="pct"/>
                  <w:vMerge w:val="continue"/>
                  <w:noWrap w:val="0"/>
                  <w:vAlign w:val="center"/>
                </w:tcPr>
                <w:p w14:paraId="1C746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068" w:type="pct"/>
                  <w:noWrap w:val="0"/>
                  <w:vAlign w:val="center"/>
                </w:tcPr>
                <w:p w14:paraId="138665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夜间</w:t>
                  </w:r>
                </w:p>
              </w:tc>
              <w:tc>
                <w:tcPr>
                  <w:tcW w:w="437" w:type="pct"/>
                  <w:noWrap w:val="0"/>
                  <w:vAlign w:val="center"/>
                </w:tcPr>
                <w:p w14:paraId="689D09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50</w:t>
                  </w:r>
                </w:p>
              </w:tc>
              <w:tc>
                <w:tcPr>
                  <w:tcW w:w="476" w:type="pct"/>
                  <w:vMerge w:val="continue"/>
                  <w:noWrap w:val="0"/>
                  <w:vAlign w:val="center"/>
                </w:tcPr>
                <w:p w14:paraId="3AB6FE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2146" w:type="pct"/>
                  <w:vMerge w:val="continue"/>
                  <w:noWrap w:val="0"/>
                  <w:vAlign w:val="center"/>
                </w:tcPr>
                <w:p w14:paraId="0C30CC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bl>
          <w:p w14:paraId="4AD3E815">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污染物排放标准</w:t>
            </w:r>
          </w:p>
          <w:p w14:paraId="22043B99">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废气：施工期备用的柴油发电机废气排放执行《非道路移动机械用柴油机排气污染物排放限值及测量方法（中国第三、四阶段）》（GB20891-2014）修改单中相关要求；施工期扬尘执行《大气污染物综合排放标准》（GB 16297-1996）颗粒物无组织排放周界监控浓度限值；</w:t>
            </w:r>
          </w:p>
          <w:p w14:paraId="21864E5B">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井场厂界非甲烷总烃排放参照执行《陆上石油</w:t>
            </w:r>
            <w:r>
              <w:rPr>
                <w:rFonts w:hint="eastAsia" w:ascii="Times New Roman" w:hAnsi="Times New Roman" w:eastAsia="宋体" w:cs="Times New Roman"/>
                <w:color w:val="auto"/>
                <w:kern w:val="0"/>
                <w:sz w:val="24"/>
                <w:szCs w:val="24"/>
                <w:highlight w:val="none"/>
                <w:lang w:val="en-US" w:eastAsia="zh-CN" w:bidi="ar-SA"/>
              </w:rPr>
              <w:t>天然气</w:t>
            </w:r>
            <w:r>
              <w:rPr>
                <w:rFonts w:hint="default" w:ascii="Times New Roman" w:hAnsi="Times New Roman" w:eastAsia="宋体" w:cs="Times New Roman"/>
                <w:color w:val="auto"/>
                <w:kern w:val="0"/>
                <w:sz w:val="24"/>
                <w:szCs w:val="24"/>
                <w:highlight w:val="none"/>
                <w:lang w:val="en-US" w:eastAsia="zh-CN" w:bidi="ar-SA"/>
              </w:rPr>
              <w:t>开采工业大气污染物排放标准》（GB39728-2020）无组织排放监控浓度限值，即4.0mg/m</w:t>
            </w:r>
            <w:r>
              <w:rPr>
                <w:rFonts w:hint="default" w:ascii="Times New Roman" w:hAnsi="Times New Roman" w:eastAsia="宋体" w:cs="Times New Roman"/>
                <w:color w:val="auto"/>
                <w:kern w:val="0"/>
                <w:sz w:val="24"/>
                <w:szCs w:val="24"/>
                <w:highlight w:val="none"/>
                <w:vertAlign w:val="superscript"/>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；伴生气燃烧废气</w:t>
            </w:r>
            <w:r>
              <w:rPr>
                <w:rFonts w:hint="eastAsia" w:ascii="Times New Roman" w:hAnsi="Times New Roman" w:eastAsia="宋体" w:cs="Times New Roman"/>
                <w:color w:val="auto"/>
                <w:kern w:val="0"/>
                <w:sz w:val="24"/>
                <w:szCs w:val="24"/>
                <w:highlight w:val="none"/>
                <w:lang w:val="en-US" w:eastAsia="zh-CN" w:bidi="ar-SA"/>
              </w:rPr>
              <w:t>及燃气发电机废气</w:t>
            </w:r>
            <w:r>
              <w:rPr>
                <w:rFonts w:hint="default" w:ascii="Times New Roman" w:hAnsi="Times New Roman" w:eastAsia="宋体" w:cs="Times New Roman"/>
                <w:color w:val="auto"/>
                <w:kern w:val="0"/>
                <w:sz w:val="24"/>
                <w:szCs w:val="24"/>
                <w:highlight w:val="none"/>
                <w:lang w:val="en-US" w:eastAsia="zh-CN" w:bidi="ar-SA"/>
              </w:rPr>
              <w:t>执行《大气污染物综合排放标准》（GB16297-1996）表2无组织排放监控浓度限值；井场无组织硫化氢执行《恶臭污染物排放标准》（GB14554-93）表1标准限值要求。</w:t>
            </w:r>
          </w:p>
          <w:p w14:paraId="067CE5F0">
            <w:pPr>
              <w:spacing w:line="4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color w:val="000000" w:themeColor="text1"/>
                <w:sz w:val="21"/>
                <w:szCs w:val="21"/>
                <w14:textFill>
                  <w14:solidFill>
                    <w14:schemeClr w14:val="tx1"/>
                  </w14:solidFill>
                </w14:textFill>
              </w:rPr>
              <w:t xml:space="preserve">   大气污染物排放标准</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1385"/>
              <w:gridCol w:w="646"/>
              <w:gridCol w:w="1060"/>
              <w:gridCol w:w="4155"/>
            </w:tblGrid>
            <w:tr w14:paraId="552F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2CD94EDE">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157" w:type="pct"/>
                  <w:gridSpan w:val="2"/>
                  <w:vAlign w:val="center"/>
                </w:tcPr>
                <w:p w14:paraId="6E3F095A">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p>
              </w:tc>
              <w:tc>
                <w:tcPr>
                  <w:tcW w:w="604" w:type="pct"/>
                  <w:vAlign w:val="center"/>
                </w:tcPr>
                <w:p w14:paraId="624AC856">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单位</w:t>
                  </w:r>
                </w:p>
              </w:tc>
              <w:tc>
                <w:tcPr>
                  <w:tcW w:w="2366" w:type="pct"/>
                  <w:vAlign w:val="center"/>
                </w:tcPr>
                <w:p w14:paraId="6FBB1372">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789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112AEDE4">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颗粒物</w:t>
                  </w:r>
                </w:p>
              </w:tc>
              <w:tc>
                <w:tcPr>
                  <w:tcW w:w="789" w:type="pct"/>
                  <w:vMerge w:val="restart"/>
                  <w:vAlign w:val="center"/>
                </w:tcPr>
                <w:p w14:paraId="2D8AF37C">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周界外浓度最高点</w:t>
                  </w:r>
                </w:p>
              </w:tc>
              <w:tc>
                <w:tcPr>
                  <w:tcW w:w="367" w:type="pct"/>
                  <w:vAlign w:val="center"/>
                </w:tcPr>
                <w:p w14:paraId="49B0B0E0">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604" w:type="pct"/>
                  <w:vAlign w:val="center"/>
                </w:tcPr>
                <w:p w14:paraId="07E10D40">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restart"/>
                  <w:vAlign w:val="center"/>
                </w:tcPr>
                <w:p w14:paraId="55ADEAFF">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无组织排放监控限值</w:t>
                  </w:r>
                </w:p>
              </w:tc>
            </w:tr>
            <w:tr w14:paraId="4BA7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1213567B">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二氧化硫</w:t>
                  </w:r>
                </w:p>
              </w:tc>
              <w:tc>
                <w:tcPr>
                  <w:tcW w:w="789" w:type="pct"/>
                  <w:vMerge w:val="continue"/>
                  <w:vAlign w:val="center"/>
                </w:tcPr>
                <w:p w14:paraId="284B14BE">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14:paraId="6DD7288B">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0.4</w:t>
                  </w:r>
                </w:p>
              </w:tc>
              <w:tc>
                <w:tcPr>
                  <w:tcW w:w="604" w:type="pct"/>
                  <w:vAlign w:val="center"/>
                </w:tcPr>
                <w:p w14:paraId="5621F9F5">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continue"/>
                  <w:vAlign w:val="center"/>
                </w:tcPr>
                <w:p w14:paraId="28D118BA">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48D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64CAC164">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氮氧化物</w:t>
                  </w:r>
                </w:p>
              </w:tc>
              <w:tc>
                <w:tcPr>
                  <w:tcW w:w="789" w:type="pct"/>
                  <w:vMerge w:val="continue"/>
                  <w:vAlign w:val="center"/>
                </w:tcPr>
                <w:p w14:paraId="415E9EB0">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14:paraId="666BDA2D">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0.12</w:t>
                  </w:r>
                </w:p>
              </w:tc>
              <w:tc>
                <w:tcPr>
                  <w:tcW w:w="604" w:type="pct"/>
                  <w:vAlign w:val="center"/>
                </w:tcPr>
                <w:p w14:paraId="79C8EC0B">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Merge w:val="continue"/>
                  <w:vAlign w:val="center"/>
                </w:tcPr>
                <w:p w14:paraId="75B0CA14">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DE1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687195F7">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非甲烷总烃</w:t>
                  </w:r>
                </w:p>
              </w:tc>
              <w:tc>
                <w:tcPr>
                  <w:tcW w:w="789" w:type="pct"/>
                  <w:vMerge w:val="restart"/>
                  <w:vAlign w:val="center"/>
                </w:tcPr>
                <w:p w14:paraId="3C922FE6">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边界</w:t>
                  </w:r>
                </w:p>
              </w:tc>
              <w:tc>
                <w:tcPr>
                  <w:tcW w:w="367" w:type="pct"/>
                  <w:vAlign w:val="center"/>
                </w:tcPr>
                <w:p w14:paraId="4469EE4D">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4.0</w:t>
                  </w:r>
                </w:p>
              </w:tc>
              <w:tc>
                <w:tcPr>
                  <w:tcW w:w="604" w:type="pct"/>
                  <w:vAlign w:val="center"/>
                </w:tcPr>
                <w:p w14:paraId="2A703853">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6" w:type="pct"/>
                  <w:vAlign w:val="center"/>
                </w:tcPr>
                <w:p w14:paraId="3E985A0E">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《陆上石油</w:t>
                  </w:r>
                  <w:r>
                    <w:rPr>
                      <w:rFonts w:hint="eastAsia" w:ascii="Times New Roman" w:hAnsi="Times New Roman" w:cs="Times New Roman"/>
                      <w:color w:val="000000" w:themeColor="text1"/>
                      <w:sz w:val="21"/>
                      <w:szCs w:val="21"/>
                      <w:highlight w:val="none"/>
                      <w:lang w:eastAsia="zh-CN"/>
                      <w14:textFill>
                        <w14:solidFill>
                          <w14:schemeClr w14:val="tx1"/>
                        </w14:solidFill>
                      </w14:textFill>
                    </w:rPr>
                    <w:t>天然气</w:t>
                  </w:r>
                  <w:r>
                    <w:rPr>
                      <w:rFonts w:hint="default" w:ascii="Times New Roman" w:hAnsi="Times New Roman" w:eastAsia="宋体" w:cs="Times New Roman"/>
                      <w:color w:val="000000" w:themeColor="text1"/>
                      <w:sz w:val="21"/>
                      <w:szCs w:val="21"/>
                      <w:highlight w:val="none"/>
                      <w14:textFill>
                        <w14:solidFill>
                          <w14:schemeClr w14:val="tx1"/>
                        </w14:solidFill>
                      </w14:textFill>
                    </w:rPr>
                    <w:t>开采工业大气污染物排放标准》（GB39728-2020）</w:t>
                  </w:r>
                </w:p>
              </w:tc>
            </w:tr>
            <w:tr w14:paraId="0A1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249E0D48">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硫化氢</w:t>
                  </w:r>
                </w:p>
              </w:tc>
              <w:tc>
                <w:tcPr>
                  <w:tcW w:w="789" w:type="pct"/>
                  <w:vMerge w:val="continue"/>
                  <w:vAlign w:val="center"/>
                </w:tcPr>
                <w:p w14:paraId="3D0646D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p>
              </w:tc>
              <w:tc>
                <w:tcPr>
                  <w:tcW w:w="367" w:type="pct"/>
                  <w:vAlign w:val="center"/>
                </w:tcPr>
                <w:p w14:paraId="0EBDDCD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0.06</w:t>
                  </w:r>
                </w:p>
              </w:tc>
              <w:tc>
                <w:tcPr>
                  <w:tcW w:w="604" w:type="pct"/>
                  <w:vAlign w:val="center"/>
                </w:tcPr>
                <w:p w14:paraId="5686F19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366" w:type="pct"/>
                  <w:vAlign w:val="center"/>
                </w:tcPr>
                <w:p w14:paraId="1D19CD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《恶臭污染物排放标准》</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GB14554-93</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表1标准限值要求</w:t>
                  </w:r>
                </w:p>
              </w:tc>
            </w:tr>
            <w:tr w14:paraId="03CB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4252038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0"/>
                      <w:sz w:val="21"/>
                      <w:szCs w:val="21"/>
                      <w:highlight w:val="none"/>
                      <w:lang w:val="en-US" w:eastAsia="zh-CN"/>
                      <w14:textFill>
                        <w14:solidFill>
                          <w14:schemeClr w14:val="tx1"/>
                        </w14:solidFill>
                      </w14:textFill>
                    </w:rPr>
                    <w:t>CO</w:t>
                  </w:r>
                </w:p>
              </w:tc>
              <w:tc>
                <w:tcPr>
                  <w:tcW w:w="789" w:type="pct"/>
                  <w:vMerge w:val="restart"/>
                  <w:vAlign w:val="center"/>
                </w:tcPr>
                <w:p w14:paraId="70792E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P</w:t>
                  </w:r>
                  <w:r>
                    <w:rPr>
                      <w:rFonts w:hint="default" w:ascii="Times New Roman" w:hAnsi="Times New Roman" w:eastAsia="宋体" w:cs="Times New Roman"/>
                      <w:color w:val="000000" w:themeColor="text1"/>
                      <w:kern w:val="0"/>
                      <w:sz w:val="21"/>
                      <w:szCs w:val="21"/>
                      <w:vertAlign w:val="subscript"/>
                      <w:lang w:val="en-US" w:eastAsia="zh-CN" w:bidi="ar"/>
                      <w14:textFill>
                        <w14:solidFill>
                          <w14:schemeClr w14:val="tx1"/>
                        </w14:solidFill>
                      </w14:textFill>
                    </w:rPr>
                    <w:t>max</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&gt;560</w:t>
                  </w:r>
                </w:p>
                <w:p w14:paraId="240934BD">
                  <w:pPr>
                    <w:pStyle w:val="9"/>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第四阶段</w:t>
                  </w:r>
                </w:p>
              </w:tc>
              <w:tc>
                <w:tcPr>
                  <w:tcW w:w="367" w:type="pct"/>
                  <w:vAlign w:val="center"/>
                </w:tcPr>
                <w:p w14:paraId="53F74A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3.5</w:t>
                  </w:r>
                </w:p>
              </w:tc>
              <w:tc>
                <w:tcPr>
                  <w:tcW w:w="604" w:type="pct"/>
                  <w:vAlign w:val="center"/>
                </w:tcPr>
                <w:p w14:paraId="39D615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restart"/>
                  <w:vAlign w:val="center"/>
                </w:tcPr>
                <w:p w14:paraId="558783F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《非道路移动机械用柴油机排气污染物排放限值及测量方法</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中国第三、四阶段）》（GB20891-2014）中表2非道路移动机械用柴油机排气污染物排放限值</w:t>
                  </w:r>
                </w:p>
              </w:tc>
            </w:tr>
            <w:tr w14:paraId="0779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02A88D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NOx</w:t>
                  </w:r>
                </w:p>
              </w:tc>
              <w:tc>
                <w:tcPr>
                  <w:tcW w:w="789" w:type="pct"/>
                  <w:vMerge w:val="continue"/>
                  <w:vAlign w:val="center"/>
                </w:tcPr>
                <w:p w14:paraId="4B9EA4DD">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14:paraId="132CA54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3.5</w:t>
                  </w:r>
                </w:p>
              </w:tc>
              <w:tc>
                <w:tcPr>
                  <w:tcW w:w="604" w:type="pct"/>
                  <w:vAlign w:val="center"/>
                </w:tcPr>
                <w:p w14:paraId="2C2C91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continue"/>
                  <w:vAlign w:val="center"/>
                </w:tcPr>
                <w:p w14:paraId="141D69B6">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45C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pct"/>
                  <w:vAlign w:val="center"/>
                </w:tcPr>
                <w:p w14:paraId="0E1367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spacing w:val="6"/>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PM</w:t>
                  </w:r>
                </w:p>
              </w:tc>
              <w:tc>
                <w:tcPr>
                  <w:tcW w:w="789" w:type="pct"/>
                  <w:vMerge w:val="continue"/>
                  <w:vAlign w:val="center"/>
                </w:tcPr>
                <w:p w14:paraId="415704E6">
                  <w:pPr>
                    <w:pStyle w:val="17"/>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67" w:type="pct"/>
                  <w:vAlign w:val="center"/>
                </w:tcPr>
                <w:p w14:paraId="1D5A61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0.1</w:t>
                  </w:r>
                </w:p>
              </w:tc>
              <w:tc>
                <w:tcPr>
                  <w:tcW w:w="604" w:type="pct"/>
                  <w:vAlign w:val="center"/>
                </w:tcPr>
                <w:p w14:paraId="2A387C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g/kW·h</w:t>
                  </w:r>
                </w:p>
              </w:tc>
              <w:tc>
                <w:tcPr>
                  <w:tcW w:w="2366" w:type="pct"/>
                  <w:vMerge w:val="continue"/>
                  <w:vAlign w:val="center"/>
                </w:tcPr>
                <w:p w14:paraId="10503BAD">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15280D4B">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废水：生活污水经井场撬装式污水处理装置处理后</w:t>
            </w:r>
            <w:r>
              <w:rPr>
                <w:rFonts w:hint="eastAsia"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达到《农村生活污水处理排放标准》（DB654275-2019）表2的B级标准，用于荒漠灌溉。</w:t>
            </w:r>
          </w:p>
          <w:p w14:paraId="32B0BAB3">
            <w:pPr>
              <w:spacing w:line="440" w:lineRule="exac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表3-5   </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生活污水</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排放标准</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59"/>
              <w:gridCol w:w="1362"/>
              <w:gridCol w:w="983"/>
              <w:gridCol w:w="929"/>
              <w:gridCol w:w="4440"/>
            </w:tblGrid>
            <w:tr w14:paraId="000A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noWrap w:val="0"/>
                  <w:vAlign w:val="center"/>
                </w:tcPr>
                <w:p w14:paraId="64E11C10">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污染源</w:t>
                  </w:r>
                </w:p>
              </w:tc>
              <w:tc>
                <w:tcPr>
                  <w:tcW w:w="776" w:type="pct"/>
                  <w:noWrap w:val="0"/>
                  <w:vAlign w:val="center"/>
                </w:tcPr>
                <w:p w14:paraId="312CB368">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项目</w:t>
                  </w:r>
                </w:p>
              </w:tc>
              <w:tc>
                <w:tcPr>
                  <w:tcW w:w="560" w:type="pct"/>
                  <w:noWrap w:val="0"/>
                  <w:vAlign w:val="center"/>
                </w:tcPr>
                <w:p w14:paraId="24412D77">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排放限值</w:t>
                  </w:r>
                </w:p>
              </w:tc>
              <w:tc>
                <w:tcPr>
                  <w:tcW w:w="529" w:type="pct"/>
                  <w:noWrap w:val="0"/>
                  <w:vAlign w:val="center"/>
                </w:tcPr>
                <w:p w14:paraId="4A8B8DD2">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单位</w:t>
                  </w:r>
                </w:p>
              </w:tc>
              <w:tc>
                <w:tcPr>
                  <w:tcW w:w="2529" w:type="pct"/>
                  <w:noWrap w:val="0"/>
                  <w:vAlign w:val="center"/>
                </w:tcPr>
                <w:p w14:paraId="2E3DC9A0">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7B29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restart"/>
                  <w:noWrap w:val="0"/>
                  <w:vAlign w:val="center"/>
                </w:tcPr>
                <w:p w14:paraId="43952DAE">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生活污水</w:t>
                  </w:r>
                </w:p>
              </w:tc>
              <w:tc>
                <w:tcPr>
                  <w:tcW w:w="776" w:type="pct"/>
                  <w:noWrap w:val="0"/>
                  <w:vAlign w:val="center"/>
                </w:tcPr>
                <w:p w14:paraId="57EB0CF1">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pH值</w:t>
                  </w:r>
                </w:p>
              </w:tc>
              <w:tc>
                <w:tcPr>
                  <w:tcW w:w="560" w:type="pct"/>
                  <w:noWrap w:val="0"/>
                  <w:vAlign w:val="center"/>
                </w:tcPr>
                <w:p w14:paraId="2876B106">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6-9</w:t>
                  </w:r>
                </w:p>
              </w:tc>
              <w:tc>
                <w:tcPr>
                  <w:tcW w:w="529" w:type="pct"/>
                  <w:noWrap w:val="0"/>
                  <w:vAlign w:val="center"/>
                </w:tcPr>
                <w:p w14:paraId="59DC9AD7">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无量纲</w:t>
                  </w:r>
                </w:p>
              </w:tc>
              <w:tc>
                <w:tcPr>
                  <w:tcW w:w="2529" w:type="pct"/>
                  <w:vMerge w:val="restart"/>
                  <w:noWrap w:val="0"/>
                  <w:vAlign w:val="center"/>
                </w:tcPr>
                <w:p w14:paraId="0AD92367">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《农村生活污水处理排放标准》（DB654275-2019）表2的B级标准</w:t>
                  </w:r>
                </w:p>
              </w:tc>
            </w:tr>
            <w:tr w14:paraId="2EEE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3F10F3E5">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14:paraId="387315C8">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化学需氧量</w:t>
                  </w:r>
                </w:p>
              </w:tc>
              <w:tc>
                <w:tcPr>
                  <w:tcW w:w="560" w:type="pct"/>
                  <w:noWrap w:val="0"/>
                  <w:vAlign w:val="center"/>
                </w:tcPr>
                <w:p w14:paraId="6C2DB9B8">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180</w:t>
                  </w:r>
                </w:p>
              </w:tc>
              <w:tc>
                <w:tcPr>
                  <w:tcW w:w="529" w:type="pct"/>
                  <w:noWrap w:val="0"/>
                  <w:vAlign w:val="center"/>
                </w:tcPr>
                <w:p w14:paraId="41C29AD9">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mg/L</w:t>
                  </w:r>
                </w:p>
              </w:tc>
              <w:tc>
                <w:tcPr>
                  <w:tcW w:w="2529" w:type="pct"/>
                  <w:vMerge w:val="continue"/>
                  <w:noWrap w:val="0"/>
                  <w:vAlign w:val="top"/>
                </w:tcPr>
                <w:p w14:paraId="27C46F5A">
                  <w:pPr>
                    <w:adjustRightInd w:val="0"/>
                    <w:spacing w:line="0" w:lineRule="atLeast"/>
                    <w:jc w:val="center"/>
                    <w:rPr>
                      <w:rFonts w:hint="eastAsia" w:hAnsi="宋体" w:cs="宋体"/>
                      <w:color w:val="auto"/>
                      <w:spacing w:val="-10"/>
                      <w:szCs w:val="21"/>
                      <w:highlight w:val="none"/>
                      <w:lang w:bidi="ar"/>
                    </w:rPr>
                  </w:pPr>
                </w:p>
              </w:tc>
            </w:tr>
            <w:tr w14:paraId="37E2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22CB2B7D">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14:paraId="2AE3C79F">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悬浮物</w:t>
                  </w:r>
                </w:p>
              </w:tc>
              <w:tc>
                <w:tcPr>
                  <w:tcW w:w="560" w:type="pct"/>
                  <w:noWrap w:val="0"/>
                  <w:vAlign w:val="center"/>
                </w:tcPr>
                <w:p w14:paraId="3B9D4733">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90</w:t>
                  </w:r>
                </w:p>
              </w:tc>
              <w:tc>
                <w:tcPr>
                  <w:tcW w:w="529" w:type="pct"/>
                  <w:noWrap w:val="0"/>
                  <w:vAlign w:val="center"/>
                </w:tcPr>
                <w:p w14:paraId="57D242EF">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mg/L</w:t>
                  </w:r>
                </w:p>
              </w:tc>
              <w:tc>
                <w:tcPr>
                  <w:tcW w:w="2529" w:type="pct"/>
                  <w:vMerge w:val="continue"/>
                  <w:noWrap w:val="0"/>
                  <w:vAlign w:val="top"/>
                </w:tcPr>
                <w:p w14:paraId="37E348AC">
                  <w:pPr>
                    <w:adjustRightInd w:val="0"/>
                    <w:spacing w:line="0" w:lineRule="atLeast"/>
                    <w:jc w:val="center"/>
                    <w:rPr>
                      <w:rFonts w:hint="eastAsia" w:hAnsi="宋体" w:cs="宋体"/>
                      <w:color w:val="auto"/>
                      <w:spacing w:val="-10"/>
                      <w:szCs w:val="21"/>
                      <w:highlight w:val="none"/>
                      <w:lang w:bidi="ar"/>
                    </w:rPr>
                  </w:pPr>
                </w:p>
              </w:tc>
            </w:tr>
            <w:tr w14:paraId="5BEB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4D3C711B">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14:paraId="3187772E">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粪大肠菌群</w:t>
                  </w:r>
                </w:p>
              </w:tc>
              <w:tc>
                <w:tcPr>
                  <w:tcW w:w="560" w:type="pct"/>
                  <w:noWrap w:val="0"/>
                  <w:vAlign w:val="center"/>
                </w:tcPr>
                <w:p w14:paraId="1BFDF83B">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40000</w:t>
                  </w:r>
                </w:p>
              </w:tc>
              <w:tc>
                <w:tcPr>
                  <w:tcW w:w="529" w:type="pct"/>
                  <w:noWrap w:val="0"/>
                  <w:vAlign w:val="center"/>
                </w:tcPr>
                <w:p w14:paraId="14078736">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MPN/L</w:t>
                  </w:r>
                </w:p>
              </w:tc>
              <w:tc>
                <w:tcPr>
                  <w:tcW w:w="2529" w:type="pct"/>
                  <w:vMerge w:val="continue"/>
                  <w:noWrap w:val="0"/>
                  <w:vAlign w:val="top"/>
                </w:tcPr>
                <w:p w14:paraId="3BF08CEF">
                  <w:pPr>
                    <w:adjustRightInd w:val="0"/>
                    <w:spacing w:line="0" w:lineRule="atLeast"/>
                    <w:jc w:val="center"/>
                    <w:rPr>
                      <w:rFonts w:hint="eastAsia" w:hAnsi="宋体" w:cs="宋体"/>
                      <w:color w:val="auto"/>
                      <w:spacing w:val="-10"/>
                      <w:szCs w:val="21"/>
                      <w:highlight w:val="none"/>
                      <w:lang w:bidi="ar"/>
                    </w:rPr>
                  </w:pPr>
                </w:p>
              </w:tc>
            </w:tr>
            <w:tr w14:paraId="2C75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03" w:type="pct"/>
                  <w:vMerge w:val="continue"/>
                  <w:noWrap w:val="0"/>
                  <w:vAlign w:val="top"/>
                </w:tcPr>
                <w:p w14:paraId="3D61F96C">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776" w:type="pct"/>
                  <w:noWrap w:val="0"/>
                  <w:vAlign w:val="center"/>
                </w:tcPr>
                <w:p w14:paraId="01C08C5C">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蛔虫卵个数</w:t>
                  </w:r>
                </w:p>
              </w:tc>
              <w:tc>
                <w:tcPr>
                  <w:tcW w:w="560" w:type="pct"/>
                  <w:noWrap w:val="0"/>
                  <w:vAlign w:val="center"/>
                </w:tcPr>
                <w:p w14:paraId="74FC3729">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w:t>
                  </w:r>
                </w:p>
              </w:tc>
              <w:tc>
                <w:tcPr>
                  <w:tcW w:w="529" w:type="pct"/>
                  <w:noWrap w:val="0"/>
                  <w:vAlign w:val="center"/>
                </w:tcPr>
                <w:p w14:paraId="08B3C348">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个/L</w:t>
                  </w:r>
                </w:p>
              </w:tc>
              <w:tc>
                <w:tcPr>
                  <w:tcW w:w="2529" w:type="pct"/>
                  <w:vMerge w:val="continue"/>
                  <w:noWrap w:val="0"/>
                  <w:vAlign w:val="top"/>
                </w:tcPr>
                <w:p w14:paraId="290E583E">
                  <w:pPr>
                    <w:adjustRightInd w:val="0"/>
                    <w:spacing w:line="0" w:lineRule="atLeast"/>
                    <w:jc w:val="center"/>
                    <w:rPr>
                      <w:rFonts w:hint="eastAsia" w:hAnsi="宋体" w:cs="宋体"/>
                      <w:color w:val="auto"/>
                      <w:spacing w:val="-10"/>
                      <w:szCs w:val="21"/>
                      <w:highlight w:val="none"/>
                      <w:lang w:bidi="ar"/>
                    </w:rPr>
                  </w:pPr>
                </w:p>
              </w:tc>
            </w:tr>
          </w:tbl>
          <w:p w14:paraId="28296212">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噪声：施工期噪声执行《建筑施工噪声排放标准》（GB12523-2025），即昼间70dB（A），夜间55dB（A）</w:t>
            </w:r>
            <w:r>
              <w:rPr>
                <w:rFonts w:hint="eastAsia" w:cs="Times New Roman"/>
                <w:color w:val="auto"/>
                <w:kern w:val="0"/>
                <w:sz w:val="24"/>
                <w:szCs w:val="24"/>
                <w:highlight w:val="none"/>
                <w:lang w:val="en-US" w:eastAsia="zh-CN" w:bidi="ar-SA"/>
              </w:rPr>
              <w:t>。</w:t>
            </w:r>
          </w:p>
          <w:p w14:paraId="27AE44A1">
            <w:pPr>
              <w:spacing w:line="440" w:lineRule="exac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color w:val="000000" w:themeColor="text1"/>
                <w:sz w:val="21"/>
                <w:szCs w:val="21"/>
                <w14:textFill>
                  <w14:solidFill>
                    <w14:schemeClr w14:val="tx1"/>
                  </w14:solidFill>
                </w14:textFill>
              </w:rPr>
              <w:t xml:space="preserve">  环境噪声排放标准</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14:textFill>
                  <w14:solidFill>
                    <w14:schemeClr w14:val="tx1"/>
                  </w14:solidFill>
                </w14:textFill>
              </w:rPr>
              <w:t>单位：</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dB(A)</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434"/>
              <w:gridCol w:w="1366"/>
              <w:gridCol w:w="4834"/>
            </w:tblGrid>
            <w:tr w14:paraId="5A8B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Align w:val="center"/>
                </w:tcPr>
                <w:p w14:paraId="12F85477">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时段</w:t>
                  </w:r>
                </w:p>
              </w:tc>
              <w:tc>
                <w:tcPr>
                  <w:tcW w:w="1595" w:type="pct"/>
                  <w:gridSpan w:val="2"/>
                  <w:vAlign w:val="center"/>
                </w:tcPr>
                <w:p w14:paraId="6342EAEF">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标准值</w:t>
                  </w:r>
                </w:p>
              </w:tc>
              <w:tc>
                <w:tcPr>
                  <w:tcW w:w="2753" w:type="pct"/>
                  <w:vAlign w:val="center"/>
                </w:tcPr>
                <w:p w14:paraId="729996B8">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执行标准</w:t>
                  </w:r>
                </w:p>
              </w:tc>
            </w:tr>
            <w:tr w14:paraId="5140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Merge w:val="restart"/>
                  <w:vAlign w:val="center"/>
                </w:tcPr>
                <w:p w14:paraId="77E8738C">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施工期</w:t>
                  </w:r>
                </w:p>
              </w:tc>
              <w:tc>
                <w:tcPr>
                  <w:tcW w:w="816" w:type="pct"/>
                  <w:vAlign w:val="center"/>
                </w:tcPr>
                <w:p w14:paraId="19581DFD">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昼间</w:t>
                  </w:r>
                </w:p>
              </w:tc>
              <w:tc>
                <w:tcPr>
                  <w:tcW w:w="778" w:type="pct"/>
                  <w:vAlign w:val="center"/>
                </w:tcPr>
                <w:p w14:paraId="5D5CFB0D">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≤70</w:t>
                  </w:r>
                </w:p>
              </w:tc>
              <w:tc>
                <w:tcPr>
                  <w:tcW w:w="2753" w:type="pct"/>
                  <w:vMerge w:val="restart"/>
                  <w:vAlign w:val="center"/>
                </w:tcPr>
                <w:p w14:paraId="55839A64">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《建筑施工噪声排放标准》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GB12523-2025)</w:t>
                  </w:r>
                </w:p>
              </w:tc>
            </w:tr>
            <w:tr w14:paraId="13EB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1" w:type="pct"/>
                  <w:vMerge w:val="continue"/>
                  <w:vAlign w:val="center"/>
                </w:tcPr>
                <w:p w14:paraId="7CA83EA9">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16" w:type="pct"/>
                  <w:vAlign w:val="center"/>
                </w:tcPr>
                <w:p w14:paraId="7587A78D">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夜间</w:t>
                  </w:r>
                </w:p>
              </w:tc>
              <w:tc>
                <w:tcPr>
                  <w:tcW w:w="778" w:type="pct"/>
                  <w:vAlign w:val="center"/>
                </w:tcPr>
                <w:p w14:paraId="4F1B829D">
                  <w:pPr>
                    <w:pStyle w:val="17"/>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≤55</w:t>
                  </w:r>
                </w:p>
              </w:tc>
              <w:tc>
                <w:tcPr>
                  <w:tcW w:w="2753" w:type="pct"/>
                  <w:vMerge w:val="continue"/>
                  <w:vAlign w:val="center"/>
                </w:tcPr>
                <w:p w14:paraId="2A5C17E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r>
          </w:tbl>
          <w:p w14:paraId="5EE39C8C">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固体废物：一般工业固体废物执行《一般工业固体废物贮存和填埋污染控制标准》（GB18599-2020）要求；危险废物执行《危险废物贮存污染控制标准》（GB18597-2023）要求及《危险废物收集、贮存、运输技术规范》（HJ2025-2012）；处理达标后的聚合物钻井岩屑和磺化钻井岩屑</w:t>
            </w:r>
            <w:r>
              <w:rPr>
                <w:rFonts w:hint="eastAsia" w:cs="Times New Roman"/>
                <w:color w:val="auto"/>
                <w:kern w:val="0"/>
                <w:sz w:val="24"/>
                <w:szCs w:val="24"/>
                <w:highlight w:val="none"/>
                <w:lang w:val="en-US" w:eastAsia="zh-CN" w:bidi="ar-SA"/>
              </w:rPr>
              <w:t>满足</w:t>
            </w:r>
            <w:r>
              <w:rPr>
                <w:rFonts w:hint="default" w:ascii="Times New Roman" w:hAnsi="Times New Roman" w:eastAsia="宋体" w:cs="Times New Roman"/>
                <w:color w:val="auto"/>
                <w:kern w:val="0"/>
                <w:sz w:val="24"/>
                <w:szCs w:val="24"/>
                <w:highlight w:val="none"/>
                <w:lang w:val="en-US" w:eastAsia="zh-CN" w:bidi="ar-SA"/>
              </w:rPr>
              <w:t>《石油</w:t>
            </w:r>
            <w:r>
              <w:rPr>
                <w:rFonts w:hint="eastAsia" w:cs="Times New Roman"/>
                <w:color w:val="auto"/>
                <w:kern w:val="0"/>
                <w:sz w:val="24"/>
                <w:szCs w:val="24"/>
                <w:highlight w:val="none"/>
                <w:lang w:val="en-US" w:eastAsia="zh-CN" w:bidi="ar-SA"/>
              </w:rPr>
              <w:t>天然气</w:t>
            </w:r>
            <w:r>
              <w:rPr>
                <w:rFonts w:hint="default" w:ascii="Times New Roman" w:hAnsi="Times New Roman" w:eastAsia="宋体" w:cs="Times New Roman"/>
                <w:color w:val="auto"/>
                <w:kern w:val="0"/>
                <w:sz w:val="24"/>
                <w:szCs w:val="24"/>
                <w:highlight w:val="none"/>
                <w:lang w:val="en-US" w:eastAsia="zh-CN" w:bidi="ar-SA"/>
              </w:rPr>
              <w:t>开采业固体废物污染控制技术规范（试行）》（HJ</w:t>
            </w:r>
            <w:r>
              <w:rPr>
                <w:rFonts w:hint="eastAsia" w:cs="Times New Roman"/>
                <w:color w:val="auto"/>
                <w:kern w:val="0"/>
                <w:sz w:val="24"/>
                <w:szCs w:val="24"/>
                <w:highlight w:val="none"/>
                <w:lang w:val="en-US" w:eastAsia="zh-CN" w:bidi="ar-SA"/>
              </w:rPr>
              <w:t xml:space="preserve"> </w:t>
            </w:r>
            <w:r>
              <w:rPr>
                <w:rFonts w:hint="default" w:ascii="Times New Roman" w:hAnsi="Times New Roman" w:eastAsia="宋体" w:cs="Times New Roman"/>
                <w:color w:val="auto"/>
                <w:kern w:val="0"/>
                <w:sz w:val="24"/>
                <w:szCs w:val="24"/>
                <w:highlight w:val="none"/>
                <w:lang w:val="en-US" w:eastAsia="zh-CN" w:bidi="ar-SA"/>
              </w:rPr>
              <w:t>1461-2026）表 A.1 中相关要求时可用于对应场景下的油气开采生产作业区的井场铺垫和道路铺设。</w:t>
            </w:r>
          </w:p>
          <w:p w14:paraId="7BAC2519">
            <w:pPr>
              <w:spacing w:line="440" w:lineRule="exact"/>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表3-</w:t>
            </w:r>
            <w:r>
              <w:rPr>
                <w:rFonts w:hint="eastAsia" w:cs="Times New Roman"/>
                <w:b/>
                <w:color w:val="auto"/>
                <w:sz w:val="21"/>
                <w:szCs w:val="21"/>
                <w:lang w:val="en-US" w:eastAsia="zh-CN"/>
              </w:rPr>
              <w:t>7</w:t>
            </w:r>
            <w:r>
              <w:rPr>
                <w:rFonts w:hint="default" w:ascii="Times New Roman" w:hAnsi="Times New Roman" w:eastAsia="宋体" w:cs="Times New Roman"/>
                <w:b/>
                <w:color w:val="auto"/>
                <w:sz w:val="21"/>
                <w:szCs w:val="21"/>
                <w:lang w:val="en-US" w:eastAsia="zh-CN"/>
              </w:rPr>
              <w:t xml:space="preserve">   </w:t>
            </w:r>
            <w:r>
              <w:rPr>
                <w:rFonts w:hint="eastAsia" w:ascii="Times New Roman" w:hAnsi="Times New Roman" w:eastAsia="宋体" w:cs="Times New Roman"/>
                <w:b/>
                <w:color w:val="auto"/>
                <w:sz w:val="21"/>
                <w:szCs w:val="21"/>
                <w:lang w:val="en-US" w:eastAsia="zh-CN"/>
              </w:rPr>
              <w:t>聚合物钻井岩屑和磺化钻井岩屑风险评估参考值</w:t>
            </w:r>
          </w:p>
          <w:p w14:paraId="2C95EEDD">
            <w:pPr>
              <w:pStyle w:val="6"/>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FF"/>
                <w:sz w:val="21"/>
                <w:szCs w:val="21"/>
                <w:lang w:val="en-US" w:eastAsia="zh-CN"/>
              </w:rPr>
              <w:drawing>
                <wp:inline distT="0" distB="0" distL="114300" distR="114300">
                  <wp:extent cx="5592445" cy="1588135"/>
                  <wp:effectExtent l="0" t="0" r="8255" b="1206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1"/>
                          <a:stretch>
                            <a:fillRect/>
                          </a:stretch>
                        </pic:blipFill>
                        <pic:spPr>
                          <a:xfrm>
                            <a:off x="0" y="0"/>
                            <a:ext cx="5592445" cy="1588135"/>
                          </a:xfrm>
                          <a:prstGeom prst="rect">
                            <a:avLst/>
                          </a:prstGeom>
                          <a:noFill/>
                          <a:ln>
                            <a:noFill/>
                          </a:ln>
                        </pic:spPr>
                      </pic:pic>
                    </a:graphicData>
                  </a:graphic>
                </wp:inline>
              </w:drawing>
            </w:r>
          </w:p>
          <w:p w14:paraId="081486BD">
            <w:pPr>
              <w:keepNext w:val="0"/>
              <w:keepLines w:val="0"/>
              <w:pageBreakBefore w:val="0"/>
              <w:kinsoku/>
              <w:wordWrap/>
              <w:overflowPunct/>
              <w:topLinePunct w:val="0"/>
              <w:autoSpaceDE/>
              <w:autoSpaceDN/>
              <w:bidi w:val="0"/>
              <w:adjustRightInd/>
              <w:snapToGrid/>
              <w:spacing w:line="480" w:lineRule="exact"/>
              <w:ind w:firstLine="482"/>
              <w:textAlignment w:val="auto"/>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封井后的荒漠化恢复验收标准</w:t>
            </w:r>
            <w:r>
              <w:rPr>
                <w:rFonts w:hint="eastAsia" w:ascii="Times New Roman" w:hAnsi="Times New Roman" w:eastAsia="宋体" w:cs="Times New Roman"/>
                <w:color w:val="auto"/>
                <w:kern w:val="0"/>
                <w:sz w:val="24"/>
                <w:szCs w:val="24"/>
                <w:highlight w:val="none"/>
                <w:lang w:val="en-US" w:eastAsia="zh-CN" w:bidi="ar-SA"/>
              </w:rPr>
              <w:t>：</w:t>
            </w:r>
          </w:p>
          <w:p w14:paraId="7AE38E95">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①临时设施（井架、板房、储罐、泥浆罐）、硬化地坪全部拆除；水泥硬化层破碎清运或深翻破除板结；</w:t>
            </w:r>
          </w:p>
          <w:p w14:paraId="478B842D">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②临时防渗膜、防渗垫层完整回收，不得就地掩埋；</w:t>
            </w:r>
          </w:p>
          <w:p w14:paraId="005AA192">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③</w:t>
            </w:r>
            <w:r>
              <w:rPr>
                <w:rFonts w:hint="eastAsia" w:ascii="Times New Roman" w:hAnsi="Times New Roman" w:eastAsia="宋体" w:cs="Times New Roman"/>
                <w:color w:val="auto"/>
                <w:kern w:val="0"/>
                <w:sz w:val="24"/>
                <w:szCs w:val="24"/>
                <w:highlight w:val="none"/>
                <w:lang w:val="en-US" w:eastAsia="zh-CN" w:bidi="ar-SA"/>
              </w:rPr>
              <w:t>膨润土体系废弃钻井泥浆及岩屑排入防渗膨润土岩屑池干化，经检测满足</w:t>
            </w:r>
            <w:r>
              <w:rPr>
                <w:rFonts w:hint="default" w:ascii="Times New Roman" w:hAnsi="Times New Roman" w:eastAsia="宋体" w:cs="Times New Roman"/>
                <w:color w:val="auto"/>
                <w:kern w:val="0"/>
                <w:sz w:val="24"/>
                <w:szCs w:val="24"/>
                <w:highlight w:val="none"/>
                <w:lang w:val="en-US" w:eastAsia="zh-CN" w:bidi="ar-SA"/>
              </w:rPr>
              <w:t>《石油天然气开采业固体废物污染控制技术规范（试行）》（HJ1461-2026）表A.1中相关要求</w:t>
            </w:r>
            <w:r>
              <w:rPr>
                <w:rFonts w:hint="eastAsia" w:ascii="Times New Roman" w:hAnsi="Times New Roman" w:eastAsia="宋体" w:cs="Times New Roman"/>
                <w:color w:val="auto"/>
                <w:kern w:val="0"/>
                <w:sz w:val="24"/>
                <w:szCs w:val="24"/>
                <w:highlight w:val="none"/>
                <w:lang w:val="en-US" w:eastAsia="zh-CN" w:bidi="ar-SA"/>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0"/>
                <w:sz w:val="24"/>
                <w:szCs w:val="24"/>
                <w:highlight w:val="none"/>
                <w:lang w:val="en-US" w:eastAsia="zh-CN" w:bidi="ar-SA"/>
              </w:rPr>
              <w:t>，现场无遗留；废机油、防渗材料和落地油、废弃包装材料全部交由有资质单位处置，现场不得遗留任何含油废弃物；生活垃圾统一清运出场，井场、便道范围内无散落钢材、塑料、油料包装物。</w:t>
            </w:r>
          </w:p>
          <w:p w14:paraId="6D01E53F">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lang w:val="en-US"/>
              </w:rPr>
            </w:pPr>
            <w:r>
              <w:rPr>
                <w:rFonts w:hint="default" w:ascii="Times New Roman" w:hAnsi="Times New Roman" w:eastAsia="宋体" w:cs="Times New Roman"/>
                <w:color w:val="auto"/>
                <w:kern w:val="0"/>
                <w:sz w:val="24"/>
                <w:szCs w:val="24"/>
                <w:highlight w:val="none"/>
                <w:lang w:val="en-US" w:eastAsia="zh-CN" w:bidi="ar-SA"/>
              </w:rPr>
              <w:t>④土地复垦，恢复植被。</w:t>
            </w:r>
          </w:p>
        </w:tc>
      </w:tr>
      <w:tr w14:paraId="51C67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240" w:type="pct"/>
            <w:noWrap w:val="0"/>
            <w:vAlign w:val="center"/>
          </w:tcPr>
          <w:p w14:paraId="0B01E1DE">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w:t>
            </w:r>
          </w:p>
        </w:tc>
        <w:tc>
          <w:tcPr>
            <w:tcW w:w="4759" w:type="pct"/>
            <w:noWrap w:val="0"/>
            <w:vAlign w:val="center"/>
          </w:tcPr>
          <w:p w14:paraId="1580F626">
            <w:pPr>
              <w:keepNext w:val="0"/>
              <w:keepLines w:val="0"/>
              <w:pageBreakBefore w:val="0"/>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highlight w:val="none"/>
                <w:lang w:val="en-US" w:eastAsia="zh-CN" w:bidi="ar-SA"/>
              </w:rPr>
              <w:t>本次评价仅对施工期的环境影响进行分析，不包括运营期，如需进行开采生产，需另行委托评价，不包含在本次评价范围之内。因勘探期较短，本项目污染物排放具有短暂性、临时性，故不核定总量指标。</w:t>
            </w:r>
          </w:p>
        </w:tc>
      </w:tr>
    </w:tbl>
    <w:p w14:paraId="4EEE388E">
      <w:pPr>
        <w:pStyle w:val="3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kern w:val="2"/>
          <w:sz w:val="36"/>
          <w:szCs w:val="36"/>
          <w:highlight w:val="none"/>
        </w:rPr>
        <w:br w:type="page"/>
      </w:r>
      <w:bookmarkStart w:id="15" w:name="_Toc18753"/>
      <w:r>
        <w:rPr>
          <w:rFonts w:hint="default" w:ascii="Times New Roman" w:hAnsi="Times New Roman" w:eastAsia="黑体" w:cs="Times New Roman"/>
          <w:snapToGrid w:val="0"/>
          <w:color w:val="auto"/>
          <w:sz w:val="30"/>
          <w:szCs w:val="30"/>
          <w:highlight w:val="none"/>
        </w:rPr>
        <w:t>四、生态环境影响分析</w:t>
      </w:r>
      <w:bookmarkEnd w:id="15"/>
    </w:p>
    <w:tbl>
      <w:tblPr>
        <w:tblStyle w:val="36"/>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4"/>
        <w:gridCol w:w="8678"/>
      </w:tblGrid>
      <w:tr w14:paraId="72C0CB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564" w:type="dxa"/>
            <w:tcBorders>
              <w:top w:val="single" w:color="auto" w:sz="4" w:space="0"/>
              <w:left w:val="single" w:color="auto" w:sz="4" w:space="0"/>
            </w:tcBorders>
            <w:noWrap w:val="0"/>
            <w:tcMar>
              <w:left w:w="28" w:type="dxa"/>
              <w:right w:w="28" w:type="dxa"/>
            </w:tcMar>
            <w:vAlign w:val="center"/>
          </w:tcPr>
          <w:p w14:paraId="0D24118D">
            <w:pPr>
              <w:pStyle w:val="32"/>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bookmarkStart w:id="16" w:name="_Hlk49796138"/>
            <w:r>
              <w:rPr>
                <w:rFonts w:hint="default" w:ascii="Times New Roman" w:hAnsi="Times New Roman" w:eastAsia="宋体" w:cs="Times New Roman"/>
                <w:bCs/>
                <w:color w:val="auto"/>
                <w:spacing w:val="10"/>
                <w:kern w:val="2"/>
                <w:sz w:val="24"/>
                <w:szCs w:val="24"/>
                <w:highlight w:val="none"/>
              </w:rPr>
              <w:t>施工期生态环境影响分析</w:t>
            </w:r>
            <w:bookmarkEnd w:id="16"/>
          </w:p>
        </w:tc>
        <w:tc>
          <w:tcPr>
            <w:tcW w:w="8678" w:type="dxa"/>
            <w:tcBorders>
              <w:top w:val="single" w:color="auto" w:sz="4" w:space="0"/>
              <w:right w:val="single" w:color="auto" w:sz="4" w:space="0"/>
            </w:tcBorders>
            <w:noWrap w:val="0"/>
            <w:vAlign w:val="top"/>
          </w:tcPr>
          <w:p w14:paraId="6C95344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4"/>
                <w:szCs w:val="32"/>
                <w:highlight w:val="none"/>
                <w:lang w:val="zh-CN" w:eastAsia="zh-CN"/>
              </w:rPr>
            </w:pPr>
            <w:r>
              <w:rPr>
                <w:rFonts w:hint="default" w:ascii="Times New Roman" w:hAnsi="Times New Roman" w:eastAsia="宋体" w:cs="Times New Roman"/>
                <w:b/>
                <w:bCs/>
                <w:color w:val="auto"/>
                <w:sz w:val="24"/>
                <w:szCs w:val="32"/>
                <w:highlight w:val="none"/>
                <w:lang w:val="en-US" w:eastAsia="zh-CN"/>
              </w:rPr>
              <w:t>1</w:t>
            </w:r>
            <w:r>
              <w:rPr>
                <w:rFonts w:hint="eastAsia" w:cs="Times New Roman"/>
                <w:b/>
                <w:bCs/>
                <w:color w:val="auto"/>
                <w:sz w:val="24"/>
                <w:szCs w:val="32"/>
                <w:highlight w:val="none"/>
                <w:lang w:val="en-US" w:eastAsia="zh-CN"/>
              </w:rPr>
              <w:t>、</w:t>
            </w:r>
            <w:r>
              <w:rPr>
                <w:rFonts w:hint="default" w:ascii="Times New Roman" w:hAnsi="Times New Roman" w:eastAsia="宋体" w:cs="Times New Roman"/>
                <w:b/>
                <w:bCs/>
                <w:color w:val="auto"/>
                <w:sz w:val="24"/>
                <w:szCs w:val="32"/>
                <w:highlight w:val="none"/>
                <w:lang w:val="zh-CN" w:eastAsia="zh-CN"/>
              </w:rPr>
              <w:t>施工期生态影响分析</w:t>
            </w:r>
          </w:p>
          <w:p w14:paraId="0AAB71A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（1）工程占地影响分析</w:t>
            </w:r>
          </w:p>
          <w:p w14:paraId="2E4DD4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本项目实施后，施工临时占地面积共</w:t>
            </w:r>
            <w:r>
              <w:rPr>
                <w:rFonts w:hint="eastAsia" w:cs="Times New Roman"/>
                <w:color w:val="auto"/>
                <w:sz w:val="24"/>
                <w:szCs w:val="32"/>
                <w:highlight w:val="none"/>
                <w:lang w:val="en-US" w:eastAsia="zh-CN"/>
              </w:rPr>
              <w:t>21463</w:t>
            </w:r>
            <w:r>
              <w:rPr>
                <w:rFonts w:hint="default" w:ascii="Times New Roman" w:hAnsi="Times New Roman" w:eastAsia="宋体" w:cs="Times New Roman"/>
                <w:color w:val="auto"/>
                <w:sz w:val="24"/>
                <w:szCs w:val="32"/>
                <w:highlight w:val="none"/>
                <w:lang w:val="en-US" w:eastAsia="zh-CN"/>
              </w:rPr>
              <w:t>m</w:t>
            </w:r>
            <w:r>
              <w:rPr>
                <w:rFonts w:hint="default" w:ascii="Times New Roman" w:hAnsi="Times New Roman" w:eastAsia="宋体" w:cs="Times New Roman"/>
                <w:color w:val="auto"/>
                <w:sz w:val="24"/>
                <w:szCs w:val="32"/>
                <w:highlight w:val="none"/>
                <w:vertAlign w:val="superscript"/>
                <w:lang w:val="en-US" w:eastAsia="zh-CN"/>
              </w:rPr>
              <w:t>2</w:t>
            </w:r>
            <w:r>
              <w:rPr>
                <w:rFonts w:hint="default" w:ascii="Times New Roman" w:hAnsi="Times New Roman" w:eastAsia="宋体" w:cs="Times New Roman"/>
                <w:color w:val="auto"/>
                <w:sz w:val="24"/>
                <w:szCs w:val="32"/>
                <w:highlight w:val="none"/>
                <w:lang w:val="en-US" w:eastAsia="zh-CN"/>
              </w:rPr>
              <w:t>，工程占地类型为</w:t>
            </w:r>
            <w:r>
              <w:rPr>
                <w:rFonts w:hint="eastAsia" w:cs="Times New Roman"/>
                <w:color w:val="auto"/>
                <w:sz w:val="24"/>
                <w:szCs w:val="32"/>
                <w:highlight w:val="none"/>
                <w:lang w:val="en-US" w:eastAsia="zh-CN"/>
              </w:rPr>
              <w:t>沙地、盐碱地</w:t>
            </w:r>
            <w:r>
              <w:rPr>
                <w:rFonts w:hint="default" w:ascii="Times New Roman" w:hAnsi="Times New Roman" w:eastAsia="宋体" w:cs="Times New Roman"/>
                <w:color w:val="auto"/>
                <w:sz w:val="24"/>
                <w:szCs w:val="32"/>
                <w:highlight w:val="none"/>
                <w:lang w:val="en-US" w:eastAsia="zh-CN"/>
              </w:rPr>
              <w:t>，工程布局无环境限制性因素，布局合理。工程临时占地会使土地的利用形式发生临时性改变，暂时影响这些土地的原有功能。</w:t>
            </w:r>
          </w:p>
          <w:p w14:paraId="58631771">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目前建设单位正在办理征地手续，根据《中华人民共和国土地管理法》第五十七条</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临时使用土地的使用者应当按照临时使用土地合同约定的用途使用土地，并不得修建永久性建筑物。临时使用土地期限一般不超过二年。</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建设单位应按照相对规定临时使用土地，并承担恢复生态的责任，及时对临时占地区域进行平整、恢复原貌，使占地造成的影响逐步得以恢复。</w:t>
            </w:r>
          </w:p>
          <w:p w14:paraId="636B002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szCs w:val="24"/>
              </w:rPr>
              <w:t>本项目井场占地为</w:t>
            </w:r>
            <w:r>
              <w:rPr>
                <w:rFonts w:hint="eastAsia" w:cs="Times New Roman"/>
                <w:color w:val="auto"/>
                <w:sz w:val="24"/>
                <w:szCs w:val="24"/>
                <w:lang w:eastAsia="zh-CN"/>
              </w:rPr>
              <w:t>沙地、盐碱地</w:t>
            </w:r>
            <w:r>
              <w:rPr>
                <w:rFonts w:hint="default" w:ascii="Times New Roman" w:hAnsi="Times New Roman" w:eastAsia="宋体" w:cs="Times New Roman"/>
                <w:color w:val="auto"/>
                <w:sz w:val="24"/>
                <w:szCs w:val="24"/>
              </w:rPr>
              <w:t>，不占用基本农田等保护用地。临时占地在占用完毕后都可在较短时间内恢复。根据现场调查，项目的井场选址占地在当地现有土地利用类型中所占比例很小，不会导致区域土地利用格局的变化，对区域土地利用格局产生的影响甚微</w:t>
            </w:r>
            <w:r>
              <w:rPr>
                <w:rFonts w:hint="default" w:ascii="Times New Roman" w:hAnsi="Times New Roman" w:eastAsia="宋体" w:cs="Times New Roman"/>
                <w:color w:val="auto"/>
                <w:kern w:val="0"/>
                <w:sz w:val="24"/>
                <w:highlight w:val="none"/>
              </w:rPr>
              <w:t>。</w:t>
            </w:r>
          </w:p>
          <w:p w14:paraId="23FF960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（2）对土壤环境影响</w:t>
            </w:r>
          </w:p>
          <w:p w14:paraId="1DFAA0C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rPr>
              <w:t>类比油田区已建和在建的工程对土壤的影响，可知工程对土壤质量的影响主要为人为扰动、车辆行驶和机械施工</w:t>
            </w:r>
            <w:r>
              <w:rPr>
                <w:rFonts w:hint="default" w:ascii="Times New Roman" w:hAnsi="Times New Roman" w:eastAsia="宋体" w:cs="Times New Roman"/>
                <w:color w:val="auto"/>
                <w:sz w:val="24"/>
                <w:szCs w:val="24"/>
                <w:lang w:eastAsia="zh-CN"/>
              </w:rPr>
              <w:t>等</w:t>
            </w:r>
            <w:r>
              <w:rPr>
                <w:rFonts w:hint="default" w:ascii="Times New Roman" w:hAnsi="Times New Roman" w:eastAsia="宋体" w:cs="Times New Roman"/>
                <w:color w:val="auto"/>
                <w:sz w:val="24"/>
                <w:szCs w:val="24"/>
              </w:rPr>
              <w:t>污染影响。</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场地平整阶段实施表土剥离，在单独堆存期间进行覆盖</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表土于临时堆土场妥善堆存，减少对土壤的影响。施工结束后，</w:t>
            </w:r>
            <w:r>
              <w:rPr>
                <w:rFonts w:hint="default" w:ascii="Times New Roman" w:hAnsi="Times New Roman" w:eastAsia="宋体" w:cs="Times New Roman"/>
                <w:color w:val="auto"/>
                <w:sz w:val="24"/>
                <w:szCs w:val="24"/>
              </w:rPr>
              <w:t>井场、</w:t>
            </w:r>
            <w:r>
              <w:rPr>
                <w:rFonts w:hint="default" w:ascii="Times New Roman" w:hAnsi="Times New Roman" w:eastAsia="宋体" w:cs="Times New Roman"/>
                <w:color w:val="auto"/>
                <w:sz w:val="24"/>
                <w:szCs w:val="24"/>
                <w:lang w:val="en-US" w:eastAsia="zh-CN"/>
              </w:rPr>
              <w:t>临时</w:t>
            </w:r>
            <w:r>
              <w:rPr>
                <w:rFonts w:hint="default" w:ascii="Times New Roman" w:hAnsi="Times New Roman" w:eastAsia="宋体" w:cs="Times New Roman"/>
                <w:color w:val="auto"/>
                <w:sz w:val="24"/>
                <w:szCs w:val="24"/>
              </w:rPr>
              <w:t>道路等临时占地恢复</w:t>
            </w:r>
            <w:r>
              <w:rPr>
                <w:rFonts w:hint="default" w:ascii="Times New Roman" w:hAnsi="Times New Roman" w:eastAsia="宋体" w:cs="Times New Roman"/>
                <w:color w:val="auto"/>
                <w:sz w:val="24"/>
                <w:szCs w:val="24"/>
                <w:lang w:val="en-US" w:eastAsia="zh-CN"/>
              </w:rPr>
              <w:t>原貌</w:t>
            </w:r>
            <w:r>
              <w:rPr>
                <w:rFonts w:hint="default" w:ascii="Times New Roman" w:hAnsi="Times New Roman" w:eastAsia="宋体" w:cs="Times New Roman"/>
                <w:color w:val="auto"/>
                <w:sz w:val="24"/>
                <w:szCs w:val="24"/>
              </w:rPr>
              <w:t>，场地平整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表土恢复</w:t>
            </w:r>
            <w:r>
              <w:rPr>
                <w:rFonts w:hint="default" w:ascii="Times New Roman" w:hAnsi="Times New Roman" w:eastAsia="宋体" w:cs="Times New Roman"/>
                <w:color w:val="auto"/>
                <w:sz w:val="24"/>
                <w:szCs w:val="32"/>
                <w:highlight w:val="none"/>
                <w:lang w:val="en-US" w:eastAsia="zh-CN"/>
              </w:rPr>
              <w:t>。</w:t>
            </w:r>
          </w:p>
          <w:p w14:paraId="19F1AD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①人为扰动对土壤的影响</w:t>
            </w:r>
          </w:p>
          <w:p w14:paraId="7ED7977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过程中，不可避免地要对土壤进行人为扰动，主要是作业区平整、办公区占地平整、进场道路整修。在自然条件下，土壤形成了层状结构，表层是可以生长适宜的植被。土壤层次被扰动后，表层土被破坏，改变土壤质地。作业区、办公区道路平整会对土壤原有层次产生扰动和破坏。</w:t>
            </w:r>
          </w:p>
          <w:p w14:paraId="47D0B2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②车辆行驶和机械施工对土壤的影响</w:t>
            </w:r>
          </w:p>
          <w:p w14:paraId="394BCAA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在施工中，车辆行驶和机械作业时机械设备的碾压、施工人员的踩踏等都会对土壤的紧实度产生影响。机械碾压的结果使土壤紧实度增高，地表水入渗减少，土壤团粒结构遭到破坏，土壤养分流失，不利于植物生长。各种车辆在荒漠上行驶将使经过的土壤变紧实，严重的经过多次碾压后植物很难再生长。井场占地会对土壤、植被等各生态要素产生不同程度的影响。</w:t>
            </w:r>
          </w:p>
          <w:p w14:paraId="3277F97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（3）对动植物的影响</w:t>
            </w:r>
          </w:p>
          <w:p w14:paraId="457AD7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本项目占地</w:t>
            </w:r>
            <w:r>
              <w:rPr>
                <w:rFonts w:hint="eastAsia" w:cs="Times New Roman"/>
                <w:color w:val="auto"/>
                <w:sz w:val="24"/>
                <w:szCs w:val="32"/>
                <w:highlight w:val="none"/>
                <w:lang w:val="en-US" w:eastAsia="zh-CN"/>
              </w:rPr>
              <w:t>类型</w:t>
            </w:r>
            <w:r>
              <w:rPr>
                <w:rFonts w:hint="default" w:ascii="Times New Roman" w:hAnsi="Times New Roman" w:eastAsia="宋体" w:cs="Times New Roman"/>
                <w:color w:val="auto"/>
                <w:sz w:val="24"/>
                <w:szCs w:val="32"/>
                <w:highlight w:val="none"/>
                <w:lang w:val="en-US" w:eastAsia="zh-CN"/>
              </w:rPr>
              <w:t>为</w:t>
            </w:r>
            <w:r>
              <w:rPr>
                <w:rFonts w:hint="eastAsia" w:cs="Times New Roman"/>
                <w:color w:val="auto"/>
                <w:sz w:val="24"/>
                <w:szCs w:val="32"/>
                <w:highlight w:val="none"/>
                <w:lang w:val="en-US" w:eastAsia="zh-CN"/>
              </w:rPr>
              <w:t>沙地、盐碱地</w:t>
            </w:r>
            <w:r>
              <w:rPr>
                <w:rFonts w:hint="default" w:ascii="Times New Roman" w:hAnsi="Times New Roman" w:eastAsia="宋体" w:cs="Times New Roman"/>
                <w:color w:val="auto"/>
                <w:sz w:val="24"/>
                <w:szCs w:val="32"/>
                <w:highlight w:val="none"/>
                <w:lang w:val="en-US" w:eastAsia="zh-CN"/>
              </w:rPr>
              <w:t>，对植被环境影响最大的是井场平整、办公区等占地平整、道路整修和池体开挖，施工对植被的扰动和破坏。在施工过程中，占地范围内的植被受到不同程度的破坏和影响。</w:t>
            </w:r>
          </w:p>
          <w:p w14:paraId="792F5DA1">
            <w:pPr>
              <w:pStyle w:val="78"/>
              <w:keepNext w:val="0"/>
              <w:keepLines w:val="0"/>
              <w:pageBreakBefore w:val="0"/>
              <w:kinsoku/>
              <w:wordWrap/>
              <w:overflowPunct/>
              <w:topLinePunct w:val="0"/>
              <w:autoSpaceDE/>
              <w:autoSpaceDN/>
              <w:bidi w:val="0"/>
              <w:adjustRightInd/>
              <w:snapToGrid/>
              <w:spacing w:line="440" w:lineRule="exact"/>
              <w:ind w:firstLine="480" w:firstLineChars="200"/>
              <w:jc w:val="both"/>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本项目施工区域临时占地</w:t>
            </w:r>
            <w:r>
              <w:rPr>
                <w:rFonts w:hint="eastAsia" w:cs="Times New Roman"/>
                <w:color w:val="auto"/>
                <w:lang w:val="en-US" w:eastAsia="zh-CN"/>
              </w:rPr>
              <w:t>21463</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。临时用地会导致生物量损失，生物量损失按下式计算：Y＝Si•Wi式中，Y</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永久性生物量损失，t；Si—占地面积，m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；Wi—单位面积生物量，</w:t>
            </w:r>
            <w:r>
              <w:rPr>
                <w:rFonts w:hint="default" w:ascii="Times New Roman" w:hAnsi="Times New Roman" w:eastAsia="宋体" w:cs="Times New Roman"/>
                <w:color w:val="auto"/>
                <w:lang w:val="en-US" w:eastAsia="zh-CN"/>
              </w:rPr>
              <w:t>kg</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14:paraId="4F97C9C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lang w:eastAsia="zh-CN"/>
              </w:rPr>
              <w:t>本项目施工区域植被覆盖度</w:t>
            </w:r>
            <w:r>
              <w:rPr>
                <w:rFonts w:hint="eastAsia" w:cs="Times New Roman"/>
                <w:color w:val="auto"/>
                <w:sz w:val="24"/>
                <w:szCs w:val="24"/>
                <w:lang w:eastAsia="zh-CN"/>
              </w:rPr>
              <w:t>为5%</w:t>
            </w:r>
            <w:r>
              <w:rPr>
                <w:rFonts w:hint="default" w:ascii="Times New Roman" w:hAnsi="Times New Roman" w:eastAsia="宋体" w:cs="Times New Roman"/>
                <w:color w:val="auto"/>
                <w:sz w:val="24"/>
                <w:szCs w:val="24"/>
                <w:lang w:eastAsia="zh-CN"/>
              </w:rPr>
              <w:t>，平均生物量0.</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eastAsia="zh-CN"/>
              </w:rPr>
              <w:t>t/hm</w:t>
            </w:r>
            <w:r>
              <w:rPr>
                <w:rFonts w:hint="default" w:ascii="Times New Roman" w:hAnsi="Times New Roman" w:eastAsia="宋体" w:cs="Times New Roman"/>
                <w:color w:val="auto"/>
                <w:sz w:val="24"/>
                <w:szCs w:val="24"/>
                <w:vertAlign w:val="superscript"/>
                <w:lang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32"/>
                <w:highlight w:val="none"/>
                <w:lang w:val="en-US" w:eastAsia="zh-CN"/>
              </w:rPr>
              <w:t>本项目的实施，将造成约</w:t>
            </w:r>
            <w:r>
              <w:rPr>
                <w:rFonts w:hint="eastAsia" w:cs="Times New Roman"/>
                <w:color w:val="auto"/>
                <w:sz w:val="24"/>
                <w:szCs w:val="32"/>
                <w:highlight w:val="none"/>
                <w:lang w:val="en-US" w:eastAsia="zh-CN"/>
              </w:rPr>
              <w:t>0.64</w:t>
            </w:r>
            <w:r>
              <w:rPr>
                <w:rFonts w:hint="default" w:ascii="Times New Roman" w:hAnsi="Times New Roman" w:eastAsia="宋体" w:cs="Times New Roman"/>
                <w:color w:val="auto"/>
                <w:sz w:val="24"/>
                <w:szCs w:val="32"/>
                <w:highlight w:val="none"/>
                <w:lang w:val="en-US" w:eastAsia="zh-CN"/>
              </w:rPr>
              <w:t>t临时植被损失。植被损失主要来自临时占地，在做好施工管理，认真做好施工结束后的迹地恢复工作的前提下，工程建设对植被的环境影响是可以接受的。</w:t>
            </w:r>
          </w:p>
          <w:p w14:paraId="39797F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（4）对动物的影响分析</w:t>
            </w:r>
          </w:p>
          <w:p w14:paraId="67D7840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钻井工程对野生动物的生存环境、分布范围和种群数量的影响主要分为直接影响和间接影响两个方面。直接影响主要表现为建设项目的占地，使野生动物的原始生存环境被破坏或改变；间接影响主要表现为由于植被的减少或污染破坏而引起野生动物食物来源的减少。</w:t>
            </w:r>
          </w:p>
          <w:p w14:paraId="22D400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区域内各种野生动物经过长期的适应已形成较稳定的取食、饮水、栖息活动范围和分布，油田开发过程中的钻探和建设占地将使原有的野生动物的分布、栖息活动范围受到压缩。这些占地影响对地面活动的野生动物种类产生隔离作用，使原分布区内的种类向外扩，而钻井结束后，随着人类活动和占地的减少，原有生境将逐步恢复，野生动物对新环境适应后其活动和分布范围亦将恢复。</w:t>
            </w:r>
          </w:p>
          <w:p w14:paraId="390337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（5）水土流失影响分析</w:t>
            </w:r>
          </w:p>
          <w:p w14:paraId="54AF74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本工程建设过程中人为活动造成水土流失的原因主要是破坏地面表层结构以及大风季节临时堆土对周边环境带来的影响，可能造成的水土流失危害主要有以下几个方面：</w:t>
            </w:r>
          </w:p>
          <w:p w14:paraId="3B085D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①扩大侵蚀面积，加剧水土流失。本工程地处内陆地荒漠地区，风沙较大，空气干燥，加上植被春季植被覆盖度低，工程建设过程中对原地貌的扰动大大降低了工程占地范围内的土壤抗侵蚀能力，若在施工过程中不加以治理和防护，遇大风天气易产生严重的水土流失现象。</w:t>
            </w:r>
          </w:p>
          <w:p w14:paraId="205F7F6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破坏生态环境，对周边地区造成影响，本工程井场占地范围内植被覆盖度一般，工程施工过程中对地表的开挖扰动，使得原有的地表植被和土壤结构遭到破坏，地表裸露面积增大，抗风蚀能力降低，在大风天气下容易产生扬尘，加剧区域扬尘污染，同时被侵蚀的泥沙可能随大风扩散，对周边未受扰动的草地生态环境产生影响，增加周边区域的生态环境压力。</w:t>
            </w:r>
          </w:p>
          <w:p w14:paraId="76D36D5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期对地表结皮破坏，可能加剧工程区内的风灾天气，增加空气中粉尘含量，严重时会形成沙尘暴，造成一定的生态环境破坏，施工车辆的反复碾压将会使道路周边长期处于扬尘状况下，给施工人员健康造成危害。</w:t>
            </w:r>
          </w:p>
          <w:p w14:paraId="2449FD7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③扰动土地面积、降低风沙土抗侵蚀能力，道路工程建设由于车辆行驶，改变了扰动区域的原地貌、土壤结构和地面物质组成，降低了风沙土壤抗侵蚀能力。</w:t>
            </w:r>
          </w:p>
          <w:p w14:paraId="59B0089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（6）施工期土地沙化影响分析</w:t>
            </w:r>
          </w:p>
          <w:p w14:paraId="5D4B637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本项目位于新疆巴州</w:t>
            </w:r>
            <w:r>
              <w:rPr>
                <w:rFonts w:hint="eastAsia" w:cs="Times New Roman"/>
                <w:color w:val="auto"/>
                <w:sz w:val="24"/>
                <w:szCs w:val="32"/>
                <w:highlight w:val="none"/>
                <w:lang w:val="en-US" w:eastAsia="zh-CN"/>
              </w:rPr>
              <w:t>若羌</w:t>
            </w:r>
            <w:r>
              <w:rPr>
                <w:rFonts w:hint="default" w:ascii="Times New Roman" w:hAnsi="Times New Roman" w:eastAsia="宋体" w:cs="Times New Roman"/>
                <w:color w:val="auto"/>
                <w:sz w:val="24"/>
                <w:szCs w:val="32"/>
                <w:highlight w:val="none"/>
                <w:lang w:val="en-US" w:eastAsia="zh-CN"/>
              </w:rPr>
              <w:t>县，临时占</w:t>
            </w:r>
            <w:r>
              <w:rPr>
                <w:rFonts w:hint="default" w:ascii="Times New Roman" w:hAnsi="Times New Roman" w:eastAsia="宋体" w:cs="Times New Roman"/>
                <w:color w:val="auto"/>
                <w:sz w:val="24"/>
                <w:szCs w:val="24"/>
                <w:highlight w:val="none"/>
                <w:lang w:val="en-US" w:eastAsia="zh-CN"/>
              </w:rPr>
              <w:t>地为</w:t>
            </w:r>
            <w:r>
              <w:rPr>
                <w:rFonts w:hint="eastAsia" w:ascii="宋体" w:hAnsi="宋体" w:cs="宋体"/>
                <w:sz w:val="24"/>
                <w:szCs w:val="24"/>
                <w:lang w:eastAsia="zh-CN"/>
              </w:rPr>
              <w:t>沙地</w:t>
            </w:r>
            <w:r>
              <w:rPr>
                <w:rFonts w:hint="eastAsia"/>
                <w:lang w:eastAsia="zh-CN"/>
              </w:rPr>
              <w:t>、</w:t>
            </w:r>
            <w:r>
              <w:rPr>
                <w:rFonts w:hint="eastAsia" w:ascii="Times New Roman" w:hAnsi="Times New Roman" w:eastAsia="宋体" w:cs="Times New Roman"/>
                <w:color w:val="auto"/>
                <w:sz w:val="24"/>
                <w:szCs w:val="24"/>
                <w:highlight w:val="none"/>
                <w:lang w:val="en-US" w:eastAsia="zh-CN"/>
              </w:rPr>
              <w:t>盐碱地</w:t>
            </w:r>
            <w:r>
              <w:rPr>
                <w:rFonts w:hint="default" w:ascii="Times New Roman" w:hAnsi="Times New Roman" w:eastAsia="宋体" w:cs="Times New Roman"/>
                <w:color w:val="auto"/>
                <w:sz w:val="24"/>
                <w:szCs w:val="24"/>
                <w:highlight w:val="none"/>
                <w:lang w:val="en-US" w:eastAsia="zh-CN"/>
              </w:rPr>
              <w:t>。</w:t>
            </w:r>
          </w:p>
          <w:p w14:paraId="47E0A64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24"/>
                <w:highlight w:val="none"/>
                <w:lang w:val="en-US" w:eastAsia="zh-CN"/>
              </w:rPr>
              <w:t>项目区域气候干旱，多大风天气，表层土壤裸露后，若未及时采取防护措施，易引发局部土地沙化。本项目施工过程中对地表植被进行清理，破坏了原有地表结皮，会在一定程度上增大土地沙化风险，但本项目属于短期施工，总占地面积较小，在施工过程中采取分段作业、减少植被破坏范围，对临时占地采取覆盖、围挡等防护措施，在施工结束后及时平整场地、恢复地貌的前提下，项目建设引发土地沙化的范围和程度较小，不会造成区域土地沙化趋势加重</w:t>
            </w:r>
            <w:r>
              <w:rPr>
                <w:rFonts w:hint="default" w:ascii="Times New Roman" w:hAnsi="Times New Roman" w:eastAsia="宋体" w:cs="Times New Roman"/>
                <w:color w:val="auto"/>
                <w:sz w:val="24"/>
                <w:szCs w:val="32"/>
                <w:highlight w:val="none"/>
                <w:lang w:val="en-US" w:eastAsia="zh-CN"/>
              </w:rPr>
              <w:t>。</w:t>
            </w:r>
          </w:p>
          <w:p w14:paraId="6B66809B">
            <w:pPr>
              <w:pStyle w:val="82"/>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2</w:t>
            </w:r>
            <w:r>
              <w:rPr>
                <w:rFonts w:hint="eastAsia" w:hAnsi="Times New Roman" w:cs="Times New Roman"/>
                <w:b/>
                <w:bCs/>
                <w:color w:val="auto"/>
                <w:highlight w:val="none"/>
                <w:lang w:val="en-US" w:eastAsia="zh-CN"/>
              </w:rPr>
              <w:t>、</w:t>
            </w:r>
            <w:r>
              <w:rPr>
                <w:rFonts w:hint="default" w:ascii="Times New Roman" w:hAnsi="Times New Roman" w:eastAsia="宋体" w:cs="Times New Roman"/>
                <w:b/>
                <w:bCs/>
                <w:color w:val="auto"/>
                <w:highlight w:val="none"/>
                <w:lang w:val="en-US" w:eastAsia="zh-CN"/>
              </w:rPr>
              <w:t>施工期废气</w:t>
            </w:r>
            <w:r>
              <w:rPr>
                <w:rFonts w:hint="default" w:ascii="Times New Roman" w:hAnsi="Times New Roman" w:eastAsia="宋体" w:cs="Times New Roman"/>
                <w:b/>
                <w:bCs/>
                <w:color w:val="auto"/>
                <w:highlight w:val="none"/>
              </w:rPr>
              <w:t>环境影响分析</w:t>
            </w:r>
          </w:p>
          <w:p w14:paraId="7867C6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废气主要为</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发电机燃料燃烧烟气</w:t>
            </w:r>
            <w:r>
              <w:rPr>
                <w:rFonts w:hint="eastAsia" w:cs="Times New Roman"/>
                <w:color w:val="auto"/>
                <w:sz w:val="24"/>
                <w:szCs w:val="32"/>
                <w:highlight w:val="none"/>
                <w:lang w:val="en-US" w:eastAsia="zh-CN"/>
              </w:rPr>
              <w:t>、</w:t>
            </w:r>
            <w:r>
              <w:rPr>
                <w:rFonts w:hint="default" w:ascii="Times New Roman" w:hAnsi="Times New Roman" w:eastAsia="宋体" w:cs="Times New Roman"/>
                <w:color w:val="auto"/>
                <w:sz w:val="24"/>
                <w:szCs w:val="32"/>
                <w:highlight w:val="none"/>
                <w:lang w:val="en-US" w:eastAsia="zh-CN"/>
              </w:rPr>
              <w:t>备用柴油发电机燃料燃烧烟气、施工扬尘、施工机械及施工车辆尾气、测试放喷废气</w:t>
            </w:r>
            <w:r>
              <w:rPr>
                <w:rFonts w:hint="default" w:ascii="Times New Roman" w:hAnsi="Times New Roman" w:eastAsia="宋体" w:cs="Times New Roman"/>
                <w:color w:val="auto"/>
                <w:sz w:val="24"/>
                <w:szCs w:val="24"/>
                <w:highlight w:val="none"/>
                <w:lang w:val="en-US" w:eastAsia="zh-CN"/>
              </w:rPr>
              <w:t>、储罐</w:t>
            </w:r>
            <w:r>
              <w:rPr>
                <w:rFonts w:hint="default" w:ascii="Times New Roman" w:hAnsi="Times New Roman" w:eastAsia="宋体" w:cs="Times New Roman"/>
                <w:color w:val="auto"/>
                <w:sz w:val="24"/>
                <w:szCs w:val="24"/>
                <w:lang w:val="en-US" w:eastAsia="zh-CN"/>
              </w:rPr>
              <w:t>贮存</w:t>
            </w:r>
            <w:r>
              <w:rPr>
                <w:rFonts w:hint="default" w:ascii="Times New Roman" w:hAnsi="Times New Roman" w:eastAsia="宋体" w:cs="Times New Roman"/>
                <w:color w:val="auto"/>
                <w:sz w:val="24"/>
                <w:szCs w:val="24"/>
                <w:highlight w:val="none"/>
                <w:lang w:val="en-US" w:eastAsia="zh-CN"/>
              </w:rPr>
              <w:t>无组织逸散的废气。</w:t>
            </w:r>
          </w:p>
          <w:p w14:paraId="25F54F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（1）施工机械及施工车辆尾气</w:t>
            </w:r>
          </w:p>
          <w:p w14:paraId="5225E77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施工机械及施工车辆运行过程中会产生一定的尾气，对周围大气环境产生一定的影响；各类施工机械及施工车辆均采用符合国家标准的油品，定期对施工机械及车辆检维修并加强保养，保证施工机械及车辆正常运行，且废气随着施工期的结束而消失，不会对周围大气环境产生不利影响。</w:t>
            </w:r>
          </w:p>
          <w:p w14:paraId="0B029F8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（2）施工扬尘</w:t>
            </w:r>
          </w:p>
          <w:p w14:paraId="3B87F66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井场平整、井场道路、办公区等建设及施工运输车辆会产生扬尘，对周围大气环境产生一定的影响；在施工期间加强管理、对易起尘物料进行遮盖、车辆低速慢行等措施，且扬尘随着施工期的结束而消失，不会对周围大气环境产生不利影响。</w:t>
            </w:r>
          </w:p>
          <w:p w14:paraId="036E437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本项目粉状物料袋装储存于作业区内储存，运输进场采用密闭苫盖方式，并且控制车辆装载量，控制行驶速度，减少扬尘产生量。</w:t>
            </w:r>
          </w:p>
          <w:p w14:paraId="779725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（3）</w:t>
            </w:r>
            <w:r>
              <w:rPr>
                <w:rFonts w:hint="eastAsia" w:cs="Times New Roman"/>
                <w:color w:val="auto"/>
                <w:sz w:val="24"/>
                <w:szCs w:val="32"/>
                <w:highlight w:val="none"/>
                <w:lang w:val="en-US" w:eastAsia="zh-CN"/>
              </w:rPr>
              <w:t>燃气发电机</w:t>
            </w:r>
            <w:r>
              <w:rPr>
                <w:rFonts w:hint="default" w:ascii="Times New Roman" w:hAnsi="Times New Roman" w:eastAsia="宋体" w:cs="Times New Roman"/>
                <w:color w:val="auto"/>
                <w:sz w:val="24"/>
                <w:szCs w:val="32"/>
                <w:highlight w:val="none"/>
                <w:lang w:val="en-US" w:eastAsia="zh-CN"/>
              </w:rPr>
              <w:t>燃烧废气</w:t>
            </w:r>
          </w:p>
          <w:p w14:paraId="55A6BFC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本项目勘探期供电由</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发电机组作为电源，出现停电等异常情况由备用燃油发电机发电。正常情况下，</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机发电会产生燃烧废气，污染因子为SO</w:t>
            </w:r>
            <w:r>
              <w:rPr>
                <w:rFonts w:hint="default" w:ascii="Times New Roman" w:hAnsi="Times New Roman" w:eastAsia="宋体" w:cs="Times New Roman"/>
                <w:color w:val="auto"/>
                <w:sz w:val="24"/>
                <w:szCs w:val="32"/>
                <w:highlight w:val="none"/>
                <w:vertAlign w:val="subscript"/>
                <w:lang w:val="en-US" w:eastAsia="zh-CN"/>
              </w:rPr>
              <w:t>2</w:t>
            </w:r>
            <w:r>
              <w:rPr>
                <w:rFonts w:hint="default" w:ascii="Times New Roman" w:hAnsi="Times New Roman" w:eastAsia="宋体" w:cs="Times New Roman"/>
                <w:color w:val="auto"/>
                <w:sz w:val="24"/>
                <w:szCs w:val="32"/>
                <w:highlight w:val="none"/>
                <w:lang w:val="en-US" w:eastAsia="zh-CN"/>
              </w:rPr>
              <w:t>、NO</w:t>
            </w:r>
            <w:r>
              <w:rPr>
                <w:rFonts w:hint="default" w:ascii="Times New Roman" w:hAnsi="Times New Roman" w:eastAsia="宋体" w:cs="Times New Roman"/>
                <w:color w:val="auto"/>
                <w:sz w:val="24"/>
                <w:szCs w:val="32"/>
                <w:highlight w:val="none"/>
                <w:vertAlign w:val="subscript"/>
                <w:lang w:val="en-US" w:eastAsia="zh-CN"/>
              </w:rPr>
              <w:t>x</w:t>
            </w:r>
            <w:r>
              <w:rPr>
                <w:rFonts w:hint="default" w:ascii="Times New Roman" w:hAnsi="Times New Roman" w:eastAsia="宋体" w:cs="Times New Roman"/>
                <w:color w:val="auto"/>
                <w:sz w:val="24"/>
                <w:szCs w:val="32"/>
                <w:highlight w:val="none"/>
                <w:lang w:val="en-US" w:eastAsia="zh-CN"/>
              </w:rPr>
              <w:t>、颗粒物等，属于阶段性的局部污染，</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发电机的使用情况具有不确定性，项目预计使用</w:t>
            </w:r>
            <w:r>
              <w:rPr>
                <w:rFonts w:hint="eastAsia" w:cs="Times New Roman"/>
                <w:color w:val="auto"/>
                <w:sz w:val="24"/>
                <w:szCs w:val="32"/>
                <w:highlight w:val="none"/>
                <w:lang w:val="en-US" w:eastAsia="zh-CN"/>
              </w:rPr>
              <w:t>65</w:t>
            </w:r>
            <w:r>
              <w:rPr>
                <w:rFonts w:hint="default" w:ascii="Times New Roman" w:hAnsi="Times New Roman" w:eastAsia="宋体" w:cs="Times New Roman"/>
                <w:color w:val="auto"/>
                <w:sz w:val="24"/>
                <w:szCs w:val="32"/>
                <w:highlight w:val="none"/>
                <w:lang w:val="en-US" w:eastAsia="zh-CN"/>
              </w:rPr>
              <w:t>万m</w:t>
            </w:r>
            <w:r>
              <w:rPr>
                <w:rFonts w:hint="default" w:ascii="Times New Roman" w:hAnsi="Times New Roman" w:eastAsia="宋体" w:cs="Times New Roman"/>
                <w:color w:val="auto"/>
                <w:sz w:val="24"/>
                <w:szCs w:val="32"/>
                <w:highlight w:val="none"/>
                <w:vertAlign w:val="superscript"/>
                <w:lang w:val="en-US" w:eastAsia="zh-CN"/>
              </w:rPr>
              <w:t>3</w:t>
            </w:r>
            <w:r>
              <w:rPr>
                <w:rFonts w:hint="eastAsia"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燃烧废气污染物排放量参照《排放源统计调查产排污核算方法和系数手册》（公告2021年第24号）-4411火力发电、4412 热电联产行业系数手册。</w:t>
            </w:r>
          </w:p>
          <w:p w14:paraId="579C89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参照同类项目，</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发电机废气污染物核算结果见表4-1。</w:t>
            </w:r>
          </w:p>
          <w:p w14:paraId="6C737067">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4-1</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kern w:val="0"/>
                <w:sz w:val="21"/>
                <w:szCs w:val="21"/>
                <w:lang w:val="en-US" w:eastAsia="zh-CN"/>
              </w:rPr>
              <w:t>本项目</w:t>
            </w:r>
            <w:r>
              <w:rPr>
                <w:rFonts w:hint="eastAsia" w:cs="Times New Roman"/>
                <w:b/>
                <w:bCs/>
                <w:color w:val="auto"/>
                <w:kern w:val="0"/>
                <w:sz w:val="21"/>
                <w:szCs w:val="21"/>
                <w:lang w:val="en-US" w:eastAsia="zh-CN"/>
              </w:rPr>
              <w:t>天然气</w:t>
            </w:r>
            <w:r>
              <w:rPr>
                <w:rFonts w:hint="eastAsia" w:ascii="Times New Roman" w:hAnsi="Times New Roman" w:eastAsia="宋体" w:cs="Times New Roman"/>
                <w:b/>
                <w:bCs/>
                <w:color w:val="auto"/>
                <w:kern w:val="0"/>
                <w:sz w:val="21"/>
                <w:szCs w:val="21"/>
                <w:lang w:val="en-US" w:eastAsia="zh-CN"/>
              </w:rPr>
              <w:t>发电机</w:t>
            </w:r>
            <w:r>
              <w:rPr>
                <w:rFonts w:hint="default" w:ascii="Times New Roman" w:hAnsi="Times New Roman" w:eastAsia="宋体" w:cs="Times New Roman"/>
                <w:b/>
                <w:bCs/>
                <w:color w:val="auto"/>
                <w:kern w:val="0"/>
                <w:sz w:val="21"/>
                <w:szCs w:val="21"/>
                <w:lang w:val="en-US" w:eastAsia="zh-CN"/>
              </w:rPr>
              <w:t>产污系数</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6"/>
              <w:gridCol w:w="770"/>
              <w:gridCol w:w="1755"/>
              <w:gridCol w:w="1049"/>
              <w:gridCol w:w="1257"/>
              <w:gridCol w:w="3040"/>
            </w:tblGrid>
            <w:tr w14:paraId="68D2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tcBorders>
                    <w:tl2br w:val="nil"/>
                    <w:tr2bl w:val="nil"/>
                  </w:tcBorders>
                  <w:noWrap w:val="0"/>
                  <w:tcMar>
                    <w:top w:w="57" w:type="dxa"/>
                    <w:left w:w="57" w:type="dxa"/>
                    <w:bottom w:w="57" w:type="dxa"/>
                    <w:right w:w="57" w:type="dxa"/>
                  </w:tcMar>
                  <w:vAlign w:val="center"/>
                </w:tcPr>
                <w:p w14:paraId="4DA8D232">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456" w:type="pct"/>
                  <w:tcBorders>
                    <w:tl2br w:val="nil"/>
                    <w:tr2bl w:val="nil"/>
                  </w:tcBorders>
                  <w:noWrap w:val="0"/>
                  <w:tcMar>
                    <w:top w:w="57" w:type="dxa"/>
                    <w:left w:w="57" w:type="dxa"/>
                    <w:bottom w:w="57" w:type="dxa"/>
                    <w:right w:w="57" w:type="dxa"/>
                  </w:tcMar>
                  <w:vAlign w:val="center"/>
                </w:tcPr>
                <w:p w14:paraId="059B1CB6">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污染物指标</w:t>
                  </w:r>
                </w:p>
              </w:tc>
              <w:tc>
                <w:tcPr>
                  <w:tcW w:w="1039" w:type="pct"/>
                  <w:tcBorders>
                    <w:tl2br w:val="nil"/>
                    <w:tr2bl w:val="nil"/>
                  </w:tcBorders>
                  <w:noWrap w:val="0"/>
                  <w:tcMar>
                    <w:top w:w="57" w:type="dxa"/>
                    <w:left w:w="57" w:type="dxa"/>
                    <w:bottom w:w="57" w:type="dxa"/>
                    <w:right w:w="57" w:type="dxa"/>
                  </w:tcMar>
                  <w:vAlign w:val="center"/>
                </w:tcPr>
                <w:p w14:paraId="352B7E64">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单位</w:t>
                  </w:r>
                </w:p>
              </w:tc>
              <w:tc>
                <w:tcPr>
                  <w:tcW w:w="621" w:type="pct"/>
                  <w:tcBorders>
                    <w:tl2br w:val="nil"/>
                    <w:tr2bl w:val="nil"/>
                  </w:tcBorders>
                  <w:noWrap w:val="0"/>
                  <w:tcMar>
                    <w:top w:w="57" w:type="dxa"/>
                    <w:left w:w="57" w:type="dxa"/>
                    <w:bottom w:w="57" w:type="dxa"/>
                    <w:right w:w="57" w:type="dxa"/>
                  </w:tcMar>
                  <w:vAlign w:val="center"/>
                </w:tcPr>
                <w:p w14:paraId="3176826A">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产污系数</w:t>
                  </w:r>
                </w:p>
              </w:tc>
              <w:tc>
                <w:tcPr>
                  <w:tcW w:w="744" w:type="pct"/>
                  <w:tcBorders>
                    <w:tl2br w:val="nil"/>
                    <w:tr2bl w:val="nil"/>
                  </w:tcBorders>
                  <w:noWrap w:val="0"/>
                  <w:tcMar>
                    <w:top w:w="57" w:type="dxa"/>
                    <w:left w:w="57" w:type="dxa"/>
                    <w:bottom w:w="57" w:type="dxa"/>
                    <w:right w:w="57" w:type="dxa"/>
                  </w:tcMar>
                  <w:vAlign w:val="center"/>
                </w:tcPr>
                <w:p w14:paraId="69B43C63">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末端治理</w:t>
                  </w:r>
                </w:p>
                <w:p w14:paraId="798B8B3E">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技术名称</w:t>
                  </w:r>
                </w:p>
              </w:tc>
              <w:tc>
                <w:tcPr>
                  <w:tcW w:w="1796" w:type="pct"/>
                  <w:tcBorders>
                    <w:tl2br w:val="nil"/>
                    <w:tr2bl w:val="nil"/>
                  </w:tcBorders>
                  <w:noWrap w:val="0"/>
                  <w:tcMar>
                    <w:top w:w="57" w:type="dxa"/>
                    <w:left w:w="57" w:type="dxa"/>
                    <w:bottom w:w="57" w:type="dxa"/>
                    <w:right w:w="57" w:type="dxa"/>
                  </w:tcMar>
                  <w:vAlign w:val="center"/>
                </w:tcPr>
                <w:p w14:paraId="01295AFA">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核算方法来源</w:t>
                  </w:r>
                </w:p>
              </w:tc>
            </w:tr>
            <w:tr w14:paraId="2132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restart"/>
                  <w:tcBorders>
                    <w:tl2br w:val="nil"/>
                    <w:tr2bl w:val="nil"/>
                  </w:tcBorders>
                  <w:noWrap w:val="0"/>
                  <w:tcMar>
                    <w:top w:w="57" w:type="dxa"/>
                    <w:left w:w="57" w:type="dxa"/>
                    <w:bottom w:w="57" w:type="dxa"/>
                    <w:right w:w="57" w:type="dxa"/>
                  </w:tcMar>
                  <w:vAlign w:val="center"/>
                </w:tcPr>
                <w:p w14:paraId="155D09A2">
                  <w:pPr>
                    <w:snapToGrid w:val="0"/>
                    <w:spacing w:line="240" w:lineRule="atLeas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锅炉</w:t>
                  </w:r>
                </w:p>
              </w:tc>
              <w:tc>
                <w:tcPr>
                  <w:tcW w:w="456" w:type="pct"/>
                  <w:tcBorders>
                    <w:tl2br w:val="nil"/>
                    <w:tr2bl w:val="nil"/>
                  </w:tcBorders>
                  <w:noWrap w:val="0"/>
                  <w:tcMar>
                    <w:top w:w="57" w:type="dxa"/>
                    <w:left w:w="57" w:type="dxa"/>
                    <w:bottom w:w="57" w:type="dxa"/>
                    <w:right w:w="57" w:type="dxa"/>
                  </w:tcMar>
                  <w:vAlign w:val="center"/>
                </w:tcPr>
                <w:p w14:paraId="4C11BD0D">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废气量</w:t>
                  </w:r>
                </w:p>
              </w:tc>
              <w:tc>
                <w:tcPr>
                  <w:tcW w:w="1039" w:type="pct"/>
                  <w:tcBorders>
                    <w:tl2br w:val="nil"/>
                    <w:tr2bl w:val="nil"/>
                  </w:tcBorders>
                  <w:noWrap w:val="0"/>
                  <w:tcMar>
                    <w:top w:w="57" w:type="dxa"/>
                    <w:left w:w="57" w:type="dxa"/>
                    <w:bottom w:w="57" w:type="dxa"/>
                    <w:right w:w="57" w:type="dxa"/>
                  </w:tcMar>
                  <w:vAlign w:val="center"/>
                </w:tcPr>
                <w:p w14:paraId="1426ACCC">
                  <w:pPr>
                    <w:snapToGrid w:val="0"/>
                    <w:spacing w:line="240" w:lineRule="atLeast"/>
                    <w:jc w:val="center"/>
                    <w:rPr>
                      <w:rFonts w:hint="eastAsia" w:ascii="Times New Roman" w:hAnsi="Times New Roman" w:eastAsia="宋体" w:cs="Times New Roman"/>
                      <w:bCs/>
                      <w:color w:val="auto"/>
                      <w:kern w:val="2"/>
                      <w:sz w:val="21"/>
                      <w:szCs w:val="21"/>
                      <w:lang w:val="en-US" w:eastAsia="zh-CN" w:bidi="ar-SA"/>
                    </w:rPr>
                  </w:pPr>
                  <w:r>
                    <w:rPr>
                      <w:rFonts w:ascii="宋体" w:hAnsi="宋体" w:eastAsia="宋体" w:cs="宋体"/>
                      <w:color w:val="auto"/>
                      <w:sz w:val="21"/>
                      <w:szCs w:val="21"/>
                    </w:rPr>
                    <w:t>标</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eastAsia="宋体" w:cs="Times New Roman"/>
                      <w:color w:val="auto"/>
                      <w:kern w:val="0"/>
                      <w:sz w:val="21"/>
                      <w:szCs w:val="21"/>
                      <w:vertAlign w:val="superscript"/>
                      <w:lang w:val="en-US" w:eastAsia="zh-CN"/>
                    </w:rPr>
                    <w:t>3</w:t>
                  </w:r>
                  <w:r>
                    <w:rPr>
                      <w:rFonts w:ascii="宋体" w:hAnsi="宋体" w:eastAsia="宋体" w:cs="宋体"/>
                      <w:color w:val="auto"/>
                      <w:sz w:val="21"/>
                      <w:szCs w:val="21"/>
                    </w:rPr>
                    <w:t>/</w:t>
                  </w:r>
                  <w:r>
                    <w:rPr>
                      <w:rFonts w:hint="default" w:ascii="Times New Roman" w:hAnsi="Times New Roman" w:eastAsia="宋体" w:cs="Times New Roman"/>
                      <w:color w:val="auto"/>
                      <w:kern w:val="0"/>
                      <w:sz w:val="21"/>
                      <w:szCs w:val="21"/>
                      <w:lang w:val="en-US" w:eastAsia="zh-CN"/>
                    </w:rPr>
                    <w:t>m</w:t>
                  </w:r>
                  <w:r>
                    <w:rPr>
                      <w:rFonts w:hint="default" w:ascii="Times New Roman" w:hAnsi="Times New Roman" w:eastAsia="宋体" w:cs="Times New Roman"/>
                      <w:color w:val="auto"/>
                      <w:kern w:val="0"/>
                      <w:sz w:val="21"/>
                      <w:szCs w:val="21"/>
                      <w:vertAlign w:val="superscript"/>
                      <w:lang w:val="en-US" w:eastAsia="zh-CN"/>
                    </w:rPr>
                    <w:t>3</w:t>
                  </w:r>
                  <w:r>
                    <w:rPr>
                      <w:rFonts w:ascii="宋体" w:hAnsi="宋体" w:eastAsia="宋体" w:cs="宋体"/>
                      <w:color w:val="auto"/>
                      <w:sz w:val="21"/>
                      <w:szCs w:val="21"/>
                    </w:rPr>
                    <w:t>-原料</w:t>
                  </w:r>
                </w:p>
              </w:tc>
              <w:tc>
                <w:tcPr>
                  <w:tcW w:w="621" w:type="pct"/>
                  <w:tcBorders>
                    <w:tl2br w:val="nil"/>
                    <w:tr2bl w:val="nil"/>
                  </w:tcBorders>
                  <w:noWrap w:val="0"/>
                  <w:tcMar>
                    <w:top w:w="57" w:type="dxa"/>
                    <w:left w:w="57" w:type="dxa"/>
                    <w:bottom w:w="57" w:type="dxa"/>
                    <w:right w:w="57" w:type="dxa"/>
                  </w:tcMar>
                  <w:vAlign w:val="center"/>
                </w:tcPr>
                <w:p w14:paraId="1DE5B189">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rPr>
                    <w:t>24.55</w:t>
                  </w:r>
                </w:p>
              </w:tc>
              <w:tc>
                <w:tcPr>
                  <w:tcW w:w="744" w:type="pct"/>
                  <w:tcBorders>
                    <w:tl2br w:val="nil"/>
                    <w:tr2bl w:val="nil"/>
                  </w:tcBorders>
                  <w:noWrap w:val="0"/>
                  <w:tcMar>
                    <w:top w:w="57" w:type="dxa"/>
                    <w:left w:w="57" w:type="dxa"/>
                    <w:bottom w:w="57" w:type="dxa"/>
                    <w:right w:w="57" w:type="dxa"/>
                  </w:tcMar>
                  <w:vAlign w:val="center"/>
                </w:tcPr>
                <w:p w14:paraId="765F739C">
                  <w:pPr>
                    <w:tabs>
                      <w:tab w:val="center" w:pos="4153"/>
                      <w:tab w:val="right" w:pos="8306"/>
                    </w:tabs>
                    <w:snapToGrid w:val="0"/>
                    <w:spacing w:line="24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直排</w:t>
                  </w:r>
                </w:p>
              </w:tc>
              <w:tc>
                <w:tcPr>
                  <w:tcW w:w="1796" w:type="pct"/>
                  <w:vMerge w:val="restart"/>
                  <w:tcBorders>
                    <w:tl2br w:val="nil"/>
                    <w:tr2bl w:val="nil"/>
                  </w:tcBorders>
                  <w:noWrap w:val="0"/>
                  <w:tcMar>
                    <w:top w:w="57" w:type="dxa"/>
                    <w:left w:w="57" w:type="dxa"/>
                    <w:bottom w:w="57" w:type="dxa"/>
                    <w:right w:w="57" w:type="dxa"/>
                  </w:tcMar>
                  <w:vAlign w:val="center"/>
                </w:tcPr>
                <w:p w14:paraId="4CEDF24C">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《排放源统计调查产排污核算方法和系数手册》</w:t>
                  </w:r>
                  <w:r>
                    <w:rPr>
                      <w:rFonts w:hint="default" w:ascii="Times New Roman" w:hAnsi="Times New Roman" w:eastAsia="宋体" w:cs="Times New Roman"/>
                      <w:color w:val="auto"/>
                      <w:sz w:val="21"/>
                      <w:szCs w:val="21"/>
                      <w:highlight w:val="none"/>
                      <w:lang w:val="en-US" w:eastAsia="zh-CN"/>
                    </w:rPr>
                    <w:t>44</w:t>
                  </w:r>
                  <w:r>
                    <w:rPr>
                      <w:rFonts w:hint="eastAsia"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sz w:val="21"/>
                      <w:szCs w:val="21"/>
                      <w:highlight w:val="none"/>
                      <w:lang w:val="en-US" w:eastAsia="zh-CN"/>
                    </w:rPr>
                    <w:t>火力发电、4412 热电联产行业系数手册</w:t>
                  </w:r>
                </w:p>
              </w:tc>
            </w:tr>
            <w:tr w14:paraId="43A0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14:paraId="171E0CA9">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14:paraId="2D16727D">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SO</w:t>
                  </w:r>
                  <w:r>
                    <w:rPr>
                      <w:rFonts w:hint="eastAsia" w:ascii="Times New Roman" w:hAnsi="Times New Roman" w:eastAsia="宋体" w:cs="Times New Roman"/>
                      <w:bCs/>
                      <w:color w:val="auto"/>
                      <w:sz w:val="21"/>
                      <w:szCs w:val="21"/>
                      <w:vertAlign w:val="subscript"/>
                      <w:lang w:val="en-US" w:eastAsia="zh-CN"/>
                    </w:rPr>
                    <w:t>2</w:t>
                  </w:r>
                </w:p>
              </w:tc>
              <w:tc>
                <w:tcPr>
                  <w:tcW w:w="1039" w:type="pct"/>
                  <w:tcBorders>
                    <w:tl2br w:val="nil"/>
                    <w:tr2bl w:val="nil"/>
                  </w:tcBorders>
                  <w:noWrap w:val="0"/>
                  <w:tcMar>
                    <w:top w:w="57" w:type="dxa"/>
                    <w:left w:w="57" w:type="dxa"/>
                    <w:bottom w:w="57" w:type="dxa"/>
                    <w:right w:w="57" w:type="dxa"/>
                  </w:tcMar>
                  <w:vAlign w:val="center"/>
                </w:tcPr>
                <w:p w14:paraId="7664D3D7">
                  <w:pPr>
                    <w:snapToGrid w:val="0"/>
                    <w:spacing w:line="240" w:lineRule="atLeast"/>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m</w:t>
                  </w: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14:paraId="1F034432">
                  <w:pPr>
                    <w:snapToGrid w:val="0"/>
                    <w:spacing w:line="240" w:lineRule="atLeast"/>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rPr>
                    <w:t>2S</w:t>
                  </w:r>
                  <w:r>
                    <w:rPr>
                      <w:rFonts w:hint="eastAsia" w:ascii="Times New Roman" w:hAnsi="Times New Roman" w:eastAsia="宋体" w:cs="Times New Roman"/>
                      <w:color w:val="auto"/>
                      <w:kern w:val="0"/>
                      <w:sz w:val="21"/>
                      <w:szCs w:val="21"/>
                      <w:vertAlign w:val="subscript"/>
                      <w:lang w:val="en-US" w:eastAsia="zh-CN"/>
                    </w:rPr>
                    <w:t>ar</w:t>
                  </w:r>
                </w:p>
              </w:tc>
              <w:tc>
                <w:tcPr>
                  <w:tcW w:w="744" w:type="pct"/>
                  <w:tcBorders>
                    <w:tl2br w:val="nil"/>
                    <w:tr2bl w:val="nil"/>
                  </w:tcBorders>
                  <w:noWrap w:val="0"/>
                  <w:tcMar>
                    <w:top w:w="57" w:type="dxa"/>
                    <w:left w:w="57" w:type="dxa"/>
                    <w:bottom w:w="57" w:type="dxa"/>
                    <w:right w:w="57" w:type="dxa"/>
                  </w:tcMar>
                  <w:vAlign w:val="center"/>
                </w:tcPr>
                <w:p w14:paraId="44FC85D2">
                  <w:pPr>
                    <w:tabs>
                      <w:tab w:val="center" w:pos="4153"/>
                      <w:tab w:val="right" w:pos="8306"/>
                    </w:tabs>
                    <w:snapToGrid w:val="0"/>
                    <w:spacing w:line="240" w:lineRule="exact"/>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直排</w:t>
                  </w:r>
                </w:p>
              </w:tc>
              <w:tc>
                <w:tcPr>
                  <w:tcW w:w="1796" w:type="pct"/>
                  <w:vMerge w:val="continue"/>
                  <w:tcBorders>
                    <w:tl2br w:val="nil"/>
                    <w:tr2bl w:val="nil"/>
                  </w:tcBorders>
                  <w:noWrap w:val="0"/>
                  <w:tcMar>
                    <w:top w:w="57" w:type="dxa"/>
                    <w:left w:w="57" w:type="dxa"/>
                    <w:bottom w:w="57" w:type="dxa"/>
                    <w:right w:w="57" w:type="dxa"/>
                  </w:tcMar>
                  <w:vAlign w:val="center"/>
                </w:tcPr>
                <w:p w14:paraId="6636A189">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14:paraId="3710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14:paraId="33501758">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14:paraId="28B05143">
                  <w:pPr>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rPr>
                    <w:t>NO</w:t>
                  </w:r>
                  <w:r>
                    <w:rPr>
                      <w:rFonts w:hint="default" w:ascii="Times New Roman" w:hAnsi="Times New Roman" w:eastAsia="宋体" w:cs="Times New Roman"/>
                      <w:bCs/>
                      <w:color w:val="auto"/>
                      <w:sz w:val="21"/>
                      <w:szCs w:val="21"/>
                      <w:vertAlign w:val="subscript"/>
                    </w:rPr>
                    <w:t>x</w:t>
                  </w:r>
                </w:p>
              </w:tc>
              <w:tc>
                <w:tcPr>
                  <w:tcW w:w="1039" w:type="pct"/>
                  <w:tcBorders>
                    <w:tl2br w:val="nil"/>
                    <w:tr2bl w:val="nil"/>
                  </w:tcBorders>
                  <w:noWrap w:val="0"/>
                  <w:tcMar>
                    <w:top w:w="57" w:type="dxa"/>
                    <w:left w:w="57" w:type="dxa"/>
                    <w:bottom w:w="57" w:type="dxa"/>
                    <w:right w:w="57" w:type="dxa"/>
                  </w:tcMar>
                  <w:vAlign w:val="center"/>
                </w:tcPr>
                <w:p w14:paraId="6A20F7CB">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14:paraId="4AA3F78D">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1.27</w:t>
                  </w:r>
                </w:p>
              </w:tc>
              <w:tc>
                <w:tcPr>
                  <w:tcW w:w="744" w:type="pct"/>
                  <w:tcBorders>
                    <w:tl2br w:val="nil"/>
                    <w:tr2bl w:val="nil"/>
                  </w:tcBorders>
                  <w:noWrap w:val="0"/>
                  <w:tcMar>
                    <w:top w:w="57" w:type="dxa"/>
                    <w:left w:w="57" w:type="dxa"/>
                    <w:bottom w:w="57" w:type="dxa"/>
                    <w:right w:w="57" w:type="dxa"/>
                  </w:tcMar>
                  <w:vAlign w:val="center"/>
                </w:tcPr>
                <w:p w14:paraId="3C45141E">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eastAsia="zh-CN"/>
                    </w:rPr>
                    <w:t>低氮燃烧</w:t>
                  </w:r>
                </w:p>
              </w:tc>
              <w:tc>
                <w:tcPr>
                  <w:tcW w:w="1796" w:type="pct"/>
                  <w:vMerge w:val="continue"/>
                  <w:tcBorders>
                    <w:tl2br w:val="nil"/>
                    <w:tr2bl w:val="nil"/>
                  </w:tcBorders>
                  <w:noWrap w:val="0"/>
                  <w:tcMar>
                    <w:top w:w="57" w:type="dxa"/>
                    <w:left w:w="57" w:type="dxa"/>
                    <w:bottom w:w="57" w:type="dxa"/>
                    <w:right w:w="57" w:type="dxa"/>
                  </w:tcMar>
                  <w:vAlign w:val="center"/>
                </w:tcPr>
                <w:p w14:paraId="61040967">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14:paraId="0335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14:paraId="4C241F69">
                  <w:pPr>
                    <w:snapToGrid w:val="0"/>
                    <w:spacing w:line="240" w:lineRule="atLeast"/>
                    <w:jc w:val="center"/>
                    <w:rPr>
                      <w:rFonts w:hint="default" w:ascii="Times New Roman" w:hAnsi="Times New Roman" w:eastAsia="宋体" w:cs="Times New Roman"/>
                      <w:color w:val="auto"/>
                      <w:sz w:val="21"/>
                      <w:szCs w:val="21"/>
                    </w:rPr>
                  </w:pPr>
                </w:p>
              </w:tc>
              <w:tc>
                <w:tcPr>
                  <w:tcW w:w="456" w:type="pct"/>
                  <w:tcBorders>
                    <w:tl2br w:val="nil"/>
                    <w:tr2bl w:val="nil"/>
                  </w:tcBorders>
                  <w:noWrap w:val="0"/>
                  <w:tcMar>
                    <w:top w:w="57" w:type="dxa"/>
                    <w:left w:w="57" w:type="dxa"/>
                    <w:bottom w:w="57" w:type="dxa"/>
                    <w:right w:w="57" w:type="dxa"/>
                  </w:tcMar>
                  <w:vAlign w:val="center"/>
                </w:tcPr>
                <w:p w14:paraId="39901B91">
                  <w:pPr>
                    <w:snapToGrid w:val="0"/>
                    <w:spacing w:line="240" w:lineRule="atLeas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1039" w:type="pct"/>
                  <w:tcBorders>
                    <w:tl2br w:val="nil"/>
                    <w:tr2bl w:val="nil"/>
                  </w:tcBorders>
                  <w:noWrap w:val="0"/>
                  <w:tcMar>
                    <w:top w:w="57" w:type="dxa"/>
                    <w:left w:w="57" w:type="dxa"/>
                    <w:bottom w:w="57" w:type="dxa"/>
                    <w:right w:w="57" w:type="dxa"/>
                  </w:tcMar>
                  <w:vAlign w:val="center"/>
                </w:tcPr>
                <w:p w14:paraId="359BB6D2">
                  <w:pPr>
                    <w:snapToGrid w:val="0"/>
                    <w:spacing w:line="240" w:lineRule="atLeas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lang w:val="en-US" w:eastAsia="zh-CN"/>
                    </w:rPr>
                    <w:t>m</w:t>
                  </w:r>
                  <w:r>
                    <w:rPr>
                      <w:rFonts w:hint="default" w:ascii="Times New Roman" w:hAnsi="Times New Roman" w:eastAsia="宋体" w:cs="Times New Roman"/>
                      <w:bCs/>
                      <w:color w:val="auto"/>
                      <w:sz w:val="21"/>
                      <w:szCs w:val="21"/>
                    </w:rPr>
                    <w:t>g/m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r>
                    <w:rPr>
                      <w:rFonts w:hint="eastAsia" w:ascii="Times New Roman" w:hAnsi="Times New Roman" w:eastAsia="宋体" w:cs="Times New Roman"/>
                      <w:bCs/>
                      <w:color w:val="auto"/>
                      <w:sz w:val="21"/>
                      <w:szCs w:val="21"/>
                      <w:lang w:val="en-US" w:eastAsia="zh-CN"/>
                    </w:rPr>
                    <w:t>燃料</w:t>
                  </w:r>
                </w:p>
              </w:tc>
              <w:tc>
                <w:tcPr>
                  <w:tcW w:w="621" w:type="pct"/>
                  <w:tcBorders>
                    <w:tl2br w:val="nil"/>
                    <w:tr2bl w:val="nil"/>
                  </w:tcBorders>
                  <w:noWrap w:val="0"/>
                  <w:tcMar>
                    <w:top w:w="57" w:type="dxa"/>
                    <w:left w:w="57" w:type="dxa"/>
                    <w:bottom w:w="57" w:type="dxa"/>
                    <w:right w:w="57" w:type="dxa"/>
                  </w:tcMar>
                  <w:vAlign w:val="center"/>
                </w:tcPr>
                <w:p w14:paraId="24888CA3">
                  <w:pPr>
                    <w:snapToGrid w:val="0"/>
                    <w:spacing w:line="240" w:lineRule="atLeast"/>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103.90</w:t>
                  </w:r>
                </w:p>
              </w:tc>
              <w:tc>
                <w:tcPr>
                  <w:tcW w:w="744" w:type="pct"/>
                  <w:tcBorders>
                    <w:tl2br w:val="nil"/>
                    <w:tr2bl w:val="nil"/>
                  </w:tcBorders>
                  <w:noWrap w:val="0"/>
                  <w:tcMar>
                    <w:top w:w="57" w:type="dxa"/>
                    <w:left w:w="57" w:type="dxa"/>
                    <w:bottom w:w="57" w:type="dxa"/>
                    <w:right w:w="57" w:type="dxa"/>
                  </w:tcMar>
                  <w:vAlign w:val="center"/>
                </w:tcPr>
                <w:p w14:paraId="1F6B7EBD">
                  <w:pPr>
                    <w:tabs>
                      <w:tab w:val="center" w:pos="4153"/>
                      <w:tab w:val="right" w:pos="8306"/>
                    </w:tabs>
                    <w:snapToGrid w:val="0"/>
                    <w:spacing w:line="240" w:lineRule="exact"/>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直排</w:t>
                  </w:r>
                </w:p>
              </w:tc>
              <w:tc>
                <w:tcPr>
                  <w:tcW w:w="1796" w:type="pct"/>
                  <w:vMerge w:val="continue"/>
                  <w:tcBorders>
                    <w:tl2br w:val="nil"/>
                    <w:tr2bl w:val="nil"/>
                  </w:tcBorders>
                  <w:noWrap w:val="0"/>
                  <w:tcMar>
                    <w:top w:w="57" w:type="dxa"/>
                    <w:left w:w="57" w:type="dxa"/>
                    <w:bottom w:w="57" w:type="dxa"/>
                    <w:right w:w="57" w:type="dxa"/>
                  </w:tcMar>
                  <w:vAlign w:val="center"/>
                </w:tcPr>
                <w:p w14:paraId="3A9F95A4">
                  <w:pPr>
                    <w:tabs>
                      <w:tab w:val="center" w:pos="4153"/>
                      <w:tab w:val="right" w:pos="8306"/>
                    </w:tabs>
                    <w:snapToGrid w:val="0"/>
                    <w:spacing w:line="240" w:lineRule="exact"/>
                    <w:jc w:val="center"/>
                    <w:rPr>
                      <w:rFonts w:hint="default" w:ascii="Times New Roman" w:hAnsi="Times New Roman" w:eastAsia="宋体" w:cs="Times New Roman"/>
                      <w:color w:val="auto"/>
                      <w:kern w:val="0"/>
                      <w:sz w:val="21"/>
                      <w:szCs w:val="21"/>
                      <w:lang w:val="en-US" w:eastAsia="zh-CN"/>
                    </w:rPr>
                  </w:pPr>
                </w:p>
              </w:tc>
            </w:tr>
            <w:tr w14:paraId="69FC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6"/>
                  <w:tcBorders>
                    <w:tl2br w:val="nil"/>
                    <w:tr2bl w:val="nil"/>
                  </w:tcBorders>
                  <w:noWrap w:val="0"/>
                  <w:tcMar>
                    <w:top w:w="57" w:type="dxa"/>
                    <w:left w:w="57" w:type="dxa"/>
                    <w:bottom w:w="57" w:type="dxa"/>
                    <w:right w:w="57" w:type="dxa"/>
                  </w:tcMar>
                  <w:vAlign w:val="center"/>
                </w:tcPr>
                <w:p w14:paraId="477A6827">
                  <w:pPr>
                    <w:tabs>
                      <w:tab w:val="center" w:pos="4153"/>
                      <w:tab w:val="right" w:pos="8306"/>
                    </w:tabs>
                    <w:snapToGrid w:val="0"/>
                    <w:spacing w:line="240" w:lineRule="exact"/>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w:t>
                  </w:r>
                  <w:r>
                    <w:rPr>
                      <w:rFonts w:hint="eastAsia" w:ascii="Times New Roman" w:hAnsi="Times New Roman" w:eastAsia="宋体" w:cs="Times New Roman"/>
                      <w:color w:val="auto"/>
                      <w:kern w:val="0"/>
                      <w:sz w:val="21"/>
                      <w:szCs w:val="21"/>
                      <w:lang w:val="en-US" w:eastAsia="zh-CN"/>
                    </w:rPr>
                    <w:t>S</w:t>
                  </w:r>
                  <w:r>
                    <w:rPr>
                      <w:rFonts w:hint="eastAsia" w:ascii="Times New Roman" w:hAnsi="Times New Roman" w:eastAsia="宋体" w:cs="Times New Roman"/>
                      <w:color w:val="auto"/>
                      <w:kern w:val="0"/>
                      <w:sz w:val="21"/>
                      <w:szCs w:val="21"/>
                      <w:vertAlign w:val="subscript"/>
                      <w:lang w:val="en-US" w:eastAsia="zh-CN"/>
                    </w:rPr>
                    <w:t>ar</w:t>
                  </w:r>
                  <w:r>
                    <w:rPr>
                      <w:rFonts w:hint="eastAsia" w:ascii="Times New Roman" w:hAnsi="Times New Roman" w:eastAsia="宋体" w:cs="Times New Roman"/>
                      <w:color w:val="auto"/>
                      <w:kern w:val="0"/>
                      <w:sz w:val="21"/>
                      <w:szCs w:val="21"/>
                      <w:vertAlign w:val="baseline"/>
                      <w:lang w:val="en-US" w:eastAsia="zh-CN"/>
                    </w:rPr>
                    <w:t>指的是</w:t>
                  </w:r>
                  <w:r>
                    <w:rPr>
                      <w:rFonts w:ascii="宋体" w:hAnsi="宋体" w:eastAsia="宋体" w:cs="宋体"/>
                      <w:sz w:val="21"/>
                      <w:szCs w:val="21"/>
                    </w:rPr>
                    <w:t>收到基含硫量</w:t>
                  </w:r>
                  <w:r>
                    <w:rPr>
                      <w:rFonts w:hint="eastAsia" w:ascii="Times New Roman" w:hAnsi="Times New Roman" w:eastAsia="宋体" w:cs="Times New Roman"/>
                      <w:bCs/>
                      <w:color w:val="auto"/>
                      <w:sz w:val="21"/>
                      <w:szCs w:val="21"/>
                      <w:vertAlign w:val="baseline"/>
                      <w:lang w:val="en-US" w:eastAsia="zh-CN"/>
                    </w:rPr>
                    <w:t>，以0.0028%计算</w:t>
                  </w:r>
                </w:p>
              </w:tc>
            </w:tr>
          </w:tbl>
          <w:p w14:paraId="20DD75BF">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本项目</w:t>
            </w:r>
            <w:r>
              <w:rPr>
                <w:rFonts w:hint="eastAsia" w:cs="Times New Roman"/>
                <w:bCs/>
                <w:color w:val="auto"/>
                <w:sz w:val="24"/>
                <w:szCs w:val="24"/>
                <w:lang w:val="en-US" w:eastAsia="zh-CN"/>
              </w:rPr>
              <w:t>天然气</w:t>
            </w:r>
            <w:r>
              <w:rPr>
                <w:rFonts w:hint="eastAsia" w:ascii="Times New Roman" w:hAnsi="Times New Roman" w:eastAsia="宋体" w:cs="Times New Roman"/>
                <w:bCs/>
                <w:color w:val="auto"/>
                <w:sz w:val="24"/>
                <w:szCs w:val="24"/>
                <w:lang w:val="en-US" w:eastAsia="zh-CN"/>
              </w:rPr>
              <w:t>发电机</w:t>
            </w:r>
            <w:r>
              <w:rPr>
                <w:rFonts w:hint="default" w:ascii="Times New Roman" w:hAnsi="Times New Roman" w:eastAsia="宋体" w:cs="Times New Roman"/>
                <w:bCs/>
                <w:color w:val="auto"/>
                <w:sz w:val="24"/>
                <w:szCs w:val="24"/>
              </w:rPr>
              <w:t>废气</w:t>
            </w:r>
            <w:r>
              <w:rPr>
                <w:rFonts w:hint="eastAsia" w:ascii="Times New Roman" w:hAnsi="Times New Roman" w:eastAsia="宋体" w:cs="Times New Roman"/>
                <w:bCs/>
                <w:color w:val="auto"/>
                <w:sz w:val="24"/>
                <w:szCs w:val="24"/>
                <w:lang w:val="en-US" w:eastAsia="zh-CN"/>
              </w:rPr>
              <w:t>无</w:t>
            </w:r>
            <w:r>
              <w:rPr>
                <w:rFonts w:hint="default" w:ascii="Times New Roman" w:hAnsi="Times New Roman" w:eastAsia="宋体" w:cs="Times New Roman"/>
                <w:bCs/>
                <w:color w:val="auto"/>
                <w:sz w:val="24"/>
                <w:szCs w:val="24"/>
              </w:rPr>
              <w:t>组织排放情况见下表</w:t>
            </w:r>
            <w:r>
              <w:rPr>
                <w:rFonts w:hint="default" w:ascii="Times New Roman" w:hAnsi="Times New Roman" w:eastAsia="宋体" w:cs="Times New Roman"/>
                <w:bCs/>
                <w:color w:val="auto"/>
                <w:sz w:val="24"/>
                <w:szCs w:val="24"/>
                <w:lang w:val="en-US" w:eastAsia="zh-CN"/>
              </w:rPr>
              <w:t>4-2</w:t>
            </w:r>
            <w:r>
              <w:rPr>
                <w:rFonts w:hint="default" w:ascii="Times New Roman" w:hAnsi="Times New Roman" w:eastAsia="宋体" w:cs="Times New Roman"/>
                <w:bCs/>
                <w:color w:val="auto"/>
                <w:sz w:val="24"/>
                <w:szCs w:val="24"/>
              </w:rPr>
              <w:t>。</w:t>
            </w:r>
          </w:p>
          <w:p w14:paraId="7C37079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表4-2  项目</w:t>
            </w:r>
            <w:r>
              <w:rPr>
                <w:rFonts w:hint="eastAsia" w:cs="Times New Roman"/>
                <w:b/>
                <w:bCs/>
                <w:color w:val="auto"/>
                <w:kern w:val="0"/>
                <w:sz w:val="21"/>
                <w:szCs w:val="21"/>
                <w:lang w:val="en-US" w:eastAsia="zh-CN"/>
              </w:rPr>
              <w:t>天然气</w:t>
            </w:r>
            <w:r>
              <w:rPr>
                <w:rFonts w:hint="eastAsia" w:ascii="Times New Roman" w:hAnsi="Times New Roman" w:eastAsia="宋体" w:cs="Times New Roman"/>
                <w:b/>
                <w:bCs/>
                <w:color w:val="auto"/>
                <w:kern w:val="0"/>
                <w:sz w:val="21"/>
                <w:szCs w:val="21"/>
                <w:lang w:val="en-US" w:eastAsia="zh-CN"/>
              </w:rPr>
              <w:t>发电机</w:t>
            </w:r>
            <w:r>
              <w:rPr>
                <w:rFonts w:hint="default" w:ascii="Times New Roman" w:hAnsi="Times New Roman" w:eastAsia="宋体" w:cs="Times New Roman"/>
                <w:b/>
                <w:bCs/>
                <w:color w:val="auto"/>
                <w:kern w:val="0"/>
                <w:sz w:val="21"/>
                <w:szCs w:val="21"/>
                <w:lang w:val="en-US" w:eastAsia="zh-CN"/>
              </w:rPr>
              <w:t>废气污染物产生及排放情况一览表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960"/>
              <w:gridCol w:w="1481"/>
              <w:gridCol w:w="1025"/>
              <w:gridCol w:w="1515"/>
              <w:gridCol w:w="1364"/>
              <w:gridCol w:w="1527"/>
            </w:tblGrid>
            <w:tr w14:paraId="34E8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tcBorders>
                    <w:tl2br w:val="nil"/>
                    <w:tr2bl w:val="nil"/>
                  </w:tcBorders>
                  <w:noWrap w:val="0"/>
                  <w:tcMar>
                    <w:top w:w="57" w:type="dxa"/>
                    <w:left w:w="57" w:type="dxa"/>
                    <w:bottom w:w="57" w:type="dxa"/>
                    <w:right w:w="57" w:type="dxa"/>
                  </w:tcMar>
                  <w:vAlign w:val="center"/>
                </w:tcPr>
                <w:p w14:paraId="043668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tc>
              <w:tc>
                <w:tcPr>
                  <w:tcW w:w="568" w:type="pct"/>
                  <w:tcBorders>
                    <w:tl2br w:val="nil"/>
                    <w:tr2bl w:val="nil"/>
                  </w:tcBorders>
                  <w:noWrap w:val="0"/>
                  <w:tcMar>
                    <w:top w:w="57" w:type="dxa"/>
                    <w:left w:w="57" w:type="dxa"/>
                    <w:bottom w:w="57" w:type="dxa"/>
                    <w:right w:w="57" w:type="dxa"/>
                  </w:tcMar>
                  <w:vAlign w:val="center"/>
                </w:tcPr>
                <w:p w14:paraId="0CE9DF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876" w:type="pct"/>
                  <w:tcBorders>
                    <w:tl2br w:val="nil"/>
                    <w:tr2bl w:val="nil"/>
                  </w:tcBorders>
                  <w:noWrap w:val="0"/>
                  <w:tcMar>
                    <w:top w:w="57" w:type="dxa"/>
                    <w:left w:w="57" w:type="dxa"/>
                    <w:bottom w:w="57" w:type="dxa"/>
                    <w:right w:w="57" w:type="dxa"/>
                  </w:tcMar>
                  <w:vAlign w:val="center"/>
                </w:tcPr>
                <w:p w14:paraId="786C6C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烟气量</w:t>
                  </w:r>
                </w:p>
                <w:p w14:paraId="56BEAC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eastAsia" w:ascii="Times New Roman" w:hAnsi="Times New Roman" w:eastAsia="宋体" w:cs="Times New Roman"/>
                      <w:color w:val="auto"/>
                      <w:sz w:val="21"/>
                      <w:szCs w:val="21"/>
                      <w:lang w:val="en-US" w:eastAsia="zh-CN"/>
                    </w:rPr>
                    <w:t>产生量（</w:t>
                  </w:r>
                  <w:r>
                    <w:rPr>
                      <w:rFonts w:hint="default" w:ascii="Times New Roman" w:hAnsi="Times New Roman" w:eastAsia="宋体" w:cs="Times New Roman"/>
                      <w:color w:val="auto"/>
                      <w:sz w:val="21"/>
                      <w:szCs w:val="21"/>
                      <w:lang w:val="en-US" w:eastAsia="zh-CN"/>
                    </w:rPr>
                    <w:t>万</w:t>
                  </w:r>
                  <w:r>
                    <w:rPr>
                      <w:rFonts w:hint="default" w:ascii="Times New Roman" w:hAnsi="Times New Roman" w:eastAsia="宋体" w:cs="Times New Roman"/>
                      <w:color w:val="auto"/>
                      <w:kern w:val="0"/>
                      <w:sz w:val="21"/>
                      <w:szCs w:val="21"/>
                    </w:rPr>
                    <w:t>m</w:t>
                  </w:r>
                  <w:r>
                    <w:rPr>
                      <w:rFonts w:hint="default" w:ascii="Times New Roman" w:hAnsi="Times New Roman" w:eastAsia="宋体" w:cs="Times New Roman"/>
                      <w:color w:val="auto"/>
                      <w:kern w:val="0"/>
                      <w:sz w:val="21"/>
                      <w:szCs w:val="21"/>
                      <w:vertAlign w:val="superscript"/>
                    </w:rPr>
                    <w:t>3</w:t>
                  </w:r>
                  <w:r>
                    <w:rPr>
                      <w:rFonts w:hint="eastAsia" w:ascii="Times New Roman" w:hAnsi="Times New Roman" w:eastAsia="宋体" w:cs="Times New Roman"/>
                      <w:color w:val="auto"/>
                      <w:sz w:val="21"/>
                      <w:szCs w:val="21"/>
                      <w:lang w:val="en-US" w:eastAsia="zh-CN"/>
                    </w:rPr>
                    <w:t>）</w:t>
                  </w:r>
                </w:p>
              </w:tc>
              <w:tc>
                <w:tcPr>
                  <w:tcW w:w="606" w:type="pct"/>
                  <w:tcBorders>
                    <w:tl2br w:val="nil"/>
                    <w:tr2bl w:val="nil"/>
                  </w:tcBorders>
                  <w:noWrap w:val="0"/>
                  <w:tcMar>
                    <w:top w:w="57" w:type="dxa"/>
                    <w:left w:w="57" w:type="dxa"/>
                    <w:bottom w:w="57" w:type="dxa"/>
                    <w:right w:w="57" w:type="dxa"/>
                  </w:tcMar>
                  <w:vAlign w:val="center"/>
                </w:tcPr>
                <w:p w14:paraId="2641DB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核算方法</w:t>
                  </w:r>
                </w:p>
              </w:tc>
              <w:tc>
                <w:tcPr>
                  <w:tcW w:w="896" w:type="pct"/>
                  <w:tcBorders>
                    <w:tl2br w:val="nil"/>
                    <w:tr2bl w:val="nil"/>
                  </w:tcBorders>
                  <w:noWrap w:val="0"/>
                  <w:tcMar>
                    <w:top w:w="57" w:type="dxa"/>
                    <w:left w:w="57" w:type="dxa"/>
                    <w:bottom w:w="57" w:type="dxa"/>
                    <w:right w:w="57" w:type="dxa"/>
                  </w:tcMar>
                  <w:vAlign w:val="center"/>
                </w:tcPr>
                <w:p w14:paraId="13D9AD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eastAsia" w:ascii="Times New Roman" w:hAnsi="Times New Roman" w:eastAsia="宋体" w:cs="Times New Roman"/>
                      <w:color w:val="auto"/>
                      <w:sz w:val="21"/>
                      <w:szCs w:val="21"/>
                      <w:lang w:val="en-US" w:eastAsia="zh-CN"/>
                    </w:rPr>
                    <w:t>产生量</w:t>
                  </w:r>
                  <w:r>
                    <w:rPr>
                      <w:rFonts w:hint="default" w:ascii="Times New Roman" w:hAnsi="Times New Roman" w:eastAsia="宋体" w:cs="Times New Roman"/>
                      <w:color w:val="auto"/>
                      <w:sz w:val="21"/>
                      <w:szCs w:val="21"/>
                    </w:rPr>
                    <w:t>（kg）</w:t>
                  </w:r>
                </w:p>
              </w:tc>
              <w:tc>
                <w:tcPr>
                  <w:tcW w:w="807" w:type="pct"/>
                  <w:tcBorders>
                    <w:tl2br w:val="nil"/>
                    <w:tr2bl w:val="nil"/>
                  </w:tcBorders>
                  <w:noWrap w:val="0"/>
                  <w:tcMar>
                    <w:top w:w="57" w:type="dxa"/>
                    <w:left w:w="57" w:type="dxa"/>
                    <w:bottom w:w="57" w:type="dxa"/>
                    <w:right w:w="57" w:type="dxa"/>
                  </w:tcMar>
                  <w:vAlign w:val="center"/>
                </w:tcPr>
                <w:p w14:paraId="04E797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处理措施</w:t>
                  </w:r>
                </w:p>
              </w:tc>
              <w:tc>
                <w:tcPr>
                  <w:tcW w:w="903" w:type="pct"/>
                  <w:tcBorders>
                    <w:tl2br w:val="nil"/>
                    <w:tr2bl w:val="nil"/>
                  </w:tcBorders>
                  <w:noWrap w:val="0"/>
                  <w:tcMar>
                    <w:top w:w="57" w:type="dxa"/>
                    <w:left w:w="57" w:type="dxa"/>
                    <w:bottom w:w="57" w:type="dxa"/>
                    <w:right w:w="57" w:type="dxa"/>
                  </w:tcMar>
                  <w:vAlign w:val="center"/>
                </w:tcPr>
                <w:p w14:paraId="52444E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w:t>
                  </w:r>
                  <w:r>
                    <w:rPr>
                      <w:rFonts w:hint="default" w:ascii="Times New Roman" w:hAnsi="Times New Roman" w:eastAsia="宋体" w:cs="Times New Roman"/>
                      <w:color w:val="auto"/>
                      <w:sz w:val="21"/>
                      <w:szCs w:val="21"/>
                      <w:lang w:val="en-US" w:eastAsia="zh-CN"/>
                    </w:rPr>
                    <w:t>排</w:t>
                  </w:r>
                  <w:r>
                    <w:rPr>
                      <w:rFonts w:hint="default" w:ascii="Times New Roman" w:hAnsi="Times New Roman" w:eastAsia="宋体" w:cs="Times New Roman"/>
                      <w:color w:val="auto"/>
                      <w:sz w:val="21"/>
                      <w:szCs w:val="21"/>
                    </w:rPr>
                    <w:t>放量（kg）</w:t>
                  </w:r>
                </w:p>
              </w:tc>
            </w:tr>
            <w:tr w14:paraId="7D54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restart"/>
                  <w:tcBorders>
                    <w:tl2br w:val="nil"/>
                    <w:tr2bl w:val="nil"/>
                  </w:tcBorders>
                  <w:noWrap w:val="0"/>
                  <w:tcMar>
                    <w:top w:w="57" w:type="dxa"/>
                    <w:left w:w="57" w:type="dxa"/>
                    <w:bottom w:w="57" w:type="dxa"/>
                    <w:right w:w="57" w:type="dxa"/>
                  </w:tcMar>
                  <w:vAlign w:val="center"/>
                </w:tcPr>
                <w:p w14:paraId="7B685B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燃气</w:t>
                  </w:r>
                  <w:r>
                    <w:rPr>
                      <w:rFonts w:hint="eastAsia" w:ascii="Times New Roman" w:hAnsi="Times New Roman" w:eastAsia="宋体" w:cs="Times New Roman"/>
                      <w:color w:val="auto"/>
                      <w:sz w:val="21"/>
                      <w:szCs w:val="21"/>
                      <w:lang w:val="en-US" w:eastAsia="zh-CN"/>
                    </w:rPr>
                    <w:t>发电机废气</w:t>
                  </w:r>
                </w:p>
              </w:tc>
              <w:tc>
                <w:tcPr>
                  <w:tcW w:w="568" w:type="pct"/>
                  <w:tcBorders>
                    <w:tl2br w:val="nil"/>
                    <w:tr2bl w:val="nil"/>
                  </w:tcBorders>
                  <w:noWrap w:val="0"/>
                  <w:tcMar>
                    <w:top w:w="57" w:type="dxa"/>
                    <w:left w:w="57" w:type="dxa"/>
                    <w:bottom w:w="57" w:type="dxa"/>
                    <w:right w:w="57" w:type="dxa"/>
                  </w:tcMar>
                  <w:vAlign w:val="center"/>
                </w:tcPr>
                <w:p w14:paraId="3A7F50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876" w:type="pct"/>
                  <w:vMerge w:val="restart"/>
                  <w:tcBorders>
                    <w:tl2br w:val="nil"/>
                    <w:tr2bl w:val="nil"/>
                  </w:tcBorders>
                  <w:noWrap w:val="0"/>
                  <w:tcMar>
                    <w:top w:w="57" w:type="dxa"/>
                    <w:left w:w="57" w:type="dxa"/>
                    <w:bottom w:w="57" w:type="dxa"/>
                    <w:right w:w="57" w:type="dxa"/>
                  </w:tcMar>
                  <w:vAlign w:val="center"/>
                </w:tcPr>
                <w:p w14:paraId="6F8836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1595.75</w:t>
                  </w:r>
                </w:p>
              </w:tc>
              <w:tc>
                <w:tcPr>
                  <w:tcW w:w="606" w:type="pct"/>
                  <w:vMerge w:val="restart"/>
                  <w:tcBorders>
                    <w:tl2br w:val="nil"/>
                    <w:tr2bl w:val="nil"/>
                  </w:tcBorders>
                  <w:noWrap w:val="0"/>
                  <w:tcMar>
                    <w:top w:w="57" w:type="dxa"/>
                    <w:left w:w="57" w:type="dxa"/>
                    <w:bottom w:w="57" w:type="dxa"/>
                    <w:right w:w="57" w:type="dxa"/>
                  </w:tcMar>
                  <w:vAlign w:val="center"/>
                </w:tcPr>
                <w:p w14:paraId="739B53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产污系数法</w:t>
                  </w:r>
                </w:p>
              </w:tc>
              <w:tc>
                <w:tcPr>
                  <w:tcW w:w="896" w:type="pct"/>
                  <w:tcBorders>
                    <w:tl2br w:val="nil"/>
                    <w:tr2bl w:val="nil"/>
                  </w:tcBorders>
                  <w:noWrap w:val="0"/>
                  <w:tcMar>
                    <w:top w:w="57" w:type="dxa"/>
                    <w:left w:w="57" w:type="dxa"/>
                    <w:bottom w:w="57" w:type="dxa"/>
                    <w:right w:w="57" w:type="dxa"/>
                  </w:tcMar>
                  <w:vAlign w:val="center"/>
                </w:tcPr>
                <w:p w14:paraId="6E1922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67.54</w:t>
                  </w:r>
                </w:p>
              </w:tc>
              <w:tc>
                <w:tcPr>
                  <w:tcW w:w="807" w:type="pct"/>
                  <w:tcBorders>
                    <w:tl2br w:val="nil"/>
                    <w:tr2bl w:val="nil"/>
                  </w:tcBorders>
                  <w:noWrap w:val="0"/>
                  <w:tcMar>
                    <w:top w:w="57" w:type="dxa"/>
                    <w:left w:w="57" w:type="dxa"/>
                    <w:bottom w:w="57" w:type="dxa"/>
                    <w:right w:w="57" w:type="dxa"/>
                  </w:tcMar>
                  <w:vAlign w:val="center"/>
                </w:tcPr>
                <w:p w14:paraId="5D7252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588" w:type="dxa"/>
                  <w:tcBorders>
                    <w:tl2br w:val="nil"/>
                    <w:tr2bl w:val="nil"/>
                  </w:tcBorders>
                  <w:noWrap w:val="0"/>
                  <w:tcMar>
                    <w:top w:w="57" w:type="dxa"/>
                    <w:left w:w="57" w:type="dxa"/>
                    <w:bottom w:w="57" w:type="dxa"/>
                    <w:right w:w="57" w:type="dxa"/>
                  </w:tcMar>
                  <w:vAlign w:val="center"/>
                </w:tcPr>
                <w:p w14:paraId="75029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67.54</w:t>
                  </w:r>
                </w:p>
              </w:tc>
            </w:tr>
            <w:tr w14:paraId="030D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14:paraId="231F4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568" w:type="pct"/>
                  <w:tcBorders>
                    <w:tl2br w:val="nil"/>
                    <w:tr2bl w:val="nil"/>
                  </w:tcBorders>
                  <w:noWrap w:val="0"/>
                  <w:tcMar>
                    <w:top w:w="57" w:type="dxa"/>
                    <w:left w:w="57" w:type="dxa"/>
                    <w:bottom w:w="57" w:type="dxa"/>
                    <w:right w:w="57" w:type="dxa"/>
                  </w:tcMar>
                  <w:vAlign w:val="center"/>
                </w:tcPr>
                <w:p w14:paraId="1AC00C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lang w:val="en-US" w:eastAsia="zh-CN"/>
                    </w:rPr>
                    <w:t>SO</w:t>
                  </w:r>
                  <w:r>
                    <w:rPr>
                      <w:rFonts w:hint="eastAsia" w:ascii="Times New Roman" w:hAnsi="Times New Roman" w:eastAsia="宋体" w:cs="Times New Roman"/>
                      <w:bCs/>
                      <w:color w:val="auto"/>
                      <w:sz w:val="21"/>
                      <w:szCs w:val="21"/>
                      <w:vertAlign w:val="subscript"/>
                      <w:lang w:val="en-US" w:eastAsia="zh-CN"/>
                    </w:rPr>
                    <w:t>2</w:t>
                  </w:r>
                </w:p>
              </w:tc>
              <w:tc>
                <w:tcPr>
                  <w:tcW w:w="876" w:type="pct"/>
                  <w:vMerge w:val="continue"/>
                  <w:tcBorders>
                    <w:tl2br w:val="nil"/>
                    <w:tr2bl w:val="nil"/>
                  </w:tcBorders>
                  <w:noWrap w:val="0"/>
                  <w:tcMar>
                    <w:top w:w="57" w:type="dxa"/>
                    <w:left w:w="57" w:type="dxa"/>
                    <w:bottom w:w="57" w:type="dxa"/>
                    <w:right w:w="57" w:type="dxa"/>
                  </w:tcMar>
                  <w:vAlign w:val="center"/>
                </w:tcPr>
                <w:p w14:paraId="35E876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06" w:type="pct"/>
                  <w:vMerge w:val="continue"/>
                  <w:tcBorders>
                    <w:tl2br w:val="nil"/>
                    <w:tr2bl w:val="nil"/>
                  </w:tcBorders>
                  <w:noWrap w:val="0"/>
                  <w:tcMar>
                    <w:top w:w="57" w:type="dxa"/>
                    <w:left w:w="57" w:type="dxa"/>
                    <w:bottom w:w="57" w:type="dxa"/>
                    <w:right w:w="57" w:type="dxa"/>
                  </w:tcMar>
                  <w:vAlign w:val="center"/>
                </w:tcPr>
                <w:p w14:paraId="6D3D05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p>
              </w:tc>
              <w:tc>
                <w:tcPr>
                  <w:tcW w:w="896" w:type="pct"/>
                  <w:tcBorders>
                    <w:tl2br w:val="nil"/>
                    <w:tr2bl w:val="nil"/>
                  </w:tcBorders>
                  <w:noWrap w:val="0"/>
                  <w:tcMar>
                    <w:top w:w="57" w:type="dxa"/>
                    <w:left w:w="57" w:type="dxa"/>
                    <w:bottom w:w="57" w:type="dxa"/>
                    <w:right w:w="57" w:type="dxa"/>
                  </w:tcMar>
                  <w:vAlign w:val="center"/>
                </w:tcPr>
                <w:p w14:paraId="2FC690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3.6</w:t>
                  </w:r>
                  <w:r>
                    <w:rPr>
                      <w:rFonts w:hint="default" w:ascii="Arial" w:hAnsi="Arial" w:eastAsia="宋体" w:cs="Arial"/>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w:t>
                  </w:r>
                  <w:r>
                    <w:rPr>
                      <w:rFonts w:hint="eastAsia" w:cs="Times New Roman"/>
                      <w:color w:val="auto"/>
                      <w:sz w:val="21"/>
                      <w:szCs w:val="21"/>
                      <w:vertAlign w:val="superscript"/>
                      <w:lang w:val="en-US" w:eastAsia="zh-CN"/>
                    </w:rPr>
                    <w:t>5</w:t>
                  </w:r>
                </w:p>
              </w:tc>
              <w:tc>
                <w:tcPr>
                  <w:tcW w:w="807" w:type="pct"/>
                  <w:tcBorders>
                    <w:tl2br w:val="nil"/>
                    <w:tr2bl w:val="nil"/>
                  </w:tcBorders>
                  <w:noWrap w:val="0"/>
                  <w:tcMar>
                    <w:top w:w="57" w:type="dxa"/>
                    <w:left w:w="57" w:type="dxa"/>
                    <w:bottom w:w="57" w:type="dxa"/>
                    <w:right w:w="57" w:type="dxa"/>
                  </w:tcMar>
                  <w:vAlign w:val="center"/>
                </w:tcPr>
                <w:p w14:paraId="60BF4A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588" w:type="dxa"/>
                  <w:tcBorders>
                    <w:tl2br w:val="nil"/>
                    <w:tr2bl w:val="nil"/>
                  </w:tcBorders>
                  <w:noWrap w:val="0"/>
                  <w:tcMar>
                    <w:top w:w="57" w:type="dxa"/>
                    <w:left w:w="57" w:type="dxa"/>
                    <w:bottom w:w="57" w:type="dxa"/>
                    <w:right w:w="57" w:type="dxa"/>
                  </w:tcMar>
                  <w:vAlign w:val="center"/>
                </w:tcPr>
                <w:p w14:paraId="0D8B33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3.6</w:t>
                  </w:r>
                  <w:r>
                    <w:rPr>
                      <w:rFonts w:hint="default" w:ascii="Arial" w:hAnsi="Arial" w:eastAsia="宋体" w:cs="Arial"/>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w:t>
                  </w:r>
                  <w:r>
                    <w:rPr>
                      <w:rFonts w:hint="eastAsia" w:cs="Times New Roman"/>
                      <w:color w:val="auto"/>
                      <w:sz w:val="21"/>
                      <w:szCs w:val="21"/>
                      <w:vertAlign w:val="superscript"/>
                      <w:lang w:val="en-US" w:eastAsia="zh-CN"/>
                    </w:rPr>
                    <w:t>5</w:t>
                  </w:r>
                </w:p>
              </w:tc>
            </w:tr>
            <w:tr w14:paraId="0890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1" w:type="pct"/>
                  <w:vMerge w:val="continue"/>
                  <w:tcBorders>
                    <w:tl2br w:val="nil"/>
                    <w:tr2bl w:val="nil"/>
                  </w:tcBorders>
                  <w:noWrap w:val="0"/>
                  <w:tcMar>
                    <w:top w:w="57" w:type="dxa"/>
                    <w:left w:w="57" w:type="dxa"/>
                    <w:bottom w:w="57" w:type="dxa"/>
                    <w:right w:w="57" w:type="dxa"/>
                  </w:tcMar>
                  <w:vAlign w:val="center"/>
                </w:tcPr>
                <w:p w14:paraId="601F36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p>
              </w:tc>
              <w:tc>
                <w:tcPr>
                  <w:tcW w:w="568" w:type="pct"/>
                  <w:tcBorders>
                    <w:tl2br w:val="nil"/>
                    <w:tr2bl w:val="nil"/>
                  </w:tcBorders>
                  <w:noWrap w:val="0"/>
                  <w:tcMar>
                    <w:top w:w="57" w:type="dxa"/>
                    <w:left w:w="57" w:type="dxa"/>
                    <w:bottom w:w="57" w:type="dxa"/>
                    <w:right w:w="57" w:type="dxa"/>
                  </w:tcMar>
                  <w:vAlign w:val="center"/>
                </w:tcPr>
                <w:p w14:paraId="1E2DCF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NOx</w:t>
                  </w:r>
                </w:p>
              </w:tc>
              <w:tc>
                <w:tcPr>
                  <w:tcW w:w="876" w:type="pct"/>
                  <w:vMerge w:val="continue"/>
                  <w:tcBorders>
                    <w:tl2br w:val="nil"/>
                    <w:tr2bl w:val="nil"/>
                  </w:tcBorders>
                  <w:noWrap w:val="0"/>
                  <w:tcMar>
                    <w:top w:w="57" w:type="dxa"/>
                    <w:left w:w="57" w:type="dxa"/>
                    <w:bottom w:w="57" w:type="dxa"/>
                    <w:right w:w="57" w:type="dxa"/>
                  </w:tcMar>
                  <w:vAlign w:val="center"/>
                </w:tcPr>
                <w:p w14:paraId="5FDAA6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606" w:type="pct"/>
                  <w:vMerge w:val="continue"/>
                  <w:tcBorders>
                    <w:tl2br w:val="nil"/>
                    <w:tr2bl w:val="nil"/>
                  </w:tcBorders>
                  <w:noWrap w:val="0"/>
                  <w:tcMar>
                    <w:top w:w="57" w:type="dxa"/>
                    <w:left w:w="57" w:type="dxa"/>
                    <w:bottom w:w="57" w:type="dxa"/>
                    <w:right w:w="57" w:type="dxa"/>
                  </w:tcMar>
                  <w:vAlign w:val="center"/>
                </w:tcPr>
                <w:p w14:paraId="51A989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p>
              </w:tc>
              <w:tc>
                <w:tcPr>
                  <w:tcW w:w="896" w:type="pct"/>
                  <w:tcBorders>
                    <w:tl2br w:val="nil"/>
                    <w:tr2bl w:val="nil"/>
                  </w:tcBorders>
                  <w:noWrap w:val="0"/>
                  <w:tcMar>
                    <w:top w:w="57" w:type="dxa"/>
                    <w:left w:w="57" w:type="dxa"/>
                    <w:bottom w:w="57" w:type="dxa"/>
                    <w:right w:w="57" w:type="dxa"/>
                  </w:tcMar>
                  <w:vAlign w:val="center"/>
                </w:tcPr>
                <w:p w14:paraId="087773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825.5</w:t>
                  </w:r>
                </w:p>
              </w:tc>
              <w:tc>
                <w:tcPr>
                  <w:tcW w:w="807" w:type="pct"/>
                  <w:tcBorders>
                    <w:tl2br w:val="nil"/>
                    <w:tr2bl w:val="nil"/>
                  </w:tcBorders>
                  <w:noWrap w:val="0"/>
                  <w:tcMar>
                    <w:top w:w="57" w:type="dxa"/>
                    <w:left w:w="57" w:type="dxa"/>
                    <w:bottom w:w="57" w:type="dxa"/>
                    <w:right w:w="57" w:type="dxa"/>
                  </w:tcMar>
                  <w:vAlign w:val="center"/>
                </w:tcPr>
                <w:p w14:paraId="4D7738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低氮燃烧</w:t>
                  </w:r>
                </w:p>
              </w:tc>
              <w:tc>
                <w:tcPr>
                  <w:tcW w:w="1588" w:type="dxa"/>
                  <w:tcBorders>
                    <w:tl2br w:val="nil"/>
                    <w:tr2bl w:val="nil"/>
                  </w:tcBorders>
                  <w:noWrap w:val="0"/>
                  <w:tcMar>
                    <w:top w:w="57" w:type="dxa"/>
                    <w:left w:w="57" w:type="dxa"/>
                    <w:bottom w:w="57" w:type="dxa"/>
                    <w:right w:w="57" w:type="dxa"/>
                  </w:tcMar>
                  <w:vAlign w:val="center"/>
                </w:tcPr>
                <w:p w14:paraId="04F83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825.5</w:t>
                  </w:r>
                </w:p>
              </w:tc>
            </w:tr>
          </w:tbl>
          <w:p w14:paraId="041EB5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4</w:t>
            </w:r>
            <w:r>
              <w:rPr>
                <w:rFonts w:hint="default" w:ascii="Times New Roman" w:hAnsi="Times New Roman" w:eastAsia="宋体" w:cs="Times New Roman"/>
                <w:color w:val="auto"/>
                <w:sz w:val="24"/>
                <w:szCs w:val="32"/>
                <w:highlight w:val="none"/>
                <w:lang w:val="en-US" w:eastAsia="zh-CN"/>
              </w:rPr>
              <w:t>）备用柴油燃烧废气</w:t>
            </w:r>
          </w:p>
          <w:p w14:paraId="261F34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本项目勘探期供电由</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发电机组作为电源，出现停电等异常情况由备用燃油发电机发电。正常情况下，使用</w:t>
            </w:r>
            <w:r>
              <w:rPr>
                <w:rFonts w:hint="eastAsia" w:cs="Times New Roman"/>
                <w:color w:val="auto"/>
                <w:sz w:val="24"/>
                <w:szCs w:val="32"/>
                <w:highlight w:val="none"/>
                <w:lang w:val="en-US" w:eastAsia="zh-CN"/>
              </w:rPr>
              <w:t>燃气</w:t>
            </w:r>
            <w:r>
              <w:rPr>
                <w:rFonts w:hint="default" w:ascii="Times New Roman" w:hAnsi="Times New Roman" w:eastAsia="宋体" w:cs="Times New Roman"/>
                <w:color w:val="auto"/>
                <w:sz w:val="24"/>
                <w:szCs w:val="32"/>
                <w:highlight w:val="none"/>
                <w:lang w:val="en-US" w:eastAsia="zh-CN"/>
              </w:rPr>
              <w:t>发电机；若停电情况下，会使用备用的柴油发电机发电，柴油机发电会产生燃烧废气，污染因子为SO</w:t>
            </w:r>
            <w:r>
              <w:rPr>
                <w:rFonts w:hint="default" w:ascii="Times New Roman" w:hAnsi="Times New Roman" w:eastAsia="宋体" w:cs="Times New Roman"/>
                <w:color w:val="auto"/>
                <w:sz w:val="24"/>
                <w:szCs w:val="32"/>
                <w:highlight w:val="none"/>
                <w:vertAlign w:val="subscript"/>
                <w:lang w:val="en-US" w:eastAsia="zh-CN"/>
              </w:rPr>
              <w:t>2</w:t>
            </w:r>
            <w:r>
              <w:rPr>
                <w:rFonts w:hint="default" w:ascii="Times New Roman" w:hAnsi="Times New Roman" w:eastAsia="宋体" w:cs="Times New Roman"/>
                <w:color w:val="auto"/>
                <w:sz w:val="24"/>
                <w:szCs w:val="32"/>
                <w:highlight w:val="none"/>
                <w:lang w:val="en-US" w:eastAsia="zh-CN"/>
              </w:rPr>
              <w:t>、NO</w:t>
            </w:r>
            <w:r>
              <w:rPr>
                <w:rFonts w:hint="default" w:ascii="Times New Roman" w:hAnsi="Times New Roman" w:eastAsia="宋体" w:cs="Times New Roman"/>
                <w:color w:val="auto"/>
                <w:sz w:val="24"/>
                <w:szCs w:val="32"/>
                <w:highlight w:val="none"/>
                <w:vertAlign w:val="subscript"/>
                <w:lang w:val="en-US" w:eastAsia="zh-CN"/>
              </w:rPr>
              <w:t>x</w:t>
            </w:r>
            <w:r>
              <w:rPr>
                <w:rFonts w:hint="default" w:ascii="Times New Roman" w:hAnsi="Times New Roman" w:eastAsia="宋体" w:cs="Times New Roman"/>
                <w:color w:val="auto"/>
                <w:sz w:val="24"/>
                <w:szCs w:val="32"/>
                <w:highlight w:val="none"/>
                <w:lang w:val="en-US" w:eastAsia="zh-CN"/>
              </w:rPr>
              <w:t>、CO、HC等，属于阶段性的局部污染，柴油发电机的使用情况具有不确定性，项目预计使用</w:t>
            </w:r>
            <w:r>
              <w:rPr>
                <w:rFonts w:hint="eastAsia" w:cs="Times New Roman"/>
                <w:color w:val="auto"/>
                <w:sz w:val="24"/>
                <w:szCs w:val="32"/>
                <w:highlight w:val="none"/>
                <w:lang w:val="en-US" w:eastAsia="zh-CN"/>
              </w:rPr>
              <w:t>15</w:t>
            </w:r>
            <w:r>
              <w:rPr>
                <w:rFonts w:hint="default" w:ascii="Times New Roman" w:hAnsi="Times New Roman" w:eastAsia="宋体" w:cs="Times New Roman"/>
                <w:color w:val="auto"/>
                <w:sz w:val="24"/>
                <w:szCs w:val="32"/>
                <w:highlight w:val="none"/>
                <w:lang w:val="en-US" w:eastAsia="zh-CN"/>
              </w:rPr>
              <w:t>t柴油，参照同类项目，柴油发电机废气污染物核算结果见表4-</w:t>
            </w:r>
            <w:r>
              <w:rPr>
                <w:rFonts w:hint="eastAsia" w:cs="Times New Roman"/>
                <w:color w:val="auto"/>
                <w:sz w:val="24"/>
                <w:szCs w:val="32"/>
                <w:highlight w:val="none"/>
                <w:lang w:val="en-US" w:eastAsia="zh-CN"/>
              </w:rPr>
              <w:t>3</w:t>
            </w:r>
            <w:r>
              <w:rPr>
                <w:rFonts w:hint="default" w:ascii="Times New Roman" w:hAnsi="Times New Roman" w:eastAsia="宋体" w:cs="Times New Roman"/>
                <w:color w:val="auto"/>
                <w:sz w:val="24"/>
                <w:szCs w:val="32"/>
                <w:highlight w:val="none"/>
                <w:lang w:val="en-US" w:eastAsia="zh-CN"/>
              </w:rPr>
              <w:t>。</w:t>
            </w:r>
          </w:p>
          <w:p w14:paraId="734DA390">
            <w:pPr>
              <w:keepNext w:val="0"/>
              <w:keepLines w:val="0"/>
              <w:pageBreakBefore w:val="0"/>
              <w:kinsoku/>
              <w:wordWrap/>
              <w:overflowPunct/>
              <w:topLinePunct w:val="0"/>
              <w:autoSpaceDE/>
              <w:autoSpaceDN/>
              <w:bidi w:val="0"/>
              <w:adjustRightInd w:val="0"/>
              <w:snapToGrid w:val="0"/>
              <w:spacing w:line="440" w:lineRule="exact"/>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rPr>
              <w:t xml:space="preserve">   柴油排放的有害物质表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1523"/>
              <w:gridCol w:w="1662"/>
              <w:gridCol w:w="1369"/>
              <w:gridCol w:w="1954"/>
            </w:tblGrid>
            <w:tr w14:paraId="6D54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14:paraId="6BBAC654">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有害物质</w:t>
                  </w:r>
                </w:p>
              </w:tc>
              <w:tc>
                <w:tcPr>
                  <w:tcW w:w="901" w:type="pct"/>
                  <w:tcBorders>
                    <w:tl2br w:val="nil"/>
                    <w:tr2bl w:val="nil"/>
                  </w:tcBorders>
                  <w:noWrap w:val="0"/>
                  <w:vAlign w:val="center"/>
                </w:tcPr>
                <w:p w14:paraId="781D4979">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983" w:type="pct"/>
                  <w:tcBorders>
                    <w:tl2br w:val="nil"/>
                    <w:tr2bl w:val="nil"/>
                  </w:tcBorders>
                  <w:noWrap w:val="0"/>
                  <w:vAlign w:val="center"/>
                </w:tcPr>
                <w:p w14:paraId="5B5E391E">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810" w:type="pct"/>
                  <w:tcBorders>
                    <w:tl2br w:val="nil"/>
                    <w:tr2bl w:val="nil"/>
                  </w:tcBorders>
                  <w:noWrap w:val="0"/>
                  <w:vAlign w:val="center"/>
                </w:tcPr>
                <w:p w14:paraId="05708489">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p>
              </w:tc>
              <w:tc>
                <w:tcPr>
                  <w:tcW w:w="1156" w:type="pct"/>
                  <w:tcBorders>
                    <w:tl2br w:val="nil"/>
                    <w:tr2bl w:val="nil"/>
                  </w:tcBorders>
                  <w:noWrap w:val="0"/>
                  <w:vAlign w:val="center"/>
                </w:tcPr>
                <w:p w14:paraId="7557395D">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碳氢化合物</w:t>
                  </w:r>
                </w:p>
              </w:tc>
            </w:tr>
            <w:tr w14:paraId="7C0D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14:paraId="50E20620">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排放量（kg/t）</w:t>
                  </w:r>
                </w:p>
              </w:tc>
              <w:tc>
                <w:tcPr>
                  <w:tcW w:w="901" w:type="pct"/>
                  <w:tcBorders>
                    <w:tl2br w:val="nil"/>
                    <w:tr2bl w:val="nil"/>
                  </w:tcBorders>
                  <w:noWrap w:val="0"/>
                  <w:vAlign w:val="center"/>
                </w:tcPr>
                <w:p w14:paraId="420B34A8">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3.522</w:t>
                  </w:r>
                </w:p>
              </w:tc>
              <w:tc>
                <w:tcPr>
                  <w:tcW w:w="983" w:type="pct"/>
                  <w:tcBorders>
                    <w:tl2br w:val="nil"/>
                    <w:tr2bl w:val="nil"/>
                  </w:tcBorders>
                  <w:noWrap w:val="0"/>
                  <w:vAlign w:val="center"/>
                </w:tcPr>
                <w:p w14:paraId="361A403A">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29.349</w:t>
                  </w:r>
                </w:p>
              </w:tc>
              <w:tc>
                <w:tcPr>
                  <w:tcW w:w="810" w:type="pct"/>
                  <w:tcBorders>
                    <w:tl2br w:val="nil"/>
                    <w:tr2bl w:val="nil"/>
                  </w:tcBorders>
                  <w:noWrap w:val="0"/>
                  <w:vAlign w:val="center"/>
                </w:tcPr>
                <w:p w14:paraId="188747EB">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48.263</w:t>
                  </w:r>
                </w:p>
              </w:tc>
              <w:tc>
                <w:tcPr>
                  <w:tcW w:w="1156" w:type="pct"/>
                  <w:tcBorders>
                    <w:tl2br w:val="nil"/>
                    <w:tr2bl w:val="nil"/>
                  </w:tcBorders>
                  <w:noWrap w:val="0"/>
                  <w:vAlign w:val="center"/>
                </w:tcPr>
                <w:p w14:paraId="010E263D">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4.826</w:t>
                  </w:r>
                </w:p>
              </w:tc>
            </w:tr>
            <w:tr w14:paraId="570B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8" w:type="pct"/>
                  <w:tcBorders>
                    <w:tl2br w:val="nil"/>
                    <w:tr2bl w:val="nil"/>
                  </w:tcBorders>
                  <w:noWrap w:val="0"/>
                  <w:vAlign w:val="center"/>
                </w:tcPr>
                <w:p w14:paraId="679C85D5">
                  <w:pPr>
                    <w:keepNext w:val="0"/>
                    <w:keepLines w:val="0"/>
                    <w:pageBreakBefore w:val="0"/>
                    <w:kinsoku/>
                    <w:wordWrap/>
                    <w:overflowPunct/>
                    <w:topLinePunct w:val="0"/>
                    <w:autoSpaceDE/>
                    <w:autoSpaceDN/>
                    <w:bidi w:val="0"/>
                    <w:adjustRightInd w:val="0"/>
                    <w:snapToGrid w:val="0"/>
                    <w:spacing w:line="240" w:lineRule="auto"/>
                    <w:ind w:lef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钻井</w:t>
                  </w:r>
                  <w:r>
                    <w:rPr>
                      <w:rFonts w:hint="default" w:ascii="Times New Roman" w:hAnsi="Times New Roman" w:eastAsia="宋体" w:cs="Times New Roman"/>
                      <w:color w:val="auto"/>
                      <w:sz w:val="21"/>
                      <w:szCs w:val="21"/>
                    </w:rPr>
                    <w:t>期内（kg）</w:t>
                  </w:r>
                </w:p>
              </w:tc>
              <w:tc>
                <w:tcPr>
                  <w:tcW w:w="901" w:type="pct"/>
                  <w:tcBorders>
                    <w:tl2br w:val="nil"/>
                    <w:tr2bl w:val="nil"/>
                  </w:tcBorders>
                  <w:noWrap w:val="0"/>
                  <w:vAlign w:val="center"/>
                </w:tcPr>
                <w:p w14:paraId="5A2F772B">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52.83</w:t>
                  </w:r>
                </w:p>
              </w:tc>
              <w:tc>
                <w:tcPr>
                  <w:tcW w:w="983" w:type="pct"/>
                  <w:tcBorders>
                    <w:tl2br w:val="nil"/>
                    <w:tr2bl w:val="nil"/>
                  </w:tcBorders>
                  <w:noWrap w:val="0"/>
                  <w:vAlign w:val="center"/>
                </w:tcPr>
                <w:p w14:paraId="64FAF03F">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440.235</w:t>
                  </w:r>
                </w:p>
              </w:tc>
              <w:tc>
                <w:tcPr>
                  <w:tcW w:w="810" w:type="pct"/>
                  <w:tcBorders>
                    <w:tl2br w:val="nil"/>
                    <w:tr2bl w:val="nil"/>
                  </w:tcBorders>
                  <w:noWrap w:val="0"/>
                  <w:vAlign w:val="center"/>
                </w:tcPr>
                <w:p w14:paraId="7A1FC709">
                  <w:pPr>
                    <w:pageBreakBefore w:val="0"/>
                    <w:kinsoku/>
                    <w:wordWrap/>
                    <w:overflowPunct/>
                    <w:topLinePunct w:val="0"/>
                    <w:bidi w:val="0"/>
                    <w:adjustRightInd w:val="0"/>
                    <w:snapToGrid w:val="0"/>
                    <w:spacing w:line="240" w:lineRule="auto"/>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723.945</w:t>
                  </w:r>
                </w:p>
              </w:tc>
              <w:tc>
                <w:tcPr>
                  <w:tcW w:w="1156" w:type="pct"/>
                  <w:tcBorders>
                    <w:tl2br w:val="nil"/>
                    <w:tr2bl w:val="nil"/>
                  </w:tcBorders>
                  <w:noWrap w:val="0"/>
                  <w:vAlign w:val="center"/>
                </w:tcPr>
                <w:p w14:paraId="647F81A8">
                  <w:pPr>
                    <w:keepNext w:val="0"/>
                    <w:keepLines w:val="0"/>
                    <w:pageBreakBefore w:val="0"/>
                    <w:widowControl/>
                    <w:kinsoku/>
                    <w:wordWrap/>
                    <w:overflowPunct/>
                    <w:topLinePunct w:val="0"/>
                    <w:autoSpaceDE/>
                    <w:autoSpaceDN/>
                    <w:bidi w:val="0"/>
                    <w:adjustRightInd w:val="0"/>
                    <w:snapToGrid w:val="0"/>
                    <w:spacing w:line="240" w:lineRule="auto"/>
                    <w:ind w:left="0" w:left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72.39</w:t>
                  </w:r>
                </w:p>
              </w:tc>
            </w:tr>
          </w:tbl>
          <w:p w14:paraId="27905EA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p>
          <w:p w14:paraId="2B63E0B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柴油废气随着施工期结束后污染源随即消失，备用柴油发电机废气污染物的排放具有排放时间短等特点，项目使用环保节能型柴油机，选用轻质柴油燃料，并加强管理维护，对环境的影响是暂时的、不连续的、可接受的，对周边环境影响较小。</w:t>
            </w:r>
          </w:p>
          <w:p w14:paraId="2228851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5</w:t>
            </w:r>
            <w:r>
              <w:rPr>
                <w:rFonts w:hint="default" w:ascii="Times New Roman" w:hAnsi="Times New Roman" w:eastAsia="宋体" w:cs="Times New Roman"/>
                <w:color w:val="auto"/>
                <w:sz w:val="24"/>
                <w:szCs w:val="32"/>
                <w:highlight w:val="none"/>
                <w:lang w:val="en-US" w:eastAsia="zh-CN"/>
              </w:rPr>
              <w:t>）测试放喷废气</w:t>
            </w:r>
          </w:p>
          <w:p w14:paraId="1034BE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本项目为油气资源勘探项目，目的是获取地层油气藏参数，以期新的油气藏发现，测试放喷前安装井口放喷专用管线、各种计量设备，</w:t>
            </w:r>
            <w:r>
              <w:rPr>
                <w:rFonts w:hint="eastAsia"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经管线引至火炬点燃，当伴生气含有硫化氢时，通过燃烧转化成二氧化硫，可有效降低放喷气体的毒性。燃烧烟气的主要污染物为二氧化硫、氮氧化物和非甲烷总烃由于燃烧烟气属于阶段性排放，且随着测试放喷结束而停止产生。测试放喷时间短暂，燃烧排放量较小，对周边居民影响较小。</w:t>
            </w:r>
          </w:p>
          <w:p w14:paraId="125149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w:t>
            </w:r>
            <w:r>
              <w:rPr>
                <w:rFonts w:hint="eastAsia" w:cs="Times New Roman"/>
                <w:color w:val="auto"/>
                <w:sz w:val="24"/>
                <w:szCs w:val="32"/>
                <w:highlight w:val="none"/>
                <w:lang w:val="en-US" w:eastAsia="zh-CN"/>
              </w:rPr>
              <w:t>6</w:t>
            </w:r>
            <w:r>
              <w:rPr>
                <w:rFonts w:hint="default" w:ascii="Times New Roman" w:hAnsi="Times New Roman" w:eastAsia="宋体" w:cs="Times New Roman"/>
                <w:color w:val="auto"/>
                <w:sz w:val="24"/>
                <w:szCs w:val="32"/>
                <w:highlight w:val="none"/>
                <w:lang w:val="en-US" w:eastAsia="zh-CN"/>
              </w:rPr>
              <w:t>）储罐贮存无组织废气</w:t>
            </w:r>
          </w:p>
          <w:p w14:paraId="659AF5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bookmarkStart w:id="17" w:name="_Hlk136794247"/>
            <w:r>
              <w:rPr>
                <w:rFonts w:hint="default" w:ascii="Times New Roman" w:hAnsi="Times New Roman" w:eastAsia="宋体" w:cs="Times New Roman"/>
                <w:color w:val="auto"/>
                <w:sz w:val="24"/>
                <w:szCs w:val="32"/>
                <w:highlight w:val="none"/>
                <w:lang w:val="en-US" w:eastAsia="zh-CN"/>
              </w:rPr>
              <w:t>储罐中储存的原油、柴油会在液面上方空间充满物料挥发产生的蒸汽，最终达到饱和蒸汽压；一旦罐内液面空间体积发生改变，便会引发饱和蒸汽溢出，即所谓的储罐呼吸现象。液面空间体积的变化既可能由物料进出引起，也可能源于昼夜温差变化，前者称为大呼吸，后者称为小呼吸。</w:t>
            </w:r>
          </w:p>
          <w:p w14:paraId="1B3EAB9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井场设1座柴油储罐，柴油临时贮存时会产生一定的无组织挥发性废气，柴油储罐采用固定顶罐，柴油周转量较小，柴油真实蒸汽压比较低，挥发性低，由柴油储罐临时储存产生的挥发性废气量较小，不会对周围大气环境产生明显不利影响。类别其他井场，井场场界外非甲烷总烃的浓度低于《陆上石油</w:t>
            </w:r>
            <w:r>
              <w:rPr>
                <w:rFonts w:hint="eastAsia"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开采工业大气污染物排放标准》（GB39728-2020）周界外无组织排放浓度限值4.0mg/m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的要求。</w:t>
            </w:r>
          </w:p>
          <w:p w14:paraId="4C1729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依据《石化行业VOCs污染源排查工作指南》，装载过程中VOCs排放量与物料年周转量、装载温度及装载物料的真实蒸气压等因素相关。</w:t>
            </w:r>
            <w:bookmarkEnd w:id="17"/>
            <w:r>
              <w:rPr>
                <w:rFonts w:hint="default" w:ascii="Times New Roman" w:hAnsi="Times New Roman" w:eastAsia="宋体" w:cs="Times New Roman"/>
                <w:color w:val="auto"/>
                <w:sz w:val="24"/>
                <w:szCs w:val="32"/>
                <w:highlight w:val="none"/>
                <w:lang w:val="en-US" w:eastAsia="zh-CN"/>
              </w:rPr>
              <w:t>本项目属于油气资源勘探项目，主要目的在于探明含油气性，测试放喷过程具有较大不确定性，原油产出情况难以预估，且原油装载仅在测试放喷期间进行，并随其结束而停止。因此，本次评价仅对装载过程产生的VOCs开展定性分析，不作定量计算。本环评要求建设单位在试油阶段的原油装载须满足《陆上石油</w:t>
            </w:r>
            <w:r>
              <w:rPr>
                <w:rFonts w:hint="eastAsia" w:cs="Times New Roman"/>
                <w:color w:val="auto"/>
                <w:sz w:val="24"/>
                <w:szCs w:val="32"/>
                <w:highlight w:val="none"/>
                <w:lang w:val="en-US" w:eastAsia="zh-CN"/>
              </w:rPr>
              <w:t>天然气</w:t>
            </w:r>
            <w:r>
              <w:rPr>
                <w:rFonts w:hint="default" w:ascii="Times New Roman" w:hAnsi="Times New Roman" w:eastAsia="宋体" w:cs="Times New Roman"/>
                <w:color w:val="auto"/>
                <w:sz w:val="24"/>
                <w:szCs w:val="32"/>
                <w:highlight w:val="none"/>
                <w:lang w:val="en-US" w:eastAsia="zh-CN"/>
              </w:rPr>
              <w:t>开采工业大气污染物排放标准》（GB39728-2020）规定，采用底部装载或顶部浸没式装载方式；若采用顶部浸没式装载，出口管口距罐底高度应小于200mm。原油装载仅于测试放喷期间实施，随测试放喷结束而终止。</w:t>
            </w:r>
          </w:p>
          <w:p w14:paraId="11357817">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3.地表水环境影响分析</w:t>
            </w:r>
          </w:p>
          <w:p w14:paraId="265DE60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施工期的废水主要包括钻井作业产生的钻井废水、酸化压裂返排液和生活污水。</w:t>
            </w:r>
          </w:p>
          <w:p w14:paraId="3BE9A2D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（1）钻井废水</w:t>
            </w:r>
          </w:p>
          <w:p w14:paraId="25068F7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钻井废水与钻井泥浆、岩屑一同进入泥浆固控系统系统处理，处理后作业阶段液相优先回用于钻井液配置；完井后无法回用的废液作为钻井废液罐车外运处置</w:t>
            </w:r>
            <w:r>
              <w:rPr>
                <w:rFonts w:hint="eastAsia" w:cs="Times New Roman"/>
                <w:color w:val="auto"/>
                <w:sz w:val="24"/>
                <w:szCs w:val="32"/>
                <w:highlight w:val="none"/>
                <w:lang w:val="en-US" w:eastAsia="zh-CN"/>
              </w:rPr>
              <w:t>，</w:t>
            </w:r>
            <w:r>
              <w:rPr>
                <w:rFonts w:hint="eastAsia" w:ascii="Times New Roman" w:hAnsi="Times New Roman" w:eastAsia="宋体" w:cs="Times New Roman"/>
                <w:color w:val="auto"/>
                <w:sz w:val="24"/>
                <w:szCs w:val="32"/>
                <w:highlight w:val="none"/>
                <w:lang w:val="en-US" w:eastAsia="zh-CN"/>
              </w:rPr>
              <w:t>不外排。</w:t>
            </w:r>
          </w:p>
          <w:p w14:paraId="1E9171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（2）酸化压裂返排液</w:t>
            </w:r>
          </w:p>
          <w:p w14:paraId="3A1184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据了解，本工程酸化</w:t>
            </w:r>
            <w:r>
              <w:rPr>
                <w:rFonts w:hint="eastAsia" w:cs="Times New Roman"/>
                <w:color w:val="auto"/>
                <w:sz w:val="24"/>
                <w:szCs w:val="32"/>
                <w:highlight w:val="none"/>
                <w:lang w:val="en-US" w:eastAsia="zh-CN"/>
              </w:rPr>
              <w:t>压裂液</w:t>
            </w:r>
            <w:r>
              <w:rPr>
                <w:rFonts w:hint="eastAsia" w:ascii="Times New Roman" w:hAnsi="Times New Roman" w:eastAsia="宋体" w:cs="Times New Roman"/>
                <w:color w:val="auto"/>
                <w:sz w:val="24"/>
                <w:szCs w:val="32"/>
                <w:highlight w:val="none"/>
                <w:lang w:val="en-US" w:eastAsia="zh-CN"/>
              </w:rPr>
              <w:t>不在现场配制，储层改造时期需进行酸化压裂作业时，可采用罐车将酸化</w:t>
            </w:r>
            <w:r>
              <w:rPr>
                <w:rFonts w:hint="eastAsia" w:cs="Times New Roman"/>
                <w:color w:val="auto"/>
                <w:sz w:val="24"/>
                <w:szCs w:val="32"/>
                <w:highlight w:val="none"/>
                <w:lang w:val="en-US" w:eastAsia="zh-CN"/>
              </w:rPr>
              <w:t>压裂液</w:t>
            </w:r>
            <w:r>
              <w:rPr>
                <w:rFonts w:hint="eastAsia" w:ascii="Times New Roman" w:hAnsi="Times New Roman" w:eastAsia="宋体" w:cs="Times New Roman"/>
                <w:color w:val="auto"/>
                <w:sz w:val="24"/>
                <w:szCs w:val="32"/>
                <w:highlight w:val="none"/>
                <w:lang w:val="en-US" w:eastAsia="zh-CN"/>
              </w:rPr>
              <w:t>直接运至作业区域。根据调查，龙口10</w:t>
            </w:r>
            <w:r>
              <w:rPr>
                <w:rFonts w:hint="eastAsia" w:cs="Times New Roman"/>
                <w:color w:val="auto"/>
                <w:sz w:val="24"/>
                <w:szCs w:val="32"/>
                <w:highlight w:val="none"/>
                <w:lang w:val="en-US" w:eastAsia="zh-CN"/>
              </w:rPr>
              <w:t>1</w:t>
            </w:r>
            <w:r>
              <w:rPr>
                <w:rFonts w:hint="eastAsia" w:ascii="Times New Roman" w:hAnsi="Times New Roman" w:eastAsia="宋体" w:cs="Times New Roman"/>
                <w:color w:val="auto"/>
                <w:sz w:val="24"/>
                <w:szCs w:val="32"/>
                <w:highlight w:val="none"/>
                <w:lang w:val="en-US" w:eastAsia="zh-CN"/>
              </w:rPr>
              <w:t>井储层改造时期间酸化压裂返排液的最大产生量为5000m</w:t>
            </w:r>
            <w:r>
              <w:rPr>
                <w:rFonts w:hint="eastAsia" w:ascii="Times New Roman" w:hAnsi="Times New Roman" w:eastAsia="宋体" w:cs="Times New Roman"/>
                <w:color w:val="auto"/>
                <w:sz w:val="24"/>
                <w:szCs w:val="32"/>
                <w:highlight w:val="none"/>
                <w:vertAlign w:val="superscript"/>
                <w:lang w:val="en-US" w:eastAsia="zh-CN"/>
              </w:rPr>
              <w:t>3</w:t>
            </w:r>
            <w:r>
              <w:rPr>
                <w:rFonts w:hint="eastAsia" w:ascii="Times New Roman" w:hAnsi="Times New Roman" w:eastAsia="宋体" w:cs="Times New Roman"/>
                <w:color w:val="auto"/>
                <w:sz w:val="24"/>
                <w:szCs w:val="32"/>
                <w:highlight w:val="none"/>
                <w:lang w:val="en-US" w:eastAsia="zh-CN"/>
              </w:rPr>
              <w:t>，采用专用废液收集罐暂存，定期运至新疆腾疆环保科技有限公司处置。</w:t>
            </w:r>
          </w:p>
          <w:p w14:paraId="683E1406">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（3）生活污水</w:t>
            </w:r>
          </w:p>
          <w:p w14:paraId="2926CE69">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施工期常驻井场人员按60人计，施工天数180d，按生活用水量80L/d·人计，生活用水量共计约864m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（4.8m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/d）。按生活污水产生量按用水量80%计，污水产生量为691.2m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（3.84m</w:t>
            </w:r>
            <w:r>
              <w:rPr>
                <w:rFonts w:hint="eastAsia" w:ascii="Times New Roman" w:hAnsi="Times New Roman" w:eastAsia="宋体" w:cs="Times New Roman"/>
                <w:color w:val="auto"/>
                <w:sz w:val="24"/>
                <w:highlight w:val="none"/>
                <w:vertAlign w:val="superscript"/>
                <w:lang w:val="en-US" w:eastAsia="zh-CN" w:bidi="ar"/>
              </w:rPr>
              <w:t>3</w:t>
            </w:r>
            <w:r>
              <w:rPr>
                <w:rFonts w:hint="eastAsia" w:ascii="Times New Roman" w:hAnsi="Times New Roman" w:eastAsia="宋体" w:cs="Times New Roman"/>
                <w:color w:val="auto"/>
                <w:sz w:val="24"/>
                <w:highlight w:val="none"/>
                <w:lang w:val="en-US" w:eastAsia="zh-CN" w:bidi="ar"/>
              </w:rPr>
              <w:t>/d）。本项目产生的生活污水经井场撬装式污水处理装置处理后，水质达到《农村生活污水处理排放标准》（DB654275-2019）表2的B级标准，用于荒漠灌溉。</w:t>
            </w:r>
          </w:p>
          <w:p w14:paraId="37937F7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本项目产生的废水均妥善处理。</w:t>
            </w:r>
          </w:p>
          <w:p w14:paraId="44F5AB60">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4.施工噪声影响分析</w:t>
            </w:r>
          </w:p>
          <w:p w14:paraId="354CB46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由于本项目钻井过程为24小时连续运行，对声环境影响大的主要为钻井过程中钻机、泥浆泵等设备运行产生的连续性噪声。拟建工程钻井工程主要噪声源及源强见表4-</w:t>
            </w:r>
            <w:r>
              <w:rPr>
                <w:rFonts w:hint="eastAsia" w:cs="Times New Roman"/>
                <w:color w:val="auto"/>
                <w:sz w:val="24"/>
                <w:highlight w:val="none"/>
                <w:lang w:val="en-US" w:eastAsia="zh-CN" w:bidi="ar"/>
              </w:rPr>
              <w:t>4</w:t>
            </w:r>
            <w:r>
              <w:rPr>
                <w:rFonts w:hint="default" w:ascii="Times New Roman" w:hAnsi="Times New Roman" w:eastAsia="宋体" w:cs="Times New Roman"/>
                <w:color w:val="auto"/>
                <w:sz w:val="24"/>
                <w:highlight w:val="none"/>
                <w:lang w:val="en-US" w:eastAsia="zh-CN" w:bidi="ar"/>
              </w:rPr>
              <w:t>。</w:t>
            </w:r>
          </w:p>
          <w:p w14:paraId="2D844DA7">
            <w:pPr>
              <w:pStyle w:val="79"/>
              <w:keepNext w:val="0"/>
              <w:keepLines w:val="0"/>
              <w:pageBreakBefore w:val="0"/>
              <w:widowControl/>
              <w:kinsoku/>
              <w:wordWrap/>
              <w:overflowPunct/>
              <w:topLinePunct w:val="0"/>
              <w:autoSpaceDE/>
              <w:autoSpaceDN/>
              <w:bidi w:val="0"/>
              <w:adjustRightInd/>
              <w:snapToGrid/>
              <w:spacing w:line="480" w:lineRule="exact"/>
              <w:ind w:lef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ascii="Times New Roman" w:hAnsi="Times New Roman" w:eastAsia="宋体" w:cs="Times New Roman"/>
                <w:b/>
                <w:bCs/>
                <w:color w:val="auto"/>
                <w:sz w:val="21"/>
                <w:szCs w:val="21"/>
                <w:lang w:val="en-US" w:eastAsia="zh-CN"/>
              </w:rPr>
              <w:t>4</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钻井工程主要噪声源统计表单位：dB</w:t>
            </w:r>
            <w:r>
              <w:rPr>
                <w:rFonts w:hint="default" w:ascii="Times New Roman" w:hAnsi="Times New Roman" w:eastAsia="宋体" w:cs="Times New Roman"/>
                <w:b/>
                <w:bCs/>
                <w:color w:val="auto"/>
                <w:sz w:val="21"/>
                <w:szCs w:val="21"/>
                <w:lang w:eastAsia="zh-CN"/>
              </w:rPr>
              <w:t>（A）</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750"/>
              <w:gridCol w:w="2428"/>
              <w:gridCol w:w="886"/>
              <w:gridCol w:w="1080"/>
              <w:gridCol w:w="1184"/>
              <w:gridCol w:w="529"/>
            </w:tblGrid>
            <w:tr w14:paraId="5055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188389AB">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噪声源</w:t>
                  </w:r>
                </w:p>
              </w:tc>
              <w:tc>
                <w:tcPr>
                  <w:tcW w:w="443" w:type="pct"/>
                  <w:tcBorders>
                    <w:tl2br w:val="nil"/>
                    <w:tr2bl w:val="nil"/>
                  </w:tcBorders>
                  <w:noWrap w:val="0"/>
                  <w:vAlign w:val="center"/>
                </w:tcPr>
                <w:p w14:paraId="2791640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运行数量</w:t>
                  </w:r>
                </w:p>
              </w:tc>
              <w:tc>
                <w:tcPr>
                  <w:tcW w:w="1436" w:type="pct"/>
                  <w:tcBorders>
                    <w:tl2br w:val="nil"/>
                    <w:tr2bl w:val="nil"/>
                  </w:tcBorders>
                  <w:noWrap w:val="0"/>
                  <w:vAlign w:val="center"/>
                </w:tcPr>
                <w:p w14:paraId="1D1F5A7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措施</w:t>
                  </w:r>
                </w:p>
              </w:tc>
              <w:tc>
                <w:tcPr>
                  <w:tcW w:w="524" w:type="pct"/>
                  <w:tcBorders>
                    <w:tl2br w:val="nil"/>
                    <w:tr2bl w:val="nil"/>
                  </w:tcBorders>
                  <w:noWrap w:val="0"/>
                  <w:vAlign w:val="center"/>
                </w:tcPr>
                <w:p w14:paraId="17ECED03">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声源源强</w:t>
                  </w:r>
                </w:p>
              </w:tc>
              <w:tc>
                <w:tcPr>
                  <w:tcW w:w="638" w:type="pct"/>
                  <w:tcBorders>
                    <w:tl2br w:val="nil"/>
                    <w:tr2bl w:val="nil"/>
                  </w:tcBorders>
                  <w:noWrap w:val="0"/>
                  <w:vAlign w:val="center"/>
                </w:tcPr>
                <w:p w14:paraId="577DAFFD">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降噪后声源源强</w:t>
                  </w:r>
                </w:p>
              </w:tc>
              <w:tc>
                <w:tcPr>
                  <w:tcW w:w="700" w:type="pct"/>
                  <w:tcBorders>
                    <w:tl2br w:val="nil"/>
                    <w:tr2bl w:val="nil"/>
                  </w:tcBorders>
                  <w:noWrap w:val="0"/>
                  <w:vAlign w:val="center"/>
                </w:tcPr>
                <w:p w14:paraId="2512AE11">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声源性质</w:t>
                  </w:r>
                </w:p>
              </w:tc>
              <w:tc>
                <w:tcPr>
                  <w:tcW w:w="312" w:type="pct"/>
                  <w:tcBorders>
                    <w:tl2br w:val="nil"/>
                    <w:tr2bl w:val="nil"/>
                  </w:tcBorders>
                  <w:noWrap w:val="0"/>
                  <w:vAlign w:val="center"/>
                </w:tcPr>
                <w:p w14:paraId="6A10C7D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备注</w:t>
                  </w:r>
                </w:p>
              </w:tc>
            </w:tr>
            <w:tr w14:paraId="6E88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3903274F">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柴油机</w:t>
                  </w:r>
                </w:p>
              </w:tc>
              <w:tc>
                <w:tcPr>
                  <w:tcW w:w="443" w:type="pct"/>
                  <w:tcBorders>
                    <w:tl2br w:val="nil"/>
                    <w:tr2bl w:val="nil"/>
                  </w:tcBorders>
                  <w:noWrap w:val="0"/>
                  <w:vAlign w:val="center"/>
                </w:tcPr>
                <w:p w14:paraId="0FE6FFA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4</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14:paraId="43579A6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安装隔声罩、基础减震</w:t>
                  </w:r>
                </w:p>
              </w:tc>
              <w:tc>
                <w:tcPr>
                  <w:tcW w:w="524" w:type="pct"/>
                  <w:tcBorders>
                    <w:tl2br w:val="nil"/>
                    <w:tr2bl w:val="nil"/>
                  </w:tcBorders>
                  <w:noWrap w:val="0"/>
                  <w:vAlign w:val="center"/>
                </w:tcPr>
                <w:p w14:paraId="4C69716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110</w:t>
                  </w:r>
                </w:p>
              </w:tc>
              <w:tc>
                <w:tcPr>
                  <w:tcW w:w="638" w:type="pct"/>
                  <w:tcBorders>
                    <w:tl2br w:val="nil"/>
                    <w:tr2bl w:val="nil"/>
                  </w:tcBorders>
                  <w:noWrap w:val="0"/>
                  <w:vAlign w:val="center"/>
                </w:tcPr>
                <w:p w14:paraId="2B43108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90</w:t>
                  </w:r>
                </w:p>
              </w:tc>
              <w:tc>
                <w:tcPr>
                  <w:tcW w:w="700" w:type="pct"/>
                  <w:vMerge w:val="restart"/>
                  <w:tcBorders>
                    <w:tl2br w:val="nil"/>
                    <w:tr2bl w:val="nil"/>
                  </w:tcBorders>
                  <w:noWrap w:val="0"/>
                  <w:vAlign w:val="center"/>
                </w:tcPr>
                <w:p w14:paraId="698B33A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连续稳态声源，以低频噪声为主，具有波长较长，方向性弱，衰减小时缓慢等特点。</w:t>
                  </w:r>
                </w:p>
              </w:tc>
              <w:tc>
                <w:tcPr>
                  <w:tcW w:w="312" w:type="pct"/>
                  <w:vMerge w:val="restart"/>
                  <w:tcBorders>
                    <w:tl2br w:val="nil"/>
                    <w:tr2bl w:val="nil"/>
                  </w:tcBorders>
                  <w:noWrap w:val="0"/>
                  <w:vAlign w:val="center"/>
                </w:tcPr>
                <w:p w14:paraId="7F66AC8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施工结束后噪声即消失</w:t>
                  </w:r>
                </w:p>
              </w:tc>
            </w:tr>
            <w:tr w14:paraId="68BE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595" w:type="dxa"/>
                  <w:tcBorders>
                    <w:tl2br w:val="nil"/>
                    <w:tr2bl w:val="nil"/>
                  </w:tcBorders>
                  <w:noWrap w:val="0"/>
                  <w:vAlign w:val="center"/>
                </w:tcPr>
                <w:p w14:paraId="1CCE98F6">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燃气</w:t>
                  </w:r>
                  <w:r>
                    <w:rPr>
                      <w:rFonts w:hint="eastAsia" w:ascii="Times New Roman" w:hAnsi="Times New Roman" w:eastAsia="宋体" w:cs="Times New Roman"/>
                      <w:b w:val="0"/>
                      <w:bCs w:val="0"/>
                      <w:snapToGrid w:val="0"/>
                      <w:color w:val="auto"/>
                      <w:kern w:val="0"/>
                      <w:sz w:val="21"/>
                      <w:szCs w:val="21"/>
                      <w:lang w:val="en-US" w:eastAsia="zh-CN" w:bidi="ar-SA"/>
                    </w:rPr>
                    <w:t>发电机</w:t>
                  </w:r>
                </w:p>
              </w:tc>
              <w:tc>
                <w:tcPr>
                  <w:tcW w:w="750" w:type="dxa"/>
                  <w:tcBorders>
                    <w:tl2br w:val="nil"/>
                    <w:tr2bl w:val="nil"/>
                  </w:tcBorders>
                  <w:noWrap w:val="0"/>
                  <w:vAlign w:val="center"/>
                </w:tcPr>
                <w:p w14:paraId="7341426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eastAsia"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16</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2428" w:type="dxa"/>
                  <w:tcBorders>
                    <w:tl2br w:val="nil"/>
                    <w:tr2bl w:val="nil"/>
                  </w:tcBorders>
                  <w:noWrap w:val="0"/>
                  <w:vAlign w:val="center"/>
                </w:tcPr>
                <w:p w14:paraId="1914472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安装隔声罩、基础减震</w:t>
                  </w:r>
                </w:p>
              </w:tc>
              <w:tc>
                <w:tcPr>
                  <w:tcW w:w="886" w:type="dxa"/>
                  <w:tcBorders>
                    <w:tl2br w:val="nil"/>
                    <w:tr2bl w:val="nil"/>
                  </w:tcBorders>
                  <w:noWrap w:val="0"/>
                  <w:vAlign w:val="center"/>
                </w:tcPr>
                <w:p w14:paraId="674F6B1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100</w:t>
                  </w:r>
                </w:p>
              </w:tc>
              <w:tc>
                <w:tcPr>
                  <w:tcW w:w="1080" w:type="dxa"/>
                  <w:tcBorders>
                    <w:tl2br w:val="nil"/>
                    <w:tr2bl w:val="nil"/>
                  </w:tcBorders>
                  <w:noWrap w:val="0"/>
                  <w:vAlign w:val="center"/>
                </w:tcPr>
                <w:p w14:paraId="038CED25">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80</w:t>
                  </w:r>
                </w:p>
              </w:tc>
              <w:tc>
                <w:tcPr>
                  <w:tcW w:w="700" w:type="pct"/>
                  <w:vMerge w:val="continue"/>
                  <w:tcBorders>
                    <w:tl2br w:val="nil"/>
                    <w:tr2bl w:val="nil"/>
                  </w:tcBorders>
                  <w:noWrap w:val="0"/>
                  <w:vAlign w:val="center"/>
                </w:tcPr>
                <w:p w14:paraId="629DF42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360BCDF6">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0960A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5358A88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钻机</w:t>
                  </w:r>
                </w:p>
              </w:tc>
              <w:tc>
                <w:tcPr>
                  <w:tcW w:w="443" w:type="pct"/>
                  <w:tcBorders>
                    <w:tl2br w:val="nil"/>
                    <w:tr2bl w:val="nil"/>
                  </w:tcBorders>
                  <w:noWrap w:val="0"/>
                  <w:vAlign w:val="center"/>
                </w:tcPr>
                <w:p w14:paraId="1C4644F1">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tcBorders>
                    <w:tl2br w:val="nil"/>
                    <w:tr2bl w:val="nil"/>
                  </w:tcBorders>
                  <w:noWrap w:val="0"/>
                  <w:vAlign w:val="center"/>
                </w:tcPr>
                <w:p w14:paraId="7931CC1D">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采用吸声合金、外壳设置泡沫吸震套</w:t>
                  </w:r>
                </w:p>
              </w:tc>
              <w:tc>
                <w:tcPr>
                  <w:tcW w:w="524" w:type="pct"/>
                  <w:tcBorders>
                    <w:tl2br w:val="nil"/>
                    <w:tr2bl w:val="nil"/>
                  </w:tcBorders>
                  <w:noWrap w:val="0"/>
                  <w:vAlign w:val="center"/>
                </w:tcPr>
                <w:p w14:paraId="234D6A05">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95</w:t>
                  </w:r>
                </w:p>
              </w:tc>
              <w:tc>
                <w:tcPr>
                  <w:tcW w:w="638" w:type="pct"/>
                  <w:tcBorders>
                    <w:tl2br w:val="nil"/>
                    <w:tr2bl w:val="nil"/>
                  </w:tcBorders>
                  <w:noWrap w:val="0"/>
                  <w:vAlign w:val="center"/>
                </w:tcPr>
                <w:p w14:paraId="569891C5">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75</w:t>
                  </w:r>
                </w:p>
              </w:tc>
              <w:tc>
                <w:tcPr>
                  <w:tcW w:w="700" w:type="pct"/>
                  <w:vMerge w:val="continue"/>
                  <w:tcBorders>
                    <w:tl2br w:val="nil"/>
                    <w:tr2bl w:val="nil"/>
                  </w:tcBorders>
                  <w:noWrap w:val="0"/>
                  <w:vAlign w:val="center"/>
                </w:tcPr>
                <w:p w14:paraId="06ADB8F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6D11D14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217F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391083F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钻井泵</w:t>
                  </w:r>
                </w:p>
              </w:tc>
              <w:tc>
                <w:tcPr>
                  <w:tcW w:w="443" w:type="pct"/>
                  <w:tcBorders>
                    <w:tl2br w:val="nil"/>
                    <w:tr2bl w:val="nil"/>
                  </w:tcBorders>
                  <w:noWrap w:val="0"/>
                  <w:vAlign w:val="center"/>
                </w:tcPr>
                <w:p w14:paraId="3E1A537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3台</w:t>
                  </w:r>
                </w:p>
              </w:tc>
              <w:tc>
                <w:tcPr>
                  <w:tcW w:w="1436" w:type="pct"/>
                  <w:tcBorders>
                    <w:tl2br w:val="nil"/>
                    <w:tr2bl w:val="nil"/>
                  </w:tcBorders>
                  <w:noWrap w:val="0"/>
                  <w:vAlign w:val="center"/>
                </w:tcPr>
                <w:p w14:paraId="6AD35795">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基础减震</w:t>
                  </w:r>
                </w:p>
              </w:tc>
              <w:tc>
                <w:tcPr>
                  <w:tcW w:w="524" w:type="pct"/>
                  <w:tcBorders>
                    <w:tl2br w:val="nil"/>
                    <w:tr2bl w:val="nil"/>
                  </w:tcBorders>
                  <w:shd w:val="clear" w:color="auto" w:fill="auto"/>
                  <w:noWrap w:val="0"/>
                  <w:vAlign w:val="center"/>
                </w:tcPr>
                <w:p w14:paraId="7DA2DA0D">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2AA4D9E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700" w:type="pct"/>
                  <w:vMerge w:val="continue"/>
                  <w:tcBorders>
                    <w:tl2br w:val="nil"/>
                    <w:tr2bl w:val="nil"/>
                  </w:tcBorders>
                  <w:noWrap w:val="0"/>
                  <w:vAlign w:val="center"/>
                </w:tcPr>
                <w:p w14:paraId="42CF1C0D">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63165446">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250B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0635834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泥浆泵</w:t>
                  </w:r>
                </w:p>
              </w:tc>
              <w:tc>
                <w:tcPr>
                  <w:tcW w:w="443" w:type="pct"/>
                  <w:tcBorders>
                    <w:tl2br w:val="nil"/>
                    <w:tr2bl w:val="nil"/>
                  </w:tcBorders>
                  <w:noWrap w:val="0"/>
                  <w:vAlign w:val="center"/>
                </w:tcPr>
                <w:p w14:paraId="645CC06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2</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14:paraId="31D72B4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14:paraId="61E8F93D">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noWrap w:val="0"/>
                  <w:vAlign w:val="center"/>
                </w:tcPr>
                <w:p w14:paraId="757A0D9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700" w:type="pct"/>
                  <w:vMerge w:val="continue"/>
                  <w:tcBorders>
                    <w:tl2br w:val="nil"/>
                    <w:tr2bl w:val="nil"/>
                  </w:tcBorders>
                  <w:noWrap w:val="0"/>
                  <w:vAlign w:val="center"/>
                </w:tcPr>
                <w:p w14:paraId="158DFB6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1BBD107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353F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2E108591">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振动筛</w:t>
                  </w:r>
                </w:p>
              </w:tc>
              <w:tc>
                <w:tcPr>
                  <w:tcW w:w="443" w:type="pct"/>
                  <w:tcBorders>
                    <w:tl2br w:val="nil"/>
                    <w:tr2bl w:val="nil"/>
                  </w:tcBorders>
                  <w:noWrap w:val="0"/>
                  <w:vAlign w:val="center"/>
                </w:tcPr>
                <w:p w14:paraId="538879F7">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3</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tcBorders>
                    <w:tl2br w:val="nil"/>
                    <w:tr2bl w:val="nil"/>
                  </w:tcBorders>
                  <w:noWrap w:val="0"/>
                  <w:vAlign w:val="center"/>
                </w:tcPr>
                <w:p w14:paraId="212541CE">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14:paraId="5CD81D0B">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80</w:t>
                  </w:r>
                </w:p>
              </w:tc>
              <w:tc>
                <w:tcPr>
                  <w:tcW w:w="638" w:type="pct"/>
                  <w:tcBorders>
                    <w:tl2br w:val="nil"/>
                    <w:tr2bl w:val="nil"/>
                  </w:tcBorders>
                  <w:noWrap w:val="0"/>
                  <w:vAlign w:val="center"/>
                </w:tcPr>
                <w:p w14:paraId="6B32593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0AD4BEC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64036FC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3BD2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384253A3">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绞车</w:t>
                  </w:r>
                </w:p>
              </w:tc>
              <w:tc>
                <w:tcPr>
                  <w:tcW w:w="443" w:type="pct"/>
                  <w:tcBorders>
                    <w:tl2br w:val="nil"/>
                    <w:tr2bl w:val="nil"/>
                  </w:tcBorders>
                  <w:noWrap w:val="0"/>
                  <w:vAlign w:val="center"/>
                </w:tcPr>
                <w:p w14:paraId="5EB88A83">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tcBorders>
                    <w:tl2br w:val="nil"/>
                    <w:tr2bl w:val="nil"/>
                  </w:tcBorders>
                  <w:noWrap w:val="0"/>
                  <w:vAlign w:val="center"/>
                </w:tcPr>
                <w:p w14:paraId="7392E088">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加衬弹性垫料，基础减震</w:t>
                  </w:r>
                </w:p>
              </w:tc>
              <w:tc>
                <w:tcPr>
                  <w:tcW w:w="524" w:type="pct"/>
                  <w:tcBorders>
                    <w:tl2br w:val="nil"/>
                    <w:tr2bl w:val="nil"/>
                  </w:tcBorders>
                  <w:noWrap w:val="0"/>
                  <w:vAlign w:val="center"/>
                </w:tcPr>
                <w:p w14:paraId="7F93ECD9">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noWrap w:val="0"/>
                  <w:vAlign w:val="center"/>
                </w:tcPr>
                <w:p w14:paraId="4E10959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53CFB13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1C02BDD8">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17DE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noWrap w:val="0"/>
                  <w:vAlign w:val="center"/>
                </w:tcPr>
                <w:p w14:paraId="5971E56B">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除砂除泥一体机</w:t>
                  </w:r>
                </w:p>
              </w:tc>
              <w:tc>
                <w:tcPr>
                  <w:tcW w:w="443" w:type="pct"/>
                  <w:tcBorders>
                    <w:tl2br w:val="nil"/>
                    <w:tr2bl w:val="nil"/>
                  </w:tcBorders>
                  <w:noWrap w:val="0"/>
                  <w:vAlign w:val="center"/>
                </w:tcPr>
                <w:p w14:paraId="0D165ADF">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restart"/>
                  <w:tcBorders>
                    <w:tl2br w:val="nil"/>
                    <w:tr2bl w:val="nil"/>
                  </w:tcBorders>
                  <w:noWrap w:val="0"/>
                  <w:vAlign w:val="center"/>
                </w:tcPr>
                <w:p w14:paraId="0BB68D8A">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基础减震</w:t>
                  </w:r>
                </w:p>
              </w:tc>
              <w:tc>
                <w:tcPr>
                  <w:tcW w:w="524" w:type="pct"/>
                  <w:tcBorders>
                    <w:tl2br w:val="nil"/>
                    <w:tr2bl w:val="nil"/>
                  </w:tcBorders>
                  <w:shd w:val="clear" w:color="auto" w:fill="auto"/>
                  <w:noWrap w:val="0"/>
                  <w:vAlign w:val="center"/>
                </w:tcPr>
                <w:p w14:paraId="3A15D34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2F305F61">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60FF4273">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50552FAA">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7936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14:paraId="1B0CFCF1">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高速</w:t>
                  </w:r>
                  <w:r>
                    <w:rPr>
                      <w:rFonts w:hint="default" w:ascii="Times New Roman" w:hAnsi="Times New Roman" w:eastAsia="宋体" w:cs="Times New Roman"/>
                      <w:color w:val="auto"/>
                      <w:spacing w:val="0"/>
                      <w:sz w:val="21"/>
                      <w:szCs w:val="21"/>
                      <w:highlight w:val="none"/>
                      <w:lang w:val="en-US" w:eastAsia="zh-CN"/>
                    </w:rPr>
                    <w:t>离心机</w:t>
                  </w:r>
                </w:p>
              </w:tc>
              <w:tc>
                <w:tcPr>
                  <w:tcW w:w="443" w:type="pct"/>
                  <w:tcBorders>
                    <w:tl2br w:val="nil"/>
                    <w:tr2bl w:val="nil"/>
                  </w:tcBorders>
                  <w:noWrap w:val="0"/>
                  <w:vAlign w:val="center"/>
                </w:tcPr>
                <w:p w14:paraId="447C0D07">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14:paraId="3507ABC9">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14:paraId="4446890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73CD22C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3B0A1A7F">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1AF00E0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3D2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14:paraId="06A4D239">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中低速</w:t>
                  </w:r>
                  <w:r>
                    <w:rPr>
                      <w:rFonts w:hint="default" w:ascii="Times New Roman" w:hAnsi="Times New Roman" w:eastAsia="宋体" w:cs="Times New Roman"/>
                      <w:color w:val="auto"/>
                      <w:spacing w:val="0"/>
                      <w:sz w:val="21"/>
                      <w:szCs w:val="21"/>
                      <w:highlight w:val="none"/>
                      <w:lang w:val="en-US" w:eastAsia="zh-CN"/>
                    </w:rPr>
                    <w:t>离心机</w:t>
                  </w:r>
                </w:p>
              </w:tc>
              <w:tc>
                <w:tcPr>
                  <w:tcW w:w="443" w:type="pct"/>
                  <w:tcBorders>
                    <w:tl2br w:val="nil"/>
                    <w:tr2bl w:val="nil"/>
                  </w:tcBorders>
                  <w:noWrap w:val="0"/>
                  <w:vAlign w:val="center"/>
                </w:tcPr>
                <w:p w14:paraId="21EAD602">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14:paraId="3D7F1574">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14:paraId="27280EB4">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5662B02B">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05236BC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75999F5C">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6998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14:paraId="3E35C3FC">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剪切泵</w:t>
                  </w:r>
                </w:p>
              </w:tc>
              <w:tc>
                <w:tcPr>
                  <w:tcW w:w="443" w:type="pct"/>
                  <w:tcBorders>
                    <w:tl2br w:val="nil"/>
                    <w:tr2bl w:val="nil"/>
                  </w:tcBorders>
                  <w:noWrap w:val="0"/>
                  <w:vAlign w:val="center"/>
                </w:tcPr>
                <w:p w14:paraId="07F1858A">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1台</w:t>
                  </w:r>
                </w:p>
              </w:tc>
              <w:tc>
                <w:tcPr>
                  <w:tcW w:w="1436" w:type="pct"/>
                  <w:vMerge w:val="continue"/>
                  <w:tcBorders>
                    <w:tl2br w:val="nil"/>
                    <w:tr2bl w:val="nil"/>
                  </w:tcBorders>
                  <w:noWrap w:val="0"/>
                  <w:vAlign w:val="center"/>
                </w:tcPr>
                <w:p w14:paraId="667A08DD">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14:paraId="5C325651">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6727B9F7">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44336E88">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0980E682">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r w14:paraId="7F6D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pct"/>
                  <w:tcBorders>
                    <w:tl2br w:val="nil"/>
                    <w:tr2bl w:val="nil"/>
                  </w:tcBorders>
                  <w:shd w:val="clear" w:color="auto" w:fill="auto"/>
                  <w:noWrap w:val="0"/>
                  <w:vAlign w:val="center"/>
                </w:tcPr>
                <w:p w14:paraId="1A4304D6">
                  <w:pPr>
                    <w:keepNext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加重泵</w:t>
                  </w:r>
                </w:p>
              </w:tc>
              <w:tc>
                <w:tcPr>
                  <w:tcW w:w="443" w:type="pct"/>
                  <w:tcBorders>
                    <w:tl2br w:val="nil"/>
                    <w:tr2bl w:val="nil"/>
                  </w:tcBorders>
                  <w:noWrap w:val="0"/>
                  <w:vAlign w:val="center"/>
                </w:tcPr>
                <w:p w14:paraId="134B12C9">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2</w:t>
                  </w:r>
                  <w:r>
                    <w:rPr>
                      <w:rFonts w:hint="default" w:ascii="Times New Roman" w:hAnsi="Times New Roman" w:eastAsia="宋体" w:cs="Times New Roman"/>
                      <w:b w:val="0"/>
                      <w:bCs w:val="0"/>
                      <w:snapToGrid w:val="0"/>
                      <w:color w:val="auto"/>
                      <w:kern w:val="0"/>
                      <w:sz w:val="21"/>
                      <w:szCs w:val="21"/>
                      <w:lang w:val="en-US" w:eastAsia="zh-CN" w:bidi="ar-SA"/>
                    </w:rPr>
                    <w:t>台</w:t>
                  </w:r>
                </w:p>
              </w:tc>
              <w:tc>
                <w:tcPr>
                  <w:tcW w:w="1436" w:type="pct"/>
                  <w:vMerge w:val="continue"/>
                  <w:tcBorders>
                    <w:tl2br w:val="nil"/>
                    <w:tr2bl w:val="nil"/>
                  </w:tcBorders>
                  <w:noWrap w:val="0"/>
                  <w:vAlign w:val="center"/>
                </w:tcPr>
                <w:p w14:paraId="66CD2F70">
                  <w:pPr>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524" w:type="pct"/>
                  <w:tcBorders>
                    <w:tl2br w:val="nil"/>
                    <w:tr2bl w:val="nil"/>
                  </w:tcBorders>
                  <w:shd w:val="clear" w:color="auto" w:fill="auto"/>
                  <w:noWrap w:val="0"/>
                  <w:vAlign w:val="center"/>
                </w:tcPr>
                <w:p w14:paraId="6325C225">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85</w:t>
                  </w:r>
                </w:p>
              </w:tc>
              <w:tc>
                <w:tcPr>
                  <w:tcW w:w="638" w:type="pct"/>
                  <w:tcBorders>
                    <w:tl2br w:val="nil"/>
                    <w:tr2bl w:val="nil"/>
                  </w:tcBorders>
                  <w:shd w:val="clear" w:color="auto" w:fill="auto"/>
                  <w:noWrap w:val="0"/>
                  <w:vAlign w:val="center"/>
                </w:tcPr>
                <w:p w14:paraId="15F5646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65</w:t>
                  </w:r>
                </w:p>
              </w:tc>
              <w:tc>
                <w:tcPr>
                  <w:tcW w:w="700" w:type="pct"/>
                  <w:vMerge w:val="continue"/>
                  <w:tcBorders>
                    <w:tl2br w:val="nil"/>
                    <w:tr2bl w:val="nil"/>
                  </w:tcBorders>
                  <w:noWrap w:val="0"/>
                  <w:vAlign w:val="center"/>
                </w:tcPr>
                <w:p w14:paraId="1C753870">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312" w:type="pct"/>
                  <w:vMerge w:val="continue"/>
                  <w:tcBorders>
                    <w:tl2br w:val="nil"/>
                    <w:tr2bl w:val="nil"/>
                  </w:tcBorders>
                  <w:noWrap w:val="0"/>
                  <w:vAlign w:val="center"/>
                </w:tcPr>
                <w:p w14:paraId="6FEFFB1E">
                  <w:pPr>
                    <w:pStyle w:val="81"/>
                    <w:keepNext w:val="0"/>
                    <w:keepLines w:val="0"/>
                    <w:pageBreakBefore w:val="0"/>
                    <w:widowControl/>
                    <w:kinsoku/>
                    <w:wordWrap/>
                    <w:overflowPunct/>
                    <w:topLinePunct w:val="0"/>
                    <w:autoSpaceDE/>
                    <w:autoSpaceDN/>
                    <w:bidi w:val="0"/>
                    <w:adjustRightInd w:val="0"/>
                    <w:snapToGrid w:val="0"/>
                    <w:spacing w:line="240" w:lineRule="auto"/>
                    <w:ind w:right="0" w:rightChars="0"/>
                    <w:textAlignment w:val="auto"/>
                    <w:rPr>
                      <w:rFonts w:hint="default" w:ascii="Times New Roman" w:hAnsi="Times New Roman" w:eastAsia="宋体" w:cs="Times New Roman"/>
                      <w:b w:val="0"/>
                      <w:bCs w:val="0"/>
                      <w:snapToGrid w:val="0"/>
                      <w:color w:val="auto"/>
                      <w:kern w:val="0"/>
                      <w:sz w:val="21"/>
                      <w:szCs w:val="21"/>
                      <w:lang w:val="en-US" w:eastAsia="zh-CN" w:bidi="ar-SA"/>
                    </w:rPr>
                  </w:pPr>
                </w:p>
              </w:tc>
            </w:tr>
          </w:tbl>
          <w:p w14:paraId="4F0A93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在不考虑声传播过程中屏障隔声、空气吸收、地面效应的前提下，利用点声源衰减模式，对噪声影响的范围进行计算，结果见表4-</w:t>
            </w:r>
            <w:r>
              <w:rPr>
                <w:rFonts w:hint="eastAsia" w:cs="Times New Roman"/>
                <w:color w:val="auto"/>
                <w:sz w:val="24"/>
                <w:highlight w:val="none"/>
                <w:lang w:val="en-US" w:eastAsia="zh-CN" w:bidi="ar"/>
              </w:rPr>
              <w:t>3</w:t>
            </w:r>
            <w:r>
              <w:rPr>
                <w:rFonts w:hint="default" w:ascii="Times New Roman" w:hAnsi="Times New Roman" w:eastAsia="宋体" w:cs="Times New Roman"/>
                <w:color w:val="auto"/>
                <w:sz w:val="24"/>
                <w:highlight w:val="none"/>
                <w:lang w:val="en-US" w:eastAsia="zh-CN" w:bidi="ar"/>
              </w:rPr>
              <w:t>。</w:t>
            </w:r>
          </w:p>
          <w:p w14:paraId="6FD9A1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根据本项目施工期间主要噪声源的特征，可采用点声源距离衰减公式对主要声源产生声环境质量影响进行预测，具体公式如下：</w:t>
            </w:r>
          </w:p>
          <w:p w14:paraId="05ECB509">
            <w:pPr>
              <w:pStyle w:val="78"/>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LA</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=LA</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vertAlign w:val="baseline"/>
                <w:lang w:eastAsia="zh-CN"/>
              </w:rPr>
              <w:t>)</w:t>
            </w:r>
            <w:r>
              <w:rPr>
                <w:rFonts w:hint="default" w:ascii="Times New Roman" w:hAnsi="Times New Roman" w:eastAsia="宋体" w:cs="Times New Roman"/>
                <w:color w:val="auto"/>
                <w:kern w:val="2"/>
                <w:sz w:val="24"/>
                <w:szCs w:val="24"/>
                <w:vertAlign w:val="subscript"/>
                <w:lang w:eastAsia="zh-CN"/>
              </w:rPr>
              <w:t>-</w:t>
            </w:r>
            <w:r>
              <w:rPr>
                <w:rFonts w:hint="default" w:ascii="Times New Roman" w:hAnsi="Times New Roman" w:eastAsia="宋体" w:cs="Times New Roman"/>
                <w:color w:val="auto"/>
                <w:kern w:val="2"/>
                <w:sz w:val="24"/>
                <w:szCs w:val="24"/>
              </w:rPr>
              <w:t>20lg</w:t>
            </w:r>
            <w:r>
              <w:rPr>
                <w:rFonts w:hint="default" w:ascii="Times New Roman" w:hAnsi="Times New Roman" w:eastAsia="宋体" w:cs="Times New Roman"/>
                <w:color w:val="auto"/>
                <w:kern w:val="2"/>
                <w:sz w:val="24"/>
                <w:szCs w:val="24"/>
                <w:lang w:eastAsia="zh-CN"/>
              </w:rPr>
              <w:t>(</w:t>
            </w:r>
            <w:r>
              <w:rPr>
                <w:rFonts w:hint="default" w:ascii="Times New Roman" w:hAnsi="Times New Roman" w:eastAsia="宋体" w:cs="Times New Roman"/>
                <w:color w:val="auto"/>
                <w:kern w:val="2"/>
                <w:sz w:val="24"/>
                <w:szCs w:val="24"/>
              </w:rPr>
              <w:t>r/r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vertAlign w:val="baseline"/>
                <w:lang w:eastAsia="zh-CN"/>
              </w:rPr>
              <w:t>)</w:t>
            </w:r>
          </w:p>
          <w:p w14:paraId="21B4E322">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式中：LA（r）——距声源r处的A声级，dB（A）；</w:t>
            </w:r>
          </w:p>
          <w:p w14:paraId="5B5D2471">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LA（r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）——参考位置r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处的A声级，dB（A）；</w:t>
            </w:r>
          </w:p>
          <w:p w14:paraId="6AF1B217">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r——预测点距离声源的距离，m；</w:t>
            </w:r>
          </w:p>
          <w:p w14:paraId="128D5343">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r</w:t>
            </w:r>
            <w:r>
              <w:rPr>
                <w:rFonts w:hint="default" w:ascii="Times New Roman" w:hAnsi="Times New Roman" w:eastAsia="宋体" w:cs="Times New Roman"/>
                <w:color w:val="auto"/>
                <w:kern w:val="2"/>
                <w:sz w:val="24"/>
                <w:szCs w:val="24"/>
                <w:vertAlign w:val="subscript"/>
              </w:rPr>
              <w:t>0</w:t>
            </w:r>
            <w:r>
              <w:rPr>
                <w:rFonts w:hint="default" w:ascii="Times New Roman" w:hAnsi="Times New Roman" w:eastAsia="宋体" w:cs="Times New Roman"/>
                <w:color w:val="auto"/>
                <w:kern w:val="2"/>
                <w:sz w:val="24"/>
                <w:szCs w:val="24"/>
              </w:rPr>
              <w:t>——参考位置距离声源的距离，m。</w:t>
            </w:r>
          </w:p>
          <w:p w14:paraId="55446803">
            <w:pPr>
              <w:pStyle w:val="78"/>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rPr>
              <w:t>施工设备噪声的距离衰减情况见下表</w:t>
            </w:r>
            <w:r>
              <w:rPr>
                <w:rFonts w:hint="default" w:ascii="Times New Roman" w:hAnsi="Times New Roman" w:eastAsia="宋体" w:cs="Times New Roman"/>
                <w:color w:val="auto"/>
                <w:kern w:val="2"/>
                <w:sz w:val="24"/>
                <w:szCs w:val="24"/>
                <w:lang w:eastAsia="zh-CN"/>
              </w:rPr>
              <w:t>。</w:t>
            </w:r>
          </w:p>
          <w:p w14:paraId="4F94E467">
            <w:pPr>
              <w:pStyle w:val="79"/>
              <w:keepNext w:val="0"/>
              <w:keepLines w:val="0"/>
              <w:pageBreakBefore w:val="0"/>
              <w:widowControl/>
              <w:kinsoku/>
              <w:wordWrap/>
              <w:overflowPunct/>
              <w:topLinePunct w:val="0"/>
              <w:autoSpaceDE/>
              <w:autoSpaceDN/>
              <w:bidi w:val="0"/>
              <w:adjustRightInd/>
              <w:snapToGrid/>
              <w:spacing w:line="480" w:lineRule="exact"/>
              <w:ind w:lef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5</w:t>
            </w:r>
            <w:r>
              <w:rPr>
                <w:rFonts w:hint="default" w:ascii="Times New Roman" w:hAnsi="Times New Roman" w:eastAsia="宋体" w:cs="Times New Roman"/>
                <w:b/>
                <w:bCs/>
                <w:color w:val="auto"/>
                <w:sz w:val="21"/>
                <w:szCs w:val="21"/>
                <w:lang w:val="en-US" w:eastAsia="zh-CN"/>
              </w:rPr>
              <w:t xml:space="preserve">   施工设备噪声衰减结果表（单位/dB（A））</w:t>
            </w:r>
          </w:p>
          <w:tbl>
            <w:tblPr>
              <w:tblStyle w:val="3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12"/>
              <w:gridCol w:w="312"/>
              <w:gridCol w:w="1015"/>
              <w:gridCol w:w="3244"/>
              <w:gridCol w:w="785"/>
              <w:gridCol w:w="832"/>
              <w:gridCol w:w="480"/>
              <w:gridCol w:w="480"/>
              <w:gridCol w:w="490"/>
              <w:gridCol w:w="492"/>
            </w:tblGrid>
            <w:tr w14:paraId="75206E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vMerge w:val="restart"/>
                  <w:noWrap/>
                  <w:vAlign w:val="center"/>
                </w:tcPr>
                <w:p w14:paraId="6538CF8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序号</w:t>
                  </w:r>
                </w:p>
              </w:tc>
              <w:tc>
                <w:tcPr>
                  <w:tcW w:w="785" w:type="pct"/>
                  <w:gridSpan w:val="2"/>
                  <w:vMerge w:val="restart"/>
                  <w:noWrap/>
                  <w:vAlign w:val="center"/>
                </w:tcPr>
                <w:p w14:paraId="78509D8A">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站场</w:t>
                  </w:r>
                </w:p>
              </w:tc>
              <w:tc>
                <w:tcPr>
                  <w:tcW w:w="1921" w:type="pct"/>
                  <w:vMerge w:val="restart"/>
                  <w:noWrap/>
                  <w:vAlign w:val="center"/>
                </w:tcPr>
                <w:p w14:paraId="6AA911D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采取的措施</w:t>
                  </w:r>
                </w:p>
              </w:tc>
              <w:tc>
                <w:tcPr>
                  <w:tcW w:w="957" w:type="pct"/>
                  <w:gridSpan w:val="2"/>
                  <w:noWrap/>
                  <w:vAlign w:val="center"/>
                </w:tcPr>
                <w:p w14:paraId="25BF431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噪声贡献值</w:t>
                  </w:r>
                  <w:r>
                    <w:rPr>
                      <w:rFonts w:hint="default" w:ascii="Times New Roman" w:hAnsi="Times New Roman" w:eastAsia="宋体" w:cs="Times New Roman"/>
                      <w:b w:val="0"/>
                      <w:bCs w:val="0"/>
                      <w:snapToGrid w:val="0"/>
                      <w:color w:val="auto"/>
                      <w:kern w:val="0"/>
                      <w:sz w:val="21"/>
                      <w:szCs w:val="21"/>
                      <w:lang w:val="en-US" w:eastAsia="zh-CN" w:bidi="ar-SA"/>
                    </w:rPr>
                    <w:t>/dB(A)</w:t>
                  </w:r>
                </w:p>
              </w:tc>
              <w:tc>
                <w:tcPr>
                  <w:tcW w:w="568" w:type="pct"/>
                  <w:gridSpan w:val="2"/>
                  <w:noWrap/>
                  <w:vAlign w:val="center"/>
                </w:tcPr>
                <w:p w14:paraId="430F05A9">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噪声标准</w:t>
                  </w:r>
                  <w:r>
                    <w:rPr>
                      <w:rFonts w:hint="default" w:ascii="Times New Roman" w:hAnsi="Times New Roman" w:eastAsia="宋体" w:cs="Times New Roman"/>
                      <w:b w:val="0"/>
                      <w:bCs w:val="0"/>
                      <w:snapToGrid w:val="0"/>
                      <w:color w:val="auto"/>
                      <w:kern w:val="0"/>
                      <w:sz w:val="21"/>
                      <w:szCs w:val="21"/>
                      <w:lang w:val="en-US" w:eastAsia="zh-CN" w:bidi="ar-SA"/>
                    </w:rPr>
                    <w:t>/dB(A)</w:t>
                  </w:r>
                </w:p>
              </w:tc>
              <w:tc>
                <w:tcPr>
                  <w:tcW w:w="581" w:type="pct"/>
                  <w:gridSpan w:val="2"/>
                  <w:noWrap/>
                  <w:vAlign w:val="center"/>
                </w:tcPr>
                <w:p w14:paraId="68C5B71E">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超标和达标情况</w:t>
                  </w:r>
                </w:p>
              </w:tc>
            </w:tr>
            <w:tr w14:paraId="1B2471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vMerge w:val="continue"/>
                  <w:noWrap/>
                  <w:vAlign w:val="center"/>
                </w:tcPr>
                <w:p w14:paraId="378A119A">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785" w:type="pct"/>
                  <w:gridSpan w:val="2"/>
                  <w:vMerge w:val="continue"/>
                  <w:noWrap/>
                  <w:vAlign w:val="center"/>
                </w:tcPr>
                <w:p w14:paraId="5DC6648E">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1921" w:type="pct"/>
                  <w:vMerge w:val="continue"/>
                  <w:noWrap/>
                  <w:vAlign w:val="center"/>
                </w:tcPr>
                <w:p w14:paraId="0690E60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464" w:type="pct"/>
                  <w:noWrap/>
                  <w:vAlign w:val="center"/>
                </w:tcPr>
                <w:p w14:paraId="43065D2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492" w:type="pct"/>
                  <w:noWrap/>
                  <w:vAlign w:val="center"/>
                </w:tcPr>
                <w:p w14:paraId="347D06E5">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c>
                <w:tcPr>
                  <w:tcW w:w="284" w:type="pct"/>
                  <w:noWrap/>
                  <w:vAlign w:val="center"/>
                </w:tcPr>
                <w:p w14:paraId="0F7531EC">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284" w:type="pct"/>
                  <w:noWrap/>
                  <w:vAlign w:val="center"/>
                </w:tcPr>
                <w:p w14:paraId="74DD09EF">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c>
                <w:tcPr>
                  <w:tcW w:w="290" w:type="pct"/>
                  <w:noWrap/>
                  <w:vAlign w:val="center"/>
                </w:tcPr>
                <w:p w14:paraId="08A4CC06">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昼间</w:t>
                  </w:r>
                </w:p>
              </w:tc>
              <w:tc>
                <w:tcPr>
                  <w:tcW w:w="291" w:type="pct"/>
                  <w:noWrap/>
                  <w:vAlign w:val="center"/>
                </w:tcPr>
                <w:p w14:paraId="0EB553F2">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夜间</w:t>
                  </w:r>
                </w:p>
              </w:tc>
            </w:tr>
            <w:tr w14:paraId="79872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noWrap/>
                  <w:vAlign w:val="center"/>
                </w:tcPr>
                <w:p w14:paraId="1BED4310">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1</w:t>
                  </w:r>
                </w:p>
              </w:tc>
              <w:tc>
                <w:tcPr>
                  <w:tcW w:w="184" w:type="pct"/>
                  <w:vMerge w:val="restart"/>
                  <w:noWrap/>
                  <w:vAlign w:val="center"/>
                </w:tcPr>
                <w:p w14:paraId="7E96D79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井场</w:t>
                  </w:r>
                </w:p>
              </w:tc>
              <w:tc>
                <w:tcPr>
                  <w:tcW w:w="601" w:type="pct"/>
                  <w:noWrap/>
                  <w:vAlign w:val="center"/>
                </w:tcPr>
                <w:p w14:paraId="45CA4859">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东场界</w:t>
                  </w:r>
                </w:p>
              </w:tc>
              <w:tc>
                <w:tcPr>
                  <w:tcW w:w="1921" w:type="pct"/>
                  <w:vMerge w:val="restart"/>
                  <w:noWrap/>
                  <w:vAlign w:val="center"/>
                </w:tcPr>
                <w:p w14:paraId="5CD660AC">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设备定期保养维护、基础减振等措施</w:t>
                  </w:r>
                  <w:r>
                    <w:rPr>
                      <w:rFonts w:hint="eastAsia" w:cs="Times New Roman"/>
                      <w:b w:val="0"/>
                      <w:bCs w:val="0"/>
                      <w:snapToGrid w:val="0"/>
                      <w:color w:val="auto"/>
                      <w:kern w:val="0"/>
                      <w:sz w:val="21"/>
                      <w:szCs w:val="21"/>
                      <w:lang w:val="en-US" w:eastAsia="zh-CN" w:bidi="ar-SA"/>
                    </w:rPr>
                    <w:t>；</w:t>
                  </w:r>
                  <w:r>
                    <w:rPr>
                      <w:rFonts w:hint="default" w:ascii="Times New Roman" w:hAnsi="Times New Roman" w:eastAsia="宋体" w:cs="Times New Roman"/>
                      <w:b w:val="0"/>
                      <w:bCs w:val="0"/>
                      <w:snapToGrid w:val="0"/>
                      <w:color w:val="auto"/>
                      <w:kern w:val="0"/>
                      <w:sz w:val="21"/>
                      <w:szCs w:val="21"/>
                      <w:lang w:val="en-US" w:eastAsia="zh-CN" w:bidi="ar-SA"/>
                    </w:rPr>
                    <w:t>泥浆泵、钻机、压裂车安装减振基础</w:t>
                  </w:r>
                </w:p>
              </w:tc>
              <w:tc>
                <w:tcPr>
                  <w:tcW w:w="464" w:type="pct"/>
                  <w:noWrap/>
                  <w:vAlign w:val="center"/>
                </w:tcPr>
                <w:p w14:paraId="4AE6E52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2</w:t>
                  </w:r>
                </w:p>
              </w:tc>
              <w:tc>
                <w:tcPr>
                  <w:tcW w:w="492" w:type="pct"/>
                  <w:noWrap/>
                  <w:vAlign w:val="center"/>
                </w:tcPr>
                <w:p w14:paraId="788A74D5">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2</w:t>
                  </w:r>
                </w:p>
              </w:tc>
              <w:tc>
                <w:tcPr>
                  <w:tcW w:w="284" w:type="pct"/>
                  <w:noWrap/>
                  <w:vAlign w:val="center"/>
                </w:tcPr>
                <w:p w14:paraId="0EC97EF0">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14:paraId="7DEED9D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14:paraId="760D68CE">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14:paraId="0E85C39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14:paraId="4B8DFF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noWrap/>
                  <w:vAlign w:val="center"/>
                </w:tcPr>
                <w:p w14:paraId="0DA03123">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2</w:t>
                  </w:r>
                </w:p>
              </w:tc>
              <w:tc>
                <w:tcPr>
                  <w:tcW w:w="184" w:type="pct"/>
                  <w:vMerge w:val="continue"/>
                  <w:noWrap/>
                  <w:vAlign w:val="center"/>
                </w:tcPr>
                <w:p w14:paraId="47654FB6">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601" w:type="pct"/>
                  <w:noWrap/>
                  <w:vAlign w:val="center"/>
                </w:tcPr>
                <w:p w14:paraId="0923770B">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南场界</w:t>
                  </w:r>
                </w:p>
              </w:tc>
              <w:tc>
                <w:tcPr>
                  <w:tcW w:w="1921" w:type="pct"/>
                  <w:vMerge w:val="continue"/>
                  <w:noWrap/>
                  <w:vAlign w:val="center"/>
                </w:tcPr>
                <w:p w14:paraId="586A935E">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464" w:type="pct"/>
                  <w:noWrap/>
                  <w:vAlign w:val="center"/>
                </w:tcPr>
                <w:p w14:paraId="0C612E9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1</w:t>
                  </w:r>
                </w:p>
              </w:tc>
              <w:tc>
                <w:tcPr>
                  <w:tcW w:w="492" w:type="pct"/>
                  <w:noWrap/>
                  <w:vAlign w:val="center"/>
                </w:tcPr>
                <w:p w14:paraId="55992E92">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5</w:t>
                  </w:r>
                  <w:r>
                    <w:rPr>
                      <w:rFonts w:hint="eastAsia" w:cs="Times New Roman"/>
                      <w:b w:val="0"/>
                      <w:bCs w:val="0"/>
                      <w:snapToGrid w:val="0"/>
                      <w:color w:val="auto"/>
                      <w:kern w:val="0"/>
                      <w:sz w:val="21"/>
                      <w:szCs w:val="21"/>
                      <w:lang w:val="en-US" w:eastAsia="zh-CN" w:bidi="ar-SA"/>
                    </w:rPr>
                    <w:t>1</w:t>
                  </w:r>
                </w:p>
              </w:tc>
              <w:tc>
                <w:tcPr>
                  <w:tcW w:w="284" w:type="pct"/>
                  <w:noWrap/>
                  <w:vAlign w:val="center"/>
                </w:tcPr>
                <w:p w14:paraId="6E958864">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14:paraId="2F96B0B6">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14:paraId="1862EF0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14:paraId="2AD8674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14:paraId="322E69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noWrap/>
                  <w:vAlign w:val="center"/>
                </w:tcPr>
                <w:p w14:paraId="75C61D15">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3</w:t>
                  </w:r>
                </w:p>
              </w:tc>
              <w:tc>
                <w:tcPr>
                  <w:tcW w:w="184" w:type="pct"/>
                  <w:vMerge w:val="continue"/>
                  <w:noWrap/>
                  <w:vAlign w:val="center"/>
                </w:tcPr>
                <w:p w14:paraId="30C1583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601" w:type="pct"/>
                  <w:noWrap/>
                  <w:vAlign w:val="center"/>
                </w:tcPr>
                <w:p w14:paraId="56711BDF">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西场界</w:t>
                  </w:r>
                </w:p>
              </w:tc>
              <w:tc>
                <w:tcPr>
                  <w:tcW w:w="1921" w:type="pct"/>
                  <w:vMerge w:val="continue"/>
                  <w:noWrap/>
                  <w:vAlign w:val="center"/>
                </w:tcPr>
                <w:p w14:paraId="022FC85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464" w:type="pct"/>
                  <w:noWrap/>
                  <w:vAlign w:val="center"/>
                </w:tcPr>
                <w:p w14:paraId="5CEE9246">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492" w:type="pct"/>
                  <w:noWrap/>
                  <w:vAlign w:val="center"/>
                </w:tcPr>
                <w:p w14:paraId="6548170B">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284" w:type="pct"/>
                  <w:noWrap/>
                  <w:vAlign w:val="center"/>
                </w:tcPr>
                <w:p w14:paraId="46534BB9">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14:paraId="210B2634">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14:paraId="757E613D">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14:paraId="79F15C95">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r w14:paraId="519AC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84" w:type="pct"/>
                  <w:noWrap/>
                  <w:vAlign w:val="center"/>
                </w:tcPr>
                <w:p w14:paraId="08FD199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4</w:t>
                  </w:r>
                </w:p>
              </w:tc>
              <w:tc>
                <w:tcPr>
                  <w:tcW w:w="184" w:type="pct"/>
                  <w:vMerge w:val="continue"/>
                  <w:noWrap/>
                  <w:vAlign w:val="center"/>
                </w:tcPr>
                <w:p w14:paraId="64B4F99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p>
              </w:tc>
              <w:tc>
                <w:tcPr>
                  <w:tcW w:w="601" w:type="pct"/>
                  <w:noWrap/>
                  <w:vAlign w:val="center"/>
                </w:tcPr>
                <w:p w14:paraId="5790E9D8">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北场界</w:t>
                  </w:r>
                </w:p>
              </w:tc>
              <w:tc>
                <w:tcPr>
                  <w:tcW w:w="1921" w:type="pct"/>
                  <w:vMerge w:val="continue"/>
                  <w:noWrap/>
                  <w:vAlign w:val="center"/>
                </w:tcPr>
                <w:p w14:paraId="35A06257">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napToGrid w:val="0"/>
                      <w:color w:val="auto"/>
                      <w:kern w:val="0"/>
                      <w:sz w:val="21"/>
                      <w:szCs w:val="21"/>
                      <w:lang w:val="en-US" w:eastAsia="zh-CN" w:bidi="ar-SA"/>
                    </w:rPr>
                  </w:pPr>
                </w:p>
              </w:tc>
              <w:tc>
                <w:tcPr>
                  <w:tcW w:w="464" w:type="pct"/>
                  <w:noWrap/>
                  <w:vAlign w:val="center"/>
                </w:tcPr>
                <w:p w14:paraId="187C325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492" w:type="pct"/>
                  <w:noWrap/>
                  <w:vAlign w:val="center"/>
                </w:tcPr>
                <w:p w14:paraId="6C5939A1">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cs="Times New Roman"/>
                      <w:b w:val="0"/>
                      <w:bCs w:val="0"/>
                      <w:snapToGrid w:val="0"/>
                      <w:color w:val="auto"/>
                      <w:kern w:val="0"/>
                      <w:sz w:val="21"/>
                      <w:szCs w:val="21"/>
                      <w:lang w:val="en-US" w:eastAsia="zh-CN" w:bidi="ar-SA"/>
                    </w:rPr>
                    <w:t>54</w:t>
                  </w:r>
                </w:p>
              </w:tc>
              <w:tc>
                <w:tcPr>
                  <w:tcW w:w="284" w:type="pct"/>
                  <w:noWrap/>
                  <w:vAlign w:val="center"/>
                </w:tcPr>
                <w:p w14:paraId="6DD0F376">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70</w:t>
                  </w:r>
                </w:p>
              </w:tc>
              <w:tc>
                <w:tcPr>
                  <w:tcW w:w="284" w:type="pct"/>
                  <w:noWrap/>
                  <w:vAlign w:val="center"/>
                </w:tcPr>
                <w:p w14:paraId="658A2A54">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default" w:ascii="Times New Roman" w:hAnsi="Times New Roman" w:eastAsia="宋体" w:cs="Times New Roman"/>
                      <w:b w:val="0"/>
                      <w:bCs w:val="0"/>
                      <w:snapToGrid w:val="0"/>
                      <w:color w:val="auto"/>
                      <w:kern w:val="0"/>
                      <w:sz w:val="21"/>
                      <w:szCs w:val="21"/>
                      <w:lang w:val="en-US" w:eastAsia="zh-CN" w:bidi="ar-SA"/>
                    </w:rPr>
                    <w:t>55</w:t>
                  </w:r>
                </w:p>
              </w:tc>
              <w:tc>
                <w:tcPr>
                  <w:tcW w:w="290" w:type="pct"/>
                  <w:noWrap/>
                  <w:vAlign w:val="center"/>
                </w:tcPr>
                <w:p w14:paraId="79170EBD">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c>
                <w:tcPr>
                  <w:tcW w:w="291" w:type="pct"/>
                  <w:noWrap/>
                  <w:vAlign w:val="center"/>
                </w:tcPr>
                <w:p w14:paraId="648949BB">
                  <w:pPr>
                    <w:pStyle w:val="78"/>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napToGrid w:val="0"/>
                      <w:color w:val="auto"/>
                      <w:kern w:val="0"/>
                      <w:sz w:val="21"/>
                      <w:szCs w:val="21"/>
                      <w:lang w:val="en-US" w:eastAsia="zh-CN" w:bidi="ar-SA"/>
                    </w:rPr>
                  </w:pPr>
                  <w:r>
                    <w:rPr>
                      <w:rFonts w:hint="eastAsia" w:ascii="Times New Roman" w:hAnsi="Times New Roman" w:eastAsia="宋体" w:cs="Times New Roman"/>
                      <w:b w:val="0"/>
                      <w:bCs w:val="0"/>
                      <w:snapToGrid w:val="0"/>
                      <w:color w:val="auto"/>
                      <w:kern w:val="0"/>
                      <w:sz w:val="21"/>
                      <w:szCs w:val="21"/>
                      <w:lang w:val="en-US" w:eastAsia="zh-CN" w:bidi="ar-SA"/>
                    </w:rPr>
                    <w:t>达标</w:t>
                  </w:r>
                </w:p>
              </w:tc>
            </w:tr>
          </w:tbl>
          <w:p w14:paraId="1F447B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根据</w:t>
            </w:r>
            <w:r>
              <w:rPr>
                <w:rFonts w:hint="eastAsia" w:ascii="Times New Roman" w:hAnsi="Times New Roman" w:eastAsia="宋体" w:cs="Times New Roman"/>
                <w:color w:val="auto"/>
                <w:sz w:val="24"/>
                <w:highlight w:val="none"/>
                <w:lang w:val="en-US" w:eastAsia="zh-CN" w:bidi="ar"/>
              </w:rPr>
              <w:t>上表</w:t>
            </w:r>
            <w:r>
              <w:rPr>
                <w:rFonts w:hint="default" w:ascii="Times New Roman" w:hAnsi="Times New Roman" w:eastAsia="宋体" w:cs="Times New Roman"/>
                <w:color w:val="auto"/>
                <w:sz w:val="24"/>
                <w:highlight w:val="none"/>
                <w:lang w:val="en-US" w:eastAsia="zh-CN" w:bidi="ar"/>
              </w:rPr>
              <w:t>可知，各种施工机械噪声预测结果可以看出，施工期井场噪声源对厂界的噪声贡献值昼间、夜间均为</w:t>
            </w:r>
            <w:r>
              <w:rPr>
                <w:rFonts w:hint="eastAsia" w:ascii="Times New Roman" w:hAnsi="Times New Roman" w:eastAsia="宋体" w:cs="Times New Roman"/>
                <w:color w:val="auto"/>
                <w:sz w:val="24"/>
                <w:highlight w:val="none"/>
                <w:lang w:val="en-US" w:eastAsia="zh-CN" w:bidi="ar"/>
              </w:rPr>
              <w:t>5</w:t>
            </w:r>
            <w:r>
              <w:rPr>
                <w:rFonts w:hint="eastAsia" w:cs="Times New Roman"/>
                <w:color w:val="auto"/>
                <w:sz w:val="24"/>
                <w:highlight w:val="none"/>
                <w:lang w:val="en-US" w:eastAsia="zh-CN" w:bidi="ar"/>
              </w:rPr>
              <w:t>1</w:t>
            </w:r>
            <w:r>
              <w:rPr>
                <w:rFonts w:hint="default" w:ascii="Times New Roman" w:hAnsi="Times New Roman" w:eastAsia="宋体" w:cs="Times New Roman"/>
                <w:color w:val="auto"/>
                <w:sz w:val="24"/>
                <w:highlight w:val="none"/>
                <w:lang w:val="en-US" w:eastAsia="zh-CN" w:bidi="ar"/>
              </w:rPr>
              <w:t>～</w:t>
            </w:r>
            <w:r>
              <w:rPr>
                <w:rFonts w:hint="eastAsia" w:cs="Times New Roman"/>
                <w:color w:val="auto"/>
                <w:sz w:val="24"/>
                <w:highlight w:val="none"/>
                <w:lang w:val="en-US" w:eastAsia="zh-CN" w:bidi="ar"/>
              </w:rPr>
              <w:t>54</w:t>
            </w:r>
            <w:r>
              <w:rPr>
                <w:rFonts w:hint="default" w:ascii="Times New Roman" w:hAnsi="Times New Roman" w:eastAsia="宋体" w:cs="Times New Roman"/>
                <w:color w:val="auto"/>
                <w:sz w:val="24"/>
                <w:highlight w:val="none"/>
                <w:lang w:val="en-US" w:eastAsia="zh-CN" w:bidi="ar"/>
              </w:rPr>
              <w:t>dB(A)，井场周边及邻近区域无居民区、村庄等环境敏感点，施工期间通过采取对设备定期保养维护、基础减振等措施可减少噪声对周边环境的影响，且随着施工结束，对周边声环境影响将逐渐消失。</w:t>
            </w:r>
          </w:p>
          <w:p w14:paraId="4DB76E4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钻井过程为连续作业过程，钻井噪声处理难度较大，对噪声源采取噪声防治措施：泥浆泵、钻机、压裂车安装减振基础。通过以上措施可在一定程度上降低噪声</w:t>
            </w:r>
            <w:r>
              <w:rPr>
                <w:rFonts w:hint="eastAsia" w:ascii="Times New Roman" w:hAnsi="Times New Roman" w:eastAsia="宋体" w:cs="Times New Roman"/>
                <w:color w:val="auto"/>
                <w:sz w:val="24"/>
                <w:highlight w:val="none"/>
                <w:lang w:val="en-US" w:eastAsia="zh-CN" w:bidi="ar"/>
              </w:rPr>
              <w:t>。</w:t>
            </w:r>
          </w:p>
          <w:p w14:paraId="1F5A53A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b/>
                <w:bCs/>
                <w:color w:val="auto"/>
                <w:kern w:val="2"/>
                <w:sz w:val="24"/>
                <w:szCs w:val="32"/>
                <w:highlight w:val="none"/>
                <w:lang w:val="zh-CN" w:eastAsia="zh-CN" w:bidi="ar-SA"/>
              </w:rPr>
            </w:pPr>
            <w:r>
              <w:rPr>
                <w:rFonts w:hint="default" w:ascii="Times New Roman" w:hAnsi="Times New Roman" w:eastAsia="宋体" w:cs="Times New Roman"/>
                <w:b/>
                <w:bCs/>
                <w:color w:val="auto"/>
                <w:kern w:val="2"/>
                <w:sz w:val="24"/>
                <w:szCs w:val="32"/>
                <w:highlight w:val="none"/>
                <w:lang w:val="en-US" w:eastAsia="zh-CN" w:bidi="ar-SA"/>
              </w:rPr>
              <w:t>5.</w:t>
            </w:r>
            <w:r>
              <w:rPr>
                <w:rFonts w:hint="default" w:ascii="Times New Roman" w:hAnsi="Times New Roman" w:eastAsia="宋体" w:cs="Times New Roman"/>
                <w:b/>
                <w:bCs/>
                <w:color w:val="auto"/>
                <w:kern w:val="2"/>
                <w:sz w:val="24"/>
                <w:szCs w:val="32"/>
                <w:highlight w:val="none"/>
                <w:lang w:val="zh-CN" w:eastAsia="zh-CN" w:bidi="ar-SA"/>
              </w:rPr>
              <w:t>施工期固体废物影响分析</w:t>
            </w:r>
          </w:p>
          <w:p w14:paraId="50040C7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5.1 固废</w:t>
            </w:r>
          </w:p>
          <w:p w14:paraId="1717B8B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本项目整个钻井作业过程中产生的固体废弃物主要有泥浆、钻井岩屑、废机油及废弃包装材料等。</w:t>
            </w:r>
          </w:p>
          <w:p w14:paraId="479484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eastAsia" w:ascii="Times New Roman" w:hAnsi="Times New Roman" w:eastAsia="宋体" w:cs="Times New Roman"/>
                <w:color w:val="auto"/>
                <w:sz w:val="24"/>
                <w:highlight w:val="none"/>
                <w:lang w:val="en-US" w:eastAsia="zh-CN" w:bidi="ar"/>
              </w:rPr>
              <w:t>（1）</w:t>
            </w:r>
            <w:r>
              <w:rPr>
                <w:rFonts w:hint="default" w:ascii="Times New Roman" w:hAnsi="Times New Roman" w:eastAsia="宋体" w:cs="Times New Roman"/>
                <w:color w:val="auto"/>
                <w:sz w:val="24"/>
                <w:highlight w:val="none"/>
                <w:lang w:val="en-US" w:eastAsia="zh-CN" w:bidi="ar"/>
              </w:rPr>
              <w:t>钻井泥浆</w:t>
            </w:r>
          </w:p>
          <w:p w14:paraId="6A47AA9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default" w:ascii="Times New Roman" w:hAnsi="Times New Roman" w:eastAsia="宋体" w:cs="Times New Roman"/>
                <w:color w:val="auto"/>
                <w:sz w:val="24"/>
                <w:highlight w:val="none"/>
                <w:lang w:val="en-US" w:eastAsia="zh-CN" w:bidi="ar"/>
              </w:rPr>
              <w:t>钻井泥浆的排放量依井的深度而增加，其排放量计算采用《油田开发环境影响评价文集》中的经验公式：</w:t>
            </w:r>
          </w:p>
          <w:p w14:paraId="1B129B34">
            <w:pPr>
              <w:keepNext w:val="0"/>
              <w:keepLines w:val="0"/>
              <w:pageBreakBefore w:val="0"/>
              <w:kinsoku/>
              <w:wordWrap/>
              <w:overflowPunct/>
              <w:topLinePunct w:val="0"/>
              <w:bidi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anchor distT="0" distB="0" distL="114300" distR="114300" simplePos="0" relativeHeight="251662336" behindDoc="1" locked="0" layoutInCell="1" allowOverlap="1">
                  <wp:simplePos x="0" y="0"/>
                  <wp:positionH relativeFrom="column">
                    <wp:posOffset>1527810</wp:posOffset>
                  </wp:positionH>
                  <wp:positionV relativeFrom="paragraph">
                    <wp:posOffset>78105</wp:posOffset>
                  </wp:positionV>
                  <wp:extent cx="2028825" cy="390525"/>
                  <wp:effectExtent l="0" t="0" r="0" b="8890"/>
                  <wp:wrapNone/>
                  <wp:docPr id="30" name="图片 96" descr="C:\DOCUME~1\ADMINI~1\LOCALS~1\Temp\ksohtml\wps_clip_image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6" descr="C:\DOCUME~1\ADMINI~1\LOCALS~1\Temp\ksohtml\wps_clip_image1.wmf"/>
                          <pic:cNvPicPr>
                            <a:picLocks noChangeAspect="1"/>
                          </pic:cNvPicPr>
                        </pic:nvPicPr>
                        <pic:blipFill>
                          <a:blip r:embed="rId12"/>
                          <a:stretch>
                            <a:fillRect/>
                          </a:stretch>
                        </pic:blipFill>
                        <pic:spPr>
                          <a:xfrm>
                            <a:off x="0" y="0"/>
                            <a:ext cx="2028825" cy="390525"/>
                          </a:xfrm>
                          <a:prstGeom prst="rect">
                            <a:avLst/>
                          </a:prstGeom>
                          <a:noFill/>
                          <a:ln>
                            <a:noFill/>
                          </a:ln>
                        </pic:spPr>
                      </pic:pic>
                    </a:graphicData>
                  </a:graphic>
                </wp:anchor>
              </w:drawing>
            </w:r>
          </w:p>
          <w:p w14:paraId="5AD5B532">
            <w:pPr>
              <w:keepNext w:val="0"/>
              <w:keepLines w:val="0"/>
              <w:pageBreakBefore w:val="0"/>
              <w:kinsoku/>
              <w:wordWrap/>
              <w:overflowPunct/>
              <w:topLinePunct w:val="0"/>
              <w:bidi w:val="0"/>
              <w:spacing w:line="480" w:lineRule="exact"/>
              <w:jc w:val="center"/>
              <w:textAlignment w:val="auto"/>
              <w:rPr>
                <w:rFonts w:hint="default" w:ascii="Times New Roman" w:hAnsi="Times New Roman" w:eastAsia="宋体" w:cs="Times New Roman"/>
                <w:color w:val="auto"/>
                <w:sz w:val="24"/>
                <w:szCs w:val="24"/>
                <w:highlight w:val="none"/>
              </w:rPr>
            </w:pPr>
          </w:p>
          <w:p w14:paraId="267FD3B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式中：V——排到地面上的泥浆量（m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0A91A6D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D——井眼的平均直径</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rPr>
              <w:t>；</w:t>
            </w:r>
          </w:p>
          <w:p w14:paraId="16FD2BA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h——井深（m）。</w:t>
            </w:r>
          </w:p>
          <w:p w14:paraId="2CD4570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根据计算，本项目废弃钻井泥浆产生量为594.</w:t>
            </w:r>
            <w:r>
              <w:rPr>
                <w:rFonts w:hint="eastAsia" w:hAnsi="Times New Roman" w:cs="Times New Roman"/>
                <w:color w:val="auto"/>
                <w:highlight w:val="none"/>
                <w:lang w:val="en-US" w:eastAsia="zh-CN"/>
              </w:rPr>
              <w:t>24</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，随钻泥浆不落地系统处理后回用。</w:t>
            </w:r>
          </w:p>
          <w:p w14:paraId="5635073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根据《固体废物分类与代码目录》（生态环境部公告第24号），该类固废种类为SW12钻井岩屑，固废代码为072-001-S12。</w:t>
            </w:r>
          </w:p>
          <w:p w14:paraId="464BB46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）钻井岩屑</w:t>
            </w:r>
          </w:p>
          <w:p w14:paraId="7391C12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钻井过程中，岩石经钻头和泥浆的研磨而破碎成岩屑</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钻井岩屑可用下式计算：</w:t>
            </w:r>
          </w:p>
          <w:p w14:paraId="3ECFEB81">
            <w:pPr>
              <w:pStyle w:val="7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object>
                <v:shape id="_x0000_i1026" o:spt="75" type="#_x0000_t75" style="height:49.95pt;width:109pt;" o:ole="t" filled="f" o:preferrelative="t" stroked="f" coordsize="21600,21600">
                  <v:path/>
                  <v:fill on="f" focussize="0,0"/>
                  <v:stroke on="f"/>
                  <v:imagedata r:id="rId14" o:title=""/>
                  <o:lock v:ext="edit" aspectratio="t"/>
                  <w10:wrap type="none"/>
                  <w10:anchorlock/>
                </v:shape>
                <o:OLEObject Type="Embed" ProgID="Equation.KSEE3" ShapeID="_x0000_i1026" DrawAspect="Content" ObjectID="_1468075726" r:id="rId13">
                  <o:LockedField>false</o:LockedField>
                </o:OLEObject>
              </w:object>
            </w:r>
          </w:p>
          <w:p w14:paraId="5B29FB2A">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式中：W——废弃钻井岩屑排放量，m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w:t>
            </w:r>
          </w:p>
          <w:p w14:paraId="32B347D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      D——井的直径，m；</w:t>
            </w:r>
          </w:p>
          <w:p w14:paraId="575FD9F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      h——井深，m；</w:t>
            </w:r>
          </w:p>
          <w:p w14:paraId="4FE99A41">
            <w:pPr>
              <w:keepNext w:val="0"/>
              <w:keepLines w:val="0"/>
              <w:pageBreakBefore w:val="0"/>
              <w:kinsoku/>
              <w:wordWrap/>
              <w:overflowPunct/>
              <w:topLinePunct w:val="0"/>
              <w:autoSpaceDE/>
              <w:autoSpaceDN/>
              <w:bidi w:val="0"/>
              <w:adjustRightInd/>
              <w:snapToGrid/>
              <w:spacing w:line="440" w:lineRule="exact"/>
              <w:ind w:firstLine="1200" w:firstLineChars="5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a——钻井岩屑膨胀系数取2.2。</w:t>
            </w:r>
          </w:p>
          <w:p w14:paraId="6D46D066">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钻井泥浆、岩屑产生量见表4-4。</w:t>
            </w:r>
          </w:p>
          <w:p w14:paraId="3BBC22E8">
            <w:pPr>
              <w:pStyle w:val="79"/>
              <w:keepNext w:val="0"/>
              <w:keepLines w:val="0"/>
              <w:pageBreakBefore w:val="0"/>
              <w:widowControl/>
              <w:kinsoku/>
              <w:wordWrap/>
              <w:overflowPunct/>
              <w:topLinePunct w:val="0"/>
              <w:autoSpaceDE/>
              <w:autoSpaceDN/>
              <w:bidi w:val="0"/>
              <w:adjustRightInd/>
              <w:snapToGrid/>
              <w:spacing w:line="440" w:lineRule="exact"/>
              <w:ind w:lef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表4-4   本项目钻井泥浆、岩屑产生量</w:t>
            </w:r>
          </w:p>
          <w:tbl>
            <w:tblPr>
              <w:tblStyle w:val="3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22"/>
              <w:gridCol w:w="832"/>
              <w:gridCol w:w="619"/>
              <w:gridCol w:w="933"/>
              <w:gridCol w:w="661"/>
              <w:gridCol w:w="551"/>
              <w:gridCol w:w="813"/>
              <w:gridCol w:w="933"/>
              <w:gridCol w:w="1388"/>
            </w:tblGrid>
            <w:tr w14:paraId="1028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14:paraId="4C9585F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开钻顺序</w:t>
                  </w:r>
                </w:p>
              </w:tc>
              <w:tc>
                <w:tcPr>
                  <w:tcW w:w="664" w:type="pct"/>
                  <w:tcBorders>
                    <w:tl2br w:val="nil"/>
                    <w:tr2bl w:val="nil"/>
                  </w:tcBorders>
                  <w:noWrap w:val="0"/>
                  <w:vAlign w:val="center"/>
                </w:tcPr>
                <w:p w14:paraId="0DFB208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井段</w:t>
                  </w:r>
                  <w:r>
                    <w:rPr>
                      <w:rFonts w:hint="default" w:ascii="Times New Roman" w:hAnsi="Times New Roman" w:eastAsia="宋体" w:cs="Times New Roman"/>
                      <w:b w:val="0"/>
                      <w:bCs w:val="0"/>
                      <w:color w:val="auto"/>
                      <w:sz w:val="21"/>
                      <w:szCs w:val="21"/>
                      <w:highlight w:val="none"/>
                    </w:rPr>
                    <w:t>m</w:t>
                  </w:r>
                </w:p>
              </w:tc>
              <w:tc>
                <w:tcPr>
                  <w:tcW w:w="492" w:type="pct"/>
                  <w:tcBorders>
                    <w:tl2br w:val="nil"/>
                    <w:tr2bl w:val="nil"/>
                  </w:tcBorders>
                  <w:noWrap w:val="0"/>
                  <w:vAlign w:val="center"/>
                </w:tcPr>
                <w:p w14:paraId="2E1EEFB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井眼直径（m）</w:t>
                  </w:r>
                </w:p>
              </w:tc>
              <w:tc>
                <w:tcPr>
                  <w:tcW w:w="366" w:type="pct"/>
                  <w:tcBorders>
                    <w:tl2br w:val="nil"/>
                    <w:tr2bl w:val="nil"/>
                  </w:tcBorders>
                  <w:noWrap w:val="0"/>
                  <w:vAlign w:val="center"/>
                </w:tcPr>
                <w:p w14:paraId="7DFB1852">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进尺m</w:t>
                  </w:r>
                </w:p>
              </w:tc>
              <w:tc>
                <w:tcPr>
                  <w:tcW w:w="552" w:type="pct"/>
                  <w:tcBorders>
                    <w:tl2br w:val="nil"/>
                    <w:tr2bl w:val="nil"/>
                  </w:tcBorders>
                  <w:noWrap w:val="0"/>
                  <w:vAlign w:val="center"/>
                </w:tcPr>
                <w:p w14:paraId="7E988E3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泥浆量m</w:t>
                  </w:r>
                  <w:r>
                    <w:rPr>
                      <w:rFonts w:hint="default" w:ascii="Times New Roman" w:hAnsi="Times New Roman" w:eastAsia="宋体" w:cs="Times New Roman"/>
                      <w:b w:val="0"/>
                      <w:bCs w:val="0"/>
                      <w:color w:val="auto"/>
                      <w:sz w:val="21"/>
                      <w:szCs w:val="21"/>
                      <w:highlight w:val="none"/>
                      <w:vertAlign w:val="superscript"/>
                    </w:rPr>
                    <w:t>3</w:t>
                  </w:r>
                </w:p>
              </w:tc>
              <w:tc>
                <w:tcPr>
                  <w:tcW w:w="391" w:type="pct"/>
                  <w:tcBorders>
                    <w:tl2br w:val="nil"/>
                    <w:tr2bl w:val="nil"/>
                  </w:tcBorders>
                  <w:shd w:val="clear" w:color="auto" w:fill="auto"/>
                  <w:noWrap w:val="0"/>
                  <w:vAlign w:val="center"/>
                </w:tcPr>
                <w:p w14:paraId="6BC565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Times New Roman" w:hAnsi="Times New Roman" w:eastAsia="宋体" w:cs="宋体"/>
                      <w:b w:val="0"/>
                      <w:bCs w:val="0"/>
                      <w:color w:val="auto"/>
                      <w:spacing w:val="0"/>
                      <w:sz w:val="21"/>
                      <w:szCs w:val="21"/>
                      <w:highlight w:val="none"/>
                      <w:lang w:val="en-US" w:eastAsia="zh-CN"/>
                    </w:rPr>
                  </w:pPr>
                  <w:r>
                    <w:rPr>
                      <w:rFonts w:hint="eastAsia" w:ascii="Times New Roman" w:hAnsi="Times New Roman" w:eastAsia="宋体" w:cs="宋体"/>
                      <w:b w:val="0"/>
                      <w:bCs w:val="0"/>
                      <w:color w:val="auto"/>
                      <w:spacing w:val="0"/>
                      <w:sz w:val="21"/>
                      <w:szCs w:val="21"/>
                      <w:highlight w:val="none"/>
                      <w:lang w:val="en-US" w:eastAsia="zh-CN"/>
                    </w:rPr>
                    <w:t>钻井液</w:t>
                  </w:r>
                </w:p>
                <w:p w14:paraId="45E48A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体系</w:t>
                  </w:r>
                </w:p>
              </w:tc>
              <w:tc>
                <w:tcPr>
                  <w:tcW w:w="326" w:type="pct"/>
                  <w:tcBorders>
                    <w:tl2br w:val="nil"/>
                    <w:tr2bl w:val="nil"/>
                  </w:tcBorders>
                  <w:noWrap w:val="0"/>
                  <w:vAlign w:val="center"/>
                </w:tcPr>
                <w:p w14:paraId="3E0A72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泥浆类型</w:t>
                  </w:r>
                </w:p>
              </w:tc>
              <w:tc>
                <w:tcPr>
                  <w:tcW w:w="481" w:type="pct"/>
                  <w:tcBorders>
                    <w:tl2br w:val="nil"/>
                    <w:tr2bl w:val="nil"/>
                  </w:tcBorders>
                  <w:shd w:val="clear" w:color="auto" w:fill="auto"/>
                  <w:noWrap w:val="0"/>
                  <w:vAlign w:val="center"/>
                </w:tcPr>
                <w:p w14:paraId="1F117E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污染物</w:t>
                  </w:r>
                </w:p>
              </w:tc>
              <w:tc>
                <w:tcPr>
                  <w:tcW w:w="552" w:type="pct"/>
                  <w:tcBorders>
                    <w:tl2br w:val="nil"/>
                    <w:tr2bl w:val="nil"/>
                  </w:tcBorders>
                  <w:noWrap w:val="0"/>
                  <w:vAlign w:val="center"/>
                </w:tcPr>
                <w:p w14:paraId="1F2E10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岩屑量m³</w:t>
                  </w:r>
                </w:p>
              </w:tc>
              <w:tc>
                <w:tcPr>
                  <w:tcW w:w="821" w:type="pct"/>
                  <w:tcBorders>
                    <w:tl2br w:val="nil"/>
                    <w:tr2bl w:val="nil"/>
                  </w:tcBorders>
                  <w:noWrap w:val="0"/>
                  <w:vAlign w:val="center"/>
                </w:tcPr>
                <w:p w14:paraId="520C076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治理措施</w:t>
                  </w:r>
                </w:p>
              </w:tc>
            </w:tr>
            <w:tr w14:paraId="6FC3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14:paraId="321733A6">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一开</w:t>
                  </w:r>
                </w:p>
              </w:tc>
              <w:tc>
                <w:tcPr>
                  <w:tcW w:w="664" w:type="pct"/>
                  <w:tcBorders>
                    <w:tl2br w:val="nil"/>
                    <w:tr2bl w:val="nil"/>
                  </w:tcBorders>
                  <w:noWrap w:val="0"/>
                  <w:vAlign w:val="center"/>
                </w:tcPr>
                <w:p w14:paraId="28F50E0E">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0~500</w:t>
                  </w:r>
                </w:p>
              </w:tc>
              <w:tc>
                <w:tcPr>
                  <w:tcW w:w="492" w:type="pct"/>
                  <w:tcBorders>
                    <w:tl2br w:val="nil"/>
                    <w:tr2bl w:val="nil"/>
                  </w:tcBorders>
                  <w:noWrap w:val="0"/>
                  <w:vAlign w:val="center"/>
                </w:tcPr>
                <w:p w14:paraId="16C06247">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0.4445</w:t>
                  </w:r>
                </w:p>
              </w:tc>
              <w:tc>
                <w:tcPr>
                  <w:tcW w:w="366" w:type="pct"/>
                  <w:tcBorders>
                    <w:tl2br w:val="nil"/>
                    <w:tr2bl w:val="nil"/>
                  </w:tcBorders>
                  <w:noWrap w:val="0"/>
                  <w:vAlign w:val="center"/>
                </w:tcPr>
                <w:p w14:paraId="7D3EFA93">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w:t>
                  </w:r>
                </w:p>
              </w:tc>
              <w:tc>
                <w:tcPr>
                  <w:tcW w:w="552" w:type="pct"/>
                  <w:tcBorders>
                    <w:tl2br w:val="nil"/>
                    <w:tr2bl w:val="nil"/>
                  </w:tcBorders>
                  <w:noWrap w:val="0"/>
                  <w:vAlign w:val="center"/>
                </w:tcPr>
                <w:p w14:paraId="30E9E204">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136.7</w:t>
                  </w:r>
                  <w:r>
                    <w:rPr>
                      <w:rFonts w:hint="eastAsia" w:ascii="Times New Roman" w:hAnsi="Times New Roman" w:cs="Times New Roman"/>
                      <w:b w:val="0"/>
                      <w:bCs w:val="0"/>
                      <w:color w:val="auto"/>
                      <w:sz w:val="21"/>
                      <w:szCs w:val="21"/>
                      <w:highlight w:val="none"/>
                      <w:lang w:val="en-US" w:eastAsia="zh-CN"/>
                    </w:rPr>
                    <w:t>8</w:t>
                  </w:r>
                </w:p>
              </w:tc>
              <w:tc>
                <w:tcPr>
                  <w:tcW w:w="391" w:type="pct"/>
                  <w:tcBorders>
                    <w:tl2br w:val="nil"/>
                    <w:tr2bl w:val="nil"/>
                  </w:tcBorders>
                  <w:shd w:val="clear" w:color="auto" w:fill="auto"/>
                  <w:noWrap w:val="0"/>
                  <w:vAlign w:val="center"/>
                </w:tcPr>
                <w:p w14:paraId="56D346DC">
                  <w:pPr>
                    <w:keepNext w:val="0"/>
                    <w:keepLines w:val="0"/>
                    <w:pageBreakBefore w:val="0"/>
                    <w:widowControl w:val="0"/>
                    <w:kinsoku/>
                    <w:wordWrap/>
                    <w:overflowPunct/>
                    <w:topLinePunct w:val="0"/>
                    <w:autoSpaceDE/>
                    <w:autoSpaceDN/>
                    <w:bidi w:val="0"/>
                    <w:adjustRightInd w:val="0"/>
                    <w:snapToGrid w:val="0"/>
                    <w:jc w:val="center"/>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default" w:ascii="Times New Roman" w:hAnsi="Times New Roman" w:eastAsia="宋体" w:cs="宋体"/>
                      <w:b w:val="0"/>
                      <w:bCs w:val="0"/>
                      <w:color w:val="auto"/>
                      <w:spacing w:val="0"/>
                      <w:sz w:val="21"/>
                      <w:szCs w:val="21"/>
                      <w:highlight w:val="none"/>
                      <w:lang w:val="en-US" w:eastAsia="zh-CN"/>
                    </w:rPr>
                    <w:t>膨润土-聚合物</w:t>
                  </w:r>
                </w:p>
              </w:tc>
              <w:tc>
                <w:tcPr>
                  <w:tcW w:w="326" w:type="pct"/>
                  <w:tcBorders>
                    <w:tl2br w:val="nil"/>
                    <w:tr2bl w:val="nil"/>
                  </w:tcBorders>
                  <w:noWrap w:val="0"/>
                  <w:vAlign w:val="center"/>
                </w:tcPr>
                <w:p w14:paraId="5D0FE2CE">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膨润土体系泥浆</w:t>
                  </w:r>
                </w:p>
              </w:tc>
              <w:tc>
                <w:tcPr>
                  <w:tcW w:w="481" w:type="pct"/>
                  <w:tcBorders>
                    <w:tl2br w:val="nil"/>
                    <w:tr2bl w:val="nil"/>
                  </w:tcBorders>
                  <w:shd w:val="clear" w:color="auto" w:fill="auto"/>
                  <w:noWrap w:val="0"/>
                  <w:vAlign w:val="center"/>
                </w:tcPr>
                <w:p w14:paraId="38138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ascii="Times New Roman" w:hAnsi="Times New Roman" w:eastAsia="宋体" w:cs="宋体"/>
                      <w:b w:val="0"/>
                      <w:bCs w:val="0"/>
                      <w:color w:val="auto"/>
                      <w:spacing w:val="0"/>
                      <w:sz w:val="21"/>
                      <w:szCs w:val="21"/>
                      <w:highlight w:val="none"/>
                      <w:lang w:val="en-US" w:eastAsia="zh-CN"/>
                    </w:rPr>
                    <w:t>膨润土泥浆钻井岩屑</w:t>
                  </w:r>
                </w:p>
              </w:tc>
              <w:tc>
                <w:tcPr>
                  <w:tcW w:w="552" w:type="pct"/>
                  <w:tcBorders>
                    <w:tl2br w:val="nil"/>
                    <w:tr2bl w:val="nil"/>
                  </w:tcBorders>
                  <w:noWrap w:val="0"/>
                  <w:vAlign w:val="center"/>
                </w:tcPr>
                <w:p w14:paraId="6FDC70D6">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170.71</w:t>
                  </w:r>
                </w:p>
              </w:tc>
              <w:tc>
                <w:tcPr>
                  <w:tcW w:w="821" w:type="pct"/>
                  <w:tcBorders>
                    <w:tl2br w:val="nil"/>
                    <w:tr2bl w:val="nil"/>
                  </w:tcBorders>
                  <w:noWrap w:val="0"/>
                  <w:vAlign w:val="center"/>
                </w:tcPr>
                <w:p w14:paraId="27F231D1">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达到《石油</w:t>
                  </w:r>
                  <w:r>
                    <w:rPr>
                      <w:rFonts w:hint="eastAsia" w:ascii="Times New Roman" w:hAnsi="Times New Roman" w:cs="Times New Roman"/>
                      <w:b w:val="0"/>
                      <w:bCs w:val="0"/>
                      <w:color w:val="auto"/>
                      <w:sz w:val="21"/>
                      <w:szCs w:val="21"/>
                      <w:highlight w:val="none"/>
                      <w:lang w:val="en-US" w:eastAsia="zh-CN"/>
                    </w:rPr>
                    <w:t>天然气</w:t>
                  </w:r>
                  <w:r>
                    <w:rPr>
                      <w:rFonts w:hint="eastAsia" w:ascii="Times New Roman" w:hAnsi="Times New Roman" w:eastAsia="宋体" w:cs="Times New Roman"/>
                      <w:b w:val="0"/>
                      <w:bCs w:val="0"/>
                      <w:color w:val="auto"/>
                      <w:sz w:val="21"/>
                      <w:szCs w:val="21"/>
                      <w:highlight w:val="none"/>
                      <w:lang w:val="en-US" w:eastAsia="zh-CN"/>
                    </w:rPr>
                    <w:t>开采业固体废物污染控制技术规范（试行）》</w:t>
                  </w:r>
                  <w:r>
                    <w:rPr>
                      <w:rFonts w:hint="eastAsia" w:ascii="Times New Roman" w:hAnsi="Times New Roman" w:cs="Times New Roman"/>
                      <w:b w:val="0"/>
                      <w:bCs w:val="0"/>
                      <w:color w:val="auto"/>
                      <w:sz w:val="21"/>
                      <w:szCs w:val="21"/>
                      <w:highlight w:val="none"/>
                      <w:lang w:val="en-US" w:eastAsia="zh-CN"/>
                    </w:rPr>
                    <w:t>（HJ 1461-2026）</w:t>
                  </w:r>
                  <w:r>
                    <w:rPr>
                      <w:rFonts w:hint="eastAsia" w:ascii="Times New Roman" w:hAnsi="Times New Roman" w:eastAsia="宋体" w:cs="Times New Roman"/>
                      <w:b w:val="0"/>
                      <w:bCs w:val="0"/>
                      <w:color w:val="auto"/>
                      <w:sz w:val="21"/>
                      <w:szCs w:val="21"/>
                      <w:highlight w:val="none"/>
                      <w:lang w:val="en-US" w:eastAsia="zh-CN"/>
                    </w:rPr>
                    <w:t>表 A.1 中相关要求后用于井场和道路铺垫</w:t>
                  </w:r>
                </w:p>
              </w:tc>
            </w:tr>
            <w:tr w14:paraId="29D3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14:paraId="20A2ECE9">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二开</w:t>
                  </w:r>
                </w:p>
              </w:tc>
              <w:tc>
                <w:tcPr>
                  <w:tcW w:w="664" w:type="pct"/>
                  <w:tcBorders>
                    <w:tl2br w:val="nil"/>
                    <w:tr2bl w:val="nil"/>
                  </w:tcBorders>
                  <w:noWrap w:val="0"/>
                  <w:vAlign w:val="center"/>
                </w:tcPr>
                <w:p w14:paraId="469C6DC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5</w:t>
                  </w:r>
                  <w:r>
                    <w:rPr>
                      <w:rFonts w:hint="default" w:ascii="Times New Roman" w:hAnsi="Times New Roman" w:eastAsia="宋体" w:cs="Times New Roman"/>
                      <w:b w:val="0"/>
                      <w:bCs w:val="0"/>
                      <w:color w:val="auto"/>
                      <w:spacing w:val="-10"/>
                      <w:kern w:val="2"/>
                      <w:sz w:val="21"/>
                      <w:szCs w:val="21"/>
                      <w:highlight w:val="none"/>
                      <w:lang w:val="en-US" w:eastAsia="zh-CN" w:bidi="ar-SA"/>
                    </w:rPr>
                    <w:t>00~</w:t>
                  </w:r>
                  <w:r>
                    <w:rPr>
                      <w:rFonts w:hint="eastAsia" w:cs="Times New Roman"/>
                      <w:b w:val="0"/>
                      <w:bCs w:val="0"/>
                      <w:color w:val="auto"/>
                      <w:spacing w:val="-10"/>
                      <w:kern w:val="2"/>
                      <w:sz w:val="21"/>
                      <w:szCs w:val="21"/>
                      <w:highlight w:val="none"/>
                      <w:lang w:val="en-US" w:eastAsia="zh-CN" w:bidi="ar-SA"/>
                    </w:rPr>
                    <w:t>3300</w:t>
                  </w:r>
                </w:p>
              </w:tc>
              <w:tc>
                <w:tcPr>
                  <w:tcW w:w="492" w:type="pct"/>
                  <w:tcBorders>
                    <w:tl2br w:val="nil"/>
                    <w:tr2bl w:val="nil"/>
                  </w:tcBorders>
                  <w:shd w:val="clear" w:color="auto" w:fill="auto"/>
                  <w:noWrap w:val="0"/>
                  <w:vAlign w:val="center"/>
                </w:tcPr>
                <w:p w14:paraId="788C1B11">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0.3111</w:t>
                  </w:r>
                </w:p>
              </w:tc>
              <w:tc>
                <w:tcPr>
                  <w:tcW w:w="366" w:type="pct"/>
                  <w:tcBorders>
                    <w:tl2br w:val="nil"/>
                    <w:tr2bl w:val="nil"/>
                  </w:tcBorders>
                  <w:noWrap w:val="0"/>
                  <w:vAlign w:val="center"/>
                </w:tcPr>
                <w:p w14:paraId="622794D0">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2800</w:t>
                  </w:r>
                </w:p>
              </w:tc>
              <w:tc>
                <w:tcPr>
                  <w:tcW w:w="552" w:type="pct"/>
                  <w:tcBorders>
                    <w:tl2br w:val="nil"/>
                    <w:tr2bl w:val="nil"/>
                  </w:tcBorders>
                  <w:noWrap w:val="0"/>
                  <w:vAlign w:val="center"/>
                </w:tcPr>
                <w:p w14:paraId="122934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287.16</w:t>
                  </w:r>
                </w:p>
              </w:tc>
              <w:tc>
                <w:tcPr>
                  <w:tcW w:w="391" w:type="pct"/>
                  <w:vMerge w:val="restart"/>
                  <w:tcBorders>
                    <w:tl2br w:val="nil"/>
                    <w:tr2bl w:val="nil"/>
                  </w:tcBorders>
                  <w:noWrap w:val="0"/>
                  <w:vAlign w:val="center"/>
                </w:tcPr>
                <w:p w14:paraId="1054E3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KCl-聚磺</w:t>
                  </w:r>
                </w:p>
              </w:tc>
              <w:tc>
                <w:tcPr>
                  <w:tcW w:w="326" w:type="pct"/>
                  <w:vMerge w:val="restart"/>
                  <w:tcBorders>
                    <w:tl2br w:val="nil"/>
                    <w:tr2bl w:val="nil"/>
                  </w:tcBorders>
                  <w:noWrap w:val="0"/>
                  <w:vAlign w:val="center"/>
                </w:tcPr>
                <w:p w14:paraId="28CF54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磺化体系泥浆</w:t>
                  </w:r>
                </w:p>
              </w:tc>
              <w:tc>
                <w:tcPr>
                  <w:tcW w:w="481" w:type="pct"/>
                  <w:vMerge w:val="restart"/>
                  <w:tcBorders>
                    <w:tl2br w:val="nil"/>
                    <w:tr2bl w:val="nil"/>
                  </w:tcBorders>
                  <w:shd w:val="clear" w:color="auto" w:fill="auto"/>
                  <w:noWrap w:val="0"/>
                  <w:vAlign w:val="center"/>
                </w:tcPr>
                <w:p w14:paraId="1CD503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聚磺泥浆钻井岩屑</w:t>
                  </w:r>
                </w:p>
              </w:tc>
              <w:tc>
                <w:tcPr>
                  <w:tcW w:w="552" w:type="pct"/>
                  <w:tcBorders>
                    <w:tl2br w:val="nil"/>
                    <w:tr2bl w:val="nil"/>
                  </w:tcBorders>
                  <w:noWrap w:val="0"/>
                  <w:vAlign w:val="center"/>
                </w:tcPr>
                <w:p w14:paraId="12A493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468.00</w:t>
                  </w:r>
                </w:p>
              </w:tc>
              <w:tc>
                <w:tcPr>
                  <w:tcW w:w="821" w:type="pct"/>
                  <w:vMerge w:val="restart"/>
                  <w:tcBorders>
                    <w:tl2br w:val="nil"/>
                    <w:tr2bl w:val="nil"/>
                  </w:tcBorders>
                  <w:noWrap w:val="0"/>
                  <w:vAlign w:val="center"/>
                </w:tcPr>
                <w:p w14:paraId="343266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经环保罐收集后，根据生产情况转运至第三方环保处理站处置或在钻井现场无害化达标处置后用于铺垫油区内的井场、道路</w:t>
                  </w:r>
                </w:p>
              </w:tc>
            </w:tr>
            <w:tr w14:paraId="31A3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tcBorders>
                    <w:tl2br w:val="nil"/>
                    <w:tr2bl w:val="nil"/>
                  </w:tcBorders>
                  <w:noWrap w:val="0"/>
                  <w:vAlign w:val="center"/>
                </w:tcPr>
                <w:p w14:paraId="3EEBCE1B">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三开</w:t>
                  </w:r>
                </w:p>
              </w:tc>
              <w:tc>
                <w:tcPr>
                  <w:tcW w:w="664" w:type="pct"/>
                  <w:tcBorders>
                    <w:tl2br w:val="nil"/>
                    <w:tr2bl w:val="nil"/>
                  </w:tcBorders>
                  <w:noWrap w:val="0"/>
                  <w:vAlign w:val="center"/>
                </w:tcPr>
                <w:p w14:paraId="178FF99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ascii="Times New Roman" w:hAnsi="Times New Roman" w:eastAsia="宋体" w:cs="Times New Roman"/>
                      <w:b w:val="0"/>
                      <w:bCs w:val="0"/>
                      <w:color w:val="auto"/>
                      <w:spacing w:val="-10"/>
                      <w:kern w:val="2"/>
                      <w:sz w:val="21"/>
                      <w:szCs w:val="21"/>
                      <w:highlight w:val="none"/>
                      <w:lang w:val="en-US" w:eastAsia="zh-CN" w:bidi="ar-SA"/>
                    </w:rPr>
                    <w:t>3</w:t>
                  </w:r>
                  <w:r>
                    <w:rPr>
                      <w:rFonts w:hint="eastAsia" w:cs="Times New Roman"/>
                      <w:b w:val="0"/>
                      <w:bCs w:val="0"/>
                      <w:color w:val="auto"/>
                      <w:spacing w:val="-10"/>
                      <w:kern w:val="2"/>
                      <w:sz w:val="21"/>
                      <w:szCs w:val="21"/>
                      <w:highlight w:val="none"/>
                      <w:lang w:val="en-US" w:eastAsia="zh-CN" w:bidi="ar-SA"/>
                    </w:rPr>
                    <w:t>3</w:t>
                  </w:r>
                  <w:r>
                    <w:rPr>
                      <w:rFonts w:hint="eastAsia" w:ascii="Times New Roman" w:hAnsi="Times New Roman" w:eastAsia="宋体" w:cs="Times New Roman"/>
                      <w:b w:val="0"/>
                      <w:bCs w:val="0"/>
                      <w:color w:val="auto"/>
                      <w:spacing w:val="-10"/>
                      <w:kern w:val="2"/>
                      <w:sz w:val="21"/>
                      <w:szCs w:val="21"/>
                      <w:highlight w:val="none"/>
                      <w:lang w:val="en-US" w:eastAsia="zh-CN" w:bidi="ar-SA"/>
                    </w:rPr>
                    <w:t>00~</w:t>
                  </w:r>
                  <w:r>
                    <w:rPr>
                      <w:rFonts w:hint="eastAsia" w:cs="Times New Roman"/>
                      <w:b w:val="0"/>
                      <w:bCs w:val="0"/>
                      <w:color w:val="auto"/>
                      <w:spacing w:val="-10"/>
                      <w:kern w:val="2"/>
                      <w:sz w:val="21"/>
                      <w:szCs w:val="21"/>
                      <w:highlight w:val="none"/>
                      <w:lang w:val="en-US" w:eastAsia="zh-CN" w:bidi="ar-SA"/>
                    </w:rPr>
                    <w:t>5000</w:t>
                  </w:r>
                </w:p>
              </w:tc>
              <w:tc>
                <w:tcPr>
                  <w:tcW w:w="492" w:type="pct"/>
                  <w:tcBorders>
                    <w:tl2br w:val="nil"/>
                    <w:tr2bl w:val="nil"/>
                  </w:tcBorders>
                  <w:shd w:val="clear" w:color="auto" w:fill="auto"/>
                  <w:noWrap w:val="0"/>
                  <w:vAlign w:val="center"/>
                </w:tcPr>
                <w:p w14:paraId="64B811A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0.2159</w:t>
                  </w:r>
                </w:p>
              </w:tc>
              <w:tc>
                <w:tcPr>
                  <w:tcW w:w="366" w:type="pct"/>
                  <w:tcBorders>
                    <w:tl2br w:val="nil"/>
                    <w:tr2bl w:val="nil"/>
                  </w:tcBorders>
                  <w:noWrap w:val="0"/>
                  <w:vAlign w:val="center"/>
                </w:tcPr>
                <w:p w14:paraId="2AD96A9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eastAsia" w:cs="Times New Roman"/>
                      <w:b w:val="0"/>
                      <w:bCs w:val="0"/>
                      <w:color w:val="auto"/>
                      <w:spacing w:val="-10"/>
                      <w:kern w:val="2"/>
                      <w:sz w:val="21"/>
                      <w:szCs w:val="21"/>
                      <w:highlight w:val="none"/>
                      <w:lang w:val="en-US" w:eastAsia="zh-CN" w:bidi="ar-SA"/>
                    </w:rPr>
                    <w:t>1700</w:t>
                  </w:r>
                </w:p>
              </w:tc>
              <w:tc>
                <w:tcPr>
                  <w:tcW w:w="552" w:type="pct"/>
                  <w:tcBorders>
                    <w:tl2br w:val="nil"/>
                    <w:tr2bl w:val="nil"/>
                  </w:tcBorders>
                  <w:noWrap w:val="0"/>
                  <w:vAlign w:val="center"/>
                </w:tcPr>
                <w:p w14:paraId="5E18B3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172.30</w:t>
                  </w:r>
                </w:p>
              </w:tc>
              <w:tc>
                <w:tcPr>
                  <w:tcW w:w="391" w:type="pct"/>
                  <w:vMerge w:val="continue"/>
                  <w:tcBorders>
                    <w:tl2br w:val="nil"/>
                    <w:tr2bl w:val="nil"/>
                  </w:tcBorders>
                  <w:noWrap w:val="0"/>
                  <w:vAlign w:val="center"/>
                </w:tcPr>
                <w:p w14:paraId="5D32CD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326" w:type="pct"/>
                  <w:vMerge w:val="continue"/>
                  <w:tcBorders>
                    <w:tl2br w:val="nil"/>
                    <w:tr2bl w:val="nil"/>
                  </w:tcBorders>
                  <w:noWrap w:val="0"/>
                  <w:vAlign w:val="center"/>
                </w:tcPr>
                <w:p w14:paraId="5F5B67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481" w:type="pct"/>
                  <w:vMerge w:val="continue"/>
                  <w:tcBorders>
                    <w:tl2br w:val="nil"/>
                    <w:tr2bl w:val="nil"/>
                  </w:tcBorders>
                  <w:noWrap w:val="0"/>
                  <w:vAlign w:val="center"/>
                </w:tcPr>
                <w:p w14:paraId="4653FB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p>
              </w:tc>
              <w:tc>
                <w:tcPr>
                  <w:tcW w:w="552" w:type="pct"/>
                  <w:tcBorders>
                    <w:tl2br w:val="nil"/>
                    <w:tr2bl w:val="nil"/>
                  </w:tcBorders>
                  <w:noWrap w:val="0"/>
                  <w:vAlign w:val="center"/>
                </w:tcPr>
                <w:p w14:paraId="7A6B1D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136.85</w:t>
                  </w:r>
                </w:p>
              </w:tc>
              <w:tc>
                <w:tcPr>
                  <w:tcW w:w="821" w:type="pct"/>
                  <w:vMerge w:val="continue"/>
                  <w:tcBorders>
                    <w:tl2br w:val="nil"/>
                    <w:tr2bl w:val="nil"/>
                  </w:tcBorders>
                  <w:noWrap w:val="0"/>
                  <w:vAlign w:val="center"/>
                </w:tcPr>
                <w:p w14:paraId="0C94F6B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val="en-US" w:eastAsia="zh-CN"/>
                    </w:rPr>
                  </w:pPr>
                </w:p>
              </w:tc>
            </w:tr>
            <w:tr w14:paraId="21FD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2"/>
                  <w:tcBorders>
                    <w:tl2br w:val="nil"/>
                    <w:tr2bl w:val="nil"/>
                  </w:tcBorders>
                  <w:noWrap w:val="0"/>
                  <w:vAlign w:val="center"/>
                </w:tcPr>
                <w:p w14:paraId="25498AA0">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合计</w:t>
                  </w:r>
                </w:p>
              </w:tc>
              <w:tc>
                <w:tcPr>
                  <w:tcW w:w="492" w:type="pct"/>
                  <w:tcBorders>
                    <w:tl2br w:val="nil"/>
                    <w:tr2bl w:val="nil"/>
                  </w:tcBorders>
                  <w:noWrap w:val="0"/>
                  <w:vAlign w:val="center"/>
                </w:tcPr>
                <w:p w14:paraId="38F864F4">
                  <w:pPr>
                    <w:pStyle w:val="71"/>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w:t>
                  </w:r>
                </w:p>
              </w:tc>
              <w:tc>
                <w:tcPr>
                  <w:tcW w:w="366" w:type="pct"/>
                  <w:tcBorders>
                    <w:tl2br w:val="nil"/>
                    <w:tr2bl w:val="nil"/>
                  </w:tcBorders>
                  <w:noWrap w:val="0"/>
                  <w:vAlign w:val="center"/>
                </w:tcPr>
                <w:p w14:paraId="450C75E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52" w:type="pct"/>
                  <w:tcBorders>
                    <w:tl2br w:val="nil"/>
                    <w:tr2bl w:val="nil"/>
                  </w:tcBorders>
                  <w:noWrap w:val="0"/>
                  <w:vAlign w:val="center"/>
                </w:tcPr>
                <w:p w14:paraId="011BDB7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596.24</w:t>
                  </w:r>
                </w:p>
              </w:tc>
              <w:tc>
                <w:tcPr>
                  <w:tcW w:w="391" w:type="pct"/>
                  <w:tcBorders>
                    <w:tl2br w:val="nil"/>
                    <w:tr2bl w:val="nil"/>
                  </w:tcBorders>
                  <w:noWrap w:val="0"/>
                  <w:vAlign w:val="center"/>
                </w:tcPr>
                <w:p w14:paraId="0F8EB4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w:t>
                  </w:r>
                </w:p>
              </w:tc>
              <w:tc>
                <w:tcPr>
                  <w:tcW w:w="326" w:type="pct"/>
                  <w:tcBorders>
                    <w:tl2br w:val="nil"/>
                    <w:tr2bl w:val="nil"/>
                  </w:tcBorders>
                  <w:noWrap w:val="0"/>
                  <w:vAlign w:val="center"/>
                </w:tcPr>
                <w:p w14:paraId="767250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481" w:type="pct"/>
                  <w:tcBorders>
                    <w:tl2br w:val="nil"/>
                    <w:tr2bl w:val="nil"/>
                  </w:tcBorders>
                  <w:noWrap w:val="0"/>
                  <w:vAlign w:val="center"/>
                </w:tcPr>
                <w:p w14:paraId="3E8819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52" w:type="pct"/>
                  <w:tcBorders>
                    <w:tl2br w:val="nil"/>
                    <w:tr2bl w:val="nil"/>
                  </w:tcBorders>
                  <w:noWrap w:val="0"/>
                  <w:vAlign w:val="center"/>
                </w:tcPr>
                <w:p w14:paraId="3C0C46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775.56</w:t>
                  </w:r>
                </w:p>
              </w:tc>
              <w:tc>
                <w:tcPr>
                  <w:tcW w:w="821" w:type="pct"/>
                  <w:tcBorders>
                    <w:tl2br w:val="nil"/>
                    <w:tr2bl w:val="nil"/>
                  </w:tcBorders>
                  <w:noWrap w:val="0"/>
                  <w:vAlign w:val="center"/>
                </w:tcPr>
                <w:p w14:paraId="0947AF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r>
          </w:tbl>
          <w:p w14:paraId="63DFE1C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根据不同孔径分段求和计算，本工程总岩屑产量为</w:t>
            </w:r>
            <w:r>
              <w:rPr>
                <w:rFonts w:hint="eastAsia" w:ascii="Times New Roman" w:hAnsi="Times New Roman" w:eastAsia="宋体" w:cs="Times New Roman"/>
                <w:color w:val="auto"/>
                <w:kern w:val="2"/>
                <w:sz w:val="24"/>
                <w:szCs w:val="32"/>
                <w:highlight w:val="none"/>
                <w:lang w:val="en-US" w:eastAsia="zh-CN" w:bidi="ar-SA"/>
              </w:rPr>
              <w:t>775.56</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hAns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kern w:val="2"/>
                <w:sz w:val="24"/>
                <w:szCs w:val="32"/>
                <w:highlight w:val="none"/>
                <w:lang w:val="en-US" w:eastAsia="zh-CN" w:bidi="ar-SA"/>
              </w:rPr>
              <w:t>其中膨润土体系钻井岩屑产量为170.7</w:t>
            </w:r>
            <w:r>
              <w:rPr>
                <w:rFonts w:hint="eastAsia" w:cs="Times New Roman"/>
                <w:color w:val="auto"/>
                <w:kern w:val="2"/>
                <w:sz w:val="24"/>
                <w:szCs w:val="32"/>
                <w:highlight w:val="none"/>
                <w:lang w:val="en-US" w:eastAsia="zh-CN" w:bidi="ar-SA"/>
              </w:rPr>
              <w:t>1</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，磺化泥浆钻井岩屑产生量为</w:t>
            </w:r>
            <w:r>
              <w:rPr>
                <w:rFonts w:hint="eastAsia" w:cs="Times New Roman"/>
                <w:color w:val="auto"/>
                <w:kern w:val="2"/>
                <w:sz w:val="24"/>
                <w:szCs w:val="32"/>
                <w:highlight w:val="none"/>
                <w:lang w:val="en-US" w:eastAsia="zh-CN" w:bidi="ar-SA"/>
              </w:rPr>
              <w:t>604.85</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w:t>
            </w:r>
          </w:p>
          <w:p w14:paraId="3FB3BF4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钻井期间岩屑随泥浆一同进入固控系统进行固液分离，</w:t>
            </w:r>
            <w:r>
              <w:rPr>
                <w:rFonts w:hint="default" w:ascii="Times New Roman" w:hAnsi="Times New Roman" w:eastAsia="宋体" w:cs="Times New Roman"/>
                <w:color w:val="auto"/>
                <w:kern w:val="2"/>
                <w:sz w:val="24"/>
                <w:szCs w:val="32"/>
                <w:highlight w:val="none"/>
                <w:lang w:val="en-US" w:eastAsia="zh-CN" w:bidi="ar-SA"/>
              </w:rPr>
              <w:t>泥浆排入泥浆罐循环使用</w:t>
            </w:r>
            <w:r>
              <w:rPr>
                <w:rFonts w:hint="eastAsia" w:ascii="Times New Roman" w:hAnsi="Times New Roman" w:eastAsia="宋体" w:cs="Times New Roman"/>
                <w:color w:val="auto"/>
                <w:kern w:val="2"/>
                <w:sz w:val="24"/>
                <w:szCs w:val="32"/>
                <w:highlight w:val="none"/>
                <w:lang w:val="en-US" w:eastAsia="zh-CN" w:bidi="ar-SA"/>
              </w:rPr>
              <w:t>，完井后拉运至下一口井再利用，膨润土体系废弃钻井泥浆及岩屑排入防渗膨润土岩屑池干化，经检测满足</w:t>
            </w:r>
            <w:r>
              <w:rPr>
                <w:rFonts w:hint="default" w:ascii="Times New Roman" w:hAnsi="Times New Roman" w:eastAsia="宋体" w:cs="Times New Roman"/>
                <w:color w:val="auto"/>
                <w:kern w:val="2"/>
                <w:sz w:val="24"/>
                <w:szCs w:val="32"/>
                <w:highlight w:val="none"/>
                <w:lang w:val="en-US" w:eastAsia="zh-CN" w:bidi="ar-SA"/>
              </w:rPr>
              <w:t>《石油天然气开采业固体废物污染控制技术规范（试行）》（HJ1461-2026）表A.1中相关要求</w:t>
            </w:r>
            <w:r>
              <w:rPr>
                <w:rFonts w:hint="eastAsia" w:ascii="Times New Roman" w:hAnsi="Times New Roman" w:eastAsia="宋体" w:cs="Times New Roman"/>
                <w:color w:val="auto"/>
                <w:kern w:val="2"/>
                <w:sz w:val="24"/>
                <w:szCs w:val="32"/>
                <w:highlight w:val="none"/>
                <w:lang w:val="en-US" w:eastAsia="zh-CN" w:bidi="ar-SA"/>
              </w:rPr>
              <w:t>后，用于井场平整；聚磺体系废弃钻井泥浆及岩屑在井场环保罐收集后，根据生产情况转运至第三方环保处理站处置或在钻井现场无害化达标处置后用于铺垫油区内的井场、道路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4"/>
                <w:szCs w:val="32"/>
                <w:highlight w:val="none"/>
                <w:lang w:val="en-US" w:eastAsia="zh-CN" w:bidi="ar-SA"/>
              </w:rPr>
              <w:t>。</w:t>
            </w:r>
          </w:p>
          <w:p w14:paraId="0B3CDCD2">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（3）废弃包装材料</w:t>
            </w:r>
          </w:p>
          <w:p w14:paraId="414275B7">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钻井施工过程中配制钻井泥浆时会产生少量烧碱等危险化学品废包装袋属于危险废物，根据《国家危险废物名录（2025年版）》，危险化学品废弃包装袋其危险废物编号为HW49，危险废物代码为900-047-49。类比同类钻井工程，钻井期间产生的废包装袋约为0.1t，及时回收废包装袋，暂存于撬装式危废贮存点中，定期委托具有危废处置资质的单位接收处置。</w:t>
            </w:r>
          </w:p>
          <w:p w14:paraId="699C82F3">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w:t>
            </w:r>
            <w:r>
              <w:rPr>
                <w:rFonts w:hint="eastAsia" w:ascii="Times New Roman" w:hAnsi="Times New Roman" w:eastAsia="宋体" w:cs="Times New Roman"/>
                <w:color w:val="auto"/>
                <w:kern w:val="2"/>
                <w:sz w:val="24"/>
                <w:szCs w:val="32"/>
                <w:highlight w:val="none"/>
                <w:lang w:val="en-US" w:eastAsia="zh-CN" w:bidi="ar-SA"/>
              </w:rPr>
              <w:t>4</w:t>
            </w:r>
            <w:r>
              <w:rPr>
                <w:rFonts w:hint="default" w:ascii="Times New Roman" w:hAnsi="Times New Roman" w:eastAsia="宋体" w:cs="Times New Roman"/>
                <w:color w:val="auto"/>
                <w:kern w:val="2"/>
                <w:sz w:val="24"/>
                <w:szCs w:val="32"/>
                <w:highlight w:val="none"/>
                <w:lang w:val="en-US" w:eastAsia="zh-CN" w:bidi="ar-SA"/>
              </w:rPr>
              <w:t>）废机油</w:t>
            </w:r>
          </w:p>
          <w:p w14:paraId="18972E33">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期间使用的机械设备运行过程中需进行维护、保养、维修等工作，以使其能正常运转，此过程中将产生少量的废油，如废机油等，按照《国家危险废物名录（2025年版）》，废油划分为废矿物油与含矿物油废物类，其危险废物编号为HW08，危险废物代码为900-214-08</w:t>
            </w:r>
            <w:r>
              <w:rPr>
                <w:rFonts w:hint="eastAsia" w:ascii="Times New Roman" w:eastAsia="宋体" w:cs="Times New Roman"/>
                <w:color w:val="auto"/>
                <w:kern w:val="2"/>
                <w:sz w:val="24"/>
                <w:szCs w:val="32"/>
                <w:highlight w:val="none"/>
                <w:lang w:val="en-US" w:eastAsia="zh-CN" w:bidi="ar-SA"/>
              </w:rPr>
              <w:t>，</w:t>
            </w:r>
            <w:r>
              <w:rPr>
                <w:rFonts w:hint="default" w:ascii="Times New Roman" w:hAnsi="Times New Roman" w:eastAsia="宋体" w:cs="Times New Roman"/>
                <w:color w:val="auto"/>
                <w:kern w:val="2"/>
                <w:sz w:val="24"/>
                <w:szCs w:val="32"/>
                <w:highlight w:val="none"/>
                <w:lang w:val="en-US" w:eastAsia="zh-CN" w:bidi="ar-SA"/>
              </w:rPr>
              <w:t>产生量约0.1t，采用专用容器盛装，暂存于撬装式危废贮存点（8m</w:t>
            </w:r>
            <w:r>
              <w:rPr>
                <w:rFonts w:hint="default" w:ascii="Times New Roman" w:hAnsi="Times New Roman" w:eastAsia="宋体" w:cs="Times New Roman"/>
                <w:color w:val="auto"/>
                <w:kern w:val="2"/>
                <w:sz w:val="24"/>
                <w:szCs w:val="32"/>
                <w:highlight w:val="none"/>
                <w:vertAlign w:val="superscript"/>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）中，定期交由有资质单位处置。</w:t>
            </w:r>
          </w:p>
          <w:p w14:paraId="38330911">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eastAsia" w:ascii="Times New Roman" w:hAnsi="Times New Roman" w:eastAsia="宋体" w:cs="Times New Roman"/>
                <w:b w:val="0"/>
                <w:bCs w:val="0"/>
                <w:color w:val="auto"/>
                <w:spacing w:val="0"/>
                <w:kern w:val="2"/>
                <w:sz w:val="24"/>
                <w:szCs w:val="24"/>
                <w:highlight w:val="none"/>
                <w:lang w:val="en-US" w:eastAsia="zh-CN" w:bidi="ar-SA"/>
              </w:rPr>
              <w:t>（5）</w:t>
            </w:r>
            <w:r>
              <w:rPr>
                <w:rFonts w:hint="default" w:ascii="Times New Roman" w:hAnsi="Times New Roman" w:eastAsia="宋体" w:cs="Times New Roman"/>
                <w:b w:val="0"/>
                <w:bCs w:val="0"/>
                <w:color w:val="auto"/>
                <w:spacing w:val="0"/>
                <w:kern w:val="2"/>
                <w:sz w:val="24"/>
                <w:szCs w:val="24"/>
                <w:highlight w:val="none"/>
                <w:lang w:val="en-US" w:eastAsia="zh-CN" w:bidi="ar-SA"/>
              </w:rPr>
              <w:t>废防渗材料</w:t>
            </w:r>
          </w:p>
          <w:p w14:paraId="76E85FFF">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pacing w:val="0"/>
                <w:kern w:val="2"/>
                <w:sz w:val="24"/>
                <w:szCs w:val="24"/>
                <w:highlight w:val="none"/>
                <w:lang w:val="en-US" w:eastAsia="zh-CN" w:bidi="ar-SA"/>
              </w:rPr>
              <w:t>根据《危险废物环境管理指南 陆上石油</w:t>
            </w:r>
            <w:r>
              <w:rPr>
                <w:rFonts w:hint="eastAsia" w:ascii="Times New Roman" w:eastAsia="宋体" w:cs="Times New Roman"/>
                <w:b w:val="0"/>
                <w:bCs w:val="0"/>
                <w:color w:val="auto"/>
                <w:spacing w:val="0"/>
                <w:kern w:val="2"/>
                <w:sz w:val="24"/>
                <w:szCs w:val="24"/>
                <w:highlight w:val="none"/>
                <w:lang w:val="en-US" w:eastAsia="zh-CN" w:bidi="ar-SA"/>
              </w:rPr>
              <w:t>天然气</w:t>
            </w:r>
            <w:r>
              <w:rPr>
                <w:rFonts w:hint="default" w:ascii="Times New Roman" w:hAnsi="Times New Roman" w:eastAsia="宋体" w:cs="Times New Roman"/>
                <w:b w:val="0"/>
                <w:bCs w:val="0"/>
                <w:color w:val="auto"/>
                <w:spacing w:val="0"/>
                <w:kern w:val="2"/>
                <w:sz w:val="24"/>
                <w:szCs w:val="24"/>
                <w:highlight w:val="none"/>
                <w:lang w:val="en-US" w:eastAsia="zh-CN" w:bidi="ar-SA"/>
              </w:rPr>
              <w:t>开采》（生态环境部公告2021年第74号），废防渗材料（HW08废矿物油与含矿物油废物，危废代码：900-249-08）是指场地清理时拆除的原防渗区域为防止矿物油等污染土壤和地下水而铺设的防渗材料，主要含有矿物油等。</w:t>
            </w:r>
          </w:p>
          <w:p w14:paraId="535B5CA3">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b w:val="0"/>
                <w:bCs w:val="0"/>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pacing w:val="0"/>
                <w:kern w:val="2"/>
                <w:sz w:val="24"/>
                <w:szCs w:val="24"/>
                <w:highlight w:val="none"/>
                <w:lang w:val="en-US" w:eastAsia="zh-CN" w:bidi="ar-SA"/>
              </w:rPr>
              <w:t>目前油田使用的防渗布均可重复利用，平均重复利用3年左右，单块防渗布重约250kg，每口井作业用2块，全部作为废弃考虑，则项目完井后产生废弃防渗布最大产生量约0.5t。完井后由施工单位将废弃的含油防渗布集中收集后在危废贮存点暂存，委托具有危险废物运输及处理资质的单位拉运处置。</w:t>
            </w:r>
          </w:p>
          <w:p w14:paraId="490AF198">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（6）落地油</w:t>
            </w:r>
          </w:p>
          <w:p w14:paraId="7F81BECB">
            <w:pPr>
              <w:pStyle w:val="67"/>
              <w:keepNext w:val="0"/>
              <w:keepLines w:val="0"/>
              <w:pageBreakBefore w:val="0"/>
              <w:widowControl w:val="0"/>
              <w:kinsoku/>
              <w:wordWrap/>
              <w:overflowPunct/>
              <w:topLinePunct w:val="0"/>
              <w:autoSpaceDE/>
              <w:autoSpaceDN/>
              <w:bidi w:val="0"/>
              <w:adjustRightInd/>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本项目钻井期和试油期间可能产生少量原油</w:t>
            </w:r>
            <w:r>
              <w:rPr>
                <w:rFonts w:hint="eastAsia" w:ascii="Times New Roman" w:eastAsia="宋体" w:cs="Times New Roman"/>
                <w:color w:val="auto"/>
                <w:kern w:val="2"/>
                <w:sz w:val="24"/>
                <w:szCs w:val="32"/>
                <w:highlight w:val="none"/>
                <w:lang w:val="en-US" w:eastAsia="zh-CN" w:bidi="ar-SA"/>
              </w:rPr>
              <w:t>，产生量约0.1t</w:t>
            </w:r>
            <w:r>
              <w:rPr>
                <w:rFonts w:hint="default" w:ascii="Times New Roman" w:hAnsi="Times New Roman" w:eastAsia="宋体" w:cs="Times New Roman"/>
                <w:color w:val="auto"/>
                <w:kern w:val="2"/>
                <w:sz w:val="24"/>
                <w:szCs w:val="32"/>
                <w:highlight w:val="none"/>
                <w:lang w:val="en-US" w:eastAsia="zh-CN" w:bidi="ar-SA"/>
              </w:rPr>
              <w:t>，根据油田公司环境保护管理制度规定，落地油要求100%回收。</w:t>
            </w:r>
          </w:p>
          <w:p w14:paraId="4D10B399">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w:t>
            </w:r>
            <w:r>
              <w:rPr>
                <w:rFonts w:hint="eastAsia" w:ascii="Times New Roman" w:hAnsi="Times New Roman" w:eastAsia="宋体" w:cs="Times New Roman"/>
                <w:color w:val="auto"/>
                <w:kern w:val="2"/>
                <w:sz w:val="24"/>
                <w:szCs w:val="24"/>
                <w:lang w:val="en-US" w:eastAsia="zh-CN"/>
              </w:rPr>
              <w:t>7</w:t>
            </w:r>
            <w:r>
              <w:rPr>
                <w:rFonts w:hint="default" w:ascii="Times New Roman" w:hAnsi="Times New Roman" w:eastAsia="宋体" w:cs="Times New Roman"/>
                <w:color w:val="auto"/>
                <w:kern w:val="2"/>
                <w:sz w:val="24"/>
                <w:szCs w:val="24"/>
                <w:lang w:val="en-US" w:eastAsia="zh-CN"/>
              </w:rPr>
              <w:t>）生活垃圾</w:t>
            </w:r>
          </w:p>
          <w:p w14:paraId="33586A56">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lang w:val="en-US" w:eastAsia="zh-CN"/>
              </w:rPr>
              <w:t>井队人数为60人，工程预计钻井施工期为</w:t>
            </w:r>
            <w:r>
              <w:rPr>
                <w:rFonts w:hint="eastAsia" w:ascii="Times New Roman" w:hAnsi="Times New Roman" w:cs="Times New Roman"/>
                <w:color w:val="auto"/>
                <w:kern w:val="2"/>
                <w:sz w:val="24"/>
                <w:szCs w:val="24"/>
                <w:lang w:val="en-US" w:eastAsia="zh-CN"/>
              </w:rPr>
              <w:t>180</w:t>
            </w:r>
            <w:r>
              <w:rPr>
                <w:rFonts w:hint="default" w:ascii="Times New Roman" w:hAnsi="Times New Roman" w:eastAsia="宋体" w:cs="Times New Roman"/>
                <w:color w:val="auto"/>
                <w:kern w:val="2"/>
                <w:sz w:val="24"/>
                <w:szCs w:val="24"/>
                <w:lang w:val="en-US" w:eastAsia="zh-CN"/>
              </w:rPr>
              <w:t>天，按生活垃圾产生量每人</w:t>
            </w:r>
            <w:r>
              <w:rPr>
                <w:rFonts w:hint="eastAsia" w:ascii="Times New Roman" w:hAnsi="Times New Roman" w:cs="Times New Roman"/>
                <w:color w:val="auto"/>
                <w:kern w:val="2"/>
                <w:sz w:val="24"/>
                <w:szCs w:val="24"/>
                <w:lang w:val="en-US" w:eastAsia="zh-CN"/>
              </w:rPr>
              <w:t>0.3</w:t>
            </w:r>
            <w:r>
              <w:rPr>
                <w:rFonts w:hint="default" w:ascii="Times New Roman" w:hAnsi="Times New Roman" w:eastAsia="宋体" w:cs="Times New Roman"/>
                <w:color w:val="auto"/>
                <w:kern w:val="2"/>
                <w:sz w:val="24"/>
                <w:szCs w:val="24"/>
                <w:lang w:val="en-US" w:eastAsia="zh-CN"/>
              </w:rPr>
              <w:t>kg/d计，生活垃圾产生量</w:t>
            </w:r>
            <w:r>
              <w:rPr>
                <w:rFonts w:hint="eastAsia" w:ascii="Times New Roman" w:hAnsi="Times New Roman" w:cs="Times New Roman"/>
                <w:color w:val="auto"/>
                <w:kern w:val="2"/>
                <w:sz w:val="24"/>
                <w:szCs w:val="24"/>
                <w:lang w:val="en-US" w:eastAsia="zh-CN"/>
              </w:rPr>
              <w:t>3.24</w:t>
            </w:r>
            <w:r>
              <w:rPr>
                <w:rFonts w:hint="default" w:ascii="Times New Roman" w:hAnsi="Times New Roman" w:eastAsia="宋体" w:cs="Times New Roman"/>
                <w:color w:val="auto"/>
                <w:kern w:val="2"/>
                <w:sz w:val="24"/>
                <w:szCs w:val="24"/>
                <w:lang w:val="en-US" w:eastAsia="zh-CN"/>
              </w:rPr>
              <w:t>t，集中收集，定期送至</w:t>
            </w:r>
            <w:r>
              <w:rPr>
                <w:rFonts w:hint="eastAsia" w:ascii="Times New Roman" w:hAnsi="Times New Roman" w:cs="Times New Roman"/>
                <w:color w:val="auto"/>
                <w:kern w:val="2"/>
                <w:sz w:val="24"/>
                <w:szCs w:val="24"/>
                <w:lang w:val="en-US" w:eastAsia="zh-CN"/>
              </w:rPr>
              <w:t>当地生活垃圾转运站处理</w:t>
            </w:r>
            <w:r>
              <w:rPr>
                <w:rFonts w:hint="default" w:ascii="Times New Roman" w:hAnsi="Times New Roman" w:eastAsia="宋体" w:cs="Times New Roman"/>
                <w:color w:val="auto"/>
                <w:kern w:val="2"/>
                <w:sz w:val="24"/>
                <w:szCs w:val="24"/>
                <w:lang w:val="en-US" w:eastAsia="zh-CN"/>
              </w:rPr>
              <w:t>。</w:t>
            </w:r>
          </w:p>
          <w:p w14:paraId="75FA288D">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eastAsia="zh-CN"/>
              </w:rPr>
            </w:pPr>
            <w:r>
              <w:rPr>
                <w:rFonts w:hint="default" w:ascii="Times New Roman" w:hAnsi="Times New Roman" w:eastAsia="宋体" w:cs="Times New Roman"/>
                <w:color w:val="auto"/>
                <w:kern w:val="2"/>
                <w:sz w:val="24"/>
                <w:szCs w:val="24"/>
                <w:lang w:val="en-US" w:eastAsia="zh-CN"/>
              </w:rPr>
              <w:t>根据《固体废物分类与代码目录》（生态环境部公告第24号），该类固废种类为SW64其他垃圾，固废代码为900-099-S64</w:t>
            </w:r>
            <w:r>
              <w:rPr>
                <w:rFonts w:hint="eastAsia" w:ascii="Times New Roman" w:hAnsi="Times New Roman" w:eastAsia="宋体" w:cs="Times New Roman"/>
                <w:color w:val="auto"/>
                <w:kern w:val="2"/>
                <w:sz w:val="24"/>
                <w:szCs w:val="24"/>
                <w:lang w:val="en-US" w:eastAsia="zh-CN"/>
              </w:rPr>
              <w:t>。</w:t>
            </w:r>
          </w:p>
          <w:p w14:paraId="777387AC">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eastAsia="zh-CN"/>
              </w:rPr>
              <w:t>本项目</w:t>
            </w:r>
            <w:r>
              <w:rPr>
                <w:rFonts w:hint="default" w:ascii="Times New Roman" w:hAnsi="Times New Roman" w:eastAsia="宋体" w:cs="Times New Roman"/>
                <w:color w:val="auto"/>
                <w:kern w:val="2"/>
                <w:sz w:val="24"/>
                <w:szCs w:val="24"/>
              </w:rPr>
              <w:t>固体废物产生量及具体处置措施见表4-</w:t>
            </w:r>
            <w:r>
              <w:rPr>
                <w:rFonts w:hint="default" w:ascii="Times New Roman" w:hAnsi="Times New Roman" w:eastAsia="宋体" w:cs="Times New Roman"/>
                <w:color w:val="auto"/>
                <w:kern w:val="2"/>
                <w:sz w:val="24"/>
                <w:szCs w:val="24"/>
                <w:lang w:val="en-US" w:eastAsia="zh-CN"/>
              </w:rPr>
              <w:t>5，表4-6</w:t>
            </w:r>
            <w:r>
              <w:rPr>
                <w:rFonts w:hint="default" w:ascii="Times New Roman" w:hAnsi="Times New Roman" w:eastAsia="宋体" w:cs="Times New Roman"/>
                <w:color w:val="auto"/>
                <w:kern w:val="2"/>
                <w:sz w:val="24"/>
                <w:szCs w:val="24"/>
              </w:rPr>
              <w:t>。</w:t>
            </w:r>
          </w:p>
          <w:p w14:paraId="026966E6">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表4-</w:t>
            </w:r>
            <w:r>
              <w:rPr>
                <w:rFonts w:hint="default" w:ascii="Times New Roman" w:hAnsi="Times New Roman" w:eastAsia="宋体" w:cs="Times New Roman"/>
                <w:b/>
                <w:bCs/>
                <w:color w:val="auto"/>
                <w:kern w:val="2"/>
                <w:sz w:val="21"/>
                <w:szCs w:val="21"/>
                <w:lang w:val="en-US" w:eastAsia="zh-CN"/>
              </w:rPr>
              <w:t>5</w:t>
            </w:r>
            <w:r>
              <w:rPr>
                <w:rFonts w:hint="default" w:ascii="Times New Roman" w:hAnsi="Times New Roman" w:eastAsia="宋体" w:cs="Times New Roman"/>
                <w:b/>
                <w:bCs/>
                <w:color w:val="auto"/>
                <w:kern w:val="2"/>
                <w:sz w:val="21"/>
                <w:szCs w:val="21"/>
              </w:rPr>
              <w:t xml:space="preserve"> </w:t>
            </w:r>
            <w:r>
              <w:rPr>
                <w:rFonts w:hint="default" w:ascii="Times New Roman" w:hAnsi="Times New Roman" w:eastAsia="宋体" w:cs="Times New Roman"/>
                <w:b/>
                <w:bCs/>
                <w:color w:val="auto"/>
                <w:kern w:val="2"/>
                <w:sz w:val="21"/>
                <w:szCs w:val="21"/>
                <w:lang w:val="en-US" w:eastAsia="zh-CN"/>
              </w:rPr>
              <w:t xml:space="preserve">  </w:t>
            </w:r>
            <w:r>
              <w:rPr>
                <w:rFonts w:hint="default" w:ascii="Times New Roman" w:hAnsi="Times New Roman" w:eastAsia="宋体" w:cs="Times New Roman"/>
                <w:b/>
                <w:bCs/>
                <w:color w:val="auto"/>
                <w:kern w:val="2"/>
                <w:sz w:val="21"/>
                <w:szCs w:val="21"/>
              </w:rPr>
              <w:t>项目固体废物产生与处置措施表</w:t>
            </w:r>
          </w:p>
          <w:tbl>
            <w:tblPr>
              <w:tblStyle w:val="3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2373"/>
              <w:gridCol w:w="975"/>
              <w:gridCol w:w="855"/>
              <w:gridCol w:w="3681"/>
            </w:tblGrid>
            <w:tr w14:paraId="340B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14:paraId="19A93A0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序号</w:t>
                  </w:r>
                </w:p>
              </w:tc>
              <w:tc>
                <w:tcPr>
                  <w:tcW w:w="1405" w:type="pct"/>
                  <w:tcBorders>
                    <w:tl2br w:val="nil"/>
                    <w:tr2bl w:val="nil"/>
                  </w:tcBorders>
                  <w:noWrap w:val="0"/>
                  <w:vAlign w:val="center"/>
                </w:tcPr>
                <w:p w14:paraId="33DF28F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固废种类</w:t>
                  </w:r>
                </w:p>
              </w:tc>
              <w:tc>
                <w:tcPr>
                  <w:tcW w:w="577" w:type="pct"/>
                  <w:tcBorders>
                    <w:tl2br w:val="nil"/>
                    <w:tr2bl w:val="nil"/>
                  </w:tcBorders>
                  <w:noWrap w:val="0"/>
                  <w:vAlign w:val="center"/>
                </w:tcPr>
                <w:p w14:paraId="0B1BAF79">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产生量m</w:t>
                  </w:r>
                  <w:r>
                    <w:rPr>
                      <w:rFonts w:hint="default" w:ascii="Times New Roman" w:hAnsi="Times New Roman" w:eastAsia="宋体" w:cs="Times New Roman"/>
                      <w:b w:val="0"/>
                      <w:bCs w:val="0"/>
                      <w:color w:val="auto"/>
                      <w:kern w:val="2"/>
                      <w:sz w:val="21"/>
                      <w:szCs w:val="15"/>
                      <w:vertAlign w:val="superscript"/>
                    </w:rPr>
                    <w:t>3</w:t>
                  </w:r>
                </w:p>
              </w:tc>
              <w:tc>
                <w:tcPr>
                  <w:tcW w:w="506" w:type="pct"/>
                  <w:tcBorders>
                    <w:tl2br w:val="nil"/>
                    <w:tr2bl w:val="nil"/>
                  </w:tcBorders>
                  <w:noWrap w:val="0"/>
                  <w:vAlign w:val="center"/>
                </w:tcPr>
                <w:p w14:paraId="02A822D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lang w:val="en-US" w:eastAsia="zh-CN"/>
                    </w:rPr>
                  </w:pPr>
                  <w:r>
                    <w:rPr>
                      <w:rFonts w:hint="default" w:ascii="Times New Roman" w:hAnsi="Times New Roman" w:eastAsia="宋体" w:cs="Times New Roman"/>
                      <w:b w:val="0"/>
                      <w:bCs w:val="0"/>
                      <w:color w:val="auto"/>
                      <w:kern w:val="2"/>
                      <w:sz w:val="21"/>
                      <w:szCs w:val="15"/>
                      <w:lang w:val="en-US" w:eastAsia="zh-CN"/>
                    </w:rPr>
                    <w:t>性质</w:t>
                  </w:r>
                </w:p>
              </w:tc>
              <w:tc>
                <w:tcPr>
                  <w:tcW w:w="2179" w:type="pct"/>
                  <w:tcBorders>
                    <w:tl2br w:val="nil"/>
                    <w:tr2bl w:val="nil"/>
                  </w:tcBorders>
                  <w:noWrap w:val="0"/>
                  <w:vAlign w:val="center"/>
                </w:tcPr>
                <w:p w14:paraId="119AA93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15"/>
                    </w:rPr>
                  </w:pPr>
                  <w:r>
                    <w:rPr>
                      <w:rFonts w:hint="default" w:ascii="Times New Roman" w:hAnsi="Times New Roman" w:eastAsia="宋体" w:cs="Times New Roman"/>
                      <w:b w:val="0"/>
                      <w:bCs w:val="0"/>
                      <w:color w:val="auto"/>
                      <w:kern w:val="2"/>
                      <w:sz w:val="21"/>
                      <w:szCs w:val="15"/>
                    </w:rPr>
                    <w:t>处置措施</w:t>
                  </w:r>
                </w:p>
              </w:tc>
            </w:tr>
            <w:tr w14:paraId="2390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14:paraId="47C6DDC7">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1</w:t>
                  </w:r>
                </w:p>
              </w:tc>
              <w:tc>
                <w:tcPr>
                  <w:tcW w:w="1405" w:type="pct"/>
                  <w:tcBorders>
                    <w:tl2br w:val="nil"/>
                    <w:tr2bl w:val="nil"/>
                  </w:tcBorders>
                  <w:noWrap w:val="0"/>
                  <w:vAlign w:val="center"/>
                </w:tcPr>
                <w:p w14:paraId="10C63DB3">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废弃钻井泥浆</w:t>
                  </w:r>
                </w:p>
                <w:p w14:paraId="0E0177B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eastAsia="zh-CN"/>
                    </w:rPr>
                  </w:pPr>
                  <w:r>
                    <w:rPr>
                      <w:rFonts w:hint="default" w:ascii="Times New Roman" w:hAnsi="Times New Roman" w:eastAsia="宋体" w:cs="Times New Roman"/>
                      <w:color w:val="auto"/>
                      <w:kern w:val="2"/>
                      <w:sz w:val="21"/>
                      <w:szCs w:val="15"/>
                      <w:lang w:val="en-US" w:eastAsia="zh-CN"/>
                    </w:rPr>
                    <w:t>（SW12</w:t>
                  </w:r>
                  <w:r>
                    <w:rPr>
                      <w:rFonts w:hint="eastAsia" w:ascii="Times New Roman" w:hAnsi="Times New Roman" w:eastAsia="宋体" w:cs="Times New Roman"/>
                      <w:color w:val="auto"/>
                      <w:kern w:val="2"/>
                      <w:sz w:val="21"/>
                      <w:szCs w:val="15"/>
                      <w:lang w:val="en-US" w:eastAsia="zh-CN"/>
                    </w:rPr>
                    <w:t>，</w:t>
                  </w:r>
                  <w:r>
                    <w:rPr>
                      <w:rFonts w:hint="default" w:ascii="Times New Roman" w:hAnsi="Times New Roman" w:eastAsia="宋体" w:cs="Times New Roman"/>
                      <w:color w:val="auto"/>
                      <w:kern w:val="2"/>
                      <w:sz w:val="21"/>
                      <w:szCs w:val="15"/>
                      <w:lang w:val="en-US" w:eastAsia="zh-CN"/>
                    </w:rPr>
                    <w:t>072</w:t>
                  </w:r>
                  <w:r>
                    <w:rPr>
                      <w:rFonts w:hint="default" w:ascii="Times New Roman" w:hAnsi="Times New Roman" w:eastAsia="宋体" w:cs="Times New Roman"/>
                      <w:color w:val="auto"/>
                      <w:kern w:val="2"/>
                      <w:sz w:val="21"/>
                      <w:szCs w:val="15"/>
                      <w:lang w:eastAsia="zh-CN"/>
                    </w:rPr>
                    <w:t>-0</w:t>
                  </w:r>
                  <w:r>
                    <w:rPr>
                      <w:rFonts w:hint="default" w:ascii="Times New Roman" w:hAnsi="Times New Roman" w:eastAsia="宋体" w:cs="Times New Roman"/>
                      <w:color w:val="auto"/>
                      <w:kern w:val="2"/>
                      <w:sz w:val="21"/>
                      <w:szCs w:val="15"/>
                      <w:lang w:val="en-US" w:eastAsia="zh-CN"/>
                    </w:rPr>
                    <w:t>01</w:t>
                  </w:r>
                  <w:r>
                    <w:rPr>
                      <w:rFonts w:hint="default" w:ascii="Times New Roman" w:hAnsi="Times New Roman" w:eastAsia="宋体" w:cs="Times New Roman"/>
                      <w:color w:val="auto"/>
                      <w:kern w:val="2"/>
                      <w:sz w:val="21"/>
                      <w:szCs w:val="15"/>
                      <w:lang w:eastAsia="zh-CN"/>
                    </w:rPr>
                    <w:t>-S</w:t>
                  </w:r>
                  <w:r>
                    <w:rPr>
                      <w:rFonts w:hint="default" w:ascii="Times New Roman" w:hAnsi="Times New Roman" w:eastAsia="宋体" w:cs="Times New Roman"/>
                      <w:color w:val="auto"/>
                      <w:kern w:val="2"/>
                      <w:sz w:val="21"/>
                      <w:szCs w:val="15"/>
                      <w:lang w:val="en-US" w:eastAsia="zh-CN"/>
                    </w:rPr>
                    <w:t>12）</w:t>
                  </w:r>
                </w:p>
              </w:tc>
              <w:tc>
                <w:tcPr>
                  <w:tcW w:w="975" w:type="dxa"/>
                  <w:tcBorders>
                    <w:tl2br w:val="nil"/>
                    <w:tr2bl w:val="nil"/>
                  </w:tcBorders>
                  <w:noWrap w:val="0"/>
                  <w:vAlign w:val="center"/>
                </w:tcPr>
                <w:p w14:paraId="415FFBD8">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594.</w:t>
                  </w:r>
                  <w:r>
                    <w:rPr>
                      <w:rFonts w:hint="eastAsia" w:ascii="Times New Roman" w:hAnsi="Times New Roman" w:cs="Times New Roman"/>
                      <w:color w:val="auto"/>
                      <w:kern w:val="2"/>
                      <w:sz w:val="21"/>
                      <w:szCs w:val="15"/>
                      <w:lang w:val="en-US" w:eastAsia="zh-CN"/>
                    </w:rPr>
                    <w:t>24</w:t>
                  </w:r>
                </w:p>
              </w:tc>
              <w:tc>
                <w:tcPr>
                  <w:tcW w:w="506" w:type="pct"/>
                  <w:vMerge w:val="restart"/>
                  <w:tcBorders>
                    <w:tl2br w:val="nil"/>
                    <w:tr2bl w:val="nil"/>
                  </w:tcBorders>
                  <w:noWrap w:val="0"/>
                  <w:vAlign w:val="center"/>
                </w:tcPr>
                <w:p w14:paraId="26280B1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一般固体废物</w:t>
                  </w:r>
                </w:p>
              </w:tc>
              <w:tc>
                <w:tcPr>
                  <w:tcW w:w="2179" w:type="pct"/>
                  <w:tcBorders>
                    <w:tl2br w:val="nil"/>
                    <w:tr2bl w:val="nil"/>
                  </w:tcBorders>
                  <w:noWrap w:val="0"/>
                  <w:vAlign w:val="center"/>
                </w:tcPr>
                <w:p w14:paraId="58C53A3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lang w:eastAsia="zh-CN"/>
                    </w:rPr>
                    <w:t>随钻泥浆不落地系统处理后回用</w:t>
                  </w:r>
                </w:p>
              </w:tc>
            </w:tr>
            <w:tr w14:paraId="0521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14:paraId="6F6488DE">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rPr>
                    <w:t>2</w:t>
                  </w:r>
                </w:p>
              </w:tc>
              <w:tc>
                <w:tcPr>
                  <w:tcW w:w="1405" w:type="pct"/>
                  <w:tcBorders>
                    <w:tl2br w:val="nil"/>
                    <w:tr2bl w:val="nil"/>
                  </w:tcBorders>
                  <w:noWrap w:val="0"/>
                  <w:vAlign w:val="center"/>
                </w:tcPr>
                <w:p w14:paraId="3542421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eastAsia="zh-CN"/>
                    </w:rPr>
                  </w:pPr>
                  <w:r>
                    <w:rPr>
                      <w:rFonts w:hint="default" w:ascii="Times New Roman" w:hAnsi="Times New Roman" w:eastAsia="宋体" w:cs="Times New Roman"/>
                      <w:color w:val="auto"/>
                      <w:kern w:val="2"/>
                      <w:sz w:val="21"/>
                      <w:szCs w:val="15"/>
                      <w:lang w:val="en-US" w:eastAsia="zh-CN"/>
                    </w:rPr>
                    <w:t>膨润土泥浆钻井岩屑（SW12</w:t>
                  </w:r>
                  <w:r>
                    <w:rPr>
                      <w:rFonts w:hint="eastAsia" w:ascii="Times New Roman" w:hAnsi="Times New Roman" w:eastAsia="宋体" w:cs="Times New Roman"/>
                      <w:color w:val="auto"/>
                      <w:kern w:val="2"/>
                      <w:sz w:val="21"/>
                      <w:szCs w:val="15"/>
                      <w:lang w:val="en-US" w:eastAsia="zh-CN"/>
                    </w:rPr>
                    <w:t>，</w:t>
                  </w:r>
                  <w:r>
                    <w:rPr>
                      <w:rFonts w:hint="default" w:ascii="Times New Roman" w:hAnsi="Times New Roman" w:eastAsia="宋体" w:cs="Times New Roman"/>
                      <w:color w:val="auto"/>
                      <w:kern w:val="2"/>
                      <w:sz w:val="21"/>
                      <w:szCs w:val="15"/>
                      <w:lang w:val="en-US" w:eastAsia="zh-CN"/>
                    </w:rPr>
                    <w:t>072</w:t>
                  </w:r>
                  <w:r>
                    <w:rPr>
                      <w:rFonts w:hint="default" w:ascii="Times New Roman" w:hAnsi="Times New Roman" w:eastAsia="宋体" w:cs="Times New Roman"/>
                      <w:color w:val="auto"/>
                      <w:kern w:val="2"/>
                      <w:sz w:val="21"/>
                      <w:szCs w:val="15"/>
                      <w:lang w:eastAsia="zh-CN"/>
                    </w:rPr>
                    <w:t>-0</w:t>
                  </w:r>
                  <w:r>
                    <w:rPr>
                      <w:rFonts w:hint="default" w:ascii="Times New Roman" w:hAnsi="Times New Roman" w:eastAsia="宋体" w:cs="Times New Roman"/>
                      <w:color w:val="auto"/>
                      <w:kern w:val="2"/>
                      <w:sz w:val="21"/>
                      <w:szCs w:val="15"/>
                      <w:lang w:val="en-US" w:eastAsia="zh-CN"/>
                    </w:rPr>
                    <w:t>02</w:t>
                  </w:r>
                  <w:r>
                    <w:rPr>
                      <w:rFonts w:hint="default" w:ascii="Times New Roman" w:hAnsi="Times New Roman" w:eastAsia="宋体" w:cs="Times New Roman"/>
                      <w:color w:val="auto"/>
                      <w:kern w:val="2"/>
                      <w:sz w:val="21"/>
                      <w:szCs w:val="15"/>
                      <w:lang w:eastAsia="zh-CN"/>
                    </w:rPr>
                    <w:t>-S</w:t>
                  </w:r>
                  <w:r>
                    <w:rPr>
                      <w:rFonts w:hint="default" w:ascii="Times New Roman" w:hAnsi="Times New Roman" w:eastAsia="宋体" w:cs="Times New Roman"/>
                      <w:color w:val="auto"/>
                      <w:kern w:val="2"/>
                      <w:sz w:val="21"/>
                      <w:szCs w:val="15"/>
                      <w:lang w:val="en-US" w:eastAsia="zh-CN"/>
                    </w:rPr>
                    <w:t>12）</w:t>
                  </w:r>
                </w:p>
              </w:tc>
              <w:tc>
                <w:tcPr>
                  <w:tcW w:w="975" w:type="dxa"/>
                  <w:tcBorders>
                    <w:tl2br w:val="nil"/>
                    <w:tr2bl w:val="nil"/>
                  </w:tcBorders>
                  <w:noWrap w:val="0"/>
                  <w:vAlign w:val="center"/>
                </w:tcPr>
                <w:p w14:paraId="5B85FC2D">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170.7</w:t>
                  </w:r>
                  <w:r>
                    <w:rPr>
                      <w:rFonts w:hint="eastAsia" w:ascii="Times New Roman" w:hAnsi="Times New Roman" w:eastAsia="宋体" w:cs="Times New Roman"/>
                      <w:color w:val="auto"/>
                      <w:kern w:val="2"/>
                      <w:sz w:val="21"/>
                      <w:szCs w:val="15"/>
                      <w:lang w:val="en-US" w:eastAsia="zh-CN"/>
                    </w:rPr>
                    <w:t xml:space="preserve">1 </w:t>
                  </w:r>
                </w:p>
              </w:tc>
              <w:tc>
                <w:tcPr>
                  <w:tcW w:w="506" w:type="pct"/>
                  <w:vMerge w:val="continue"/>
                  <w:tcBorders>
                    <w:tl2br w:val="nil"/>
                    <w:tr2bl w:val="nil"/>
                  </w:tcBorders>
                  <w:noWrap w:val="0"/>
                  <w:vAlign w:val="center"/>
                </w:tcPr>
                <w:p w14:paraId="4B6EFF7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14:paraId="5ED304F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rPr>
                  </w:pPr>
                  <w:r>
                    <w:rPr>
                      <w:rFonts w:hint="default" w:ascii="Times New Roman" w:hAnsi="Times New Roman" w:eastAsia="宋体" w:cs="Times New Roman"/>
                      <w:color w:val="auto"/>
                      <w:kern w:val="2"/>
                      <w:sz w:val="21"/>
                      <w:szCs w:val="15"/>
                      <w:lang w:val="en-US" w:eastAsia="zh-CN"/>
                    </w:rPr>
                    <w:t>膨润土体系废弃钻井泥浆及岩屑一同进入井队固控系统分离出来，岩屑进入随钻不落地系统处理后，于泥浆不落地处理区暂存，经检测达标后，用于铺垫油区内的井场、道路</w:t>
                  </w:r>
                </w:p>
              </w:tc>
            </w:tr>
            <w:tr w14:paraId="74F8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14:paraId="2BE545D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3</w:t>
                  </w:r>
                </w:p>
              </w:tc>
              <w:tc>
                <w:tcPr>
                  <w:tcW w:w="1405" w:type="pct"/>
                  <w:tcBorders>
                    <w:tl2br w:val="nil"/>
                    <w:tr2bl w:val="nil"/>
                  </w:tcBorders>
                  <w:noWrap w:val="0"/>
                  <w:vAlign w:val="center"/>
                </w:tcPr>
                <w:p w14:paraId="4601C97C">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聚磺泥浆钻井岩屑</w:t>
                  </w:r>
                </w:p>
                <w:p w14:paraId="163BB1C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（SW12，072-002-S12）</w:t>
                  </w:r>
                </w:p>
              </w:tc>
              <w:tc>
                <w:tcPr>
                  <w:tcW w:w="975" w:type="dxa"/>
                  <w:tcBorders>
                    <w:tl2br w:val="nil"/>
                    <w:tr2bl w:val="nil"/>
                  </w:tcBorders>
                  <w:noWrap w:val="0"/>
                  <w:vAlign w:val="center"/>
                </w:tcPr>
                <w:p w14:paraId="3D024D1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 xml:space="preserve">604.85 </w:t>
                  </w:r>
                </w:p>
              </w:tc>
              <w:tc>
                <w:tcPr>
                  <w:tcW w:w="506" w:type="pct"/>
                  <w:vMerge w:val="continue"/>
                  <w:tcBorders>
                    <w:tl2br w:val="nil"/>
                    <w:tr2bl w:val="nil"/>
                  </w:tcBorders>
                  <w:noWrap w:val="0"/>
                  <w:vAlign w:val="center"/>
                </w:tcPr>
                <w:p w14:paraId="69555BB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14:paraId="2EADC7AE">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r>
            <w:tr w14:paraId="0E28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 w:type="pct"/>
                  <w:tcBorders>
                    <w:tl2br w:val="nil"/>
                    <w:tr2bl w:val="nil"/>
                  </w:tcBorders>
                  <w:noWrap w:val="0"/>
                  <w:vAlign w:val="center"/>
                </w:tcPr>
                <w:p w14:paraId="559875B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cs="Times New Roman"/>
                      <w:color w:val="auto"/>
                      <w:kern w:val="2"/>
                      <w:sz w:val="21"/>
                      <w:szCs w:val="15"/>
                      <w:lang w:val="en-US" w:eastAsia="zh-CN"/>
                    </w:rPr>
                    <w:t>4</w:t>
                  </w:r>
                </w:p>
              </w:tc>
              <w:tc>
                <w:tcPr>
                  <w:tcW w:w="1405" w:type="pct"/>
                  <w:tcBorders>
                    <w:tl2br w:val="nil"/>
                    <w:tr2bl w:val="nil"/>
                  </w:tcBorders>
                  <w:noWrap w:val="0"/>
                  <w:vAlign w:val="center"/>
                </w:tcPr>
                <w:p w14:paraId="4999ACEE">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生活垃圾</w:t>
                  </w:r>
                </w:p>
                <w:p w14:paraId="23FAA83E">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（SW64，900-099-S64）</w:t>
                  </w:r>
                </w:p>
              </w:tc>
              <w:tc>
                <w:tcPr>
                  <w:tcW w:w="577" w:type="pct"/>
                  <w:tcBorders>
                    <w:tl2br w:val="nil"/>
                    <w:tr2bl w:val="nil"/>
                  </w:tcBorders>
                  <w:noWrap w:val="0"/>
                  <w:vAlign w:val="center"/>
                </w:tcPr>
                <w:p w14:paraId="05E13DF9">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default" w:ascii="Times New Roman" w:hAnsi="Times New Roman" w:eastAsia="宋体" w:cs="Times New Roman"/>
                      <w:color w:val="auto"/>
                      <w:kern w:val="2"/>
                      <w:sz w:val="21"/>
                      <w:szCs w:val="15"/>
                      <w:lang w:val="en-US" w:eastAsia="zh-CN"/>
                    </w:rPr>
                    <w:t>3.24</w:t>
                  </w:r>
                  <w:r>
                    <w:rPr>
                      <w:rFonts w:hint="eastAsia" w:ascii="Times New Roman" w:hAnsi="Times New Roman" w:eastAsia="宋体" w:cs="Times New Roman"/>
                      <w:color w:val="auto"/>
                      <w:kern w:val="2"/>
                      <w:sz w:val="21"/>
                      <w:szCs w:val="15"/>
                      <w:lang w:val="en-US" w:eastAsia="zh-CN"/>
                    </w:rPr>
                    <w:t>t</w:t>
                  </w:r>
                </w:p>
              </w:tc>
              <w:tc>
                <w:tcPr>
                  <w:tcW w:w="506" w:type="pct"/>
                  <w:vMerge w:val="continue"/>
                  <w:tcBorders>
                    <w:tl2br w:val="nil"/>
                    <w:tr2bl w:val="nil"/>
                  </w:tcBorders>
                  <w:noWrap w:val="0"/>
                  <w:vAlign w:val="center"/>
                </w:tcPr>
                <w:p w14:paraId="2257FB8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2"/>
                      <w:sz w:val="21"/>
                      <w:szCs w:val="15"/>
                    </w:rPr>
                  </w:pPr>
                </w:p>
              </w:tc>
              <w:tc>
                <w:tcPr>
                  <w:tcW w:w="2179" w:type="pct"/>
                  <w:tcBorders>
                    <w:tl2br w:val="nil"/>
                    <w:tr2bl w:val="nil"/>
                  </w:tcBorders>
                  <w:noWrap w:val="0"/>
                  <w:vAlign w:val="center"/>
                </w:tcPr>
                <w:p w14:paraId="6301F544">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15"/>
                      <w:lang w:val="en-US" w:eastAsia="zh-CN"/>
                    </w:rPr>
                  </w:pPr>
                  <w:r>
                    <w:rPr>
                      <w:rFonts w:hint="eastAsia" w:ascii="Times New Roman" w:hAnsi="Times New Roman" w:eastAsia="宋体" w:cs="Times New Roman"/>
                      <w:color w:val="auto"/>
                      <w:kern w:val="2"/>
                      <w:sz w:val="21"/>
                      <w:szCs w:val="15"/>
                      <w:lang w:val="en-US" w:eastAsia="zh-CN"/>
                    </w:rPr>
                    <w:t>定期送至当地生活垃圾转运站</w:t>
                  </w:r>
                  <w:r>
                    <w:rPr>
                      <w:rFonts w:hint="eastAsia" w:ascii="Times New Roman" w:hAnsi="Times New Roman" w:cs="Times New Roman"/>
                      <w:color w:val="auto"/>
                      <w:kern w:val="2"/>
                      <w:sz w:val="21"/>
                      <w:szCs w:val="15"/>
                      <w:lang w:val="en-US" w:eastAsia="zh-CN"/>
                    </w:rPr>
                    <w:t>处理</w:t>
                  </w:r>
                </w:p>
              </w:tc>
            </w:tr>
          </w:tbl>
          <w:p w14:paraId="5CE2ED1F">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表4-</w:t>
            </w:r>
            <w:r>
              <w:rPr>
                <w:rFonts w:hint="default" w:ascii="Times New Roman" w:hAnsi="Times New Roman" w:eastAsia="宋体" w:cs="Times New Roman"/>
                <w:b/>
                <w:bCs/>
                <w:color w:val="auto"/>
                <w:kern w:val="2"/>
                <w:sz w:val="21"/>
                <w:szCs w:val="21"/>
                <w:lang w:val="en-US" w:eastAsia="zh-CN"/>
              </w:rPr>
              <w:t xml:space="preserve">6   </w:t>
            </w:r>
            <w:r>
              <w:rPr>
                <w:rFonts w:hint="default" w:ascii="Times New Roman" w:hAnsi="Times New Roman" w:eastAsia="宋体" w:cs="Times New Roman"/>
                <w:b/>
                <w:bCs/>
                <w:color w:val="auto"/>
                <w:kern w:val="2"/>
                <w:sz w:val="21"/>
                <w:szCs w:val="21"/>
              </w:rPr>
              <w:t>项目</w:t>
            </w:r>
            <w:r>
              <w:rPr>
                <w:rFonts w:hint="default" w:ascii="Times New Roman" w:hAnsi="Times New Roman" w:eastAsia="宋体" w:cs="Times New Roman"/>
                <w:b/>
                <w:bCs/>
                <w:color w:val="auto"/>
                <w:kern w:val="2"/>
                <w:sz w:val="21"/>
                <w:szCs w:val="21"/>
                <w:lang w:val="en-US" w:eastAsia="zh-CN"/>
              </w:rPr>
              <w:t>危险废物</w:t>
            </w:r>
            <w:r>
              <w:rPr>
                <w:rFonts w:hint="default" w:ascii="Times New Roman" w:hAnsi="Times New Roman" w:eastAsia="宋体" w:cs="Times New Roman"/>
                <w:b/>
                <w:bCs/>
                <w:color w:val="auto"/>
                <w:kern w:val="2"/>
                <w:sz w:val="21"/>
                <w:szCs w:val="21"/>
              </w:rPr>
              <w:t>产生与处置措施表</w:t>
            </w:r>
          </w:p>
          <w:tbl>
            <w:tblPr>
              <w:tblStyle w:val="3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1510"/>
              <w:gridCol w:w="547"/>
              <w:gridCol w:w="927"/>
              <w:gridCol w:w="589"/>
              <w:gridCol w:w="986"/>
              <w:gridCol w:w="841"/>
              <w:gridCol w:w="703"/>
              <w:gridCol w:w="887"/>
              <w:gridCol w:w="1020"/>
            </w:tblGrid>
            <w:tr w14:paraId="2C01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14:paraId="3F5823C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序号</w:t>
                  </w:r>
                </w:p>
              </w:tc>
              <w:tc>
                <w:tcPr>
                  <w:tcW w:w="1510" w:type="dxa"/>
                  <w:tcBorders>
                    <w:tl2br w:val="nil"/>
                    <w:tr2bl w:val="nil"/>
                  </w:tcBorders>
                  <w:noWrap w:val="0"/>
                  <w:vAlign w:val="center"/>
                </w:tcPr>
                <w:p w14:paraId="40C6300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固废种类</w:t>
                  </w:r>
                </w:p>
              </w:tc>
              <w:tc>
                <w:tcPr>
                  <w:tcW w:w="547" w:type="dxa"/>
                  <w:tcBorders>
                    <w:tl2br w:val="nil"/>
                    <w:tr2bl w:val="nil"/>
                  </w:tcBorders>
                  <w:noWrap w:val="0"/>
                  <w:vAlign w:val="center"/>
                </w:tcPr>
                <w:p w14:paraId="5175BE67">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产生量</w:t>
                  </w:r>
                </w:p>
              </w:tc>
              <w:tc>
                <w:tcPr>
                  <w:tcW w:w="927" w:type="dxa"/>
                  <w:tcBorders>
                    <w:tl2br w:val="nil"/>
                    <w:tr2bl w:val="nil"/>
                  </w:tcBorders>
                  <w:noWrap w:val="0"/>
                  <w:vAlign w:val="center"/>
                </w:tcPr>
                <w:p w14:paraId="10AAD02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产生工序及装置</w:t>
                  </w:r>
                </w:p>
              </w:tc>
              <w:tc>
                <w:tcPr>
                  <w:tcW w:w="589" w:type="dxa"/>
                  <w:tcBorders>
                    <w:tl2br w:val="nil"/>
                    <w:tr2bl w:val="nil"/>
                  </w:tcBorders>
                  <w:noWrap w:val="0"/>
                  <w:vAlign w:val="center"/>
                </w:tcPr>
                <w:p w14:paraId="0AD129A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lang w:val="en-US" w:eastAsia="zh-CN"/>
                    </w:rPr>
                    <w:t>形态</w:t>
                  </w:r>
                </w:p>
              </w:tc>
              <w:tc>
                <w:tcPr>
                  <w:tcW w:w="986" w:type="dxa"/>
                  <w:tcBorders>
                    <w:tl2br w:val="nil"/>
                    <w:tr2bl w:val="nil"/>
                  </w:tcBorders>
                  <w:shd w:val="clear" w:color="auto" w:fill="auto"/>
                  <w:noWrap w:val="0"/>
                  <w:vAlign w:val="center"/>
                </w:tcPr>
                <w:p w14:paraId="36AEE037">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主要</w:t>
                  </w:r>
                </w:p>
                <w:p w14:paraId="023239D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rPr>
                    <w:t>成分</w:t>
                  </w:r>
                </w:p>
              </w:tc>
              <w:tc>
                <w:tcPr>
                  <w:tcW w:w="841" w:type="dxa"/>
                  <w:tcBorders>
                    <w:tl2br w:val="nil"/>
                    <w:tr2bl w:val="nil"/>
                  </w:tcBorders>
                  <w:noWrap w:val="0"/>
                  <w:vAlign w:val="center"/>
                </w:tcPr>
                <w:p w14:paraId="30B548C9">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有害</w:t>
                  </w:r>
                </w:p>
                <w:p w14:paraId="373E5D44">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成分</w:t>
                  </w:r>
                </w:p>
              </w:tc>
              <w:tc>
                <w:tcPr>
                  <w:tcW w:w="703" w:type="dxa"/>
                  <w:tcBorders>
                    <w:tl2br w:val="nil"/>
                    <w:tr2bl w:val="nil"/>
                  </w:tcBorders>
                  <w:noWrap w:val="0"/>
                  <w:vAlign w:val="center"/>
                </w:tcPr>
                <w:p w14:paraId="25505ED8">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lang w:val="en-US" w:eastAsia="zh-CN"/>
                    </w:rPr>
                    <w:t>产废周期</w:t>
                  </w:r>
                </w:p>
              </w:tc>
              <w:tc>
                <w:tcPr>
                  <w:tcW w:w="887" w:type="dxa"/>
                  <w:tcBorders>
                    <w:tl2br w:val="nil"/>
                    <w:tr2bl w:val="nil"/>
                  </w:tcBorders>
                  <w:noWrap w:val="0"/>
                  <w:vAlign w:val="center"/>
                </w:tcPr>
                <w:p w14:paraId="3F7B58A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kern w:val="2"/>
                      <w:sz w:val="21"/>
                      <w:szCs w:val="21"/>
                      <w:lang w:val="en-US" w:eastAsia="zh-CN"/>
                    </w:rPr>
                    <w:t>危险特性</w:t>
                  </w:r>
                </w:p>
              </w:tc>
              <w:tc>
                <w:tcPr>
                  <w:tcW w:w="1020" w:type="dxa"/>
                  <w:tcBorders>
                    <w:tl2br w:val="nil"/>
                    <w:tr2bl w:val="nil"/>
                  </w:tcBorders>
                  <w:noWrap w:val="0"/>
                  <w:vAlign w:val="center"/>
                </w:tcPr>
                <w:p w14:paraId="7EE6001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rPr>
                  </w:pPr>
                  <w:r>
                    <w:rPr>
                      <w:rFonts w:hint="default" w:ascii="Times New Roman" w:hAnsi="Times New Roman" w:eastAsia="宋体" w:cs="Times New Roman"/>
                      <w:b w:val="0"/>
                      <w:bCs w:val="0"/>
                      <w:color w:val="auto"/>
                      <w:kern w:val="2"/>
                      <w:sz w:val="21"/>
                      <w:szCs w:val="21"/>
                    </w:rPr>
                    <w:t>处置措施</w:t>
                  </w:r>
                </w:p>
              </w:tc>
            </w:tr>
            <w:tr w14:paraId="6CAF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14:paraId="32D8FB7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1</w:t>
                  </w:r>
                </w:p>
              </w:tc>
              <w:tc>
                <w:tcPr>
                  <w:tcW w:w="1510" w:type="dxa"/>
                  <w:tcBorders>
                    <w:tl2br w:val="nil"/>
                    <w:tr2bl w:val="nil"/>
                  </w:tcBorders>
                  <w:noWrap w:val="0"/>
                  <w:vAlign w:val="center"/>
                </w:tcPr>
                <w:p w14:paraId="4DA0E57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废机油</w:t>
                  </w:r>
                </w:p>
                <w:p w14:paraId="08BBFEA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（HW08，900-214-08）</w:t>
                  </w:r>
                </w:p>
              </w:tc>
              <w:tc>
                <w:tcPr>
                  <w:tcW w:w="547" w:type="dxa"/>
                  <w:tcBorders>
                    <w:tl2br w:val="nil"/>
                    <w:tr2bl w:val="nil"/>
                  </w:tcBorders>
                  <w:noWrap w:val="0"/>
                  <w:vAlign w:val="center"/>
                </w:tcPr>
                <w:p w14:paraId="57E3EE5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0.1</w:t>
                  </w:r>
                  <w:r>
                    <w:rPr>
                      <w:rFonts w:hint="default" w:ascii="Times New Roman" w:hAnsi="Times New Roman" w:eastAsia="宋体" w:cs="Times New Roman"/>
                      <w:color w:val="auto"/>
                      <w:kern w:val="2"/>
                      <w:sz w:val="21"/>
                      <w:szCs w:val="21"/>
                      <w:lang w:val="en-US" w:eastAsia="zh-CN"/>
                    </w:rPr>
                    <w:t>t</w:t>
                  </w:r>
                </w:p>
              </w:tc>
              <w:tc>
                <w:tcPr>
                  <w:tcW w:w="927" w:type="dxa"/>
                  <w:tcBorders>
                    <w:tl2br w:val="nil"/>
                    <w:tr2bl w:val="nil"/>
                  </w:tcBorders>
                  <w:noWrap w:val="0"/>
                  <w:vAlign w:val="center"/>
                </w:tcPr>
                <w:p w14:paraId="421E164D">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钻井过程</w:t>
                  </w:r>
                </w:p>
              </w:tc>
              <w:tc>
                <w:tcPr>
                  <w:tcW w:w="589" w:type="dxa"/>
                  <w:tcBorders>
                    <w:tl2br w:val="nil"/>
                    <w:tr2bl w:val="nil"/>
                  </w:tcBorders>
                  <w:noWrap w:val="0"/>
                  <w:vAlign w:val="center"/>
                </w:tcPr>
                <w:p w14:paraId="40A1490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液体</w:t>
                  </w:r>
                </w:p>
              </w:tc>
              <w:tc>
                <w:tcPr>
                  <w:tcW w:w="986" w:type="dxa"/>
                  <w:tcBorders>
                    <w:tl2br w:val="nil"/>
                    <w:tr2bl w:val="nil"/>
                  </w:tcBorders>
                  <w:shd w:val="clear" w:color="auto" w:fill="auto"/>
                  <w:noWrap w:val="0"/>
                  <w:vAlign w:val="center"/>
                </w:tcPr>
                <w:p w14:paraId="24F01F9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14:paraId="6F0C672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14:paraId="3DDE9F19">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14:paraId="6E320B1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14:paraId="475E61F3">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T,I</w:t>
                  </w:r>
                </w:p>
              </w:tc>
              <w:tc>
                <w:tcPr>
                  <w:tcW w:w="1020" w:type="dxa"/>
                  <w:vMerge w:val="restart"/>
                  <w:tcBorders>
                    <w:tl2br w:val="nil"/>
                    <w:tr2bl w:val="nil"/>
                  </w:tcBorders>
                  <w:noWrap w:val="0"/>
                  <w:vAlign w:val="center"/>
                </w:tcPr>
                <w:p w14:paraId="3A55A948">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kern w:val="2"/>
                      <w:sz w:val="21"/>
                      <w:szCs w:val="21"/>
                    </w:rPr>
                    <w:t>暂存</w:t>
                  </w:r>
                  <w:r>
                    <w:rPr>
                      <w:rFonts w:hint="default" w:ascii="Times New Roman" w:hAnsi="Times New Roman" w:eastAsia="宋体" w:cs="Times New Roman"/>
                      <w:color w:val="auto"/>
                      <w:kern w:val="2"/>
                      <w:sz w:val="21"/>
                      <w:szCs w:val="21"/>
                      <w:lang w:val="en-US" w:eastAsia="zh-CN"/>
                    </w:rPr>
                    <w:t>于</w:t>
                  </w:r>
                  <w:r>
                    <w:rPr>
                      <w:rFonts w:hint="default" w:ascii="Times New Roman" w:hAnsi="Times New Roman" w:eastAsia="宋体" w:cs="Times New Roman"/>
                      <w:color w:val="auto"/>
                      <w:kern w:val="2"/>
                      <w:sz w:val="21"/>
                      <w:szCs w:val="21"/>
                    </w:rPr>
                    <w:t>危险废物贮存</w:t>
                  </w:r>
                  <w:r>
                    <w:rPr>
                      <w:rFonts w:hint="eastAsia" w:ascii="Times New Roman" w:hAnsi="Times New Roman" w:eastAsia="宋体" w:cs="Times New Roman"/>
                      <w:color w:val="auto"/>
                      <w:kern w:val="2"/>
                      <w:sz w:val="21"/>
                      <w:szCs w:val="21"/>
                      <w:lang w:val="en-US" w:eastAsia="zh-CN"/>
                    </w:rPr>
                    <w:t>点</w:t>
                  </w:r>
                  <w:r>
                    <w:rPr>
                      <w:rFonts w:hint="default" w:ascii="Times New Roman" w:hAnsi="Times New Roman" w:eastAsia="宋体" w:cs="Times New Roman"/>
                      <w:color w:val="auto"/>
                      <w:kern w:val="2"/>
                      <w:sz w:val="21"/>
                      <w:szCs w:val="21"/>
                    </w:rPr>
                    <w:t>，</w:t>
                  </w:r>
                  <w:r>
                    <w:rPr>
                      <w:rFonts w:hint="default" w:ascii="Times New Roman" w:hAnsi="Times New Roman" w:eastAsia="宋体" w:cs="Times New Roman"/>
                      <w:color w:val="auto"/>
                      <w:kern w:val="2"/>
                      <w:sz w:val="21"/>
                      <w:szCs w:val="21"/>
                      <w:lang w:val="en-US" w:eastAsia="zh-CN"/>
                    </w:rPr>
                    <w:t>钻井活动结束后</w:t>
                  </w:r>
                  <w:r>
                    <w:rPr>
                      <w:rFonts w:hint="default" w:ascii="Times New Roman" w:hAnsi="Times New Roman" w:eastAsia="宋体" w:cs="Times New Roman"/>
                      <w:color w:val="auto"/>
                      <w:kern w:val="2"/>
                      <w:sz w:val="21"/>
                      <w:szCs w:val="21"/>
                    </w:rPr>
                    <w:t>交由有资质单位处置</w:t>
                  </w:r>
                </w:p>
              </w:tc>
            </w:tr>
            <w:tr w14:paraId="4D88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434" w:type="dxa"/>
                  <w:tcBorders>
                    <w:tl2br w:val="nil"/>
                    <w:tr2bl w:val="nil"/>
                  </w:tcBorders>
                  <w:noWrap w:val="0"/>
                  <w:vAlign w:val="center"/>
                </w:tcPr>
                <w:p w14:paraId="3815277D">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sz w:val="21"/>
                      <w:szCs w:val="21"/>
                      <w:vertAlign w:val="baseline"/>
                      <w:lang w:val="en-US" w:eastAsia="zh-CN"/>
                    </w:rPr>
                    <w:t>2</w:t>
                  </w:r>
                </w:p>
              </w:tc>
              <w:tc>
                <w:tcPr>
                  <w:tcW w:w="1510" w:type="dxa"/>
                  <w:tcBorders>
                    <w:tl2br w:val="nil"/>
                    <w:tr2bl w:val="nil"/>
                  </w:tcBorders>
                  <w:noWrap w:val="0"/>
                  <w:vAlign w:val="center"/>
                </w:tcPr>
                <w:p w14:paraId="5181608C">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废弃包装材料（</w:t>
                  </w:r>
                  <w:r>
                    <w:rPr>
                      <w:rFonts w:hint="default" w:ascii="Times New Roman" w:hAnsi="Times New Roman" w:eastAsia="宋体" w:cs="Times New Roman"/>
                      <w:color w:val="auto"/>
                      <w:kern w:val="2"/>
                      <w:sz w:val="21"/>
                      <w:szCs w:val="21"/>
                    </w:rPr>
                    <w:t>HW</w:t>
                  </w:r>
                  <w:r>
                    <w:rPr>
                      <w:rFonts w:hint="default" w:ascii="Times New Roman" w:hAnsi="Times New Roman" w:eastAsia="宋体" w:cs="Times New Roman"/>
                      <w:color w:val="auto"/>
                      <w:kern w:val="2"/>
                      <w:sz w:val="21"/>
                      <w:szCs w:val="21"/>
                      <w:lang w:val="en-US" w:eastAsia="zh-CN"/>
                    </w:rPr>
                    <w:t>49</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lang w:val="en-US" w:eastAsia="zh-CN"/>
                    </w:rPr>
                    <w:t>900-041-49）</w:t>
                  </w:r>
                </w:p>
              </w:tc>
              <w:tc>
                <w:tcPr>
                  <w:tcW w:w="547" w:type="dxa"/>
                  <w:tcBorders>
                    <w:tl2br w:val="nil"/>
                    <w:tr2bl w:val="nil"/>
                  </w:tcBorders>
                  <w:noWrap w:val="0"/>
                  <w:vAlign w:val="center"/>
                </w:tcPr>
                <w:p w14:paraId="053440E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0.1t</w:t>
                  </w:r>
                </w:p>
              </w:tc>
              <w:tc>
                <w:tcPr>
                  <w:tcW w:w="927" w:type="dxa"/>
                  <w:tcBorders>
                    <w:tl2br w:val="nil"/>
                    <w:tr2bl w:val="nil"/>
                  </w:tcBorders>
                  <w:noWrap w:val="0"/>
                  <w:vAlign w:val="center"/>
                </w:tcPr>
                <w:p w14:paraId="1E68037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使用烧碱过程对应产生</w:t>
                  </w:r>
                </w:p>
              </w:tc>
              <w:tc>
                <w:tcPr>
                  <w:tcW w:w="589" w:type="dxa"/>
                  <w:tcBorders>
                    <w:tl2br w:val="nil"/>
                    <w:tr2bl w:val="nil"/>
                  </w:tcBorders>
                  <w:noWrap w:val="0"/>
                  <w:vAlign w:val="center"/>
                </w:tcPr>
                <w:p w14:paraId="46668A7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固体</w:t>
                  </w:r>
                </w:p>
              </w:tc>
              <w:tc>
                <w:tcPr>
                  <w:tcW w:w="986" w:type="dxa"/>
                  <w:tcBorders>
                    <w:tl2br w:val="nil"/>
                    <w:tr2bl w:val="nil"/>
                  </w:tcBorders>
                  <w:noWrap w:val="0"/>
                  <w:vAlign w:val="center"/>
                </w:tcPr>
                <w:p w14:paraId="638E495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NaOH</w:t>
                  </w:r>
                </w:p>
              </w:tc>
              <w:tc>
                <w:tcPr>
                  <w:tcW w:w="841" w:type="dxa"/>
                  <w:tcBorders>
                    <w:tl2br w:val="nil"/>
                    <w:tr2bl w:val="nil"/>
                  </w:tcBorders>
                  <w:noWrap w:val="0"/>
                  <w:vAlign w:val="center"/>
                </w:tcPr>
                <w:p w14:paraId="56D80F3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NaOH</w:t>
                  </w:r>
                </w:p>
              </w:tc>
              <w:tc>
                <w:tcPr>
                  <w:tcW w:w="703" w:type="dxa"/>
                  <w:tcBorders>
                    <w:tl2br w:val="nil"/>
                    <w:tr2bl w:val="nil"/>
                  </w:tcBorders>
                  <w:noWrap w:val="0"/>
                  <w:vAlign w:val="center"/>
                </w:tcPr>
                <w:p w14:paraId="5CFF6118">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14:paraId="7E26660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T/C/I/R</w:t>
                  </w:r>
                </w:p>
              </w:tc>
              <w:tc>
                <w:tcPr>
                  <w:tcW w:w="1020" w:type="dxa"/>
                  <w:vMerge w:val="continue"/>
                  <w:tcBorders>
                    <w:tl2br w:val="nil"/>
                    <w:tr2bl w:val="nil"/>
                  </w:tcBorders>
                  <w:noWrap w:val="0"/>
                  <w:vAlign w:val="center"/>
                </w:tcPr>
                <w:p w14:paraId="0B7E2E5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rPr>
                  </w:pPr>
                </w:p>
              </w:tc>
            </w:tr>
            <w:tr w14:paraId="447B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14:paraId="1276D4BD">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1510" w:type="dxa"/>
                  <w:tcBorders>
                    <w:tl2br w:val="nil"/>
                    <w:tr2bl w:val="nil"/>
                  </w:tcBorders>
                  <w:noWrap w:val="0"/>
                  <w:vAlign w:val="center"/>
                </w:tcPr>
                <w:p w14:paraId="77A11590">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落地油</w:t>
                  </w:r>
                </w:p>
                <w:p w14:paraId="5B3189AB">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HW08</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lang w:val="en-US" w:eastAsia="zh-CN"/>
                    </w:rPr>
                    <w:t>071-001-08）</w:t>
                  </w:r>
                </w:p>
              </w:tc>
              <w:tc>
                <w:tcPr>
                  <w:tcW w:w="547" w:type="dxa"/>
                  <w:tcBorders>
                    <w:tl2br w:val="nil"/>
                    <w:tr2bl w:val="nil"/>
                  </w:tcBorders>
                  <w:noWrap w:val="0"/>
                  <w:vAlign w:val="center"/>
                </w:tcPr>
                <w:p w14:paraId="33DD849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0.1t</w:t>
                  </w:r>
                </w:p>
              </w:tc>
              <w:tc>
                <w:tcPr>
                  <w:tcW w:w="927" w:type="dxa"/>
                  <w:tcBorders>
                    <w:tl2br w:val="nil"/>
                    <w:tr2bl w:val="nil"/>
                  </w:tcBorders>
                  <w:noWrap w:val="0"/>
                  <w:vAlign w:val="center"/>
                </w:tcPr>
                <w:p w14:paraId="659238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钻井过程</w:t>
                  </w:r>
                </w:p>
              </w:tc>
              <w:tc>
                <w:tcPr>
                  <w:tcW w:w="589" w:type="dxa"/>
                  <w:tcBorders>
                    <w:tl2br w:val="nil"/>
                    <w:tr2bl w:val="nil"/>
                  </w:tcBorders>
                  <w:noWrap w:val="0"/>
                  <w:vAlign w:val="center"/>
                </w:tcPr>
                <w:p w14:paraId="48D21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pacing w:val="-10"/>
                      <w:sz w:val="21"/>
                      <w:szCs w:val="21"/>
                      <w:highlight w:val="none"/>
                      <w:lang w:val="en-US" w:eastAsia="zh-CN"/>
                    </w:rPr>
                    <w:t>液体</w:t>
                  </w:r>
                </w:p>
              </w:tc>
              <w:tc>
                <w:tcPr>
                  <w:tcW w:w="986" w:type="dxa"/>
                  <w:tcBorders>
                    <w:tl2br w:val="nil"/>
                    <w:tr2bl w:val="nil"/>
                  </w:tcBorders>
                  <w:noWrap w:val="0"/>
                  <w:vAlign w:val="center"/>
                </w:tcPr>
                <w:p w14:paraId="060167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14:paraId="2D5427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14:paraId="509F17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14:paraId="0D1A1997">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14:paraId="15C73B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T,I</w:t>
                  </w:r>
                </w:p>
              </w:tc>
              <w:tc>
                <w:tcPr>
                  <w:tcW w:w="1020" w:type="dxa"/>
                  <w:vMerge w:val="continue"/>
                  <w:tcBorders>
                    <w:tl2br w:val="nil"/>
                    <w:tr2bl w:val="nil"/>
                  </w:tcBorders>
                  <w:noWrap w:val="0"/>
                  <w:vAlign w:val="center"/>
                </w:tcPr>
                <w:p w14:paraId="5751644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vertAlign w:val="baseline"/>
                    </w:rPr>
                  </w:pPr>
                </w:p>
              </w:tc>
            </w:tr>
            <w:tr w14:paraId="666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14:paraId="4BB88961">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510" w:type="dxa"/>
                  <w:tcBorders>
                    <w:tl2br w:val="nil"/>
                    <w:tr2bl w:val="nil"/>
                  </w:tcBorders>
                  <w:noWrap w:val="0"/>
                  <w:vAlign w:val="center"/>
                </w:tcPr>
                <w:p w14:paraId="1305C3D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废防渗材料</w:t>
                  </w:r>
                </w:p>
                <w:p w14:paraId="335BD447">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HW08</w:t>
                  </w:r>
                  <w:r>
                    <w:rPr>
                      <w:rFonts w:hint="eastAsia" w:ascii="Times New Roman" w:hAnsi="Times New Roman" w:eastAsia="宋体" w:cs="Times New Roman"/>
                      <w:color w:val="auto"/>
                      <w:kern w:val="2"/>
                      <w:sz w:val="21"/>
                      <w:szCs w:val="21"/>
                      <w:lang w:val="en-US" w:eastAsia="zh-CN"/>
                    </w:rPr>
                    <w:t>，</w:t>
                  </w:r>
                  <w:r>
                    <w:rPr>
                      <w:rFonts w:hint="default" w:ascii="Times New Roman" w:hAnsi="Times New Roman" w:eastAsia="宋体" w:cs="Times New Roman"/>
                      <w:color w:val="auto"/>
                      <w:kern w:val="2"/>
                      <w:sz w:val="21"/>
                      <w:szCs w:val="21"/>
                    </w:rPr>
                    <w:t>900-249-08</w:t>
                  </w:r>
                  <w:r>
                    <w:rPr>
                      <w:rFonts w:hint="default" w:ascii="Times New Roman" w:hAnsi="Times New Roman" w:eastAsia="宋体" w:cs="Times New Roman"/>
                      <w:color w:val="auto"/>
                      <w:kern w:val="2"/>
                      <w:sz w:val="21"/>
                      <w:szCs w:val="21"/>
                      <w:lang w:val="en-US" w:eastAsia="zh-CN"/>
                    </w:rPr>
                    <w:t>）</w:t>
                  </w:r>
                </w:p>
              </w:tc>
              <w:tc>
                <w:tcPr>
                  <w:tcW w:w="547" w:type="dxa"/>
                  <w:tcBorders>
                    <w:tl2br w:val="nil"/>
                    <w:tr2bl w:val="nil"/>
                  </w:tcBorders>
                  <w:noWrap w:val="0"/>
                  <w:vAlign w:val="center"/>
                </w:tcPr>
                <w:p w14:paraId="62A290E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0.5t</w:t>
                  </w:r>
                </w:p>
              </w:tc>
              <w:tc>
                <w:tcPr>
                  <w:tcW w:w="927" w:type="dxa"/>
                  <w:tcBorders>
                    <w:tl2br w:val="nil"/>
                    <w:tr2bl w:val="nil"/>
                  </w:tcBorders>
                  <w:noWrap w:val="0"/>
                  <w:vAlign w:val="center"/>
                </w:tcPr>
                <w:p w14:paraId="79A063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en-US" w:eastAsia="zh-CN"/>
                    </w:rPr>
                    <w:t>完井作业</w:t>
                  </w:r>
                </w:p>
              </w:tc>
              <w:tc>
                <w:tcPr>
                  <w:tcW w:w="589" w:type="dxa"/>
                  <w:tcBorders>
                    <w:tl2br w:val="nil"/>
                    <w:tr2bl w:val="nil"/>
                  </w:tcBorders>
                  <w:noWrap w:val="0"/>
                  <w:vAlign w:val="center"/>
                </w:tcPr>
                <w:p w14:paraId="61B907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0"/>
                      <w:sz w:val="21"/>
                      <w:szCs w:val="21"/>
                      <w:highlight w:val="none"/>
                    </w:rPr>
                    <w:t>固</w:t>
                  </w:r>
                  <w:r>
                    <w:rPr>
                      <w:rFonts w:hint="default" w:ascii="Times New Roman" w:hAnsi="Times New Roman" w:eastAsia="宋体" w:cs="Times New Roman"/>
                      <w:color w:val="auto"/>
                      <w:kern w:val="2"/>
                      <w:sz w:val="21"/>
                      <w:szCs w:val="21"/>
                      <w:lang w:val="en-US" w:eastAsia="zh-CN"/>
                    </w:rPr>
                    <w:t>体</w:t>
                  </w:r>
                </w:p>
              </w:tc>
              <w:tc>
                <w:tcPr>
                  <w:tcW w:w="986" w:type="dxa"/>
                  <w:tcBorders>
                    <w:tl2br w:val="nil"/>
                    <w:tr2bl w:val="nil"/>
                  </w:tcBorders>
                  <w:noWrap w:val="0"/>
                  <w:vAlign w:val="center"/>
                </w:tcPr>
                <w:p w14:paraId="44AA3C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废矿物油</w:t>
                  </w:r>
                </w:p>
              </w:tc>
              <w:tc>
                <w:tcPr>
                  <w:tcW w:w="841" w:type="dxa"/>
                  <w:tcBorders>
                    <w:tl2br w:val="nil"/>
                    <w:tr2bl w:val="nil"/>
                  </w:tcBorders>
                  <w:noWrap w:val="0"/>
                  <w:vAlign w:val="center"/>
                </w:tcPr>
                <w:p w14:paraId="73525F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14:paraId="792812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14:paraId="724581E5">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14:paraId="635ED3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kern w:val="2"/>
                      <w:sz w:val="21"/>
                      <w:szCs w:val="21"/>
                      <w:lang w:val="en-US" w:eastAsia="zh-CN"/>
                    </w:rPr>
                    <w:t>T,I</w:t>
                  </w:r>
                </w:p>
              </w:tc>
              <w:tc>
                <w:tcPr>
                  <w:tcW w:w="1020" w:type="dxa"/>
                  <w:vMerge w:val="continue"/>
                  <w:tcBorders>
                    <w:tl2br w:val="nil"/>
                    <w:tr2bl w:val="nil"/>
                  </w:tcBorders>
                  <w:noWrap w:val="0"/>
                  <w:vAlign w:val="center"/>
                </w:tcPr>
                <w:p w14:paraId="0AFCFCCA">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p>
              </w:tc>
            </w:tr>
            <w:tr w14:paraId="369C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4" w:type="dxa"/>
                  <w:tcBorders>
                    <w:tl2br w:val="nil"/>
                    <w:tr2bl w:val="nil"/>
                  </w:tcBorders>
                  <w:noWrap w:val="0"/>
                  <w:vAlign w:val="center"/>
                </w:tcPr>
                <w:p w14:paraId="5C411EFC">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w:t>
                  </w:r>
                </w:p>
              </w:tc>
              <w:tc>
                <w:tcPr>
                  <w:tcW w:w="1510" w:type="dxa"/>
                  <w:tcBorders>
                    <w:tl2br w:val="nil"/>
                    <w:tr2bl w:val="nil"/>
                  </w:tcBorders>
                  <w:noWrap w:val="0"/>
                  <w:vAlign w:val="center"/>
                </w:tcPr>
                <w:p w14:paraId="7D01B363">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含油抹布、含油手套（HW08，900</w:t>
                  </w:r>
                  <w:r>
                    <w:rPr>
                      <w:rFonts w:hint="default" w:ascii="Times New Roman" w:hAnsi="Times New Roman" w:eastAsia="宋体" w:cs="Times New Roman"/>
                      <w:color w:val="auto"/>
                      <w:kern w:val="2"/>
                      <w:sz w:val="21"/>
                      <w:szCs w:val="21"/>
                      <w:lang w:val="en-US" w:eastAsia="zh-CN"/>
                    </w:rPr>
                    <w:noBreakHyphen/>
                  </w:r>
                  <w:r>
                    <w:rPr>
                      <w:rFonts w:hint="default" w:ascii="Times New Roman" w:hAnsi="Times New Roman" w:eastAsia="宋体" w:cs="Times New Roman"/>
                      <w:color w:val="auto"/>
                      <w:kern w:val="2"/>
                      <w:sz w:val="21"/>
                      <w:szCs w:val="21"/>
                      <w:lang w:val="en-US" w:eastAsia="zh-CN"/>
                    </w:rPr>
                    <w:t>210</w:t>
                  </w:r>
                  <w:r>
                    <w:rPr>
                      <w:rFonts w:hint="default" w:ascii="Times New Roman" w:hAnsi="Times New Roman" w:eastAsia="宋体" w:cs="Times New Roman"/>
                      <w:color w:val="auto"/>
                      <w:kern w:val="2"/>
                      <w:sz w:val="21"/>
                      <w:szCs w:val="21"/>
                      <w:lang w:val="en-US" w:eastAsia="zh-CN"/>
                    </w:rPr>
                    <w:noBreakHyphen/>
                  </w:r>
                  <w:r>
                    <w:rPr>
                      <w:rFonts w:hint="default" w:ascii="Times New Roman" w:hAnsi="Times New Roman" w:eastAsia="宋体" w:cs="Times New Roman"/>
                      <w:color w:val="auto"/>
                      <w:kern w:val="2"/>
                      <w:sz w:val="21"/>
                      <w:szCs w:val="21"/>
                      <w:lang w:val="en-US" w:eastAsia="zh-CN"/>
                    </w:rPr>
                    <w:t>08）</w:t>
                  </w:r>
                </w:p>
              </w:tc>
              <w:tc>
                <w:tcPr>
                  <w:tcW w:w="547" w:type="dxa"/>
                  <w:tcBorders>
                    <w:tl2br w:val="nil"/>
                    <w:tr2bl w:val="nil"/>
                  </w:tcBorders>
                  <w:noWrap w:val="0"/>
                  <w:vAlign w:val="center"/>
                </w:tcPr>
                <w:p w14:paraId="1A31A98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0.5t</w:t>
                  </w:r>
                </w:p>
              </w:tc>
              <w:tc>
                <w:tcPr>
                  <w:tcW w:w="927" w:type="dxa"/>
                  <w:tcBorders>
                    <w:tl2br w:val="nil"/>
                    <w:tr2bl w:val="nil"/>
                  </w:tcBorders>
                  <w:noWrap w:val="0"/>
                  <w:vAlign w:val="center"/>
                </w:tcPr>
                <w:p w14:paraId="1B38ED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钻井、设备检修维护</w:t>
                  </w:r>
                </w:p>
              </w:tc>
              <w:tc>
                <w:tcPr>
                  <w:tcW w:w="589" w:type="dxa"/>
                  <w:tcBorders>
                    <w:tl2br w:val="nil"/>
                    <w:tr2bl w:val="nil"/>
                  </w:tcBorders>
                  <w:noWrap w:val="0"/>
                  <w:vAlign w:val="center"/>
                </w:tcPr>
                <w:p w14:paraId="067271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w:t>
                  </w:r>
                  <w:r>
                    <w:rPr>
                      <w:rFonts w:hint="default" w:ascii="Times New Roman" w:hAnsi="Times New Roman" w:eastAsia="宋体" w:cs="Times New Roman"/>
                      <w:color w:val="auto"/>
                      <w:kern w:val="2"/>
                      <w:sz w:val="21"/>
                      <w:szCs w:val="21"/>
                      <w:lang w:val="en-US" w:eastAsia="zh-CN"/>
                    </w:rPr>
                    <w:t>体</w:t>
                  </w:r>
                </w:p>
              </w:tc>
              <w:tc>
                <w:tcPr>
                  <w:tcW w:w="986" w:type="dxa"/>
                  <w:tcBorders>
                    <w:tl2br w:val="nil"/>
                    <w:tr2bl w:val="nil"/>
                  </w:tcBorders>
                  <w:noWrap w:val="0"/>
                  <w:vAlign w:val="center"/>
                </w:tcPr>
                <w:p w14:paraId="0D959E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纤维、废矿物油</w:t>
                  </w:r>
                </w:p>
              </w:tc>
              <w:tc>
                <w:tcPr>
                  <w:tcW w:w="841" w:type="dxa"/>
                  <w:tcBorders>
                    <w:tl2br w:val="nil"/>
                    <w:tr2bl w:val="nil"/>
                  </w:tcBorders>
                  <w:noWrap w:val="0"/>
                  <w:vAlign w:val="center"/>
                </w:tcPr>
                <w:p w14:paraId="1E20BD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油类</w:t>
                  </w:r>
                </w:p>
                <w:p w14:paraId="10863D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物质</w:t>
                  </w:r>
                </w:p>
              </w:tc>
              <w:tc>
                <w:tcPr>
                  <w:tcW w:w="703" w:type="dxa"/>
                  <w:tcBorders>
                    <w:tl2br w:val="nil"/>
                    <w:tr2bl w:val="nil"/>
                  </w:tcBorders>
                  <w:noWrap w:val="0"/>
                  <w:vAlign w:val="center"/>
                </w:tcPr>
                <w:p w14:paraId="19F37152">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c>
                <w:tcPr>
                  <w:tcW w:w="887" w:type="dxa"/>
                  <w:tcBorders>
                    <w:tl2br w:val="nil"/>
                    <w:tr2bl w:val="nil"/>
                  </w:tcBorders>
                  <w:noWrap w:val="0"/>
                  <w:vAlign w:val="center"/>
                </w:tcPr>
                <w:p w14:paraId="2587B4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T,I</w:t>
                  </w:r>
                </w:p>
              </w:tc>
              <w:tc>
                <w:tcPr>
                  <w:tcW w:w="1020" w:type="dxa"/>
                  <w:vMerge w:val="continue"/>
                  <w:tcBorders>
                    <w:tl2br w:val="nil"/>
                    <w:tr2bl w:val="nil"/>
                  </w:tcBorders>
                  <w:noWrap w:val="0"/>
                  <w:vAlign w:val="center"/>
                </w:tcPr>
                <w:p w14:paraId="219D6866">
                  <w:pPr>
                    <w:pStyle w:val="11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vertAlign w:val="baseline"/>
                    </w:rPr>
                  </w:pPr>
                </w:p>
              </w:tc>
            </w:tr>
          </w:tbl>
          <w:p w14:paraId="59814DE6">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 固体废物污染控制要求</w:t>
            </w:r>
          </w:p>
          <w:p w14:paraId="1D46693F">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本项目固体废物的收集、贮存、转移污染控制要求见表</w:t>
            </w:r>
            <w:r>
              <w:rPr>
                <w:rFonts w:hint="eastAsia" w:ascii="Times New Roman" w:hAnsi="Times New Roman" w:cs="Times New Roman"/>
                <w:color w:val="auto"/>
                <w:kern w:val="2"/>
                <w:sz w:val="24"/>
                <w:szCs w:val="24"/>
                <w:lang w:val="en-US" w:eastAsia="zh-CN"/>
              </w:rPr>
              <w:t>4-7</w:t>
            </w:r>
            <w:r>
              <w:rPr>
                <w:rFonts w:hint="default" w:ascii="Times New Roman" w:hAnsi="Times New Roman" w:eastAsia="宋体" w:cs="Times New Roman"/>
                <w:color w:val="auto"/>
                <w:kern w:val="2"/>
                <w:sz w:val="24"/>
                <w:szCs w:val="24"/>
                <w:lang w:val="en-US" w:eastAsia="zh-CN"/>
              </w:rPr>
              <w:t>。</w:t>
            </w:r>
          </w:p>
          <w:p w14:paraId="33FF7F94">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4-7</w:t>
            </w:r>
            <w:r>
              <w:rPr>
                <w:rFonts w:hint="default" w:ascii="Times New Roman" w:hAnsi="Times New Roman" w:eastAsia="宋体" w:cs="Times New Roman"/>
                <w:b/>
                <w:bCs/>
                <w:color w:val="auto"/>
                <w:kern w:val="2"/>
                <w:sz w:val="21"/>
                <w:szCs w:val="21"/>
                <w:lang w:val="en-US" w:eastAsia="zh-CN"/>
              </w:rPr>
              <w:t xml:space="preserve">   固体废物收集、贮存、转移污染控制要求</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900"/>
              <w:gridCol w:w="3767"/>
              <w:gridCol w:w="785"/>
            </w:tblGrid>
            <w:tr w14:paraId="763F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60AD4512">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收集、贮存、转移污染控制要求</w:t>
                  </w:r>
                </w:p>
              </w:tc>
              <w:tc>
                <w:tcPr>
                  <w:tcW w:w="2228" w:type="pct"/>
                  <w:noWrap w:val="0"/>
                  <w:tcMar>
                    <w:left w:w="28" w:type="dxa"/>
                    <w:right w:w="28" w:type="dxa"/>
                  </w:tcMar>
                  <w:vAlign w:val="center"/>
                </w:tcPr>
                <w:p w14:paraId="7E5F1DC6">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龙口101井</w:t>
                  </w:r>
                  <w:r>
                    <w:rPr>
                      <w:rFonts w:hint="default" w:ascii="Times New Roman" w:hAnsi="Times New Roman" w:eastAsia="宋体" w:cs="Times New Roman"/>
                      <w:color w:val="auto"/>
                      <w:kern w:val="2"/>
                      <w:sz w:val="21"/>
                      <w:szCs w:val="21"/>
                      <w:lang w:val="en-US" w:eastAsia="zh-CN"/>
                    </w:rPr>
                    <w:t>情况</w:t>
                  </w:r>
                </w:p>
              </w:tc>
              <w:tc>
                <w:tcPr>
                  <w:tcW w:w="464" w:type="pct"/>
                  <w:noWrap w:val="0"/>
                  <w:tcMar>
                    <w:left w:w="28" w:type="dxa"/>
                    <w:right w:w="28" w:type="dxa"/>
                  </w:tcMar>
                  <w:vAlign w:val="center"/>
                </w:tcPr>
                <w:p w14:paraId="673405AB">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14:paraId="62CF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2EEA8E5F">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5.1 含油废物应与水基岩屑分开收集。水基岩屑中磺化钻井岩屑应单独收集处理，特殊工段（造斜井段和目的层井段）及非正常工况产生的聚合物岩屑应单独收集处理。</w:t>
                  </w:r>
                </w:p>
              </w:tc>
              <w:tc>
                <w:tcPr>
                  <w:tcW w:w="3767" w:type="dxa"/>
                  <w:noWrap w:val="0"/>
                  <w:tcMar>
                    <w:left w:w="28" w:type="dxa"/>
                    <w:right w:w="28" w:type="dxa"/>
                  </w:tcMar>
                  <w:vAlign w:val="center"/>
                </w:tcPr>
                <w:p w14:paraId="545E9C71">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含油废物与水基岩屑分开收集。膨润土体系废弃钻井泥浆及岩屑排入膨润土岩屑池干化，检测达标后，用于铺垫油区内的井场、道路；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1"/>
                      <w:szCs w:val="21"/>
                      <w:lang w:val="en-US" w:eastAsia="zh-CN"/>
                    </w:rPr>
                    <w:t>。</w:t>
                  </w:r>
                </w:p>
              </w:tc>
              <w:tc>
                <w:tcPr>
                  <w:tcW w:w="464" w:type="pct"/>
                  <w:noWrap w:val="0"/>
                  <w:tcMar>
                    <w:left w:w="28" w:type="dxa"/>
                    <w:right w:w="28" w:type="dxa"/>
                  </w:tcMar>
                  <w:vAlign w:val="center"/>
                </w:tcPr>
                <w:p w14:paraId="280AC8C8">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FC9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628A8C34">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5.2 水基岩屑应随钻固液分离后收集，其中磺化钻井岩屑应破胶脱稳和固液分离后收集，分离后的水基岩屑含水率宜小于 60%。固液分离后的液相应优先在钻井现场循环利用；不能利用的，应收集处理。</w:t>
                  </w:r>
                </w:p>
              </w:tc>
              <w:tc>
                <w:tcPr>
                  <w:tcW w:w="3767" w:type="dxa"/>
                  <w:noWrap w:val="0"/>
                  <w:tcMar>
                    <w:left w:w="28" w:type="dxa"/>
                    <w:right w:w="28" w:type="dxa"/>
                  </w:tcMar>
                  <w:vAlign w:val="center"/>
                </w:tcPr>
                <w:p w14:paraId="38B65690">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水基岩屑随钻固液分离后收集，</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1"/>
                      <w:szCs w:val="21"/>
                      <w:lang w:val="en-US" w:eastAsia="zh-CN"/>
                    </w:rPr>
                    <w:t>。</w:t>
                  </w:r>
                </w:p>
              </w:tc>
              <w:tc>
                <w:tcPr>
                  <w:tcW w:w="464" w:type="pct"/>
                  <w:noWrap w:val="0"/>
                  <w:tcMar>
                    <w:left w:w="28" w:type="dxa"/>
                    <w:right w:w="28" w:type="dxa"/>
                  </w:tcMar>
                  <w:vAlign w:val="center"/>
                </w:tcPr>
                <w:p w14:paraId="2C9A9F7F">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456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760DD9D3">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5.3 水基岩屑需要在作业现场临时贮存的，贮存场地的防渗性能应满足GB18599的要求。综合考虑降雨量、蒸发量等因素，因地制宜采取必要的防雨、防尘措施。转移过程中应采取防遗撒、防扬尘、防泄漏的措施。</w:t>
                  </w:r>
                </w:p>
              </w:tc>
              <w:tc>
                <w:tcPr>
                  <w:tcW w:w="2228" w:type="pct"/>
                  <w:noWrap w:val="0"/>
                  <w:tcMar>
                    <w:left w:w="28" w:type="dxa"/>
                    <w:right w:w="28" w:type="dxa"/>
                  </w:tcMar>
                  <w:vAlign w:val="center"/>
                </w:tcPr>
                <w:p w14:paraId="7986A079">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膨润土岩屑池防渗要求满足《一般工业固体废物贮存和填埋污染控制标准》（GB18599-2020）的要求，转移过程采取防遗撒、防扬尘、防泄漏的措施</w:t>
                  </w:r>
                </w:p>
              </w:tc>
              <w:tc>
                <w:tcPr>
                  <w:tcW w:w="464" w:type="pct"/>
                  <w:noWrap w:val="0"/>
                  <w:tcMar>
                    <w:left w:w="28" w:type="dxa"/>
                    <w:right w:w="28" w:type="dxa"/>
                  </w:tcMar>
                  <w:vAlign w:val="center"/>
                </w:tcPr>
                <w:p w14:paraId="1C12E34A">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6CD7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5F573DD4">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5.4 含油废物的收集、贮存、转移等环节应采取防雨、防渗、防泄漏等措施，挥发性有机物无组织排放应符合GB37822的相关要求。</w:t>
                  </w:r>
                </w:p>
              </w:tc>
              <w:tc>
                <w:tcPr>
                  <w:tcW w:w="2228" w:type="pct"/>
                  <w:noWrap w:val="0"/>
                  <w:tcMar>
                    <w:left w:w="28" w:type="dxa"/>
                    <w:right w:w="28" w:type="dxa"/>
                  </w:tcMar>
                  <w:vAlign w:val="center"/>
                </w:tcPr>
                <w:p w14:paraId="4200741F">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危险废物贮存设施符合《危险废物贮存污染控制标准》（GB18597-2023）相关要求。</w:t>
                  </w:r>
                </w:p>
              </w:tc>
              <w:tc>
                <w:tcPr>
                  <w:tcW w:w="464" w:type="pct"/>
                  <w:noWrap w:val="0"/>
                  <w:tcMar>
                    <w:left w:w="28" w:type="dxa"/>
                    <w:right w:w="28" w:type="dxa"/>
                  </w:tcMar>
                  <w:vAlign w:val="center"/>
                </w:tcPr>
                <w:p w14:paraId="7B3545C8">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1E1D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6A43676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5.5 剩余固相的转移应采取防遗撒、防扬尘、防泄漏的措施。</w:t>
                  </w:r>
                </w:p>
              </w:tc>
              <w:tc>
                <w:tcPr>
                  <w:tcW w:w="2228" w:type="pct"/>
                  <w:noWrap w:val="0"/>
                  <w:tcMar>
                    <w:left w:w="28" w:type="dxa"/>
                    <w:right w:w="28" w:type="dxa"/>
                  </w:tcMar>
                  <w:vAlign w:val="center"/>
                </w:tcPr>
                <w:p w14:paraId="195E48D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采用专用容器盛装，并暂存于井场撬装化危废贮存点（8m</w:t>
                  </w:r>
                  <w:r>
                    <w:rPr>
                      <w:rFonts w:hint="default" w:ascii="Times New Roman" w:hAnsi="Times New Roman" w:eastAsia="宋体" w:cs="Times New Roman"/>
                      <w:color w:val="auto"/>
                      <w:kern w:val="2"/>
                      <w:sz w:val="21"/>
                      <w:szCs w:val="21"/>
                      <w:vertAlign w:val="superscript"/>
                      <w:lang w:val="en-US" w:eastAsia="zh-CN"/>
                    </w:rPr>
                    <w:t>2</w:t>
                  </w:r>
                  <w:r>
                    <w:rPr>
                      <w:rFonts w:hint="default" w:ascii="Times New Roman" w:hAnsi="Times New Roman" w:eastAsia="宋体" w:cs="Times New Roman"/>
                      <w:color w:val="auto"/>
                      <w:kern w:val="2"/>
                      <w:sz w:val="21"/>
                      <w:szCs w:val="21"/>
                      <w:lang w:val="en-US" w:eastAsia="zh-CN"/>
                    </w:rPr>
                    <w:t>）内。危险废物的收集、转移过程按照《危险废物收集 贮存 运输技术规范》（HJ2025-2012）中的相关要求进行。</w:t>
                  </w:r>
                </w:p>
              </w:tc>
              <w:tc>
                <w:tcPr>
                  <w:tcW w:w="464" w:type="pct"/>
                  <w:noWrap w:val="0"/>
                  <w:tcMar>
                    <w:left w:w="28" w:type="dxa"/>
                    <w:right w:w="28" w:type="dxa"/>
                  </w:tcMar>
                  <w:vAlign w:val="center"/>
                </w:tcPr>
                <w:p w14:paraId="3DE9B6F5">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0E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07" w:type="pct"/>
                  <w:noWrap w:val="0"/>
                  <w:tcMar>
                    <w:left w:w="28" w:type="dxa"/>
                    <w:right w:w="28" w:type="dxa"/>
                  </w:tcMar>
                  <w:vAlign w:val="center"/>
                </w:tcPr>
                <w:p w14:paraId="265B61A9">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5.6 剩余固相和回收的矿物油收集、贮存、转移过程的其他要求，应根据其管理属性分别执行相关环境保护规定和标准的要求。</w:t>
                  </w:r>
                </w:p>
              </w:tc>
              <w:tc>
                <w:tcPr>
                  <w:tcW w:w="2228" w:type="pct"/>
                  <w:noWrap w:val="0"/>
                  <w:tcMar>
                    <w:left w:w="28" w:type="dxa"/>
                    <w:right w:w="28" w:type="dxa"/>
                  </w:tcMar>
                  <w:vAlign w:val="center"/>
                </w:tcPr>
                <w:p w14:paraId="184465FC">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采用专用容器盛装，并暂存于井场撬装化危废贮存点（8m</w:t>
                  </w:r>
                  <w:r>
                    <w:rPr>
                      <w:rFonts w:hint="default" w:ascii="Times New Roman" w:hAnsi="Times New Roman" w:eastAsia="宋体" w:cs="Times New Roman"/>
                      <w:color w:val="auto"/>
                      <w:kern w:val="2"/>
                      <w:sz w:val="21"/>
                      <w:szCs w:val="21"/>
                      <w:vertAlign w:val="superscript"/>
                      <w:lang w:val="en-US" w:eastAsia="zh-CN"/>
                    </w:rPr>
                    <w:t>2</w:t>
                  </w:r>
                  <w:r>
                    <w:rPr>
                      <w:rFonts w:hint="default" w:ascii="Times New Roman" w:hAnsi="Times New Roman" w:eastAsia="宋体" w:cs="Times New Roman"/>
                      <w:color w:val="auto"/>
                      <w:kern w:val="2"/>
                      <w:sz w:val="21"/>
                      <w:szCs w:val="21"/>
                      <w:lang w:val="en-US" w:eastAsia="zh-CN"/>
                    </w:rPr>
                    <w:t>）内。危险废物的收集、转移过程按照《危险废物收集 贮存 运输技术规范》（HJ2025-2012）中的相关要求进行。</w:t>
                  </w:r>
                </w:p>
              </w:tc>
              <w:tc>
                <w:tcPr>
                  <w:tcW w:w="464" w:type="pct"/>
                  <w:noWrap w:val="0"/>
                  <w:tcMar>
                    <w:left w:w="28" w:type="dxa"/>
                    <w:right w:w="28" w:type="dxa"/>
                  </w:tcMar>
                  <w:vAlign w:val="center"/>
                </w:tcPr>
                <w:p w14:paraId="05337CDC">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14:paraId="37E20DB7">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综上所述，固体废弃物经妥善处理后，不会对周围环境产生不利影响。</w:t>
            </w:r>
          </w:p>
          <w:p w14:paraId="25AE8283">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.2.1 一般工业固体废物影响分析</w:t>
            </w:r>
          </w:p>
          <w:p w14:paraId="18A249D4">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（1）贮存场所选址分析</w:t>
            </w:r>
          </w:p>
          <w:p w14:paraId="5174FA1D">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一般工业固体废物贮存场所应满足《一般工业固体废物贮存和填埋污染控制标准》（GB 18599-2020）相关要求，相关选址要求符合性如下：</w:t>
            </w:r>
          </w:p>
          <w:p w14:paraId="015C59EF">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4-8</w:t>
            </w:r>
            <w:r>
              <w:rPr>
                <w:rFonts w:hint="default" w:ascii="Times New Roman" w:hAnsi="Times New Roman" w:eastAsia="宋体" w:cs="Times New Roman"/>
                <w:b/>
                <w:bCs/>
                <w:color w:val="auto"/>
                <w:kern w:val="2"/>
                <w:sz w:val="21"/>
                <w:szCs w:val="21"/>
                <w:lang w:val="en-US" w:eastAsia="zh-CN"/>
              </w:rPr>
              <w:t xml:space="preserve">   一般工业固体废物贮存场所选址分析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081"/>
              <w:gridCol w:w="3586"/>
              <w:gridCol w:w="785"/>
            </w:tblGrid>
            <w:tr w14:paraId="6035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4C46695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选址要求</w:t>
                  </w:r>
                </w:p>
              </w:tc>
              <w:tc>
                <w:tcPr>
                  <w:tcW w:w="2121" w:type="pct"/>
                  <w:noWrap w:val="0"/>
                  <w:vAlign w:val="center"/>
                </w:tcPr>
                <w:p w14:paraId="7987C5B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龙口101井</w:t>
                  </w:r>
                  <w:r>
                    <w:rPr>
                      <w:rFonts w:hint="default" w:ascii="Times New Roman" w:hAnsi="Times New Roman" w:eastAsia="宋体" w:cs="Times New Roman"/>
                      <w:color w:val="auto"/>
                      <w:kern w:val="2"/>
                      <w:sz w:val="21"/>
                      <w:szCs w:val="21"/>
                      <w:lang w:val="en-US" w:eastAsia="zh-CN"/>
                    </w:rPr>
                    <w:t>情况</w:t>
                  </w:r>
                </w:p>
              </w:tc>
              <w:tc>
                <w:tcPr>
                  <w:tcW w:w="464" w:type="pct"/>
                  <w:noWrap w:val="0"/>
                  <w:vAlign w:val="center"/>
                </w:tcPr>
                <w:p w14:paraId="3FBC1383">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14:paraId="19F3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58A52DA1">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4.1一般工业固体废物贮存场、填埋场的选址应符合环境保护法律法规及相关法定规划要求。</w:t>
                  </w:r>
                </w:p>
              </w:tc>
              <w:tc>
                <w:tcPr>
                  <w:tcW w:w="2121" w:type="pct"/>
                  <w:noWrap w:val="0"/>
                  <w:vAlign w:val="center"/>
                </w:tcPr>
                <w:p w14:paraId="305AC2A2">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本项目一般工业固体废物贮存场在井场，符合环境保护法律法规及相关法定规划要求</w:t>
                  </w:r>
                </w:p>
              </w:tc>
              <w:tc>
                <w:tcPr>
                  <w:tcW w:w="464" w:type="pct"/>
                  <w:noWrap w:val="0"/>
                  <w:vAlign w:val="center"/>
                </w:tcPr>
                <w:p w14:paraId="11B641F6">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83D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0162240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4.2 贮存场、填埋场的位置与周围居民区的距离应依据环境影响评价文件及审批意见确定。</w:t>
                  </w:r>
                </w:p>
              </w:tc>
              <w:tc>
                <w:tcPr>
                  <w:tcW w:w="2121" w:type="pct"/>
                  <w:noWrap w:val="0"/>
                  <w:vAlign w:val="center"/>
                </w:tcPr>
                <w:p w14:paraId="326C219E">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井场周边及邻近区域无居民区、村庄等环境敏感点</w:t>
                  </w:r>
                </w:p>
              </w:tc>
              <w:tc>
                <w:tcPr>
                  <w:tcW w:w="464" w:type="pct"/>
                  <w:noWrap w:val="0"/>
                  <w:vAlign w:val="center"/>
                </w:tcPr>
                <w:p w14:paraId="12247139">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8AF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273D8D93">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4.3 贮存场、填埋场不得选在生态保护红线区域、永久基本农田集中区域和其他需要特别保护的区域内。</w:t>
                  </w:r>
                </w:p>
              </w:tc>
              <w:tc>
                <w:tcPr>
                  <w:tcW w:w="2121" w:type="pct"/>
                  <w:noWrap w:val="0"/>
                  <w:vAlign w:val="center"/>
                </w:tcPr>
                <w:p w14:paraId="5A0353AC">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本项目不在生态保护红线、永久基本农</w:t>
                  </w:r>
                </w:p>
                <w:p w14:paraId="67147A71">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田内</w:t>
                  </w:r>
                </w:p>
              </w:tc>
              <w:tc>
                <w:tcPr>
                  <w:tcW w:w="464" w:type="pct"/>
                  <w:noWrap w:val="0"/>
                  <w:vAlign w:val="center"/>
                </w:tcPr>
                <w:p w14:paraId="1435C94A">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20A8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756A1B9F">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4.4 贮存场、填埋场应避开活动断层、溶洞区、天然滑坡或泥石流影响区以及湿地等区域。</w:t>
                  </w:r>
                </w:p>
              </w:tc>
              <w:tc>
                <w:tcPr>
                  <w:tcW w:w="2121" w:type="pct"/>
                  <w:noWrap w:val="0"/>
                  <w:vAlign w:val="center"/>
                </w:tcPr>
                <w:p w14:paraId="5AF7714A">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本项目不在活动断层、溶洞区、天然滑坡、泥石流影响区以及湿地等区域</w:t>
                  </w:r>
                </w:p>
              </w:tc>
              <w:tc>
                <w:tcPr>
                  <w:tcW w:w="464" w:type="pct"/>
                  <w:noWrap w:val="0"/>
                  <w:vAlign w:val="center"/>
                </w:tcPr>
                <w:p w14:paraId="5CE0CA4D">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2B84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3CB46C80">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4.5 贮存场、填埋场不得选在江河、湖泊、运河、渠道、水库最高水位线以下的滩地和岸坡，以及国家和地方长远规划中的水库等人工蓄水设施的淹没区和保护区之内。</w:t>
                  </w:r>
                </w:p>
              </w:tc>
              <w:tc>
                <w:tcPr>
                  <w:tcW w:w="2121" w:type="pct"/>
                  <w:noWrap w:val="0"/>
                  <w:vAlign w:val="center"/>
                </w:tcPr>
                <w:p w14:paraId="3838959E">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本项目不在江河、湖泊、运河、渠道、水库，以及规划水库的淹没区和保护区之内</w:t>
                  </w:r>
                </w:p>
              </w:tc>
              <w:tc>
                <w:tcPr>
                  <w:tcW w:w="464" w:type="pct"/>
                  <w:noWrap w:val="0"/>
                  <w:vAlign w:val="center"/>
                </w:tcPr>
                <w:p w14:paraId="19BCF1BC">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0A68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14" w:type="pct"/>
                  <w:noWrap w:val="0"/>
                  <w:vAlign w:val="center"/>
                </w:tcPr>
                <w:p w14:paraId="3B043BCE">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4.6上述选址规定不适用于一般工业固体废物的充填和回填。</w:t>
                  </w:r>
                </w:p>
              </w:tc>
              <w:tc>
                <w:tcPr>
                  <w:tcW w:w="2121" w:type="pct"/>
                  <w:noWrap w:val="0"/>
                  <w:vAlign w:val="center"/>
                </w:tcPr>
                <w:p w14:paraId="14903DE1">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本项目膨润土体系废弃钻井泥浆及岩屑排入膨润土岩屑池干化，检测达标后，用于铺垫油区内的井场、道路；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c>
                <w:tcPr>
                  <w:tcW w:w="464" w:type="pct"/>
                  <w:noWrap w:val="0"/>
                  <w:vAlign w:val="center"/>
                </w:tcPr>
                <w:p w14:paraId="7B64E843">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14:paraId="6A57D22A">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综上所述，固体废物贮存间选址符合《一般工业固体废物贮存和填埋污染控制标准》（GB 18599-2020）相关要求。</w:t>
            </w:r>
          </w:p>
          <w:p w14:paraId="0EAE4232">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 xml:space="preserve">（2）储存能力分析 </w:t>
            </w:r>
          </w:p>
          <w:p w14:paraId="4058DA5F">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钻井期间产生的膨润土体系废弃钻井岩屑在泥浆不落地处理区干化，检测达标后，用于铺垫油区内的井场、道路，可满足钻井期间需求。</w:t>
            </w:r>
          </w:p>
          <w:p w14:paraId="03CEAD86">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（3）贮存环境影响分析</w:t>
            </w:r>
          </w:p>
          <w:p w14:paraId="392A70E8">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过程中产生的废弃钻井泥浆及岩屑暂存设施的建设应满足《一般工业固体废物贮存和填埋污染控制标准》（GB18599-2020）相关要求，贮存区采取防风、防雨措施，各类固废分类收集，贮存区按照《环境保护图形标志--固体废物贮存（处置）场》（GB15562.2-1995）及其修改单的要求设置环保图形标志，指定专人进行日常管理，并按照相关要求建立工业固废管理台账妥善保存。</w:t>
            </w:r>
          </w:p>
          <w:p w14:paraId="1D328803">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 xml:space="preserve">（4）运输过程影响分析 </w:t>
            </w:r>
          </w:p>
          <w:p w14:paraId="5CD1B2FF">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钻井过程中产生的一般工业固体废物按照《中华人民共和国固体废物污染环境防治法》相关要求，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45D0D347">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（5）委托处置的环境影响分析</w:t>
            </w:r>
          </w:p>
          <w:p w14:paraId="74542C06">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聚磺体系废弃钻井泥浆及岩屑在井场环保罐收集后，根据生产情况转运至第三方环保处理站处置或在钻井现场无害化达标处置后用于铺垫油区内的井场、道路</w:t>
            </w:r>
            <w:r>
              <w:rPr>
                <w:rFonts w:hint="default" w:ascii="Times New Roman" w:hAnsi="Times New Roman" w:eastAsia="宋体" w:cs="Times New Roman"/>
                <w:color w:val="auto"/>
                <w:kern w:val="2"/>
                <w:sz w:val="24"/>
                <w:szCs w:val="24"/>
                <w:lang w:val="en-US" w:eastAsia="zh-CN"/>
              </w:rPr>
              <w:t>，对周边环境产生影响可防控。</w:t>
            </w:r>
          </w:p>
          <w:p w14:paraId="76BB20F8">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eastAsia" w:ascii="Times New Roman" w:hAnsi="Times New Roman"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.2.2 危险废物影响分析</w:t>
            </w:r>
          </w:p>
          <w:p w14:paraId="2D067770">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（1）贮存场所选址分析</w:t>
            </w:r>
          </w:p>
          <w:p w14:paraId="76DB0EF7">
            <w:pPr>
              <w:pStyle w:val="116"/>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危险废物收集后暂存于危险废物贮存点内，危险废物贮存点选址与《危险废物贮存污染控制标准》（GB18597-2023）相关选址要求符合性如下：</w:t>
            </w:r>
          </w:p>
          <w:p w14:paraId="745B1722">
            <w:pPr>
              <w:pStyle w:val="116"/>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w:t>
            </w:r>
            <w:r>
              <w:rPr>
                <w:rFonts w:hint="eastAsia" w:ascii="Times New Roman" w:hAnsi="Times New Roman" w:cs="Times New Roman"/>
                <w:b/>
                <w:bCs/>
                <w:color w:val="auto"/>
                <w:kern w:val="2"/>
                <w:sz w:val="21"/>
                <w:szCs w:val="21"/>
                <w:lang w:val="en-US" w:eastAsia="zh-CN"/>
              </w:rPr>
              <w:t>4-9</w:t>
            </w:r>
            <w:r>
              <w:rPr>
                <w:rFonts w:hint="default" w:ascii="Times New Roman" w:hAnsi="Times New Roman" w:eastAsia="宋体" w:cs="Times New Roman"/>
                <w:b/>
                <w:bCs/>
                <w:color w:val="auto"/>
                <w:kern w:val="2"/>
                <w:sz w:val="21"/>
                <w:szCs w:val="21"/>
                <w:lang w:val="en-US" w:eastAsia="zh-CN"/>
              </w:rPr>
              <w:t xml:space="preserve">    危废贮存场所选址分析</w:t>
            </w:r>
          </w:p>
          <w:tbl>
            <w:tblPr>
              <w:tblStyle w:val="36"/>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115"/>
              <w:gridCol w:w="3481"/>
              <w:gridCol w:w="777"/>
            </w:tblGrid>
            <w:tr w14:paraId="03A6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14:paraId="674F4E07">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选址要求</w:t>
                  </w:r>
                </w:p>
              </w:tc>
              <w:tc>
                <w:tcPr>
                  <w:tcW w:w="2078" w:type="pct"/>
                  <w:noWrap w:val="0"/>
                  <w:vAlign w:val="center"/>
                </w:tcPr>
                <w:p w14:paraId="330307B1">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cs="Times New Roman"/>
                      <w:color w:val="auto"/>
                      <w:kern w:val="2"/>
                      <w:sz w:val="21"/>
                      <w:szCs w:val="21"/>
                      <w:lang w:val="en-US" w:eastAsia="zh-CN"/>
                    </w:rPr>
                    <w:t>龙口101井</w:t>
                  </w:r>
                  <w:r>
                    <w:rPr>
                      <w:rFonts w:hint="default" w:ascii="Times New Roman" w:hAnsi="Times New Roman" w:eastAsia="宋体" w:cs="Times New Roman"/>
                      <w:color w:val="auto"/>
                      <w:kern w:val="2"/>
                      <w:sz w:val="21"/>
                      <w:szCs w:val="21"/>
                      <w:lang w:val="en-US" w:eastAsia="zh-CN"/>
                    </w:rPr>
                    <w:t>情况</w:t>
                  </w:r>
                </w:p>
              </w:tc>
              <w:tc>
                <w:tcPr>
                  <w:tcW w:w="464" w:type="pct"/>
                  <w:noWrap w:val="0"/>
                  <w:vAlign w:val="center"/>
                </w:tcPr>
                <w:p w14:paraId="2F58A7FB">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符合性</w:t>
                  </w:r>
                </w:p>
              </w:tc>
            </w:tr>
            <w:tr w14:paraId="09B3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14:paraId="39E7BAD5">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5.1贮存设施选址应满足生态环境保护法律法规、规划和“三线一单”生态环境分区管控的要求，建设项目应依法进行环境影响评价</w:t>
                  </w:r>
                </w:p>
              </w:tc>
              <w:tc>
                <w:tcPr>
                  <w:tcW w:w="2078" w:type="pct"/>
                  <w:noWrap w:val="0"/>
                  <w:vAlign w:val="center"/>
                </w:tcPr>
                <w:p w14:paraId="0E644EB5">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本项目满足生态环境保护法律法规、规划和“三线一单”生态环境分区管控的要求</w:t>
                  </w:r>
                </w:p>
              </w:tc>
              <w:tc>
                <w:tcPr>
                  <w:tcW w:w="464" w:type="pct"/>
                  <w:noWrap w:val="0"/>
                  <w:vAlign w:val="center"/>
                </w:tcPr>
                <w:p w14:paraId="7FE29C6B">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3C45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14:paraId="459C50F9">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5.2集中贮存设施不应选在生态保护红线区域、永久基本农田和其他需要特别保护的区域内，不应建在溶洞区或易遭受洪水、滑坡、泥石流、潮汐等严重自然灾害影响的地区。</w:t>
                  </w:r>
                </w:p>
              </w:tc>
              <w:tc>
                <w:tcPr>
                  <w:tcW w:w="2078" w:type="pct"/>
                  <w:noWrap w:val="0"/>
                  <w:vAlign w:val="center"/>
                </w:tcPr>
                <w:p w14:paraId="4B62F378">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本项目不在生态保护红线区域、永久基本农田和其他需要特别保护的区域内。不在易受严重自然灾害影响的地区</w:t>
                  </w:r>
                </w:p>
              </w:tc>
              <w:tc>
                <w:tcPr>
                  <w:tcW w:w="464" w:type="pct"/>
                  <w:noWrap w:val="0"/>
                  <w:vAlign w:val="center"/>
                </w:tcPr>
                <w:p w14:paraId="48C15A13">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7B2A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14:paraId="303650CA">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5.3贮存设施不应选在江河、湖泊、运河、渠道、水库及其最高水位线以下的滩地和岸坡，以及法律法规规定禁止贮存危险废物的其他地点。</w:t>
                  </w:r>
                </w:p>
              </w:tc>
              <w:tc>
                <w:tcPr>
                  <w:tcW w:w="2078" w:type="pct"/>
                  <w:noWrap w:val="0"/>
                  <w:vAlign w:val="center"/>
                </w:tcPr>
                <w:p w14:paraId="46DC95CB">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本项目不在江河、湖泊等最高水位线以下的滩地和岸坡</w:t>
                  </w:r>
                </w:p>
              </w:tc>
              <w:tc>
                <w:tcPr>
                  <w:tcW w:w="464" w:type="pct"/>
                  <w:noWrap w:val="0"/>
                  <w:vAlign w:val="center"/>
                </w:tcPr>
                <w:p w14:paraId="4E65D61E">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r w14:paraId="6503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57" w:type="pct"/>
                  <w:noWrap w:val="0"/>
                  <w:vAlign w:val="center"/>
                </w:tcPr>
                <w:p w14:paraId="06A4863D">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5.4贮存设施场址的位置以及其与周围环境敏感目标的距离应依据环境影响评价文件确定</w:t>
                  </w:r>
                </w:p>
              </w:tc>
              <w:tc>
                <w:tcPr>
                  <w:tcW w:w="2078" w:type="pct"/>
                  <w:noWrap w:val="0"/>
                  <w:vAlign w:val="center"/>
                </w:tcPr>
                <w:p w14:paraId="13469C86">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本项目施工期危险废物产生量较小，且危废贮存点采取了重点防渗措施，不会对周围环境敏感目标产生污染影响</w:t>
                  </w:r>
                </w:p>
              </w:tc>
              <w:tc>
                <w:tcPr>
                  <w:tcW w:w="464" w:type="pct"/>
                  <w:noWrap w:val="0"/>
                  <w:vAlign w:val="center"/>
                </w:tcPr>
                <w:p w14:paraId="49BBAD6F">
                  <w:pPr>
                    <w:pStyle w:val="116"/>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符合</w:t>
                  </w:r>
                </w:p>
              </w:tc>
            </w:tr>
          </w:tbl>
          <w:p w14:paraId="53C983E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综上，危险废物贮存点选址符合《危险废物贮存污染控制标准》（GB18597-2023）相关要求。</w:t>
            </w:r>
          </w:p>
          <w:p w14:paraId="7EE62BF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（2）储存能力分析</w:t>
            </w:r>
          </w:p>
          <w:p w14:paraId="1A4F6E1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钻井期间产生的危险废物贮存在井场危险废物贮存点，占地面积8m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，及时清运贮存的危险废物，实时贮存量不应超过3吨，可满足钻井期间需求。</w:t>
            </w:r>
          </w:p>
          <w:p w14:paraId="0EB120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（3）贮存环境影响分析</w:t>
            </w:r>
          </w:p>
          <w:p w14:paraId="5C8838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钻井过程中产生的危险废物按照《危险废物环境管理指南 陆上石油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开采》（生态环境部公告2021年第74号）中相关管理要求，废油采用专门容器贮存，落实危险废物识别标志制度，对危险废物的容器和包装物以及收集、运输危险废物的设施设置危险废物识别标志。填写危险废物的收集记录、转运记录表，并将记录表作为危险废物管理的重要档案妥善保存。落实环境保护标准制度，按照国家有关规定和环境保护标准要求贮存、利用、处置危险废物，不得将其擅自倾倒处置。</w:t>
            </w:r>
            <w:bookmarkStart w:id="18" w:name="OLE_LINK114"/>
            <w:r>
              <w:rPr>
                <w:rFonts w:hint="default" w:ascii="Times New Roman" w:hAnsi="Times New Roman" w:eastAsia="宋体" w:cs="Times New Roman"/>
                <w:color w:val="auto"/>
                <w:sz w:val="24"/>
                <w:szCs w:val="24"/>
                <w:highlight w:val="none"/>
                <w:lang w:val="en-US" w:eastAsia="zh-CN"/>
              </w:rPr>
              <w:t>同时危险废物贮存点已按照《危险废物贮存污染控制标准》（GB18597-2023）的相关要求做好防风、防晒、防雨、防漏、防渗、防</w:t>
            </w:r>
            <w:bookmarkEnd w:id="18"/>
            <w:r>
              <w:rPr>
                <w:rFonts w:hint="default" w:ascii="Times New Roman" w:hAnsi="Times New Roman" w:eastAsia="宋体" w:cs="Times New Roman"/>
                <w:color w:val="auto"/>
                <w:sz w:val="24"/>
                <w:szCs w:val="24"/>
                <w:highlight w:val="none"/>
                <w:lang w:val="en-US" w:eastAsia="zh-CN"/>
              </w:rPr>
              <w:t>腐措施。可有效防止危险废物泄漏可能对地下水、地表水及土壤环境产生的影响。</w:t>
            </w:r>
          </w:p>
          <w:p w14:paraId="4B9271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收集危险废物的硬质桶应按要求设置明显的标明危险废物相关信息的标签，标签信息应填写完整详实。具体要求如下：</w:t>
            </w:r>
          </w:p>
          <w:p w14:paraId="1BFEA5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①危险废物标签规格颜色说明：规格：正方形，40×40cm；底色：醒目的橘黄色；字体：黑体字；字体颜色：黑色。</w:t>
            </w:r>
          </w:p>
          <w:p w14:paraId="6217D5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②危险废物类别：按危险废物种类选择，危险废物类别如图</w:t>
            </w:r>
            <w:r>
              <w:rPr>
                <w:rFonts w:hint="eastAsia" w:cs="Times New Roman"/>
                <w:color w:val="auto"/>
                <w:sz w:val="24"/>
                <w:szCs w:val="24"/>
                <w:highlight w:val="none"/>
                <w:lang w:val="en-US" w:eastAsia="zh-CN"/>
              </w:rPr>
              <w:t>4-1</w:t>
            </w:r>
            <w:r>
              <w:rPr>
                <w:rFonts w:hint="default" w:ascii="Times New Roman" w:hAnsi="Times New Roman" w:eastAsia="宋体" w:cs="Times New Roman"/>
                <w:color w:val="auto"/>
                <w:sz w:val="24"/>
                <w:szCs w:val="24"/>
                <w:highlight w:val="none"/>
                <w:lang w:val="en-US" w:eastAsia="zh-CN"/>
              </w:rPr>
              <w:t>所示；</w:t>
            </w:r>
          </w:p>
          <w:p w14:paraId="781B27A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③材料应坚固、耐用、抗风化、抗淋蚀。危险废物相关信息标签如图</w:t>
            </w:r>
            <w:r>
              <w:rPr>
                <w:rFonts w:hint="eastAsia" w:cs="Times New Roman"/>
                <w:color w:val="auto"/>
                <w:sz w:val="24"/>
                <w:szCs w:val="24"/>
                <w:highlight w:val="none"/>
                <w:lang w:val="en-US" w:eastAsia="zh-CN"/>
              </w:rPr>
              <w:t>4-2</w:t>
            </w:r>
            <w:r>
              <w:rPr>
                <w:rFonts w:hint="default" w:ascii="Times New Roman" w:hAnsi="Times New Roman" w:eastAsia="宋体" w:cs="Times New Roman"/>
                <w:color w:val="auto"/>
                <w:sz w:val="24"/>
                <w:szCs w:val="24"/>
                <w:highlight w:val="none"/>
                <w:lang w:val="en-US" w:eastAsia="zh-CN"/>
              </w:rPr>
              <w:t>所示；</w:t>
            </w:r>
          </w:p>
          <w:p w14:paraId="5A8F575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④装载液体、固体的危险废物的硬质桶内必须留足够的空间，硬质桶顶部与液体表面之间保留100mm以上的空间。</w:t>
            </w:r>
          </w:p>
          <w:p w14:paraId="2A41B51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drawing>
                <wp:inline distT="0" distB="0" distL="114300" distR="114300">
                  <wp:extent cx="3455670" cy="2670810"/>
                  <wp:effectExtent l="0" t="0" r="11430"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3455670" cy="2670810"/>
                          </a:xfrm>
                          <a:prstGeom prst="rect">
                            <a:avLst/>
                          </a:prstGeom>
                          <a:noFill/>
                          <a:ln>
                            <a:noFill/>
                          </a:ln>
                        </pic:spPr>
                      </pic:pic>
                    </a:graphicData>
                  </a:graphic>
                </wp:inline>
              </w:drawing>
            </w:r>
          </w:p>
          <w:p w14:paraId="4F791D2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图4-1  危险废物类别标识示意图</w:t>
            </w:r>
          </w:p>
          <w:p w14:paraId="36877F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mc:AlternateContent>
                <mc:Choice Requires="wpg">
                  <w:drawing>
                    <wp:inline distT="0" distB="0" distL="114300" distR="114300">
                      <wp:extent cx="4569460" cy="2674620"/>
                      <wp:effectExtent l="0" t="0" r="2540" b="11430"/>
                      <wp:docPr id="15" name="组合 15"/>
                      <wp:cNvGraphicFramePr/>
                      <a:graphic xmlns:a="http://schemas.openxmlformats.org/drawingml/2006/main">
                        <a:graphicData uri="http://schemas.microsoft.com/office/word/2010/wordprocessingGroup">
                          <wpg:wgp>
                            <wpg:cNvGrpSpPr/>
                            <wpg:grpSpPr>
                              <a:xfrm>
                                <a:off x="0" y="0"/>
                                <a:ext cx="4569460" cy="2674620"/>
                                <a:chOff x="2463" y="1453030"/>
                                <a:chExt cx="7666" cy="4681"/>
                              </a:xfrm>
                            </wpg:grpSpPr>
                            <pic:pic xmlns:pic="http://schemas.openxmlformats.org/drawingml/2006/picture">
                              <pic:nvPicPr>
                                <pic:cNvPr id="7" name="图片 107"/>
                                <pic:cNvPicPr>
                                  <a:picLocks noChangeAspect="1"/>
                                </pic:cNvPicPr>
                              </pic:nvPicPr>
                              <pic:blipFill>
                                <a:blip r:embed="rId16"/>
                                <a:stretch>
                                  <a:fillRect/>
                                </a:stretch>
                              </pic:blipFill>
                              <pic:spPr>
                                <a:xfrm>
                                  <a:off x="2463" y="1453048"/>
                                  <a:ext cx="4649" cy="4636"/>
                                </a:xfrm>
                                <a:prstGeom prst="rect">
                                  <a:avLst/>
                                </a:prstGeom>
                                <a:noFill/>
                                <a:ln>
                                  <a:noFill/>
                                </a:ln>
                              </pic:spPr>
                            </pic:pic>
                            <pic:pic xmlns:pic="http://schemas.openxmlformats.org/drawingml/2006/picture">
                              <pic:nvPicPr>
                                <pic:cNvPr id="9" name="图片 4"/>
                                <pic:cNvPicPr>
                                  <a:picLocks noChangeAspect="1"/>
                                </pic:cNvPicPr>
                              </pic:nvPicPr>
                              <pic:blipFill>
                                <a:blip r:embed="rId17"/>
                                <a:stretch>
                                  <a:fillRect/>
                                </a:stretch>
                              </pic:blipFill>
                              <pic:spPr>
                                <a:xfrm>
                                  <a:off x="7295" y="1454883"/>
                                  <a:ext cx="2835" cy="2828"/>
                                </a:xfrm>
                                <a:prstGeom prst="rect">
                                  <a:avLst/>
                                </a:prstGeom>
                                <a:noFill/>
                                <a:ln>
                                  <a:noFill/>
                                </a:ln>
                              </pic:spPr>
                            </pic:pic>
                            <pic:pic xmlns:pic="http://schemas.openxmlformats.org/drawingml/2006/picture">
                              <pic:nvPicPr>
                                <pic:cNvPr id="11" name="图片 5"/>
                                <pic:cNvPicPr>
                                  <a:picLocks noChangeAspect="1"/>
                                </pic:cNvPicPr>
                              </pic:nvPicPr>
                              <pic:blipFill>
                                <a:blip r:embed="rId18"/>
                                <a:stretch>
                                  <a:fillRect/>
                                </a:stretch>
                              </pic:blipFill>
                              <pic:spPr>
                                <a:xfrm>
                                  <a:off x="7271" y="1453030"/>
                                  <a:ext cx="2835" cy="1799"/>
                                </a:xfrm>
                                <a:prstGeom prst="rect">
                                  <a:avLst/>
                                </a:prstGeom>
                                <a:noFill/>
                                <a:ln>
                                  <a:noFill/>
                                </a:ln>
                              </pic:spPr>
                            </pic:pic>
                          </wpg:wgp>
                        </a:graphicData>
                      </a:graphic>
                    </wp:inline>
                  </w:drawing>
                </mc:Choice>
                <mc:Fallback>
                  <w:pict>
                    <v:group id="_x0000_s1026" o:spid="_x0000_s1026" o:spt="203" style="height:210.6pt;width:359.8pt;" coordorigin="2463,1453030" coordsize="7666,4681" o:gfxdata="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DcnR2HGAAAAKQIAABkA&#10;AABkcnMvX3JlbHMvZTJvRG9jLnhtbC5yZWxzvZHBagIxEIbvQt8hzL2b3RWKiFkvIngV+wBDMpsN&#10;biYhiaW+vYFSqCD15nFm+L//g9lsv/0svihlF1hB17QgiHUwjq2Cz9P+fQUiF2SDc2BScKUM2+Ft&#10;sTnSjKWG8uRiFpXCWcFUSlxLmfVEHnMTInG9jCF5LHVMVkbUZ7Qk+7b9kOkvA4Y7pjgYBelgliBO&#10;11ibn7PDODpNu6Avnrg8qJDO1+4KxGSpKPBkHP4sl01kC/KxQ/8ah/4/h+41Dt2vg7x78HAD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">
                      <o:lock v:ext="edit" aspectratio="f"/>
                      <v:shape id="图片 107" o:spid="_x0000_s1026" o:spt="75" type="#_x0000_t75" style="position:absolute;left:2463;top:1453048;height:4636;width:4649;" filled="f" o:preferrelative="t" stroked="f" coordsize="21600,21600" o:gfxdata="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pHzAugAAANoA&#10;AAAPAAAAAAAAAAEAIAAAACIAAABkcnMvZG93bnJldi54bWxQSwECFAAUAAAACACHTuJAMy8FnjsA&#10;AAA5AAAAEAAAAAAAAAABACAAAAAJAQAAZHJzL3NoYXBleG1sLnhtbFBLBQYAAAAABgAGAFsBAACz&#10;AwAAAAA=&#10;">
                        <v:fill on="f" focussize="0,0"/>
                        <v:stroke on="f"/>
                        <v:imagedata r:id="rId16" o:title=""/>
                        <o:lock v:ext="edit" aspectratio="t"/>
                      </v:shape>
                      <v:shape id="图片 4" o:spid="_x0000_s1026" o:spt="75" type="#_x0000_t75" style="position:absolute;left:7295;top:1454883;height:2828;width:2835;" filled="f" o:preferrelative="t" stroked="f" coordsize="21600,21600" o:gfxdata="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2zlAG8AAAA&#10;2gAAAA8AAAAAAAAAAQAgAAAAIgAAAGRycy9kb3ducmV2LnhtbFBLAQIUABQAAAAIAIdO4kAzLwWe&#10;OwAAADkAAAAQAAAAAAAAAAEAIAAAAAsBAABkcnMvc2hhcGV4bWwueG1sUEsFBgAAAAAGAAYAWwEA&#10;ALUDAAAAAA==&#10;">
                        <v:fill on="f" focussize="0,0"/>
                        <v:stroke on="f"/>
                        <v:imagedata r:id="rId17" o:title=""/>
                        <o:lock v:ext="edit" aspectratio="t"/>
                      </v:shape>
                      <v:shape id="图片 5" o:spid="_x0000_s1026" o:spt="75" type="#_x0000_t75" style="position:absolute;left:7271;top:1453030;height:1799;width:2835;" filled="f" o:preferrelative="t" stroked="f" coordsize="21600,21600" o:gfxdata="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a9CNugAAANsA&#10;AAAPAAAAAAAAAAEAIAAAACIAAABkcnMvZG93bnJldi54bWxQSwECFAAUAAAACACHTuJAMy8FnjsA&#10;AAA5AAAAEAAAAAAAAAABACAAAAAJAQAAZHJzL3NoYXBleG1sLnhtbFBLBQYAAAAABgAGAFsBAACz&#10;AwAAAAA=&#10;">
                        <v:fill on="f" focussize="0,0"/>
                        <v:stroke on="f"/>
                        <v:imagedata r:id="rId18" o:title=""/>
                        <o:lock v:ext="edit" aspectratio="t"/>
                      </v:shape>
                      <w10:wrap type="none"/>
                      <w10:anchorlock/>
                    </v:group>
                  </w:pict>
                </mc:Fallback>
              </mc:AlternateContent>
            </w:r>
          </w:p>
          <w:p w14:paraId="032B940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图4-2  危险废物相关信息标签</w:t>
            </w:r>
          </w:p>
          <w:p w14:paraId="0551CC08">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④运输过程影响分析</w:t>
            </w:r>
          </w:p>
          <w:p w14:paraId="1FF6FC47">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钻井过程产生的危险废物应按照《危险废物环境管理指南 陆上石油</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lang w:val="en-US" w:eastAsia="zh-CN"/>
              </w:rPr>
              <w:t>开采》（生态环境部公告2021年第74号）、《危险废物转移管理办法》（生态环境部令 第23号）中相关要求，运输危险废物，应当采取防止污染环境的措施，并遵守国家有关危险货物运输管理的规定；按照危险废物污染环境防治和危险货物运输相关规定运输危险废物，记录运输轨迹，防范危险废物丢失、包装破损、泄漏或者发生突发环境事件。</w:t>
            </w:r>
          </w:p>
          <w:p w14:paraId="44CBB073">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生的危险废物桶装或袋装密闭收集后于危险废物贮存点贮存，危险废物运输过程中全部采用密闭容器储存，转运结束后及时对转运路线进行检查和清理，确保无危险废物散落或泄漏在转运路线上，危险废物运输过程符合《危险废物收集 贮存 运输技术规范》（HJ2025-2012）中的相关要求。</w:t>
            </w:r>
          </w:p>
          <w:p w14:paraId="3467C96C">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⑤委托处置的环境影响分析</w:t>
            </w:r>
          </w:p>
          <w:p w14:paraId="2BBFE2EB">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钻井产生的危险废物全部委托有相应资质的危险废物处置单位处理，对周边环境产生影响可防控。</w:t>
            </w:r>
          </w:p>
          <w:p w14:paraId="1D63C632">
            <w:pPr>
              <w:keepNext w:val="0"/>
              <w:keepLines w:val="0"/>
              <w:pageBreakBefore w:val="0"/>
              <w:widowControl w:val="0"/>
              <w:kinsoku/>
              <w:wordWrap/>
              <w:overflowPunct/>
              <w:topLinePunct w:val="0"/>
              <w:autoSpaceDE/>
              <w:autoSpaceDN/>
              <w:bidi w:val="0"/>
              <w:adjustRightInd/>
              <w:snapToGrid/>
              <w:spacing w:line="440" w:lineRule="atLeast"/>
              <w:textAlignment w:val="auto"/>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b/>
                <w:bCs/>
                <w:color w:val="auto"/>
                <w:sz w:val="24"/>
                <w:szCs w:val="32"/>
                <w:highlight w:val="none"/>
                <w:lang w:val="en-US" w:eastAsia="zh-CN"/>
              </w:rPr>
              <w:t>6</w:t>
            </w:r>
            <w:r>
              <w:rPr>
                <w:rFonts w:hint="eastAsia" w:cs="Times New Roman"/>
                <w:b/>
                <w:bCs/>
                <w:color w:val="auto"/>
                <w:sz w:val="24"/>
                <w:szCs w:val="32"/>
                <w:highlight w:val="none"/>
                <w:lang w:val="en-US" w:eastAsia="zh-CN"/>
              </w:rPr>
              <w:t>、</w:t>
            </w:r>
            <w:r>
              <w:rPr>
                <w:rFonts w:hint="default" w:ascii="Times New Roman" w:hAnsi="Times New Roman" w:eastAsia="宋体" w:cs="Times New Roman"/>
                <w:b/>
                <w:bCs/>
                <w:color w:val="auto"/>
                <w:sz w:val="24"/>
                <w:szCs w:val="32"/>
                <w:highlight w:val="none"/>
                <w:lang w:val="en-US" w:eastAsia="zh-CN"/>
              </w:rPr>
              <w:t>地下水环境影响分析</w:t>
            </w:r>
          </w:p>
          <w:p w14:paraId="2A835A27">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本项目钻井目的层穿过地下水含水层，且钻井过程中使用泥浆、钻井液等特点，为保护地下水，本评价对地下水环境影响分析并提出减缓措施。</w:t>
            </w:r>
          </w:p>
          <w:p w14:paraId="05AFCBD1">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工程施工钻井过程中泥浆循环使用，可避免对地下水水质影响，施工过程采用下套管注水泥固井完井方式进行了水泥固井，同时严格要求套管下入深度，可有效控制钻井液在地层中的漏失，减轻对地层的影响。工程在施工过程中产生废水不与当地水体发生水力联系，同时对产生的废水进行严格管理并采取相应地下水环境保护措施与对策。</w:t>
            </w:r>
          </w:p>
          <w:p w14:paraId="0CC4A33F">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非正常状况下如发生井喷等事故时，岩屑池防渗层、放喷池出现裂缝，暂存岩屑和暂存井喷液中污染物对地下水环境造成污染。通过类比分析可知非正常状况下可将污染物的污染范围可以控制井场范围内，柴油罐采用定期巡检及下设环保防渗膜可防止泄漏污染土壤及地下水。</w:t>
            </w:r>
          </w:p>
          <w:p w14:paraId="02CCADF3">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（1）落地油对地下水环境的影响</w:t>
            </w:r>
          </w:p>
          <w:p w14:paraId="551C8810">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过程中产生的落地油及时回收，不会对地下水环境产生不良影响。根据油田环境保护的要求，对落地油必须进行100%的回收。本工程地处干旱少雨地区，地表干燥，落地油主要污染表层土壤。由于土壤对石油分子的吸附作用，下渗对地下水影响可接受。</w:t>
            </w:r>
          </w:p>
          <w:p w14:paraId="58ADEC14">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（2）井喷事故对地下水的影响</w:t>
            </w:r>
          </w:p>
          <w:p w14:paraId="13CC803B">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喷事故一旦发生，大量的油气喷出井口，散落于井场周围，除造成重大经济损失外，还会造成严重的环境污染。井喷范围内土壤表层可见有蜡状的喷散物，主要影响形式为渗透污染，通过包气带渗透到潜水含水层而污染地下水的。包气带厚度愈薄，透水性愈好，就愈造成潜水污染，反之，包气带愈厚、透水性愈差，则其隔污能力就愈强，则潜水污染就愈轻。泄漏产生的污染物以点源形式通过土壤表层下渗进入地下含水层。因而泄漏事故对地下水环境的影响程度主要取决于泄露物质的物理性质、泄漏量、泄漏方式、多孔介质特征及地下水位埋深等因素。污染物进入地下后，污染物向地下水系统的迁移途径为：入渗污染物→表土层→包气带→含水层→迁移。</w:t>
            </w:r>
          </w:p>
          <w:p w14:paraId="5CED63BE">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由于各种土壤的不同土层对石油类均有吸附能力，石油类污染物主要集中在表层，随着时间的推移，包气带土壤对石油类物质的吸附将趋向饱和，吸附能力将逐渐降低。一般来讲，土壤表层0～20cm的滞留石油类物质的含量至少是下层（1m以下）石油类物质含量的35倍；且石油类多在地表1m以内积聚，1m以下土壤中含油量甚少。由于泄漏事故为短期大量排放，污染物的泄漏以地表扩展为主，一般能及时发现，并可很快加以控制，石油烃多属疏水性有机污染物，难溶于水而容易被土壤有机质吸附，当土壤中有机质含量较高时，石油烃等污染物在其中迁移的阻滞作用较强，迁移及衰减速度较慢，其影响范围不大，对地下水环境不易产生不利影响。且一旦发生泄漏，建设单位及当地环境保护部门会组织专门力量进行污染物的清除工作，将在最短的时间内清除地面及地下的石油类物质，因而，石油类污染物进入地下潜水的可能性较小。若及时采取有效措施治理污染，井喷不会造成地下水污染。</w:t>
            </w:r>
          </w:p>
          <w:p w14:paraId="696B354B">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（3）油水窜层对地下水的影响分析</w:t>
            </w:r>
          </w:p>
          <w:p w14:paraId="5732F386">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钻井完井后油水窜层污染（包括生产井的窜层）的主要原因是：固井质量差；工艺措施不合理或未实施。因此，为预防污染的发生和污染源的形成，表层套管必须严格封闭含水层，固井质量应符合环保要求。</w:t>
            </w:r>
          </w:p>
          <w:p w14:paraId="587419DC">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（4）井漏事故的泥浆对地下水的影响</w:t>
            </w:r>
          </w:p>
          <w:p w14:paraId="4047A7EE">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井漏事故对地下水的污染是钻井泥浆漏失于地下水含水层中，由于其含Ca</w:t>
            </w:r>
            <w:r>
              <w:rPr>
                <w:rFonts w:hint="default" w:ascii="Times New Roman" w:hAnsi="Times New Roman" w:eastAsia="宋体" w:cs="Times New Roman"/>
                <w:color w:val="auto"/>
                <w:kern w:val="2"/>
                <w:sz w:val="24"/>
                <w:szCs w:val="32"/>
                <w:highlight w:val="none"/>
                <w:vertAlign w:val="superscript"/>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、Na</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等离子，盐分较多，造成地下含水层水质污染。因此，推广使用清洁无害的泥浆，严格控制使用有毒有害泥浆及化学处理剂，同时严格要求套管下入深度、选用合理的钻井液密度等措施，可以有效控制钻井液在含水层中的漏失，减轻对地下水环境的影响。</w:t>
            </w:r>
          </w:p>
          <w:p w14:paraId="61EBFC31">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正常情况下，污染源从源头上可以得到控制，对地下水环境产生的影响可接受；非正常情况下，如发生井喷等事故时，启动相关应急预案，及时采取井控措施，首先利用放喷池等设施作为一级污染防控措施，避免固废及废水直接排入外环境，渗入地下污染地下水。</w:t>
            </w:r>
          </w:p>
          <w:p w14:paraId="59860381">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0" w:firstLineChars="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7</w:t>
            </w:r>
            <w:r>
              <w:rPr>
                <w:rFonts w:hint="eastAsia" w:ascii="Times New Roman" w:eastAsia="宋体" w:cs="Times New Roman"/>
                <w:b/>
                <w:bCs/>
                <w:color w:val="auto"/>
                <w:kern w:val="2"/>
                <w:sz w:val="24"/>
                <w:szCs w:val="32"/>
                <w:highlight w:val="none"/>
                <w:lang w:val="en-US" w:eastAsia="zh-CN" w:bidi="ar-SA"/>
              </w:rPr>
              <w:t>、</w:t>
            </w:r>
            <w:r>
              <w:rPr>
                <w:rFonts w:hint="default" w:ascii="Times New Roman" w:hAnsi="Times New Roman" w:eastAsia="宋体" w:cs="Times New Roman"/>
                <w:b/>
                <w:bCs/>
                <w:color w:val="auto"/>
                <w:kern w:val="2"/>
                <w:sz w:val="24"/>
                <w:szCs w:val="32"/>
                <w:highlight w:val="none"/>
                <w:lang w:val="en-US" w:eastAsia="zh-CN" w:bidi="ar-SA"/>
              </w:rPr>
              <w:t>土壤环境影响分析</w:t>
            </w:r>
          </w:p>
          <w:p w14:paraId="230845AC">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对照《建设项目环境影响评价分类管理目录》，钻井工程属于“四十六、专业技术服务业”“99.陆地矿产资源地质勘查（含油气资源勘探）”项目，根据《环境影响评价技术导则土壤环境（试行）》（HJ964-2018）附录A“表A.1土壤环境影响评价项目类别”，本项目行业类别为“其他行业”，土壤环境影响评价项目类别属于Ⅳ类项目，可不开展土壤环境影响评价。本次环评针对土壤影响仅进行简要的定性分析</w:t>
            </w:r>
            <w:r>
              <w:rPr>
                <w:rFonts w:hint="eastAsia" w:ascii="Times New Roman" w:hAnsi="Times New Roman" w:eastAsia="宋体" w:cs="Times New Roman"/>
                <w:color w:val="auto"/>
                <w:kern w:val="2"/>
                <w:sz w:val="24"/>
                <w:szCs w:val="32"/>
                <w:highlight w:val="none"/>
                <w:lang w:val="en-US" w:eastAsia="zh-CN" w:bidi="ar-SA"/>
              </w:rPr>
              <w:t>。</w:t>
            </w:r>
          </w:p>
          <w:p w14:paraId="7116D9C7">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（1）土壤污染途径</w:t>
            </w:r>
          </w:p>
          <w:p w14:paraId="02CFD8EF">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工程对土壤环境的影响主要为落地油和固体废弃物等对周围土壤环境的影响。根据工程特点，施工过程中土壤污染途径主要为设备检修产生的废油落地后形成含油污泥污染土壤，柴油储罐泄漏污染土壤，泥浆材料、岩屑落地污染土壤，原油落地形成落地油污染土壤。</w:t>
            </w:r>
          </w:p>
          <w:p w14:paraId="4F80A2BF">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油品落地对土壤环境的影响，主要是以面源形式的油污渗漏污染土壤。</w:t>
            </w:r>
          </w:p>
          <w:p w14:paraId="5E9EB47D">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石油类污染物进入土壤环境后，由于土壤对石油分子的吸附作用，土壤中石油类污染物大多集中在0~20cm的表层，最大下渗一般不会超过1m。</w:t>
            </w:r>
          </w:p>
          <w:p w14:paraId="79035280">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岩屑对土壤的影响较小，但粘附在岩屑上的泥浆对土壤环境影响较大。钻井泥浆对土壤环境的影响与泥浆种类、成分及土壤的理化性质有密切关系。由于钻井泥浆含Cd</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、Na</w:t>
            </w:r>
            <w:r>
              <w:rPr>
                <w:rFonts w:hint="default" w:ascii="Times New Roman" w:hAnsi="Times New Roman" w:eastAsia="宋体" w:cs="Times New Roman"/>
                <w:color w:val="auto"/>
                <w:kern w:val="2"/>
                <w:sz w:val="24"/>
                <w:szCs w:val="32"/>
                <w:highlight w:val="none"/>
                <w:vertAlign w:val="superscript"/>
                <w:lang w:val="en-US" w:eastAsia="zh-CN" w:bidi="ar-SA"/>
              </w:rPr>
              <w:t>+</w:t>
            </w:r>
            <w:r>
              <w:rPr>
                <w:rFonts w:hint="default" w:ascii="Times New Roman" w:hAnsi="Times New Roman" w:eastAsia="宋体" w:cs="Times New Roman"/>
                <w:color w:val="auto"/>
                <w:kern w:val="2"/>
                <w:sz w:val="24"/>
                <w:szCs w:val="32"/>
                <w:highlight w:val="none"/>
                <w:lang w:val="en-US" w:eastAsia="zh-CN" w:bidi="ar-SA"/>
              </w:rPr>
              <w:t>等离子，且pH和盐分较高，因此钻井泥浆进入土壤后，可使土壤发生板结风险，同时，增加土壤的盐碱化程度。钻井泥浆对有机质含量高、呈酸性的土壤危害较小，而对碱性的亚粘土及高粘土土壤危害较大。项目区土壤类型主要为棕钙土，废弃泥浆进入土壤后，将加剧土壤的盐碱化程度，从而使土壤板结，土壤质量下降</w:t>
            </w:r>
          </w:p>
          <w:p w14:paraId="0343A161">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（2）</w:t>
            </w:r>
            <w:r>
              <w:rPr>
                <w:rFonts w:hint="default" w:ascii="Times New Roman" w:hAnsi="Times New Roman" w:eastAsia="宋体" w:cs="Times New Roman"/>
                <w:color w:val="auto"/>
                <w:kern w:val="2"/>
                <w:sz w:val="24"/>
                <w:szCs w:val="32"/>
                <w:highlight w:val="none"/>
                <w:lang w:val="en-US" w:eastAsia="zh-CN" w:bidi="ar-SA"/>
              </w:rPr>
              <w:t>土壤污染防治措施</w:t>
            </w:r>
          </w:p>
          <w:p w14:paraId="4E6C0E50">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为保护工程区土壤，采取以下防治措施：</w:t>
            </w:r>
          </w:p>
          <w:p w14:paraId="3D178196">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①源头控制</w:t>
            </w:r>
          </w:p>
          <w:p w14:paraId="06D1B3E3">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设备检修期间，采用专用收集罐收集废油；钻井期间泥浆、岩屑进入振动筛处理；施工车带罐作业，实现落地油100%回收。</w:t>
            </w:r>
          </w:p>
          <w:p w14:paraId="190DD777">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②过程防控</w:t>
            </w:r>
          </w:p>
          <w:p w14:paraId="6E0531EC">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提高施工人员环保意识，禁止随意倾倒废弃物；加强日常管理，并制定完善的作业制度，如定期检查储罐罐体、施工车带罐作业等，避免形成落地油；发生土壤污染事件，及时对受污染土壤进行收集处理。</w:t>
            </w:r>
          </w:p>
          <w:p w14:paraId="13E84BF2">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③分区防渗措施</w:t>
            </w:r>
          </w:p>
          <w:p w14:paraId="141AF32B">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采取分区防渗措施，其中柴油罐区、柴油发电机区、危废贮存点、放喷池、钻井平台、不落地收集装置等划分为重点防渗区；泥浆泵区及泥浆罐区、环保罐区、膨润土岩屑池等划分为一般防渗区。</w:t>
            </w:r>
          </w:p>
          <w:p w14:paraId="1F0ED817">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④跟踪监测</w:t>
            </w:r>
          </w:p>
          <w:p w14:paraId="15F2C644">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本项目可不制定跟踪监测计划，但在施工过程中应严格按照规章制度进行作业，避免发生土壤污染事件，施工结束后做到工完、料净、场地清，杜绝泥浆材料遗留现场。</w:t>
            </w:r>
          </w:p>
          <w:p w14:paraId="7B9E07A1">
            <w:pPr>
              <w:pStyle w:val="67"/>
              <w:keepNext w:val="0"/>
              <w:keepLines w:val="0"/>
              <w:pageBreakBefore w:val="0"/>
              <w:widowControl w:val="0"/>
              <w:kinsoku/>
              <w:wordWrap/>
              <w:overflowPunct/>
              <w:topLinePunct w:val="0"/>
              <w:autoSpaceDE/>
              <w:autoSpaceDN/>
              <w:bidi w:val="0"/>
              <w:adjustRightInd/>
              <w:snapToGrid/>
              <w:spacing w:after="0" w:line="440" w:lineRule="atLeas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综上所述，正常情况下，钻井工程不会污染土壤环境，非正常情况下，采取有效措施后可减轻对土壤环境的影响。在做好源头控制、过程防控等措施的前提下，可避免工程实施对土壤环境产生污染影响。</w:t>
            </w:r>
          </w:p>
          <w:p w14:paraId="71782FDB">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w:t>
            </w:r>
            <w:r>
              <w:rPr>
                <w:rFonts w:hint="eastAsia" w:ascii="Times New Roman" w:eastAsia="宋体" w:cs="Times New Roman"/>
                <w:b/>
                <w:bCs/>
                <w:color w:val="auto"/>
                <w:kern w:val="2"/>
                <w:sz w:val="24"/>
                <w:szCs w:val="32"/>
                <w:highlight w:val="none"/>
                <w:lang w:val="en-US" w:eastAsia="zh-CN" w:bidi="ar-SA"/>
              </w:rPr>
              <w:t>、</w:t>
            </w:r>
            <w:r>
              <w:rPr>
                <w:rFonts w:hint="default" w:ascii="Times New Roman" w:hAnsi="Times New Roman" w:eastAsia="宋体" w:cs="Times New Roman"/>
                <w:b/>
                <w:bCs/>
                <w:color w:val="auto"/>
                <w:kern w:val="2"/>
                <w:sz w:val="24"/>
                <w:szCs w:val="32"/>
                <w:highlight w:val="none"/>
                <w:lang w:val="en-US" w:eastAsia="zh-CN" w:bidi="ar-SA"/>
              </w:rPr>
              <w:t>环境风险影响分析</w:t>
            </w:r>
          </w:p>
          <w:p w14:paraId="414760C1">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8.1风险调查</w:t>
            </w:r>
          </w:p>
          <w:p w14:paraId="098B0900">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建设项目环境风险评价技术导则》（HJ169-2018），本项目涉及的危险物质为原油（临界量2500t）、伴生气（临界量10t）、废机油和柴油（临界量2500t），试油过程放喷管可能会导出的少量伴生气经自动点火燃烧，不在井场暂存。项目井场内柴油储罐体积为60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，柴油密度按0.85g/mL计，最大储存量按体积的90%计，故最大储存量为45.9t。项目原油储罐为20m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default" w:ascii="Times New Roman" w:hAnsi="Times New Roman" w:eastAsia="宋体" w:cs="Times New Roman"/>
                <w:color w:val="auto"/>
                <w:kern w:val="2"/>
                <w:sz w:val="24"/>
                <w:szCs w:val="32"/>
                <w:highlight w:val="none"/>
                <w:lang w:val="en-US" w:eastAsia="zh-CN" w:bidi="ar-SA"/>
              </w:rPr>
              <w:t>，密度按0.95计，原油最大储量为19t。</w:t>
            </w:r>
            <w:r>
              <w:rPr>
                <w:rFonts w:hint="eastAsia" w:ascii="Times New Roman" w:eastAsia="宋体" w:cs="Times New Roman"/>
                <w:color w:val="auto"/>
                <w:lang w:val="en-US" w:eastAsia="zh-CN"/>
              </w:rPr>
              <w:t>天然气单个</w:t>
            </w:r>
            <w:r>
              <w:rPr>
                <w:rFonts w:hint="default" w:ascii="Times New Roman" w:hAnsi="Times New Roman" w:eastAsia="宋体" w:cs="Times New Roman"/>
                <w:color w:val="auto"/>
                <w:kern w:val="2"/>
                <w:sz w:val="24"/>
                <w:szCs w:val="32"/>
                <w:highlight w:val="none"/>
                <w:lang w:val="en-US" w:eastAsia="zh-CN" w:bidi="ar-SA"/>
              </w:rPr>
              <w:t>储罐体积为</w:t>
            </w:r>
            <w:r>
              <w:rPr>
                <w:rFonts w:hint="eastAsia" w:ascii="Times New Roman" w:hAnsi="Times New Roman" w:eastAsia="宋体" w:cs="Times New Roman"/>
                <w:color w:val="auto"/>
                <w:kern w:val="2"/>
                <w:sz w:val="24"/>
                <w:szCs w:val="32"/>
                <w:highlight w:val="none"/>
                <w:lang w:val="en-US" w:eastAsia="zh-CN" w:bidi="ar-SA"/>
              </w:rPr>
              <w:t>25.02</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eastAsia="宋体" w:cs="Times New Roman"/>
                <w:color w:val="auto"/>
                <w:kern w:val="2"/>
                <w:sz w:val="24"/>
                <w:szCs w:val="32"/>
                <w:highlight w:val="none"/>
                <w:vertAlign w:val="baseline"/>
                <w:lang w:val="en-US" w:eastAsia="zh-CN" w:bidi="ar-SA"/>
              </w:rPr>
              <w:t>（2个为50.04</w:t>
            </w:r>
            <w:r>
              <w:rPr>
                <w:rFonts w:hint="default" w:ascii="Times New Roman" w:hAnsi="Times New Roman" w:eastAsia="宋体" w:cs="Times New Roman"/>
                <w:color w:val="auto"/>
                <w:kern w:val="2"/>
                <w:sz w:val="24"/>
                <w:szCs w:val="32"/>
                <w:highlight w:val="none"/>
                <w:lang w:val="en-US" w:eastAsia="zh-CN" w:bidi="ar-SA"/>
              </w:rPr>
              <w:t>m</w:t>
            </w:r>
            <w:r>
              <w:rPr>
                <w:rFonts w:hint="default"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eastAsia="宋体" w:cs="Times New Roman"/>
                <w:color w:val="auto"/>
                <w:kern w:val="2"/>
                <w:sz w:val="24"/>
                <w:szCs w:val="32"/>
                <w:highlight w:val="none"/>
                <w:vertAlign w:val="baseline"/>
                <w:lang w:val="en-US" w:eastAsia="zh-CN" w:bidi="ar-SA"/>
              </w:rPr>
              <w:t>），压缩</w:t>
            </w:r>
            <w:r>
              <w:rPr>
                <w:rFonts w:hint="eastAsia" w:ascii="Times New Roman" w:eastAsia="宋体" w:cs="Times New Roman"/>
                <w:color w:val="auto"/>
                <w:lang w:val="en-US" w:eastAsia="zh-CN"/>
              </w:rPr>
              <w:t>天然气</w:t>
            </w:r>
            <w:r>
              <w:rPr>
                <w:rFonts w:hint="default" w:ascii="Times New Roman" w:hAnsi="Times New Roman" w:eastAsia="宋体" w:cs="Times New Roman"/>
                <w:color w:val="auto"/>
                <w:kern w:val="2"/>
                <w:sz w:val="24"/>
                <w:szCs w:val="32"/>
                <w:highlight w:val="none"/>
                <w:lang w:val="en-US" w:eastAsia="zh-CN" w:bidi="ar-SA"/>
              </w:rPr>
              <w:t>密度按210 Nm³/m³计</w:t>
            </w:r>
            <w:r>
              <w:rPr>
                <w:rFonts w:hint="eastAsia" w:ascii="Times New Roman" w:eastAsia="宋体" w:cs="Times New Roman"/>
                <w:color w:val="auto"/>
                <w:kern w:val="2"/>
                <w:sz w:val="24"/>
                <w:szCs w:val="32"/>
                <w:highlight w:val="none"/>
                <w:lang w:val="en-US" w:eastAsia="zh-CN" w:bidi="ar-SA"/>
              </w:rPr>
              <w:t>，</w:t>
            </w:r>
            <w:r>
              <w:rPr>
                <w:rFonts w:hint="eastAsia" w:ascii="Times New Roman" w:eastAsia="宋体" w:cs="Times New Roman"/>
                <w:color w:val="auto"/>
                <w:lang w:val="en-US" w:eastAsia="zh-CN"/>
              </w:rPr>
              <w:t>天然气密度</w:t>
            </w:r>
            <w:r>
              <w:rPr>
                <w:rFonts w:hint="eastAsia" w:ascii="Times New Roman" w:hAnsi="Times New Roman" w:eastAsia="宋体" w:cs="Times New Roman"/>
                <w:color w:val="auto"/>
                <w:kern w:val="2"/>
                <w:sz w:val="24"/>
                <w:szCs w:val="32"/>
                <w:highlight w:val="none"/>
                <w:lang w:val="en-US" w:eastAsia="zh-CN" w:bidi="ar-SA"/>
              </w:rPr>
              <w:t>0.717</w:t>
            </w:r>
            <w:r>
              <w:rPr>
                <w:rFonts w:hint="eastAsia" w:ascii="Times New Roman" w:eastAsia="宋体" w:cs="Times New Roman"/>
                <w:color w:val="auto"/>
                <w:kern w:val="2"/>
                <w:sz w:val="24"/>
                <w:szCs w:val="32"/>
                <w:highlight w:val="none"/>
                <w:lang w:val="en-US" w:eastAsia="zh-CN" w:bidi="ar-SA"/>
              </w:rPr>
              <w:t>4</w:t>
            </w:r>
            <w:r>
              <w:rPr>
                <w:rFonts w:hint="eastAsia" w:ascii="Times New Roman" w:hAnsi="Times New Roman" w:eastAsia="宋体" w:cs="Times New Roman"/>
                <w:color w:val="auto"/>
                <w:kern w:val="2"/>
                <w:sz w:val="24"/>
                <w:szCs w:val="32"/>
                <w:highlight w:val="none"/>
                <w:lang w:val="en-US" w:eastAsia="zh-CN" w:bidi="ar-SA"/>
              </w:rPr>
              <w:t>kg/m</w:t>
            </w:r>
            <w:r>
              <w:rPr>
                <w:rFonts w:hint="eastAsia" w:ascii="Times New Roman" w:hAnsi="Times New Roman" w:eastAsia="宋体" w:cs="Times New Roman"/>
                <w:color w:val="auto"/>
                <w:kern w:val="2"/>
                <w:sz w:val="24"/>
                <w:szCs w:val="32"/>
                <w:highlight w:val="none"/>
                <w:vertAlign w:val="superscript"/>
                <w:lang w:val="en-US" w:eastAsia="zh-CN" w:bidi="ar-SA"/>
              </w:rPr>
              <w:t>3</w:t>
            </w:r>
            <w:r>
              <w:rPr>
                <w:rFonts w:hint="eastAsia" w:ascii="Times New Roman" w:hAnsi="Times New Roman" w:eastAsia="宋体" w:cs="Times New Roman"/>
                <w:color w:val="auto"/>
                <w:kern w:val="2"/>
                <w:sz w:val="24"/>
                <w:szCs w:val="32"/>
                <w:highlight w:val="none"/>
                <w:lang w:val="en-US" w:eastAsia="zh-CN" w:bidi="ar-SA"/>
              </w:rPr>
              <w:t>，则</w:t>
            </w:r>
            <w:r>
              <w:rPr>
                <w:rFonts w:hint="default" w:ascii="Times New Roman" w:hAnsi="Times New Roman" w:eastAsia="宋体" w:cs="Times New Roman"/>
                <w:color w:val="auto"/>
                <w:kern w:val="2"/>
                <w:sz w:val="24"/>
                <w:szCs w:val="32"/>
                <w:highlight w:val="none"/>
                <w:lang w:val="en-US" w:eastAsia="zh-CN" w:bidi="ar-SA"/>
              </w:rPr>
              <w:t>最大储量为</w:t>
            </w:r>
            <w:r>
              <w:rPr>
                <w:rFonts w:hint="eastAsia" w:ascii="Times New Roman" w:eastAsia="宋体" w:cs="Times New Roman"/>
                <w:color w:val="auto"/>
                <w:kern w:val="2"/>
                <w:sz w:val="24"/>
                <w:szCs w:val="32"/>
                <w:highlight w:val="none"/>
                <w:lang w:val="en-US" w:eastAsia="zh-CN" w:bidi="ar-SA"/>
              </w:rPr>
              <w:t>7.59</w:t>
            </w:r>
            <w:r>
              <w:rPr>
                <w:rFonts w:hint="default" w:ascii="Times New Roman" w:hAnsi="Times New Roman" w:eastAsia="宋体" w:cs="Times New Roman"/>
                <w:color w:val="auto"/>
                <w:kern w:val="2"/>
                <w:sz w:val="24"/>
                <w:szCs w:val="32"/>
                <w:highlight w:val="none"/>
                <w:lang w:val="en-US" w:eastAsia="zh-CN" w:bidi="ar-SA"/>
              </w:rPr>
              <w:t>t</w:t>
            </w:r>
            <w:r>
              <w:rPr>
                <w:rFonts w:hint="eastAsia" w:ascii="Times New Roman" w:eastAsia="宋体" w:cs="Times New Roman"/>
                <w:color w:val="auto"/>
                <w:kern w:val="2"/>
                <w:sz w:val="24"/>
                <w:szCs w:val="32"/>
                <w:highlight w:val="none"/>
                <w:lang w:val="en-US" w:eastAsia="zh-CN" w:bidi="ar-SA"/>
              </w:rPr>
              <w:t>。</w:t>
            </w:r>
          </w:p>
          <w:p w14:paraId="6570D51D">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项目危险物质数量与临界量比值（Q）计算结果见下表。</w:t>
            </w:r>
          </w:p>
          <w:p w14:paraId="14EB74F9">
            <w:pPr>
              <w:pageBreakBefore w:val="0"/>
              <w:kinsoku/>
              <w:wordWrap/>
              <w:overflowPunct/>
              <w:topLinePunct w:val="0"/>
              <w:bidi w:val="0"/>
              <w:spacing w:line="440" w:lineRule="exact"/>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10</w:t>
            </w:r>
            <w:r>
              <w:rPr>
                <w:rFonts w:hint="default" w:ascii="Times New Roman" w:hAnsi="Times New Roman" w:eastAsia="宋体" w:cs="Times New Roman"/>
                <w:b/>
                <w:bCs/>
                <w:color w:val="auto"/>
                <w:sz w:val="21"/>
                <w:szCs w:val="21"/>
              </w:rPr>
              <w:t xml:space="preserve">   项目危险物质数量与临界量比值（Q）一览表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988"/>
              <w:gridCol w:w="2159"/>
              <w:gridCol w:w="1429"/>
              <w:gridCol w:w="967"/>
              <w:gridCol w:w="1201"/>
            </w:tblGrid>
            <w:tr w14:paraId="07DE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16CBDF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序号</w:t>
                  </w:r>
                </w:p>
              </w:tc>
              <w:tc>
                <w:tcPr>
                  <w:tcW w:w="1176" w:type="pct"/>
                  <w:vAlign w:val="center"/>
                </w:tcPr>
                <w:p w14:paraId="00A7BC4F">
                  <w:pPr>
                    <w:keepNext w:val="0"/>
                    <w:keepLines w:val="0"/>
                    <w:pageBreakBefore w:val="0"/>
                    <w:widowControl/>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color w:val="auto"/>
                      <w:spacing w:val="-8"/>
                      <w:kern w:val="0"/>
                      <w:sz w:val="21"/>
                      <w:szCs w:val="21"/>
                      <w:lang w:val="en-US" w:eastAsia="zh-CN" w:bidi="ar-SA"/>
                    </w:rPr>
                  </w:pPr>
                  <w:r>
                    <w:rPr>
                      <w:rFonts w:hint="default" w:ascii="Times New Roman" w:hAnsi="Times New Roman" w:eastAsia="宋体" w:cs="Times New Roman"/>
                      <w:color w:val="auto"/>
                      <w:spacing w:val="-8"/>
                      <w:kern w:val="0"/>
                      <w:sz w:val="21"/>
                      <w:szCs w:val="21"/>
                      <w:lang w:val="en-US" w:eastAsia="zh-CN" w:bidi="ar-SA"/>
                    </w:rPr>
                    <w:t>危险物质</w:t>
                  </w:r>
                </w:p>
              </w:tc>
              <w:tc>
                <w:tcPr>
                  <w:tcW w:w="1277" w:type="pct"/>
                  <w:vAlign w:val="center"/>
                </w:tcPr>
                <w:p w14:paraId="55A75E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最大存在总量qn/t</w:t>
                  </w:r>
                </w:p>
              </w:tc>
              <w:tc>
                <w:tcPr>
                  <w:tcW w:w="844" w:type="pct"/>
                  <w:vAlign w:val="center"/>
                </w:tcPr>
                <w:p w14:paraId="39DB5F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临界量Qn/t</w:t>
                  </w:r>
                </w:p>
              </w:tc>
              <w:tc>
                <w:tcPr>
                  <w:tcW w:w="572" w:type="pct"/>
                  <w:vAlign w:val="center"/>
                </w:tcPr>
                <w:p w14:paraId="419247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q/Q值</w:t>
                  </w:r>
                </w:p>
              </w:tc>
              <w:tc>
                <w:tcPr>
                  <w:tcW w:w="710" w:type="pct"/>
                  <w:vAlign w:val="center"/>
                </w:tcPr>
                <w:p w14:paraId="4211C7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Q值划分</w:t>
                  </w:r>
                </w:p>
              </w:tc>
            </w:tr>
            <w:tr w14:paraId="4B85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2F084F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w:t>
                  </w:r>
                </w:p>
              </w:tc>
              <w:tc>
                <w:tcPr>
                  <w:tcW w:w="1176" w:type="pct"/>
                  <w:vAlign w:val="center"/>
                </w:tcPr>
                <w:p w14:paraId="5FD3C4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柴油</w:t>
                  </w:r>
                </w:p>
              </w:tc>
              <w:tc>
                <w:tcPr>
                  <w:tcW w:w="1277" w:type="pct"/>
                  <w:vAlign w:val="center"/>
                </w:tcPr>
                <w:p w14:paraId="39F8322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45.9</w:t>
                  </w:r>
                </w:p>
              </w:tc>
              <w:tc>
                <w:tcPr>
                  <w:tcW w:w="844" w:type="pct"/>
                  <w:vAlign w:val="center"/>
                </w:tcPr>
                <w:p w14:paraId="7CA07B5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2500</w:t>
                  </w:r>
                </w:p>
              </w:tc>
              <w:tc>
                <w:tcPr>
                  <w:tcW w:w="572" w:type="pct"/>
                  <w:vAlign w:val="center"/>
                </w:tcPr>
                <w:p w14:paraId="45B88C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0.018</w:t>
                  </w:r>
                </w:p>
              </w:tc>
              <w:tc>
                <w:tcPr>
                  <w:tcW w:w="710" w:type="pct"/>
                  <w:vMerge w:val="restart"/>
                  <w:vAlign w:val="center"/>
                </w:tcPr>
                <w:p w14:paraId="0A54E2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Q&lt;1</w:t>
                  </w:r>
                </w:p>
              </w:tc>
            </w:tr>
            <w:tr w14:paraId="401C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3A635F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w:t>
                  </w:r>
                </w:p>
              </w:tc>
              <w:tc>
                <w:tcPr>
                  <w:tcW w:w="1176" w:type="pct"/>
                  <w:vAlign w:val="center"/>
                </w:tcPr>
                <w:p w14:paraId="0FB6CE5E">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2"/>
                      <w:sz w:val="21"/>
                      <w:szCs w:val="21"/>
                      <w:highlight w:val="none"/>
                      <w:lang w:val="en-US" w:eastAsia="zh-CN" w:bidi="ar-SA"/>
                    </w:rPr>
                    <w:t>废机油</w:t>
                  </w:r>
                </w:p>
              </w:tc>
              <w:tc>
                <w:tcPr>
                  <w:tcW w:w="1277" w:type="pct"/>
                  <w:vAlign w:val="center"/>
                </w:tcPr>
                <w:p w14:paraId="3570E3C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w:t>
                  </w:r>
                </w:p>
              </w:tc>
              <w:tc>
                <w:tcPr>
                  <w:tcW w:w="844" w:type="pct"/>
                  <w:vAlign w:val="center"/>
                </w:tcPr>
                <w:p w14:paraId="4D278BA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2500</w:t>
                  </w:r>
                </w:p>
              </w:tc>
              <w:tc>
                <w:tcPr>
                  <w:tcW w:w="572" w:type="pct"/>
                  <w:vAlign w:val="center"/>
                </w:tcPr>
                <w:p w14:paraId="42F786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0.00</w:t>
                  </w:r>
                  <w:r>
                    <w:rPr>
                      <w:rFonts w:hint="eastAsia" w:cs="Times New Roman"/>
                      <w:color w:val="auto"/>
                      <w:kern w:val="0"/>
                      <w:sz w:val="21"/>
                      <w:szCs w:val="21"/>
                      <w:lang w:val="en-US" w:eastAsia="zh-CN" w:bidi="ar-SA"/>
                    </w:rPr>
                    <w:t>04</w:t>
                  </w:r>
                </w:p>
              </w:tc>
              <w:tc>
                <w:tcPr>
                  <w:tcW w:w="710" w:type="pct"/>
                  <w:vMerge w:val="continue"/>
                  <w:vAlign w:val="center"/>
                </w:tcPr>
                <w:p w14:paraId="007781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14:paraId="0ECD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433E9F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3</w:t>
                  </w:r>
                </w:p>
              </w:tc>
              <w:tc>
                <w:tcPr>
                  <w:tcW w:w="1176" w:type="pct"/>
                  <w:vAlign w:val="center"/>
                </w:tcPr>
                <w:p w14:paraId="028F04CD">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伴生气</w:t>
                  </w:r>
                  <w:r>
                    <w:rPr>
                      <w:rFonts w:hint="default" w:ascii="Times New Roman" w:hAnsi="Times New Roman" w:eastAsia="宋体" w:cs="Times New Roman"/>
                      <w:color w:val="auto"/>
                      <w:lang w:eastAsia="zh-CN"/>
                    </w:rPr>
                    <w:t>（</w:t>
                  </w:r>
                  <w:r>
                    <w:rPr>
                      <w:rFonts w:hint="eastAsia" w:cs="Times New Roman"/>
                      <w:color w:val="auto"/>
                      <w:lang w:val="en-US" w:eastAsia="zh-CN"/>
                    </w:rPr>
                    <w:t>天然气</w:t>
                  </w:r>
                  <w:r>
                    <w:rPr>
                      <w:rFonts w:hint="default" w:ascii="Times New Roman" w:hAnsi="Times New Roman" w:eastAsia="宋体" w:cs="Times New Roman"/>
                      <w:color w:val="auto"/>
                      <w:lang w:eastAsia="zh-CN"/>
                    </w:rPr>
                    <w:t>）</w:t>
                  </w:r>
                </w:p>
              </w:tc>
              <w:tc>
                <w:tcPr>
                  <w:tcW w:w="1277" w:type="pct"/>
                  <w:vAlign w:val="center"/>
                </w:tcPr>
                <w:p w14:paraId="4D9F08C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44" w:type="pct"/>
                  <w:vAlign w:val="center"/>
                </w:tcPr>
                <w:p w14:paraId="6A70C87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72" w:type="pct"/>
                  <w:vAlign w:val="center"/>
                </w:tcPr>
                <w:p w14:paraId="59E4A5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p>
              </w:tc>
              <w:tc>
                <w:tcPr>
                  <w:tcW w:w="710" w:type="pct"/>
                  <w:vMerge w:val="continue"/>
                  <w:vAlign w:val="center"/>
                </w:tcPr>
                <w:p w14:paraId="07E12C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14:paraId="101E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8" w:type="dxa"/>
                  <w:vAlign w:val="center"/>
                </w:tcPr>
                <w:p w14:paraId="2CC0B8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w:t>
                  </w:r>
                </w:p>
              </w:tc>
              <w:tc>
                <w:tcPr>
                  <w:tcW w:w="1988" w:type="dxa"/>
                  <w:vAlign w:val="center"/>
                </w:tcPr>
                <w:p w14:paraId="4803FDAE">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lang w:val="en-US" w:eastAsia="zh-CN"/>
                    </w:rPr>
                    <w:t>天然气</w:t>
                  </w:r>
                </w:p>
              </w:tc>
              <w:tc>
                <w:tcPr>
                  <w:tcW w:w="2159" w:type="dxa"/>
                  <w:vAlign w:val="center"/>
                </w:tcPr>
                <w:p w14:paraId="6F4B59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7.54</w:t>
                  </w:r>
                </w:p>
              </w:tc>
              <w:tc>
                <w:tcPr>
                  <w:tcW w:w="1429" w:type="dxa"/>
                  <w:vAlign w:val="center"/>
                </w:tcPr>
                <w:p w14:paraId="06387DE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967" w:type="dxa"/>
                  <w:vAlign w:val="center"/>
                </w:tcPr>
                <w:p w14:paraId="72EDE7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0.754</w:t>
                  </w:r>
                </w:p>
              </w:tc>
              <w:tc>
                <w:tcPr>
                  <w:tcW w:w="710" w:type="pct"/>
                  <w:vMerge w:val="continue"/>
                  <w:vAlign w:val="center"/>
                </w:tcPr>
                <w:p w14:paraId="1B1893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14:paraId="433F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4B5179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5</w:t>
                  </w:r>
                </w:p>
              </w:tc>
              <w:tc>
                <w:tcPr>
                  <w:tcW w:w="1176" w:type="pct"/>
                  <w:vAlign w:val="center"/>
                </w:tcPr>
                <w:p w14:paraId="59630170">
                  <w:pPr>
                    <w:keepNext w:val="0"/>
                    <w:keepLines w:val="0"/>
                    <w:pageBreakBefore w:val="0"/>
                    <w:widowControl w:val="0"/>
                    <w:kinsoku/>
                    <w:wordWrap/>
                    <w:overflowPunct/>
                    <w:topLinePunct w:val="0"/>
                    <w:bidi w:val="0"/>
                    <w:snapToGrid/>
                    <w:spacing w:line="240" w:lineRule="auto"/>
                    <w:ind w:left="-105" w:leftChars="-50" w:right="-105" w:rightChars="-5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硫化氢</w:t>
                  </w:r>
                </w:p>
              </w:tc>
              <w:tc>
                <w:tcPr>
                  <w:tcW w:w="1277" w:type="pct"/>
                  <w:vAlign w:val="center"/>
                </w:tcPr>
                <w:p w14:paraId="2373264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844" w:type="pct"/>
                  <w:vAlign w:val="center"/>
                </w:tcPr>
                <w:p w14:paraId="477F6DC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572" w:type="pct"/>
                  <w:vAlign w:val="center"/>
                </w:tcPr>
                <w:p w14:paraId="2541DF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p>
              </w:tc>
              <w:tc>
                <w:tcPr>
                  <w:tcW w:w="710" w:type="pct"/>
                  <w:vMerge w:val="continue"/>
                  <w:vAlign w:val="center"/>
                </w:tcPr>
                <w:p w14:paraId="310F77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14:paraId="276C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Align w:val="center"/>
                </w:tcPr>
                <w:p w14:paraId="4D6F1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6</w:t>
                  </w:r>
                </w:p>
              </w:tc>
              <w:tc>
                <w:tcPr>
                  <w:tcW w:w="1176" w:type="pct"/>
                  <w:vAlign w:val="center"/>
                </w:tcPr>
                <w:p w14:paraId="3992AD95">
                  <w:pPr>
                    <w:keepNext w:val="0"/>
                    <w:keepLines w:val="0"/>
                    <w:pageBreakBefore w:val="0"/>
                    <w:widowControl w:val="0"/>
                    <w:kinsoku/>
                    <w:wordWrap/>
                    <w:overflowPunct/>
                    <w:topLinePunct w:val="0"/>
                    <w:autoSpaceDE w:val="0"/>
                    <w:autoSpaceDN w:val="0"/>
                    <w:bidi w:val="0"/>
                    <w:adjustRightInd w:val="0"/>
                    <w:snapToGrid/>
                    <w:spacing w:line="240" w:lineRule="auto"/>
                    <w:ind w:left="-105" w:leftChars="-50" w:right="-105" w:rightChars="-5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原油</w:t>
                  </w:r>
                </w:p>
              </w:tc>
              <w:tc>
                <w:tcPr>
                  <w:tcW w:w="1277" w:type="pct"/>
                  <w:vAlign w:val="center"/>
                </w:tcPr>
                <w:p w14:paraId="4A4DC86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w:t>
                  </w:r>
                </w:p>
              </w:tc>
              <w:tc>
                <w:tcPr>
                  <w:tcW w:w="844" w:type="pct"/>
                  <w:vAlign w:val="center"/>
                </w:tcPr>
                <w:p w14:paraId="6C2C017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2500</w:t>
                  </w:r>
                </w:p>
              </w:tc>
              <w:tc>
                <w:tcPr>
                  <w:tcW w:w="572" w:type="pct"/>
                  <w:vAlign w:val="center"/>
                </w:tcPr>
                <w:p w14:paraId="08CD4C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0.008</w:t>
                  </w:r>
                </w:p>
              </w:tc>
              <w:tc>
                <w:tcPr>
                  <w:tcW w:w="710" w:type="pct"/>
                  <w:vMerge w:val="continue"/>
                  <w:vAlign w:val="center"/>
                </w:tcPr>
                <w:p w14:paraId="4B317B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r w14:paraId="0B7C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7" w:type="pct"/>
                  <w:gridSpan w:val="4"/>
                  <w:vAlign w:val="center"/>
                </w:tcPr>
                <w:p w14:paraId="6011869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项目Q值Σ</w:t>
                  </w:r>
                </w:p>
              </w:tc>
              <w:tc>
                <w:tcPr>
                  <w:tcW w:w="572" w:type="pct"/>
                  <w:vAlign w:val="center"/>
                </w:tcPr>
                <w:p w14:paraId="47680E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7804</w:t>
                  </w:r>
                </w:p>
              </w:tc>
              <w:tc>
                <w:tcPr>
                  <w:tcW w:w="710" w:type="pct"/>
                  <w:vMerge w:val="continue"/>
                  <w:vAlign w:val="center"/>
                </w:tcPr>
                <w:p w14:paraId="709C38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p>
              </w:tc>
            </w:tr>
          </w:tbl>
          <w:p w14:paraId="1E74C408">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根据上表可知，本项目Q值划分为Q＜1，因此开展简要分析。</w:t>
            </w:r>
          </w:p>
          <w:p w14:paraId="1D1F26B9">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8.2环境敏感目标概况</w:t>
            </w:r>
          </w:p>
          <w:p w14:paraId="65D8F85C">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本项目周边区域无环境敏感目标，将区域环境空气、调查评价范围内地下水作为环境风险保护目标</w:t>
            </w:r>
          </w:p>
          <w:p w14:paraId="42B15DD8">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2" w:firstLineChars="200"/>
              <w:textAlignment w:val="auto"/>
              <w:rPr>
                <w:rFonts w:hint="default" w:ascii="Times New Roman" w:hAnsi="Times New Roman" w:eastAsia="宋体" w:cs="Times New Roman"/>
                <w:b/>
                <w:bCs/>
                <w:color w:val="auto"/>
                <w:kern w:val="2"/>
                <w:sz w:val="24"/>
                <w:szCs w:val="32"/>
                <w:highlight w:val="none"/>
                <w:lang w:val="en-US" w:eastAsia="zh-CN" w:bidi="ar-SA"/>
              </w:rPr>
            </w:pPr>
            <w:r>
              <w:rPr>
                <w:rFonts w:hint="default" w:ascii="Times New Roman" w:hAnsi="Times New Roman" w:eastAsia="宋体" w:cs="Times New Roman"/>
                <w:b/>
                <w:bCs/>
                <w:color w:val="auto"/>
                <w:kern w:val="2"/>
                <w:sz w:val="24"/>
                <w:szCs w:val="32"/>
                <w:highlight w:val="none"/>
                <w:lang w:val="en-US" w:eastAsia="zh-CN" w:bidi="ar-SA"/>
              </w:rPr>
              <w:t>8.3环境风险识别</w:t>
            </w:r>
          </w:p>
          <w:p w14:paraId="0C070DEC">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①物质危险性识别</w:t>
            </w:r>
          </w:p>
          <w:p w14:paraId="0376945A">
            <w:pPr>
              <w:pStyle w:val="67"/>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结合工程分析和同类事故案例分析，本项目的主要危险物质是柴油、原油、</w:t>
            </w:r>
            <w:r>
              <w:rPr>
                <w:rFonts w:hint="eastAsia" w:ascii="Times New Roman" w:eastAsia="宋体" w:cs="Times New Roman"/>
                <w:color w:val="auto"/>
                <w:kern w:val="2"/>
                <w:sz w:val="24"/>
                <w:szCs w:val="32"/>
                <w:highlight w:val="none"/>
                <w:lang w:val="en-US" w:eastAsia="zh-CN" w:bidi="ar-SA"/>
              </w:rPr>
              <w:t>天然气</w:t>
            </w:r>
            <w:r>
              <w:rPr>
                <w:rFonts w:hint="default" w:ascii="Times New Roman" w:hAnsi="Times New Roman" w:eastAsia="宋体" w:cs="Times New Roman"/>
                <w:color w:val="auto"/>
                <w:kern w:val="2"/>
                <w:sz w:val="24"/>
                <w:szCs w:val="32"/>
                <w:highlight w:val="none"/>
                <w:lang w:val="en-US" w:eastAsia="zh-CN" w:bidi="ar-SA"/>
              </w:rPr>
              <w:t>、硫化氢、落地油和废机油，若在钻井过程中遇到部分地层压力异常且含有油气资源，发生井喷事故导致井口溢出原油、伴生气，以及危险废物，其主要物化、毒理性质、危险等级划分见表4-</w:t>
            </w:r>
            <w:r>
              <w:rPr>
                <w:rFonts w:hint="eastAsia" w:ascii="Times New Roman" w:eastAsia="宋体" w:cs="Times New Roman"/>
                <w:color w:val="auto"/>
                <w:kern w:val="2"/>
                <w:sz w:val="24"/>
                <w:szCs w:val="32"/>
                <w:highlight w:val="none"/>
                <w:lang w:val="en-US" w:eastAsia="zh-CN" w:bidi="ar-SA"/>
              </w:rPr>
              <w:t>11</w:t>
            </w:r>
            <w:r>
              <w:rPr>
                <w:rFonts w:hint="default" w:ascii="Times New Roman" w:hAnsi="Times New Roman" w:eastAsia="宋体" w:cs="Times New Roman"/>
                <w:color w:val="auto"/>
                <w:kern w:val="2"/>
                <w:sz w:val="24"/>
                <w:szCs w:val="32"/>
                <w:highlight w:val="none"/>
                <w:lang w:val="en-US" w:eastAsia="zh-CN" w:bidi="ar-SA"/>
              </w:rPr>
              <w:t>。</w:t>
            </w:r>
          </w:p>
          <w:p w14:paraId="1D68D101">
            <w:pPr>
              <w:pageBreakBefore w:val="0"/>
              <w:kinsoku/>
              <w:wordWrap/>
              <w:overflowPunct/>
              <w:topLinePunct w:val="0"/>
              <w:bidi w:val="0"/>
              <w:spacing w:line="440" w:lineRule="exact"/>
              <w:jc w:val="center"/>
              <w:textAlignment w:val="baseline"/>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11</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物质危险性识别一览表</w:t>
            </w:r>
          </w:p>
          <w:tbl>
            <w:tblPr>
              <w:tblStyle w:val="3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900"/>
              <w:gridCol w:w="1150"/>
              <w:gridCol w:w="2345"/>
              <w:gridCol w:w="1946"/>
              <w:gridCol w:w="1402"/>
            </w:tblGrid>
            <w:tr w14:paraId="720B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13A17B10">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序号</w:t>
                  </w:r>
                </w:p>
              </w:tc>
              <w:tc>
                <w:tcPr>
                  <w:tcW w:w="533" w:type="pct"/>
                  <w:tcBorders>
                    <w:tl2br w:val="nil"/>
                    <w:tr2bl w:val="nil"/>
                  </w:tcBorders>
                  <w:noWrap w:val="0"/>
                  <w:vAlign w:val="center"/>
                </w:tcPr>
                <w:p w14:paraId="0B698F46">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名称</w:t>
                  </w:r>
                </w:p>
              </w:tc>
              <w:tc>
                <w:tcPr>
                  <w:tcW w:w="681" w:type="pct"/>
                  <w:tcBorders>
                    <w:tl2br w:val="nil"/>
                    <w:tr2bl w:val="nil"/>
                  </w:tcBorders>
                  <w:noWrap w:val="0"/>
                  <w:vAlign w:val="center"/>
                </w:tcPr>
                <w:p w14:paraId="12C3DC85">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组分</w:t>
                  </w:r>
                </w:p>
              </w:tc>
              <w:tc>
                <w:tcPr>
                  <w:tcW w:w="1388" w:type="pct"/>
                  <w:tcBorders>
                    <w:tl2br w:val="nil"/>
                    <w:tr2bl w:val="nil"/>
                  </w:tcBorders>
                  <w:noWrap w:val="0"/>
                  <w:vAlign w:val="center"/>
                </w:tcPr>
                <w:p w14:paraId="7F815463">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毒性</w:t>
                  </w:r>
                </w:p>
              </w:tc>
              <w:tc>
                <w:tcPr>
                  <w:tcW w:w="1152" w:type="pct"/>
                  <w:tcBorders>
                    <w:tl2br w:val="nil"/>
                    <w:tr2bl w:val="nil"/>
                  </w:tcBorders>
                  <w:noWrap w:val="0"/>
                  <w:vAlign w:val="center"/>
                </w:tcPr>
                <w:p w14:paraId="39D9DD79">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燃烧爆炸特性参数</w:t>
                  </w:r>
                </w:p>
              </w:tc>
              <w:tc>
                <w:tcPr>
                  <w:tcW w:w="829" w:type="pct"/>
                  <w:tcBorders>
                    <w:tl2br w:val="nil"/>
                    <w:tr2bl w:val="nil"/>
                  </w:tcBorders>
                  <w:noWrap w:val="0"/>
                  <w:vAlign w:val="center"/>
                </w:tcPr>
                <w:p w14:paraId="3E5ADD48">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危险级别</w:t>
                  </w:r>
                </w:p>
              </w:tc>
            </w:tr>
            <w:tr w14:paraId="6A48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3803D758">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533" w:type="pct"/>
                  <w:tcBorders>
                    <w:tl2br w:val="nil"/>
                    <w:tr2bl w:val="nil"/>
                  </w:tcBorders>
                  <w:noWrap w:val="0"/>
                  <w:vAlign w:val="center"/>
                </w:tcPr>
                <w:p w14:paraId="135BBE21">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原油</w:t>
                  </w:r>
                </w:p>
              </w:tc>
              <w:tc>
                <w:tcPr>
                  <w:tcW w:w="681" w:type="pct"/>
                  <w:tcBorders>
                    <w:tl2br w:val="nil"/>
                    <w:tr2bl w:val="nil"/>
                  </w:tcBorders>
                  <w:noWrap w:val="0"/>
                  <w:vAlign w:val="center"/>
                </w:tcPr>
                <w:p w14:paraId="0E6D2C20">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由各种烃类和非烃类化合物所组成的复杂混合物</w:t>
                  </w:r>
                </w:p>
              </w:tc>
              <w:tc>
                <w:tcPr>
                  <w:tcW w:w="1388" w:type="pct"/>
                  <w:tcBorders>
                    <w:tl2br w:val="nil"/>
                    <w:tr2bl w:val="nil"/>
                  </w:tcBorders>
                  <w:noWrap w:val="0"/>
                  <w:vAlign w:val="center"/>
                </w:tcPr>
                <w:p w14:paraId="0C09A8CF">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原油本身无明显毒性。遇热分解出有毒的烟雾，吸入大量可引起危害：有刺激和麻痹作用，吸入急性中毒者有上呼吸道刺激症状、流泪。随之出现头晕、头痛、恶心、运动失调及酒醉样症状</w:t>
                  </w:r>
                </w:p>
              </w:tc>
              <w:tc>
                <w:tcPr>
                  <w:tcW w:w="1152" w:type="pct"/>
                  <w:tcBorders>
                    <w:tl2br w:val="nil"/>
                    <w:tr2bl w:val="nil"/>
                  </w:tcBorders>
                  <w:noWrap w:val="0"/>
                  <w:vAlign w:val="center"/>
                </w:tcPr>
                <w:p w14:paraId="7FBE91B1">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热值：41870KJ/kg火焰温度：1100℃沸点：300～325℃闪点：23.5℃爆炸极限1.1%～6.4%（v）自然燃点380～530℃</w:t>
                  </w:r>
                </w:p>
              </w:tc>
              <w:tc>
                <w:tcPr>
                  <w:tcW w:w="829" w:type="pct"/>
                  <w:tcBorders>
                    <w:tl2br w:val="nil"/>
                    <w:tr2bl w:val="nil"/>
                  </w:tcBorders>
                  <w:noWrap w:val="0"/>
                  <w:vAlign w:val="center"/>
                </w:tcPr>
                <w:p w14:paraId="3AFBA4EB">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属于高闪点液体</w:t>
                  </w:r>
                </w:p>
              </w:tc>
            </w:tr>
            <w:tr w14:paraId="5CDE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328892A4">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533" w:type="pct"/>
                  <w:tcBorders>
                    <w:tl2br w:val="nil"/>
                    <w:tr2bl w:val="nil"/>
                  </w:tcBorders>
                  <w:noWrap w:val="0"/>
                  <w:vAlign w:val="center"/>
                </w:tcPr>
                <w:p w14:paraId="24E5D161">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天然气</w:t>
                  </w:r>
                </w:p>
              </w:tc>
              <w:tc>
                <w:tcPr>
                  <w:tcW w:w="681" w:type="pct"/>
                  <w:tcBorders>
                    <w:tl2br w:val="nil"/>
                    <w:tr2bl w:val="nil"/>
                  </w:tcBorders>
                  <w:noWrap w:val="0"/>
                  <w:vAlign w:val="center"/>
                </w:tcPr>
                <w:p w14:paraId="7C6F1E6C">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多种可燃性气体的总称，主要成分包括甲烷、乙烷等</w:t>
                  </w:r>
                </w:p>
              </w:tc>
              <w:tc>
                <w:tcPr>
                  <w:tcW w:w="1388" w:type="pct"/>
                  <w:tcBorders>
                    <w:tl2br w:val="nil"/>
                    <w:tr2bl w:val="nil"/>
                  </w:tcBorders>
                  <w:noWrap w:val="0"/>
                  <w:vAlign w:val="center"/>
                </w:tcPr>
                <w:p w14:paraId="42E07620">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伴生气中主要包括</w:t>
                  </w:r>
                  <w:r>
                    <w:rPr>
                      <w:rFonts w:hint="eastAsia" w:cs="Times New Roman"/>
                      <w:i w:val="0"/>
                      <w:iCs w:val="0"/>
                      <w:color w:val="auto"/>
                      <w:kern w:val="0"/>
                      <w:sz w:val="21"/>
                      <w:szCs w:val="21"/>
                      <w:highlight w:val="none"/>
                      <w:u w:val="none"/>
                      <w:lang w:val="en-US" w:eastAsia="zh-CN" w:bidi="ar"/>
                    </w:rPr>
                    <w:t>天然气</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天然气</w:t>
                  </w:r>
                  <w:r>
                    <w:rPr>
                      <w:rFonts w:hint="default" w:ascii="Times New Roman" w:hAnsi="Times New Roman" w:eastAsia="宋体" w:cs="Times New Roman"/>
                      <w:i w:val="0"/>
                      <w:iCs w:val="0"/>
                      <w:color w:val="auto"/>
                      <w:kern w:val="0"/>
                      <w:sz w:val="21"/>
                      <w:szCs w:val="21"/>
                      <w:highlight w:val="none"/>
                      <w:u w:val="none"/>
                      <w:lang w:val="en-US" w:eastAsia="zh-CN" w:bidi="ar"/>
                    </w:rPr>
                    <w:t>中含有的甲烷，是一种无毒气体，当空气中大量弥漫这种气体时它会造成人因氧气不足而呼吸困难，进而失去知觉、昏迷甚至残废。</w:t>
                  </w:r>
                </w:p>
              </w:tc>
              <w:tc>
                <w:tcPr>
                  <w:tcW w:w="1152" w:type="pct"/>
                  <w:tcBorders>
                    <w:tl2br w:val="nil"/>
                    <w:tr2bl w:val="nil"/>
                  </w:tcBorders>
                  <w:noWrap w:val="0"/>
                  <w:vAlign w:val="center"/>
                </w:tcPr>
                <w:p w14:paraId="7B39B930">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热值：50009KJ/kg爆炸极限5%～14%（v）自然燃点482～632℃</w:t>
                  </w:r>
                </w:p>
              </w:tc>
              <w:tc>
                <w:tcPr>
                  <w:tcW w:w="829" w:type="pct"/>
                  <w:tcBorders>
                    <w:tl2br w:val="nil"/>
                    <w:tr2bl w:val="nil"/>
                  </w:tcBorders>
                  <w:noWrap w:val="0"/>
                  <w:vAlign w:val="center"/>
                </w:tcPr>
                <w:p w14:paraId="1FD6C31A">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属于5.1类中易</w:t>
                  </w:r>
                  <w:r>
                    <w:rPr>
                      <w:rFonts w:hint="eastAsia" w:cs="Times New Roman"/>
                      <w:i w:val="0"/>
                      <w:iCs w:val="0"/>
                      <w:color w:val="auto"/>
                      <w:kern w:val="0"/>
                      <w:sz w:val="21"/>
                      <w:szCs w:val="21"/>
                      <w:highlight w:val="none"/>
                      <w:u w:val="none"/>
                      <w:lang w:val="en-US" w:eastAsia="zh-CN" w:bidi="ar"/>
                    </w:rPr>
                    <w:t>燃气</w:t>
                  </w:r>
                  <w:r>
                    <w:rPr>
                      <w:rFonts w:hint="default" w:ascii="Times New Roman" w:hAnsi="Times New Roman" w:eastAsia="宋体" w:cs="Times New Roman"/>
                      <w:i w:val="0"/>
                      <w:iCs w:val="0"/>
                      <w:color w:val="auto"/>
                      <w:kern w:val="0"/>
                      <w:sz w:val="21"/>
                      <w:szCs w:val="21"/>
                      <w:highlight w:val="none"/>
                      <w:u w:val="none"/>
                      <w:lang w:val="en-US" w:eastAsia="zh-CN" w:bidi="ar"/>
                    </w:rPr>
                    <w:t>体，在危险货物品名表中编号21007</w:t>
                  </w:r>
                </w:p>
              </w:tc>
            </w:tr>
            <w:tr w14:paraId="1A0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29A0AFA6">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533" w:type="pct"/>
                  <w:tcBorders>
                    <w:tl2br w:val="nil"/>
                    <w:tr2bl w:val="nil"/>
                  </w:tcBorders>
                  <w:noWrap w:val="0"/>
                  <w:vAlign w:val="center"/>
                </w:tcPr>
                <w:p w14:paraId="4A1BD5D5">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柴油</w:t>
                  </w:r>
                </w:p>
              </w:tc>
              <w:tc>
                <w:tcPr>
                  <w:tcW w:w="681" w:type="pct"/>
                  <w:tcBorders>
                    <w:tl2br w:val="nil"/>
                    <w:tr2bl w:val="nil"/>
                  </w:tcBorders>
                  <w:noWrap w:val="0"/>
                  <w:vAlign w:val="center"/>
                </w:tcPr>
                <w:p w14:paraId="47B001F9">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复杂烃类（碳原子数约10～22）混合物</w:t>
                  </w:r>
                </w:p>
              </w:tc>
              <w:tc>
                <w:tcPr>
                  <w:tcW w:w="1388" w:type="pct"/>
                  <w:tcBorders>
                    <w:tl2br w:val="nil"/>
                    <w:tr2bl w:val="nil"/>
                  </w:tcBorders>
                  <w:noWrap w:val="0"/>
                  <w:vAlign w:val="center"/>
                </w:tcPr>
                <w:p w14:paraId="70E30C33">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柴油的毒性类似于煤油，但由于添加剂（如硫化酯类）的影响，毒性可能比煤油略大。主要有麻醉和刺激作用。柴油的雾滴吸入后可致吸入性肺炎。皮肤接触柴油可致接触性皮炎。</w:t>
                  </w:r>
                </w:p>
              </w:tc>
              <w:tc>
                <w:tcPr>
                  <w:tcW w:w="1152" w:type="pct"/>
                  <w:tcBorders>
                    <w:tl2br w:val="nil"/>
                    <w:tr2bl w:val="nil"/>
                  </w:tcBorders>
                  <w:noWrap w:val="0"/>
                  <w:vAlign w:val="center"/>
                </w:tcPr>
                <w:p w14:paraId="1380E705">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热值为3.3×107 J/L沸点范围有180～370℃和 350～410℃两类闪点：38℃</w:t>
                  </w:r>
                </w:p>
              </w:tc>
              <w:tc>
                <w:tcPr>
                  <w:tcW w:w="829" w:type="pct"/>
                  <w:tcBorders>
                    <w:tl2br w:val="nil"/>
                    <w:tr2bl w:val="nil"/>
                  </w:tcBorders>
                  <w:noWrap w:val="0"/>
                  <w:vAlign w:val="center"/>
                </w:tcPr>
                <w:p w14:paraId="4B55399F">
                  <w:pPr>
                    <w:keepNext w:val="0"/>
                    <w:keepLines w:val="0"/>
                    <w:pageBreakBefore w:val="0"/>
                    <w:widowControl/>
                    <w:suppressLineNumbers w:val="0"/>
                    <w:kinsoku/>
                    <w:wordWrap/>
                    <w:overflowPunct w:val="0"/>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属于高闪点液体</w:t>
                  </w:r>
                </w:p>
              </w:tc>
            </w:tr>
            <w:tr w14:paraId="73E5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1B61681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lang w:val="en-US" w:eastAsia="zh-CN"/>
                    </w:rPr>
                    <w:t>4</w:t>
                  </w:r>
                </w:p>
              </w:tc>
              <w:tc>
                <w:tcPr>
                  <w:tcW w:w="533" w:type="pct"/>
                  <w:tcBorders>
                    <w:tl2br w:val="nil"/>
                    <w:tr2bl w:val="nil"/>
                  </w:tcBorders>
                  <w:noWrap w:val="0"/>
                  <w:vAlign w:val="center"/>
                </w:tcPr>
                <w:p w14:paraId="780C7E8B">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lang w:eastAsia="zh-CN"/>
                    </w:rPr>
                    <w:t>废</w:t>
                  </w:r>
                  <w:r>
                    <w:rPr>
                      <w:rFonts w:hint="eastAsia" w:cs="Times New Roman"/>
                      <w:color w:val="auto"/>
                      <w:szCs w:val="21"/>
                      <w:lang w:val="en-US" w:eastAsia="zh-CN"/>
                    </w:rPr>
                    <w:t>机油</w:t>
                  </w:r>
                </w:p>
              </w:tc>
              <w:tc>
                <w:tcPr>
                  <w:tcW w:w="681" w:type="pct"/>
                  <w:tcBorders>
                    <w:tl2br w:val="nil"/>
                    <w:tr2bl w:val="nil"/>
                  </w:tcBorders>
                  <w:noWrap w:val="0"/>
                  <w:vAlign w:val="center"/>
                </w:tcPr>
                <w:p w14:paraId="0FF17DD1">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油状液体，淡黄色至褐色，无气味或略带异味。</w:t>
                  </w:r>
                </w:p>
              </w:tc>
              <w:tc>
                <w:tcPr>
                  <w:tcW w:w="1388" w:type="pct"/>
                  <w:tcBorders>
                    <w:tl2br w:val="nil"/>
                    <w:tr2bl w:val="nil"/>
                  </w:tcBorders>
                  <w:noWrap w:val="0"/>
                  <w:vAlign w:val="center"/>
                </w:tcPr>
                <w:p w14:paraId="4C10AAA1">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急性中毒：表现为乏力、头晕、头痛、恶心，严重者可引起油脂性肺炎。慢接触者，暴露部位可发生油性痤疮和接触性皮炎。可引起神经衰弱综合征，呼吸道和眼</w:t>
                  </w:r>
                  <w:r>
                    <w:rPr>
                      <w:rFonts w:hint="default" w:ascii="Times New Roman" w:hAnsi="Times New Roman" w:eastAsia="宋体" w:cs="Times New Roman"/>
                      <w:color w:val="auto"/>
                      <w:szCs w:val="21"/>
                      <w:lang w:eastAsia="zh-CN"/>
                    </w:rPr>
                    <w:t>刺激症状</w:t>
                  </w:r>
                  <w:r>
                    <w:rPr>
                      <w:rFonts w:hint="default" w:ascii="Times New Roman" w:hAnsi="Times New Roman" w:eastAsia="宋体" w:cs="Times New Roman"/>
                      <w:color w:val="auto"/>
                      <w:szCs w:val="21"/>
                    </w:rPr>
                    <w:t>及慢性油脂性肺炎。有资料报道，接触石油润滑油类的工人有致癌的病例报告。</w:t>
                  </w:r>
                </w:p>
              </w:tc>
              <w:tc>
                <w:tcPr>
                  <w:tcW w:w="1152" w:type="pct"/>
                  <w:tcBorders>
                    <w:tl2br w:val="nil"/>
                    <w:tr2bl w:val="nil"/>
                  </w:tcBorders>
                  <w:noWrap w:val="0"/>
                  <w:vAlign w:val="center"/>
                </w:tcPr>
                <w:p w14:paraId="5B1287B5">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闪点为76℃，引燃温度为248℃。</w:t>
                  </w:r>
                </w:p>
              </w:tc>
              <w:tc>
                <w:tcPr>
                  <w:tcW w:w="829" w:type="pct"/>
                  <w:tcBorders>
                    <w:tl2br w:val="nil"/>
                    <w:tr2bl w:val="nil"/>
                  </w:tcBorders>
                  <w:noWrap w:val="0"/>
                  <w:vAlign w:val="center"/>
                </w:tcPr>
                <w:p w14:paraId="09AF4AD0">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Cs w:val="21"/>
                    </w:rPr>
                    <w:t>属于遇明火、高热可燃类液体。</w:t>
                  </w:r>
                </w:p>
              </w:tc>
            </w:tr>
            <w:tr w14:paraId="2146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tcBorders>
                    <w:tl2br w:val="nil"/>
                    <w:tr2bl w:val="nil"/>
                  </w:tcBorders>
                  <w:noWrap w:val="0"/>
                  <w:vAlign w:val="center"/>
                </w:tcPr>
                <w:p w14:paraId="17E039D2">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533" w:type="pct"/>
                  <w:tcBorders>
                    <w:tl2br w:val="nil"/>
                    <w:tr2bl w:val="nil"/>
                  </w:tcBorders>
                  <w:noWrap w:val="0"/>
                  <w:vAlign w:val="center"/>
                </w:tcPr>
                <w:p w14:paraId="49052633">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硫化氢</w:t>
                  </w:r>
                </w:p>
              </w:tc>
              <w:tc>
                <w:tcPr>
                  <w:tcW w:w="681" w:type="pct"/>
                  <w:tcBorders>
                    <w:tl2br w:val="nil"/>
                    <w:tr2bl w:val="nil"/>
                  </w:tcBorders>
                  <w:noWrap w:val="0"/>
                  <w:vAlign w:val="center"/>
                </w:tcPr>
                <w:p w14:paraId="7034857A">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无色酸性气体，有恶臭</w:t>
                  </w:r>
                </w:p>
              </w:tc>
              <w:tc>
                <w:tcPr>
                  <w:tcW w:w="1388" w:type="pct"/>
                  <w:tcBorders>
                    <w:tl2br w:val="nil"/>
                    <w:tr2bl w:val="nil"/>
                  </w:tcBorders>
                  <w:noWrap w:val="0"/>
                  <w:vAlign w:val="center"/>
                </w:tcPr>
                <w:p w14:paraId="7C053740">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急性毒性：LC50：618mg/m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（444ppm）（大鼠吸入）。</w:t>
                  </w:r>
                </w:p>
              </w:tc>
              <w:tc>
                <w:tcPr>
                  <w:tcW w:w="1152" w:type="pct"/>
                  <w:tcBorders>
                    <w:tl2br w:val="nil"/>
                    <w:tr2bl w:val="nil"/>
                  </w:tcBorders>
                  <w:noWrap w:val="0"/>
                  <w:vAlign w:val="center"/>
                </w:tcPr>
                <w:p w14:paraId="5F7CA5D7">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熔点：-85.5℃，沸点：-60.4℃，闪点：-50℃；爆炸极限4.0%～46.0%，溶于水、乙醇</w:t>
                  </w:r>
                </w:p>
              </w:tc>
              <w:tc>
                <w:tcPr>
                  <w:tcW w:w="829" w:type="pct"/>
                  <w:tcBorders>
                    <w:tl2br w:val="nil"/>
                    <w:tr2bl w:val="nil"/>
                  </w:tcBorders>
                  <w:noWrap w:val="0"/>
                  <w:vAlign w:val="center"/>
                </w:tcPr>
                <w:p w14:paraId="29CDC102">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无色有剧毒</w:t>
                  </w:r>
                  <w:r>
                    <w:rPr>
                      <w:rFonts w:hint="eastAsia" w:ascii="Times New Roman" w:hAnsi="Times New Roman" w:eastAsia="宋体" w:cs="Times New Roman"/>
                      <w:color w:val="auto"/>
                      <w:szCs w:val="21"/>
                      <w:lang w:val="en-US" w:eastAsia="zh-CN"/>
                    </w:rPr>
                    <w:t>酸性气体</w:t>
                  </w:r>
                </w:p>
              </w:tc>
            </w:tr>
          </w:tbl>
          <w:p w14:paraId="0A09AA76">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outlineLvl w:val="2"/>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②危险物质分布情况</w:t>
            </w:r>
          </w:p>
          <w:p w14:paraId="4176B49B">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本项目危险物质分布主要位于场区内油罐区域、井口和</w:t>
            </w:r>
            <w:r>
              <w:rPr>
                <w:rFonts w:hint="eastAsia" w:ascii="Times New Roman" w:hAnsi="Times New Roman" w:eastAsia="宋体" w:cs="Times New Roman"/>
                <w:color w:val="auto"/>
                <w:kern w:val="2"/>
                <w:sz w:val="24"/>
                <w:szCs w:val="32"/>
                <w:highlight w:val="none"/>
                <w:lang w:val="en-US" w:eastAsia="zh-CN" w:bidi="ar-SA"/>
              </w:rPr>
              <w:t>危险废物贮存点</w:t>
            </w:r>
            <w:r>
              <w:rPr>
                <w:rFonts w:hint="default" w:ascii="Times New Roman" w:hAnsi="Times New Roman" w:eastAsia="宋体" w:cs="Times New Roman"/>
                <w:color w:val="auto"/>
                <w:kern w:val="2"/>
                <w:sz w:val="24"/>
                <w:szCs w:val="32"/>
                <w:highlight w:val="none"/>
                <w:lang w:val="en-US" w:eastAsia="zh-CN" w:bidi="ar-SA"/>
              </w:rPr>
              <w:t>。</w:t>
            </w:r>
          </w:p>
          <w:p w14:paraId="6755A47A">
            <w:pPr>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③可能影响环境的途径</w:t>
            </w:r>
          </w:p>
          <w:p w14:paraId="104FDD5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本项目可能存在的风险事故类型有火灾、爆炸和井喷事故。火灾、爆炸与物料含油率、烃类可</w:t>
            </w:r>
            <w:r>
              <w:rPr>
                <w:rFonts w:hint="eastAsia" w:cs="Times New Roman"/>
                <w:color w:val="auto"/>
                <w:kern w:val="2"/>
                <w:sz w:val="24"/>
                <w:szCs w:val="32"/>
                <w:highlight w:val="none"/>
                <w:lang w:val="en-US" w:eastAsia="zh-CN" w:bidi="ar-SA"/>
              </w:rPr>
              <w:t>燃气</w:t>
            </w:r>
            <w:r>
              <w:rPr>
                <w:rFonts w:hint="default" w:ascii="Times New Roman" w:hAnsi="Times New Roman" w:eastAsia="宋体" w:cs="Times New Roman"/>
                <w:color w:val="auto"/>
                <w:kern w:val="2"/>
                <w:sz w:val="24"/>
                <w:szCs w:val="32"/>
                <w:highlight w:val="none"/>
                <w:lang w:val="en-US" w:eastAsia="zh-CN" w:bidi="ar-SA"/>
              </w:rPr>
              <w:t>体的量等因素有关。本项目</w:t>
            </w:r>
            <w:r>
              <w:rPr>
                <w:rFonts w:hint="eastAsia" w:cs="Times New Roman"/>
                <w:color w:val="auto"/>
                <w:kern w:val="2"/>
                <w:sz w:val="24"/>
                <w:szCs w:val="32"/>
                <w:highlight w:val="none"/>
                <w:lang w:val="en-US" w:eastAsia="zh-CN" w:bidi="ar-SA"/>
              </w:rPr>
              <w:t>天然气、</w:t>
            </w:r>
            <w:r>
              <w:rPr>
                <w:rFonts w:hint="default" w:ascii="Times New Roman" w:hAnsi="Times New Roman" w:eastAsia="宋体" w:cs="Times New Roman"/>
                <w:color w:val="auto"/>
                <w:kern w:val="2"/>
                <w:sz w:val="24"/>
                <w:szCs w:val="32"/>
                <w:highlight w:val="none"/>
                <w:lang w:val="en-US" w:eastAsia="zh-CN" w:bidi="ar-SA"/>
              </w:rPr>
              <w:t>柴油、原油储罐泄漏发生火灾事故以及发生井喷后可能对周边环境造成影响，事故影响范围主要集中在井场。</w:t>
            </w:r>
          </w:p>
          <w:p w14:paraId="5A747E8D">
            <w:pPr>
              <w:keepNext w:val="0"/>
              <w:keepLines w:val="0"/>
              <w:pageBreakBefore w:val="0"/>
              <w:widowControl w:val="0"/>
              <w:kinsoku/>
              <w:wordWrap/>
              <w:overflowPunct/>
              <w:topLinePunct w:val="0"/>
              <w:autoSpaceDE/>
              <w:autoSpaceDN/>
              <w:bidi w:val="0"/>
              <w:spacing w:line="440" w:lineRule="exact"/>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-12</w:t>
            </w:r>
            <w:r>
              <w:rPr>
                <w:rFonts w:hint="default" w:ascii="Times New Roman" w:hAnsi="Times New Roman" w:eastAsia="宋体" w:cs="Times New Roman"/>
                <w:b/>
                <w:bCs/>
                <w:color w:val="auto"/>
                <w:sz w:val="21"/>
                <w:szCs w:val="21"/>
                <w:lang w:val="en-US" w:eastAsia="zh-CN"/>
              </w:rPr>
              <w:t xml:space="preserve">   本项目环境风险及环境影响途径识别表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87"/>
              <w:gridCol w:w="1479"/>
              <w:gridCol w:w="1242"/>
              <w:gridCol w:w="2625"/>
              <w:gridCol w:w="1416"/>
            </w:tblGrid>
            <w:tr w14:paraId="70AA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14:paraId="048B990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危险物质</w:t>
                  </w:r>
                </w:p>
              </w:tc>
              <w:tc>
                <w:tcPr>
                  <w:tcW w:w="875" w:type="pct"/>
                  <w:noWrap w:val="0"/>
                  <w:vAlign w:val="center"/>
                </w:tcPr>
                <w:p w14:paraId="20D521BB">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风险单元</w:t>
                  </w:r>
                </w:p>
              </w:tc>
              <w:tc>
                <w:tcPr>
                  <w:tcW w:w="735" w:type="pct"/>
                  <w:noWrap w:val="0"/>
                  <w:vAlign w:val="center"/>
                </w:tcPr>
                <w:p w14:paraId="64F53799">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作业特点</w:t>
                  </w:r>
                </w:p>
              </w:tc>
              <w:tc>
                <w:tcPr>
                  <w:tcW w:w="1553" w:type="pct"/>
                  <w:noWrap w:val="0"/>
                  <w:vAlign w:val="center"/>
                </w:tcPr>
                <w:p w14:paraId="5E9AE3FD">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环境风险类型</w:t>
                  </w:r>
                </w:p>
              </w:tc>
              <w:tc>
                <w:tcPr>
                  <w:tcW w:w="837" w:type="pct"/>
                  <w:noWrap w:val="0"/>
                  <w:vAlign w:val="center"/>
                </w:tcPr>
                <w:p w14:paraId="167E333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环境影响途径</w:t>
                  </w:r>
                </w:p>
              </w:tc>
            </w:tr>
            <w:tr w14:paraId="2EA6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998" w:type="pct"/>
                  <w:noWrap w:val="0"/>
                  <w:vAlign w:val="center"/>
                </w:tcPr>
                <w:p w14:paraId="58F7456A">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柴油、原油、废机油</w:t>
                  </w:r>
                </w:p>
              </w:tc>
              <w:tc>
                <w:tcPr>
                  <w:tcW w:w="875" w:type="pct"/>
                  <w:noWrap w:val="0"/>
                  <w:vAlign w:val="center"/>
                </w:tcPr>
                <w:p w14:paraId="4A45C35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柴油、原油储罐、废机油桶</w:t>
                  </w:r>
                </w:p>
              </w:tc>
              <w:tc>
                <w:tcPr>
                  <w:tcW w:w="735" w:type="pct"/>
                  <w:noWrap w:val="0"/>
                  <w:vAlign w:val="center"/>
                </w:tcPr>
                <w:p w14:paraId="3C92C6A0">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14:paraId="7F82419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泄漏、火灾、次生污染物CO、大气污染</w:t>
                  </w:r>
                </w:p>
              </w:tc>
              <w:tc>
                <w:tcPr>
                  <w:tcW w:w="837" w:type="pct"/>
                  <w:noWrap w:val="0"/>
                  <w:vAlign w:val="center"/>
                </w:tcPr>
                <w:p w14:paraId="7B2639F7">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大气扩散、地下水</w:t>
                  </w:r>
                </w:p>
              </w:tc>
            </w:tr>
            <w:tr w14:paraId="77F4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14:paraId="20E74DF1">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伴生</w:t>
                  </w:r>
                  <w:r>
                    <w:rPr>
                      <w:rFonts w:hint="eastAsia" w:cs="Times New Roman"/>
                      <w:color w:val="auto"/>
                      <w:szCs w:val="21"/>
                      <w:lang w:val="en-US" w:eastAsia="zh-CN"/>
                    </w:rPr>
                    <w:t>天然气</w:t>
                  </w:r>
                  <w:r>
                    <w:rPr>
                      <w:rFonts w:hint="default" w:ascii="Times New Roman" w:hAnsi="Times New Roman" w:eastAsia="宋体" w:cs="Times New Roman"/>
                      <w:color w:val="auto"/>
                      <w:szCs w:val="21"/>
                      <w:lang w:val="en-US" w:eastAsia="zh-CN"/>
                    </w:rPr>
                    <w:t>、H</w:t>
                  </w:r>
                  <w:r>
                    <w:rPr>
                      <w:rFonts w:hint="default" w:ascii="Times New Roman" w:hAnsi="Times New Roman" w:eastAsia="宋体" w:cs="Times New Roman"/>
                      <w:color w:val="auto"/>
                      <w:szCs w:val="21"/>
                      <w:vertAlign w:val="subscript"/>
                      <w:lang w:val="en-US" w:eastAsia="zh-CN"/>
                    </w:rPr>
                    <w:t>2</w:t>
                  </w:r>
                  <w:r>
                    <w:rPr>
                      <w:rFonts w:hint="default" w:ascii="Times New Roman" w:hAnsi="Times New Roman" w:eastAsia="宋体" w:cs="Times New Roman"/>
                      <w:color w:val="auto"/>
                      <w:szCs w:val="21"/>
                      <w:lang w:val="en-US" w:eastAsia="zh-CN"/>
                    </w:rPr>
                    <w:t>S</w:t>
                  </w:r>
                </w:p>
              </w:tc>
              <w:tc>
                <w:tcPr>
                  <w:tcW w:w="875" w:type="pct"/>
                  <w:noWrap w:val="0"/>
                  <w:vAlign w:val="center"/>
                </w:tcPr>
                <w:p w14:paraId="452F6861">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钻井区域</w:t>
                  </w:r>
                </w:p>
              </w:tc>
              <w:tc>
                <w:tcPr>
                  <w:tcW w:w="735" w:type="pct"/>
                  <w:noWrap w:val="0"/>
                  <w:vAlign w:val="center"/>
                </w:tcPr>
                <w:p w14:paraId="749702E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14:paraId="4101F96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井喷、井喷失控、泄漏、中毒、火灾、爆炸、大气污染</w:t>
                  </w:r>
                </w:p>
              </w:tc>
              <w:tc>
                <w:tcPr>
                  <w:tcW w:w="837" w:type="pct"/>
                  <w:noWrap w:val="0"/>
                  <w:vAlign w:val="center"/>
                </w:tcPr>
                <w:p w14:paraId="6DEAB18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w:t>
                  </w:r>
                </w:p>
              </w:tc>
            </w:tr>
            <w:tr w14:paraId="396C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687" w:type="dxa"/>
                  <w:noWrap w:val="0"/>
                  <w:vAlign w:val="center"/>
                </w:tcPr>
                <w:p w14:paraId="5DDC6830">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燃料天然气</w:t>
                  </w:r>
                </w:p>
              </w:tc>
              <w:tc>
                <w:tcPr>
                  <w:tcW w:w="1479" w:type="dxa"/>
                  <w:noWrap w:val="0"/>
                  <w:vAlign w:val="center"/>
                </w:tcPr>
                <w:p w14:paraId="20E6502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钻井区域</w:t>
                  </w:r>
                </w:p>
              </w:tc>
              <w:tc>
                <w:tcPr>
                  <w:tcW w:w="1242" w:type="dxa"/>
                  <w:noWrap w:val="0"/>
                  <w:vAlign w:val="center"/>
                </w:tcPr>
                <w:p w14:paraId="014407B5">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w:t>
                  </w:r>
                  <w:r>
                    <w:rPr>
                      <w:rFonts w:hint="eastAsia" w:cs="Times New Roman"/>
                      <w:color w:val="auto"/>
                      <w:szCs w:val="21"/>
                      <w:lang w:val="en-US" w:eastAsia="zh-CN"/>
                    </w:rPr>
                    <w:t>高压</w:t>
                  </w:r>
                </w:p>
              </w:tc>
              <w:tc>
                <w:tcPr>
                  <w:tcW w:w="2625" w:type="dxa"/>
                  <w:noWrap w:val="0"/>
                  <w:vAlign w:val="center"/>
                </w:tcPr>
                <w:p w14:paraId="11B0867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爆炸、次生污染物CO、大气污染</w:t>
                  </w:r>
                </w:p>
              </w:tc>
              <w:tc>
                <w:tcPr>
                  <w:tcW w:w="1416" w:type="dxa"/>
                  <w:noWrap w:val="0"/>
                  <w:vAlign w:val="center"/>
                </w:tcPr>
                <w:p w14:paraId="134E1613">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w:t>
                  </w:r>
                </w:p>
              </w:tc>
            </w:tr>
            <w:tr w14:paraId="620C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998" w:type="pct"/>
                  <w:noWrap w:val="0"/>
                  <w:vAlign w:val="center"/>
                </w:tcPr>
                <w:p w14:paraId="05AEDED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落地油</w:t>
                  </w:r>
                </w:p>
              </w:tc>
              <w:tc>
                <w:tcPr>
                  <w:tcW w:w="875" w:type="pct"/>
                  <w:noWrap w:val="0"/>
                  <w:vAlign w:val="center"/>
                </w:tcPr>
                <w:p w14:paraId="7705748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危废贮存点（8m</w:t>
                  </w:r>
                  <w:r>
                    <w:rPr>
                      <w:rFonts w:hint="default" w:ascii="Times New Roman" w:hAnsi="Times New Roman" w:eastAsia="宋体" w:cs="Times New Roman"/>
                      <w:color w:val="auto"/>
                      <w:szCs w:val="21"/>
                      <w:vertAlign w:val="superscript"/>
                      <w:lang w:val="en-US" w:eastAsia="zh-CN"/>
                    </w:rPr>
                    <w:t>2</w:t>
                  </w:r>
                  <w:r>
                    <w:rPr>
                      <w:rFonts w:hint="default" w:ascii="Times New Roman" w:hAnsi="Times New Roman" w:eastAsia="宋体" w:cs="Times New Roman"/>
                      <w:color w:val="auto"/>
                      <w:szCs w:val="21"/>
                      <w:lang w:val="en-US" w:eastAsia="zh-CN"/>
                    </w:rPr>
                    <w:t>）</w:t>
                  </w:r>
                </w:p>
              </w:tc>
              <w:tc>
                <w:tcPr>
                  <w:tcW w:w="735" w:type="pct"/>
                  <w:noWrap w:val="0"/>
                  <w:vAlign w:val="center"/>
                </w:tcPr>
                <w:p w14:paraId="4E31D237">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常温、常压</w:t>
                  </w:r>
                </w:p>
              </w:tc>
              <w:tc>
                <w:tcPr>
                  <w:tcW w:w="1553" w:type="pct"/>
                  <w:noWrap w:val="0"/>
                  <w:vAlign w:val="center"/>
                </w:tcPr>
                <w:p w14:paraId="035F0092">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泄漏、火灾、次生污染物CO、大气污染</w:t>
                  </w:r>
                </w:p>
              </w:tc>
              <w:tc>
                <w:tcPr>
                  <w:tcW w:w="837" w:type="pct"/>
                  <w:noWrap w:val="0"/>
                  <w:vAlign w:val="center"/>
                </w:tcPr>
                <w:p w14:paraId="25A5C374">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大气扩散、地下水</w:t>
                  </w:r>
                </w:p>
              </w:tc>
            </w:tr>
          </w:tbl>
          <w:p w14:paraId="6C83149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④生产设施风险识别</w:t>
            </w:r>
          </w:p>
          <w:p w14:paraId="4E8BF60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A.井喷事故风险 </w:t>
            </w:r>
          </w:p>
          <w:p w14:paraId="34BD9C9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场主要发生的风险事故为钻井时发生井喷事故。一旦发生井喷突发事件，立即启动相应的突发事件专项应急预案，一般情况下井喷液体通过放喷管线排放至应急放喷罐内，应急放喷罐底部进行人工防渗，防渗材料为HDPE防渗膜，待事故结束后，对放喷液送至最终交由具有相应危险废物处置资质的单位进行处置。</w:t>
            </w:r>
          </w:p>
          <w:p w14:paraId="3D94F9A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喷事故不可控的情况，可能导致大量的油气喷出井口、散落于井场周围，根据类比资料，井喷范围内土壤表层可见有蜡状的原油喷散物，井喷的影响范围一般为以井眼为圆心、半径200m的区域，由于本项目周边有居民小区，可能会对人员的伤害，造成财产损失。</w:t>
            </w:r>
          </w:p>
          <w:p w14:paraId="2D22B9A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B.井漏事故风险</w:t>
            </w:r>
          </w:p>
          <w:p w14:paraId="6FEF06A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井漏事故对地下水的污染途径主要是钻井泥浆漏失于地下水含水层中，造成地下含水层水质污染。钻井泥浆漏失于地下含水层系径流型污染的范围不大，主要发生在局部且持续时间较短；使用清洁无害的水基钻井泥浆，严格控制使用有毒有害钻井泥浆；同时严格要求套管下入深度、确保固井质量等措施，可有效控制钻井泥浆在含水层中的漏失。因此，井漏事故对地下水环境的影响在可接受范围内。</w:t>
            </w:r>
          </w:p>
          <w:p w14:paraId="395CF0F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C.罐车运输、贮存途中泄漏</w:t>
            </w:r>
          </w:p>
          <w:p w14:paraId="67B9F69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罐车在运输途中或装卸过程中会遇到各种意外事件（特别是遭遇交通事故时）会发生不同程度的泄漏情况，可能引发人员伤亡、火灾、爆炸等恶性事故；随车人员应视情况迅速采取相应的应急处理措施。</w:t>
            </w:r>
          </w:p>
          <w:p w14:paraId="0FD4833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测试放喷期井场设置采出管线、原油储罐，管线储罐因质量、操作运行和管理等环节存在缺陷和失误，可能会发生泄漏，对周围地下水、土壤、大气等环境造成污染。</w:t>
            </w:r>
          </w:p>
          <w:p w14:paraId="5A3267D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8.4环境风险分析</w:t>
            </w:r>
          </w:p>
          <w:p w14:paraId="4C97BF1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1.大气环境风险分析</w:t>
            </w:r>
          </w:p>
          <w:p w14:paraId="44061C6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工程施工过程中风险类型主要为柴油、原油、废机油泄漏导致的火灾以及爆炸事故等产生的次生污染物影响，以及在钻至含油地层遇到压力异常发生井喷事故导致气体进入大气。</w:t>
            </w:r>
          </w:p>
          <w:p w14:paraId="5B8A7C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原油、废机油泄漏时，遇明火燃烧，油品从裂口流出后立即燃烧，发生火灾爆炸事故，如果出现不完全燃烧，会产生一定量的一氧化碳。一旦储罐发生泄漏事故，应迅速进行封堵，并将泄漏物收集至铁桶等容器内，交由有资质单位处理。</w:t>
            </w:r>
          </w:p>
          <w:p w14:paraId="67B59E1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在钻至含油地层遇到压力异常超过设计压力发生井喷事故，应及时控制井口放喷设施，若遇硫化氢采取点燃处理，通过采取及时疏散周边人员，对井喷物质进行点火和在周边进行检测，可最大程度降低对周边的影响。积极开展公众环境风险事故预防教育和应急知识培训，一旦发生火灾爆炸事故，及时疏散井场及周边人员，避免造成人员伤亡和财产损失。由于井场位于荒漠区域，周边无环境空气敏感目标，在落实风险防范措施、应急预案后，其发生事故的概率较低，且周边区域空旷，扩散条件良好，柴油、原油、废机油泄漏及井喷事故对周围环境空气的影响是可以接受的。</w:t>
            </w:r>
          </w:p>
          <w:p w14:paraId="526E1AE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olor w:val="auto"/>
                <w:sz w:val="24"/>
                <w:szCs w:val="24"/>
                <w:lang w:val="en-US" w:eastAsia="zh-CN"/>
              </w:rPr>
            </w:pPr>
            <w:r>
              <w:rPr>
                <w:rFonts w:hint="default"/>
                <w:color w:val="auto"/>
                <w:sz w:val="24"/>
                <w:szCs w:val="24"/>
                <w:lang w:val="en-US" w:eastAsia="zh-CN"/>
              </w:rPr>
              <w:t>本项目</w:t>
            </w:r>
            <w:r>
              <w:rPr>
                <w:rFonts w:hint="eastAsia"/>
                <w:color w:val="auto"/>
                <w:sz w:val="24"/>
                <w:szCs w:val="24"/>
                <w:lang w:val="en-US" w:eastAsia="zh-CN"/>
              </w:rPr>
              <w:t>天然气</w:t>
            </w:r>
            <w:r>
              <w:rPr>
                <w:rFonts w:hint="default"/>
                <w:color w:val="auto"/>
                <w:sz w:val="24"/>
                <w:szCs w:val="24"/>
                <w:lang w:val="en-US" w:eastAsia="zh-CN"/>
              </w:rPr>
              <w:t>泄漏引起大气污染，对环境造成二次污染，对人体健康产生危害。项目锅炉房配有专人负责锅炉的运营管理和维护等工作。项目锅炉及配套设施一旦发生</w:t>
            </w:r>
            <w:r>
              <w:rPr>
                <w:rFonts w:hint="eastAsia"/>
                <w:color w:val="auto"/>
                <w:sz w:val="24"/>
                <w:szCs w:val="24"/>
                <w:lang w:val="en-US" w:eastAsia="zh-CN"/>
              </w:rPr>
              <w:t>天然气</w:t>
            </w:r>
            <w:r>
              <w:rPr>
                <w:rFonts w:hint="default"/>
                <w:color w:val="auto"/>
                <w:sz w:val="24"/>
                <w:szCs w:val="24"/>
                <w:lang w:val="en-US" w:eastAsia="zh-CN"/>
              </w:rPr>
              <w:t>泄漏，现场人员则立即关闭总截止阀，关闭电源，打开锅炉房门窗，稀释空气中</w:t>
            </w:r>
            <w:r>
              <w:rPr>
                <w:rFonts w:hint="eastAsia"/>
                <w:color w:val="auto"/>
                <w:sz w:val="24"/>
                <w:szCs w:val="24"/>
                <w:lang w:val="en-US" w:eastAsia="zh-CN"/>
              </w:rPr>
              <w:t>天然气</w:t>
            </w:r>
            <w:r>
              <w:rPr>
                <w:rFonts w:hint="default"/>
                <w:color w:val="auto"/>
                <w:sz w:val="24"/>
                <w:szCs w:val="24"/>
                <w:lang w:val="en-US" w:eastAsia="zh-CN"/>
              </w:rPr>
              <w:t>浓度；同时对泄漏点进行检查和维修，事故可在10min之内得到控制，泄漏的气体不会对周围环境产生影响。</w:t>
            </w:r>
          </w:p>
          <w:p w14:paraId="0DDEE7E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lang w:val="en-US" w:eastAsia="zh-CN"/>
              </w:rPr>
            </w:pPr>
            <w:r>
              <w:rPr>
                <w:rFonts w:hint="default"/>
                <w:color w:val="auto"/>
                <w:sz w:val="24"/>
                <w:szCs w:val="24"/>
                <w:lang w:val="en-US" w:eastAsia="zh-CN"/>
              </w:rPr>
              <w:t>若</w:t>
            </w:r>
            <w:r>
              <w:rPr>
                <w:rFonts w:hint="eastAsia"/>
                <w:color w:val="auto"/>
                <w:sz w:val="24"/>
                <w:szCs w:val="24"/>
                <w:lang w:val="en-US" w:eastAsia="zh-CN"/>
              </w:rPr>
              <w:t>天然气</w:t>
            </w:r>
            <w:r>
              <w:rPr>
                <w:rFonts w:hint="default"/>
                <w:color w:val="auto"/>
                <w:sz w:val="24"/>
                <w:szCs w:val="24"/>
                <w:lang w:val="en-US" w:eastAsia="zh-CN"/>
              </w:rPr>
              <w:t>长时间泄漏造成项目区达到爆炸极限的危险，现场人若发现</w:t>
            </w:r>
            <w:r>
              <w:rPr>
                <w:rFonts w:hint="eastAsia"/>
                <w:color w:val="auto"/>
                <w:sz w:val="24"/>
                <w:szCs w:val="24"/>
                <w:lang w:val="en-US" w:eastAsia="zh-CN"/>
              </w:rPr>
              <w:t>天然气</w:t>
            </w:r>
            <w:r>
              <w:rPr>
                <w:rFonts w:hint="default"/>
                <w:color w:val="auto"/>
                <w:sz w:val="24"/>
                <w:szCs w:val="24"/>
                <w:lang w:val="en-US" w:eastAsia="zh-CN"/>
              </w:rPr>
              <w:t>泄漏，立即报告应急指挥中心，发出指令，同时切断</w:t>
            </w:r>
            <w:r>
              <w:rPr>
                <w:rFonts w:hint="eastAsia"/>
                <w:color w:val="auto"/>
                <w:sz w:val="24"/>
                <w:szCs w:val="24"/>
                <w:lang w:val="en-US" w:eastAsia="zh-CN"/>
              </w:rPr>
              <w:t>天然气</w:t>
            </w:r>
            <w:r>
              <w:rPr>
                <w:rFonts w:hint="default"/>
                <w:color w:val="auto"/>
                <w:sz w:val="24"/>
                <w:szCs w:val="24"/>
                <w:lang w:val="en-US" w:eastAsia="zh-CN"/>
              </w:rPr>
              <w:t>总截止阀，关闭所有电源，同时疏散现场工作人员到安全区域；事后对报警装置进行更换或维修，对失灵原因进行记录。事故可在10min之内得到控制，泄漏的气体不会对周围环境产生影响。</w:t>
            </w:r>
          </w:p>
          <w:p w14:paraId="460D755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2.地表水环境风险分析</w:t>
            </w:r>
          </w:p>
          <w:p w14:paraId="4634D18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若发生少量油品泄漏，泄漏油品会被截留在防渗区域内，不会直接进入周边地表水体；若发生大规模井喷或储罐破裂泄漏事故，泄漏的原油、柴油等可能随雨水径流进入周边地表水系，对下游水体水质造成一定影响，需第一时间通过设置应急围堰、防溢坝等方式拦截泄漏物料，避免其扩散进入外环境。本项目周边无大型地表水体，发生风险事故时及时采取应急拦截措施，对地表水环境影响可控。</w:t>
            </w:r>
          </w:p>
          <w:p w14:paraId="18A7A37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3.地下水环境风险分析</w:t>
            </w:r>
          </w:p>
          <w:p w14:paraId="2C84073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在发生柴油、原油、废机油泄漏等事故时，若泄漏的柴油、原油废机油长时间未得到处理，且防渗措施失效，渗入地下可能污染地下水。为防止柴油、原油、废机油泄漏污染土壤和地下水，环评要求采取以下措施：</w:t>
            </w:r>
          </w:p>
          <w:p w14:paraId="2962E18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①加强柴油储罐、原油储罐、废机油桶的维护保养，避免泄漏事件的发生。对于易发生泄漏的部位实行定期的巡检制度，及时发现问题尽快解决。加强职工的安全教育，提高防范风险的意识。</w:t>
            </w:r>
          </w:p>
          <w:p w14:paraId="63B32FD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②在柴油储罐、原油储罐底部采用防渗膜防渗，如发生油品泄漏，应及时把污染的部分收集在铁桶中，结束后交有资质单位处置。</w:t>
            </w:r>
          </w:p>
          <w:p w14:paraId="56C72B4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③废机油桶储存于危废贮存点，危废贮存点采取重点防渗措施，如发生油品泄漏，应及时把污染的部分收集在铁桶中，结束后交有资质单位处置。</w:t>
            </w:r>
          </w:p>
          <w:p w14:paraId="3C0831E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采取以上防渗措施后，地下水环境风险可防控。</w:t>
            </w:r>
          </w:p>
          <w:p w14:paraId="7D62ACB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4.土壤环境风险分析</w:t>
            </w:r>
          </w:p>
          <w:p w14:paraId="129A3D2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泄漏的柴油、原油、废机油可使土壤透气性下降、土壤理化性状发生变化。泄漏的油品如果进入土壤，从而使土壤质地、结构发生改变，影响到土地功能，进而影响周边植物的生长，并可影响局部的生态环境。</w:t>
            </w:r>
          </w:p>
          <w:p w14:paraId="0B0AAC9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原油、废机油发生泄漏时，相当于向土壤中直接注入油类物质，泄漏的油类物质进入土壤中后，渗入土壤孔隙，则使土壤透气性和呼吸作用减弱，影响土壤中的微生物生存，造成土壤盐碱化，破坏土壤结构，增加土壤中石油类污染物，造成土地肥力下降，改变土壤的理化性质，影响土壤正常的结构和功能。</w:t>
            </w:r>
          </w:p>
          <w:p w14:paraId="2378847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储罐、原油储罐和危废贮存点采取有效的防渗措施，储罐发生泄漏后，及时清理，不能回收的柴油、原油、废机油以及受污染的土壤应集中收集后交由有相应处理资质的单位进行回收处置。发生事故后，及时采取相应的措施，不会对周围土壤环境产生明显影响。</w:t>
            </w:r>
          </w:p>
          <w:p w14:paraId="264DA9C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5.对植被的影响</w:t>
            </w:r>
          </w:p>
          <w:p w14:paraId="62B356D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bookmarkStart w:id="19" w:name="_Toc13562"/>
            <w:bookmarkStart w:id="20" w:name="_Toc18647"/>
            <w:r>
              <w:rPr>
                <w:rFonts w:hint="default" w:ascii="Times New Roman" w:hAnsi="Times New Roman" w:eastAsia="宋体" w:cs="Times New Roman"/>
                <w:color w:val="auto"/>
                <w:kern w:val="2"/>
                <w:sz w:val="24"/>
                <w:szCs w:val="32"/>
                <w:highlight w:val="none"/>
                <w:lang w:val="en-US" w:eastAsia="zh-CN" w:bidi="ar-SA"/>
              </w:rPr>
              <w:t>井喷事故发生后，原油散落区域的植被会因直接受原油覆盖，影响光合作用和根系透气性，导致部分植被枯死，受影响范围主要集中在井场周边井喷影响半径内，不会对区域植被群落结构造成不可逆破坏，在事故结束后对污染土壤进行清理处置，逐步进行生态恢复后，植被可逐步恢复至原有水平，对区域植被的影响可控。</w:t>
            </w:r>
            <w:bookmarkEnd w:id="19"/>
            <w:bookmarkEnd w:id="20"/>
          </w:p>
          <w:p w14:paraId="483CD0C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6.运输期间环境风险分析</w:t>
            </w:r>
          </w:p>
          <w:p w14:paraId="6A11526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涉及物料均采用汽车陆路运输，包括钻井原辅材料、柴油、测试放喷期产出的原油、钻井产生的危险废物等。运输过程中若发生交通事故导致物料泄漏，泄漏的柴油、原油等易燃易爆物料可能引发火灾爆炸事故，若泄漏物料进入周边环境，可能污染沿线土壤、水体，因此运输单位须具备对应危险货物运输资质，驾驶员、押运员均需持证上岗，运输前对车辆进行全面检查，运输过程中严格遵守相关危险货物运输管理规定，规划合理运输路线，避开居民区、水源保护区等环境敏感区域，可有效降低运输过程的环境风险，运输风险处于可接受水平。</w:t>
            </w:r>
          </w:p>
          <w:p w14:paraId="3DFD94F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8.5事故状态下环境风险分析</w:t>
            </w:r>
          </w:p>
          <w:p w14:paraId="6154692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柴油储罐、原油储罐底部、危废贮存点均设有防渗设施，发生泄漏时，及时封堵，并将泄漏物收集后交由有资质单位处理；发生井喷事故时，将放喷池作为一级污染控制措施，对井喷泄漏物进行收集，并将泄漏物收集后交由有资质单位处理。</w:t>
            </w:r>
          </w:p>
          <w:p w14:paraId="303C750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井喷事故一旦发生，大量的油气喷出井口，散落于井场周围，除造成重大经济损失外，还会造成严重的环境污染。经类比井喷事故现场调查结果，井喷发生后，具体喷出物量以及影响范围与油藏性质、压力等地质条件有关，根据国内统计情况井喷污染范围为半径300m左右不等，一般需要1～2天才能得以控制，井喷发生后为避免毒害气体引起中毒、可</w:t>
            </w:r>
            <w:r>
              <w:rPr>
                <w:rFonts w:hint="eastAsia" w:cs="Times New Roman"/>
                <w:color w:val="auto"/>
                <w:kern w:val="2"/>
                <w:sz w:val="24"/>
                <w:szCs w:val="32"/>
                <w:highlight w:val="none"/>
                <w:lang w:val="en-US" w:eastAsia="zh-CN" w:bidi="ar-SA"/>
              </w:rPr>
              <w:t>燃气</w:t>
            </w:r>
            <w:r>
              <w:rPr>
                <w:rFonts w:hint="default" w:ascii="Times New Roman" w:hAnsi="Times New Roman" w:eastAsia="宋体" w:cs="Times New Roman"/>
                <w:color w:val="auto"/>
                <w:kern w:val="2"/>
                <w:sz w:val="24"/>
                <w:szCs w:val="32"/>
                <w:highlight w:val="none"/>
                <w:lang w:val="en-US" w:eastAsia="zh-CN" w:bidi="ar-SA"/>
              </w:rPr>
              <w:t>体爆炸等情况发生，保护井场生产设施，会进行火焰点燃，因此喷出物影响到300m范围的可能性很小。</w:t>
            </w:r>
          </w:p>
          <w:p w14:paraId="1681AEC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钻井期间安装井控装置（防喷器、简易封井器等），同时采用随时调整泥浆密度，采用压井等技术，以最大限度地防止井喷事故的发生。钻井场在钻井期施工过程中，在预防措施上切实做好了防止井喷的各项措施，制定突发事件环境风险应急预案，严格执行各类管理制度。</w:t>
            </w:r>
          </w:p>
          <w:p w14:paraId="7231A41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bCs/>
                <w:color w:val="auto"/>
                <w:szCs w:val="21"/>
                <w:highlight w:val="none"/>
                <w:lang w:val="en-US"/>
              </w:rPr>
            </w:pPr>
            <w:r>
              <w:rPr>
                <w:rFonts w:hint="default" w:ascii="Times New Roman" w:hAnsi="Times New Roman" w:eastAsia="宋体" w:cs="Times New Roman"/>
                <w:color w:val="auto"/>
                <w:kern w:val="2"/>
                <w:sz w:val="24"/>
                <w:szCs w:val="32"/>
                <w:highlight w:val="none"/>
                <w:lang w:val="en-US" w:eastAsia="zh-CN" w:bidi="ar-SA"/>
              </w:rPr>
              <w:t>工程在施工过程中应结合工程实际情况及《突发事件应急预案管理办法》（国办发〔2013〕101号）、《企业事业单位突发环境事件应急预案备案管理办法（试行）》（环发〔2015〕4号）、《新疆维吾尔自治区突发环境事件应急预案编制导则（试行）》中的要求，编制环境应急预案。</w:t>
            </w:r>
          </w:p>
        </w:tc>
      </w:tr>
      <w:tr w14:paraId="26694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69" w:hRule="atLeast"/>
          <w:jc w:val="center"/>
        </w:trPr>
        <w:tc>
          <w:tcPr>
            <w:tcW w:w="564" w:type="dxa"/>
            <w:noWrap w:val="0"/>
            <w:tcMar>
              <w:left w:w="28" w:type="dxa"/>
              <w:right w:w="28" w:type="dxa"/>
            </w:tcMar>
            <w:vAlign w:val="center"/>
          </w:tcPr>
          <w:p w14:paraId="012B1BFF">
            <w:pPr>
              <w:pStyle w:val="32"/>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spacing w:val="10"/>
                <w:kern w:val="2"/>
                <w:sz w:val="24"/>
                <w:szCs w:val="24"/>
                <w:highlight w:val="none"/>
              </w:rPr>
              <w:t>运营期生态环境影响分析</w:t>
            </w:r>
          </w:p>
        </w:tc>
        <w:tc>
          <w:tcPr>
            <w:tcW w:w="8678" w:type="dxa"/>
            <w:noWrap w:val="0"/>
            <w:vAlign w:val="center"/>
          </w:tcPr>
          <w:p w14:paraId="142A89B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 xml:space="preserve">本项目只涉及施工期，未涉及运营期，即不对营运期进行环境影响分析。 </w:t>
            </w:r>
          </w:p>
          <w:p w14:paraId="6741AC6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本项目完钻后，如在放喷测试过程中发现油气资源可供开采，则在适当时间进行开发，按照要求建设，需另外进行环评。</w:t>
            </w:r>
          </w:p>
          <w:p w14:paraId="73D0BED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kern w:val="2"/>
                <w:sz w:val="24"/>
                <w:szCs w:val="32"/>
                <w:highlight w:val="none"/>
                <w:lang w:val="en-US" w:eastAsia="zh-CN" w:bidi="ar-SA"/>
              </w:rPr>
            </w:pPr>
            <w:r>
              <w:rPr>
                <w:rFonts w:hint="default" w:ascii="Times New Roman" w:hAnsi="Times New Roman" w:eastAsia="宋体" w:cs="Times New Roman"/>
                <w:color w:val="auto"/>
                <w:kern w:val="2"/>
                <w:sz w:val="24"/>
                <w:szCs w:val="32"/>
                <w:highlight w:val="none"/>
                <w:lang w:val="en-US" w:eastAsia="zh-CN" w:bidi="ar-SA"/>
              </w:rPr>
              <w:t>如发现该井不具开发价值或目的层不含油，则进行封井。封井后需严格落实各项生态恢复措施，确保项目区生态环境尽快恢复至未利用前状态。</w:t>
            </w:r>
          </w:p>
        </w:tc>
      </w:tr>
      <w:tr w14:paraId="49BFEE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6" w:hRule="atLeast"/>
          <w:jc w:val="center"/>
        </w:trPr>
        <w:tc>
          <w:tcPr>
            <w:tcW w:w="564" w:type="dxa"/>
            <w:noWrap w:val="0"/>
            <w:vAlign w:val="center"/>
          </w:tcPr>
          <w:p w14:paraId="47130085">
            <w:pPr>
              <w:pStyle w:val="32"/>
              <w:adjustRightInd w:val="0"/>
              <w:snapToGrid w:val="0"/>
              <w:spacing w:before="0" w:beforeAutospacing="0" w:after="0" w:afterAutospacing="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4"/>
                <w:szCs w:val="24"/>
                <w:highlight w:val="none"/>
              </w:rPr>
              <w:t>选址选线环境合理性分析</w:t>
            </w:r>
          </w:p>
        </w:tc>
        <w:tc>
          <w:tcPr>
            <w:tcW w:w="8678" w:type="dxa"/>
            <w:noWrap w:val="0"/>
            <w:vAlign w:val="top"/>
          </w:tcPr>
          <w:p w14:paraId="5A47DE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lang w:eastAsia="zh-CN"/>
              </w:rPr>
              <w:t>1.</w:t>
            </w:r>
            <w:r>
              <w:rPr>
                <w:rFonts w:hint="default" w:ascii="Times New Roman" w:hAnsi="Times New Roman" w:eastAsia="宋体" w:cs="Times New Roman"/>
                <w:snapToGrid w:val="0"/>
                <w:color w:val="auto"/>
                <w:sz w:val="24"/>
                <w:szCs w:val="24"/>
                <w:highlight w:val="none"/>
                <w:lang w:val="en-US" w:eastAsia="zh-CN"/>
              </w:rPr>
              <w:t>从</w:t>
            </w:r>
            <w:r>
              <w:rPr>
                <w:rFonts w:hint="default" w:ascii="Times New Roman" w:hAnsi="Times New Roman" w:eastAsia="宋体" w:cs="Times New Roman"/>
                <w:snapToGrid w:val="0"/>
                <w:color w:val="auto"/>
                <w:sz w:val="24"/>
                <w:szCs w:val="24"/>
                <w:highlight w:val="none"/>
              </w:rPr>
              <w:t>环境制约因素方面</w:t>
            </w:r>
          </w:p>
          <w:p w14:paraId="19CC110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lang w:eastAsia="zh-CN"/>
              </w:rPr>
            </w:pPr>
            <w:r>
              <w:rPr>
                <w:rFonts w:hint="default" w:ascii="Times New Roman" w:hAnsi="Times New Roman" w:eastAsia="宋体" w:cs="Times New Roman"/>
                <w:snapToGrid w:val="0"/>
                <w:color w:val="auto"/>
                <w:sz w:val="24"/>
                <w:szCs w:val="24"/>
                <w:highlight w:val="none"/>
                <w:lang w:val="en-US" w:eastAsia="zh-CN"/>
              </w:rPr>
              <w:t>本项目位于巴音郭楞蒙古自治州</w:t>
            </w:r>
            <w:r>
              <w:rPr>
                <w:rFonts w:hint="eastAsia" w:cs="Times New Roman"/>
                <w:snapToGrid w:val="0"/>
                <w:color w:val="auto"/>
                <w:sz w:val="24"/>
                <w:szCs w:val="24"/>
                <w:highlight w:val="none"/>
                <w:lang w:val="en-US" w:eastAsia="zh-CN"/>
              </w:rPr>
              <w:t>若羌县</w:t>
            </w:r>
            <w:r>
              <w:rPr>
                <w:rFonts w:hint="default" w:ascii="Times New Roman" w:hAnsi="Times New Roman" w:eastAsia="宋体"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eastAsia="zh-CN"/>
              </w:rPr>
              <w:t>不在生态保护红线范围内，工程选址区域周边及邻近区域不涉及自然保护区、风景名胜区和其他需要特殊保护的区域，井场选址满足《钻前工程及井场布置技术要求》（SY/T5466-2013）要求，项目占地为</w:t>
            </w:r>
            <w:r>
              <w:rPr>
                <w:rFonts w:hint="eastAsia" w:ascii="宋体" w:hAnsi="宋体" w:cs="宋体"/>
                <w:sz w:val="24"/>
                <w:szCs w:val="24"/>
                <w:lang w:eastAsia="zh-CN"/>
              </w:rPr>
              <w:t>沙地、盐碱地</w:t>
            </w:r>
            <w:r>
              <w:rPr>
                <w:rFonts w:hint="default" w:ascii="Times New Roman" w:hAnsi="Times New Roman" w:eastAsia="宋体" w:cs="Times New Roman"/>
                <w:snapToGrid w:val="0"/>
                <w:color w:val="auto"/>
                <w:sz w:val="24"/>
                <w:szCs w:val="24"/>
                <w:highlight w:val="none"/>
                <w:lang w:eastAsia="zh-CN"/>
              </w:rPr>
              <w:t>，项目</w:t>
            </w:r>
            <w:r>
              <w:rPr>
                <w:rFonts w:hint="eastAsia" w:cs="Times New Roman"/>
                <w:snapToGrid w:val="0"/>
                <w:color w:val="auto"/>
                <w:sz w:val="24"/>
                <w:szCs w:val="24"/>
                <w:highlight w:val="none"/>
                <w:lang w:eastAsia="zh-CN"/>
              </w:rPr>
              <w:t>属于</w:t>
            </w:r>
            <w:r>
              <w:rPr>
                <w:rFonts w:hint="default" w:ascii="Times New Roman" w:hAnsi="Times New Roman" w:eastAsia="宋体" w:cs="Times New Roman"/>
                <w:snapToGrid w:val="0"/>
                <w:color w:val="auto"/>
                <w:sz w:val="24"/>
                <w:szCs w:val="24"/>
                <w:highlight w:val="none"/>
                <w:lang w:eastAsia="zh-CN"/>
              </w:rPr>
              <w:t>无法避让的石油、</w:t>
            </w:r>
            <w:r>
              <w:rPr>
                <w:rFonts w:hint="eastAsia" w:cs="Times New Roman"/>
                <w:snapToGrid w:val="0"/>
                <w:color w:val="auto"/>
                <w:sz w:val="24"/>
                <w:szCs w:val="24"/>
                <w:highlight w:val="none"/>
                <w:lang w:eastAsia="zh-CN"/>
              </w:rPr>
              <w:t>天然气</w:t>
            </w:r>
            <w:r>
              <w:rPr>
                <w:rFonts w:hint="default" w:ascii="Times New Roman" w:hAnsi="Times New Roman" w:eastAsia="宋体" w:cs="Times New Roman"/>
                <w:snapToGrid w:val="0"/>
                <w:color w:val="auto"/>
                <w:sz w:val="24"/>
                <w:szCs w:val="24"/>
                <w:highlight w:val="none"/>
                <w:lang w:eastAsia="zh-CN"/>
              </w:rPr>
              <w:t>勘查，在取得用地手续的情况下，占地是可行的。项目所在地植被覆盖度</w:t>
            </w:r>
            <w:r>
              <w:rPr>
                <w:rFonts w:hint="eastAsia" w:cs="Times New Roman"/>
                <w:snapToGrid w:val="0"/>
                <w:color w:val="auto"/>
                <w:sz w:val="24"/>
                <w:szCs w:val="24"/>
                <w:highlight w:val="none"/>
                <w:lang w:eastAsia="zh-CN"/>
              </w:rPr>
              <w:t>为5%</w:t>
            </w:r>
            <w:r>
              <w:rPr>
                <w:rFonts w:hint="default" w:ascii="Times New Roman" w:hAnsi="Times New Roman" w:eastAsia="宋体" w:cs="Times New Roman"/>
                <w:snapToGrid w:val="0"/>
                <w:color w:val="auto"/>
                <w:sz w:val="24"/>
                <w:szCs w:val="24"/>
                <w:highlight w:val="none"/>
                <w:lang w:eastAsia="zh-CN"/>
              </w:rPr>
              <w:t>，临时占地范围内无保护植被分布，周边无敏感点分布，施工期对地表扰动影响是局部的，短期的，完钻后做好施工管理，认真做好施工结束后的迹地恢复工作，本项目井场不在滑坡、泥石流等不良地段，且位于</w:t>
            </w:r>
            <w:r>
              <w:rPr>
                <w:rFonts w:hint="eastAsia" w:cs="Times New Roman"/>
                <w:snapToGrid w:val="0"/>
                <w:color w:val="auto"/>
                <w:sz w:val="24"/>
                <w:szCs w:val="24"/>
                <w:highlight w:val="none"/>
                <w:lang w:eastAsia="zh-CN"/>
              </w:rPr>
              <w:t>中能北方（尉犁）油气勘探开发有限责任公司</w:t>
            </w:r>
            <w:r>
              <w:rPr>
                <w:rFonts w:hint="default" w:ascii="Times New Roman" w:hAnsi="Times New Roman" w:eastAsia="宋体" w:cs="Times New Roman"/>
                <w:snapToGrid w:val="0"/>
                <w:color w:val="auto"/>
                <w:sz w:val="24"/>
                <w:szCs w:val="24"/>
                <w:highlight w:val="none"/>
                <w:lang w:eastAsia="zh-CN"/>
              </w:rPr>
              <w:t>探矿许可开采范围内，工程选址合理</w:t>
            </w:r>
          </w:p>
          <w:p w14:paraId="6747E59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lang w:eastAsia="zh-CN"/>
              </w:rPr>
              <w:t>2.</w:t>
            </w:r>
            <w:r>
              <w:rPr>
                <w:rFonts w:hint="default" w:ascii="Times New Roman" w:hAnsi="Times New Roman" w:eastAsia="宋体" w:cs="Times New Roman"/>
                <w:snapToGrid w:val="0"/>
                <w:color w:val="auto"/>
                <w:sz w:val="24"/>
                <w:szCs w:val="24"/>
                <w:highlight w:val="none"/>
                <w:lang w:val="en-US" w:eastAsia="zh-CN"/>
              </w:rPr>
              <w:t>环境影响程度</w:t>
            </w:r>
          </w:p>
          <w:p w14:paraId="4FCA546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本项目为勘探项目，施工期包括钻前工程、钻井工程、储层改造工程、钻后工程，各个环节产生生态破坏和环境污染影响较小，环境风险可防控。</w:t>
            </w:r>
          </w:p>
          <w:p w14:paraId="342C742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本项目选址主要由地下气层所在位置决定地面，选址无相关比选方案。</w:t>
            </w:r>
          </w:p>
          <w:p w14:paraId="3BD6136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Cs/>
                <w:color w:val="auto"/>
                <w:szCs w:val="21"/>
                <w:highlight w:val="none"/>
              </w:rPr>
            </w:pPr>
            <w:r>
              <w:rPr>
                <w:rFonts w:hint="eastAsia" w:ascii="Times New Roman" w:hAnsi="Times New Roman" w:eastAsia="宋体" w:cs="Times New Roman"/>
                <w:snapToGrid w:val="0"/>
                <w:color w:val="auto"/>
                <w:sz w:val="24"/>
                <w:szCs w:val="24"/>
                <w:highlight w:val="none"/>
                <w:lang w:val="en-US" w:eastAsia="zh-CN"/>
              </w:rPr>
              <w:t>综上所述，本项目选址合理。</w:t>
            </w:r>
          </w:p>
        </w:tc>
      </w:tr>
    </w:tbl>
    <w:p w14:paraId="2015F2A7">
      <w:pPr>
        <w:pStyle w:val="32"/>
        <w:jc w:val="center"/>
        <w:rPr>
          <w:rFonts w:hint="default" w:ascii="Times New Roman" w:hAnsi="Times New Roman" w:eastAsia="黑体" w:cs="Times New Roman"/>
          <w:snapToGrid w:val="0"/>
          <w:color w:val="auto"/>
          <w:sz w:val="36"/>
          <w:szCs w:val="36"/>
          <w:highlight w:val="none"/>
        </w:rPr>
        <w:sectPr>
          <w:pgSz w:w="11906" w:h="16838"/>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14:paraId="7C58AC93">
      <w:pPr>
        <w:pStyle w:val="32"/>
        <w:jc w:val="center"/>
        <w:outlineLvl w:val="0"/>
        <w:rPr>
          <w:rFonts w:hint="default" w:ascii="Times New Roman" w:hAnsi="Times New Roman" w:eastAsia="黑体" w:cs="Times New Roman"/>
          <w:snapToGrid w:val="0"/>
          <w:color w:val="auto"/>
          <w:sz w:val="30"/>
          <w:szCs w:val="30"/>
          <w:highlight w:val="none"/>
        </w:rPr>
      </w:pPr>
      <w:bookmarkStart w:id="21" w:name="_Toc3705"/>
      <w:r>
        <w:rPr>
          <w:rFonts w:hint="default" w:ascii="Times New Roman" w:hAnsi="Times New Roman" w:eastAsia="黑体" w:cs="Times New Roman"/>
          <w:snapToGrid w:val="0"/>
          <w:color w:val="auto"/>
          <w:sz w:val="30"/>
          <w:szCs w:val="30"/>
          <w:highlight w:val="none"/>
        </w:rPr>
        <w:t>五、主要生态环境保护措施</w:t>
      </w:r>
      <w:bookmarkEnd w:id="21"/>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8609"/>
      </w:tblGrid>
      <w:tr w14:paraId="2EFBF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noWrap w:val="0"/>
            <w:tcMar>
              <w:left w:w="28" w:type="dxa"/>
              <w:right w:w="28" w:type="dxa"/>
            </w:tcMar>
            <w:vAlign w:val="center"/>
          </w:tcPr>
          <w:p w14:paraId="1B99737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pacing w:val="10"/>
                <w:sz w:val="24"/>
                <w:szCs w:val="24"/>
                <w:highlight w:val="none"/>
              </w:rPr>
              <w:t>施工期生态环境保护措施</w:t>
            </w:r>
          </w:p>
        </w:tc>
        <w:tc>
          <w:tcPr>
            <w:tcW w:w="4590" w:type="pct"/>
            <w:noWrap w:val="0"/>
            <w:vAlign w:val="top"/>
          </w:tcPr>
          <w:p w14:paraId="72523766">
            <w:pPr>
              <w:pStyle w:val="2"/>
              <w:keepLines w:val="0"/>
              <w:pageBreakBefore w:val="0"/>
              <w:kinsoku/>
              <w:wordWrap/>
              <w:topLinePunct w:val="0"/>
              <w:autoSpaceDE/>
              <w:autoSpaceDN/>
              <w:bidi w:val="0"/>
              <w:adjustRightInd w:val="0"/>
              <w:spacing w:before="0" w:after="0" w:line="440" w:lineRule="exact"/>
              <w:rPr>
                <w:rFonts w:hint="eastAsia" w:ascii="Times New Roman" w:hAnsi="Times New Roman" w:eastAsia="宋体" w:cs="Times New Roman"/>
                <w:b/>
                <w:bCs/>
                <w:color w:val="auto"/>
                <w:kern w:val="0"/>
                <w:sz w:val="24"/>
                <w:szCs w:val="24"/>
                <w:highlight w:val="none"/>
                <w:lang w:val="en-US" w:eastAsia="zh-CN" w:bidi="ar-SA"/>
              </w:rPr>
            </w:pPr>
            <w:bookmarkStart w:id="22" w:name="_Hlk54257428"/>
            <w:r>
              <w:rPr>
                <w:rFonts w:hint="eastAsia" w:eastAsia="宋体" w:cs="Times New Roman"/>
                <w:b/>
                <w:bCs/>
                <w:color w:val="auto"/>
                <w:kern w:val="0"/>
                <w:sz w:val="24"/>
                <w:szCs w:val="24"/>
                <w:highlight w:val="none"/>
                <w:lang w:val="en-US" w:eastAsia="zh-CN" w:bidi="ar-SA"/>
              </w:rPr>
              <w:t>1.</w:t>
            </w:r>
            <w:r>
              <w:rPr>
                <w:rFonts w:hint="eastAsia" w:ascii="Times New Roman" w:hAnsi="Times New Roman" w:eastAsia="宋体" w:cs="Times New Roman"/>
                <w:b/>
                <w:bCs/>
                <w:color w:val="auto"/>
                <w:kern w:val="0"/>
                <w:sz w:val="24"/>
                <w:szCs w:val="24"/>
                <w:highlight w:val="none"/>
                <w:lang w:val="en-US" w:eastAsia="zh-CN" w:bidi="ar-SA"/>
              </w:rPr>
              <w:t>生态环境影响减缓措施</w:t>
            </w:r>
          </w:p>
          <w:p w14:paraId="6D3C32B8">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bookmarkStart w:id="23" w:name="_Toc22092"/>
            <w:bookmarkStart w:id="24" w:name="_Toc23623"/>
            <w:r>
              <w:rPr>
                <w:rFonts w:hint="eastAsia" w:eastAsia="宋体" w:cs="Times New Roman"/>
                <w:b w:val="0"/>
                <w:bCs w:val="0"/>
                <w:color w:val="auto"/>
                <w:kern w:val="0"/>
                <w:sz w:val="24"/>
                <w:szCs w:val="24"/>
                <w:highlight w:val="none"/>
                <w:lang w:val="en-US" w:eastAsia="zh-CN" w:bidi="ar-SA"/>
              </w:rPr>
              <w:t>（1）严格控制施工占地</w:t>
            </w:r>
          </w:p>
          <w:p w14:paraId="7335AD26">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eastAsia="宋体" w:cs="Times New Roman"/>
                <w:b w:val="0"/>
                <w:bCs w:val="0"/>
                <w:color w:val="auto"/>
                <w:kern w:val="0"/>
                <w:sz w:val="24"/>
                <w:szCs w:val="24"/>
                <w:highlight w:val="none"/>
                <w:lang w:val="en-US" w:eastAsia="zh-CN" w:bidi="ar-SA"/>
              </w:rPr>
              <w:t>①</w:t>
            </w:r>
            <w:r>
              <w:rPr>
                <w:rFonts w:hint="eastAsia" w:ascii="Times New Roman" w:hAnsi="Times New Roman" w:eastAsia="宋体" w:cs="Times New Roman"/>
                <w:b w:val="0"/>
                <w:bCs w:val="0"/>
                <w:color w:val="auto"/>
                <w:kern w:val="0"/>
                <w:sz w:val="24"/>
                <w:szCs w:val="24"/>
                <w:highlight w:val="none"/>
                <w:lang w:val="en-US" w:eastAsia="zh-CN" w:bidi="ar-SA"/>
              </w:rPr>
              <w:t>对临时占地合理规划，严格控制占地面积。</w:t>
            </w:r>
          </w:p>
          <w:p w14:paraId="500EBE49">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②按设计标准规定，严格控制施工作业区面积，不得超过作业标准规定，对施工区域面积控制在设计标准范围内，以减少土壤扰动和地表植被破坏，减少裸地和土方暴露面积。</w:t>
            </w:r>
          </w:p>
          <w:p w14:paraId="08FF73BC">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③杜绝车辆乱碾乱压的情况发生，不随意开设便道。</w:t>
            </w:r>
          </w:p>
          <w:p w14:paraId="2E67D757">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④现场施工作业机械应严格管理，划定活动范围，不得在道路、井场以外的地方行驶和作业，保持征地区域以外的植被不被破坏。</w:t>
            </w:r>
          </w:p>
          <w:p w14:paraId="30C2FEB3">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⑤施工中合理布置井场，合理布置钻井设备，减少井场占地面积。提高工程施工效率，减少工程在空间上、时间上对生态环境的影响。</w:t>
            </w:r>
          </w:p>
          <w:p w14:paraId="79A6FB0A">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eastAsia="宋体" w:cs="Times New Roman"/>
                <w:b w:val="0"/>
                <w:bCs w:val="0"/>
                <w:color w:val="auto"/>
                <w:kern w:val="0"/>
                <w:sz w:val="24"/>
                <w:szCs w:val="24"/>
                <w:highlight w:val="none"/>
                <w:lang w:val="en-US" w:eastAsia="zh-CN" w:bidi="ar-SA"/>
              </w:rPr>
              <w:t>（2）生态恢复措施</w:t>
            </w:r>
          </w:p>
          <w:p w14:paraId="63688020">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结束后，临时占地应恢复地貌原状。对井场、放喷区、道路等各类临时占地，先拆除地面硬化及临时设施，清除废渣杂物，然后平整土地，恢复原有表土，建设单位应在项目开工前按照国家及地方有关工程征地及补偿要求取得相关占地手续并缴纳补偿费。</w:t>
            </w:r>
          </w:p>
          <w:p w14:paraId="051AB7FC">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（3）植被保护措施</w:t>
            </w:r>
          </w:p>
          <w:p w14:paraId="252B16EB">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①合理规划施工布置，优化施工占地和扰动范围，合理安排施工时间，尽量减少工程占压植被和工程开挖量。</w:t>
            </w:r>
          </w:p>
          <w:p w14:paraId="3E131F75">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②加强施工管理，在工程施工区设置警示牌标明施工活动区，严禁施工人员到非施工区域活动，严禁施工车辆、机械到非施工区域停放，禁止破坏施工征地范围以外的植被。</w:t>
            </w:r>
          </w:p>
          <w:p w14:paraId="7E1A3499">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③对于工程临时占压的植被，按照国家及地方有关工程征地及补偿要求取得相关占地手续并缴纳补偿费。</w:t>
            </w:r>
          </w:p>
          <w:p w14:paraId="672C57B1">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施工作业场内的临时建筑尽可能采用成品或撬装式设施，尽量减轻对土壤及植被的破坏。尽量减少施工人员及施工机械对作业场外的破坏；严格规定施工车辆的行驶便道，防止施工车辆在有植被的地段任意行驶。</w:t>
            </w:r>
          </w:p>
          <w:p w14:paraId="7C2F5659">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⑤加强施工人员的环保意识，不得随意破坏周边</w:t>
            </w:r>
            <w:r>
              <w:rPr>
                <w:rFonts w:hint="eastAsia" w:eastAsia="宋体" w:cs="Times New Roman"/>
                <w:b w:val="0"/>
                <w:bCs w:val="0"/>
                <w:color w:val="auto"/>
                <w:kern w:val="0"/>
                <w:sz w:val="24"/>
                <w:szCs w:val="24"/>
                <w:highlight w:val="none"/>
                <w:lang w:val="en-US" w:eastAsia="zh-CN" w:bidi="ar-SA"/>
              </w:rPr>
              <w:t>植被</w:t>
            </w:r>
            <w:r>
              <w:rPr>
                <w:rFonts w:hint="eastAsia" w:ascii="Times New Roman" w:hAnsi="Times New Roman" w:eastAsia="宋体" w:cs="Times New Roman"/>
                <w:b w:val="0"/>
                <w:bCs w:val="0"/>
                <w:color w:val="auto"/>
                <w:kern w:val="0"/>
                <w:sz w:val="24"/>
                <w:szCs w:val="24"/>
                <w:highlight w:val="none"/>
                <w:lang w:val="en-US" w:eastAsia="zh-CN" w:bidi="ar-SA"/>
              </w:rPr>
              <w:t>。</w:t>
            </w:r>
          </w:p>
          <w:p w14:paraId="3E7D933B">
            <w:pPr>
              <w:pStyle w:val="2"/>
              <w:keepLines w:val="0"/>
              <w:pageBreakBefore w:val="0"/>
              <w:kinsoku/>
              <w:wordWrap/>
              <w:topLinePunct w:val="0"/>
              <w:autoSpaceDE/>
              <w:autoSpaceDN/>
              <w:bidi w:val="0"/>
              <w:adjustRightInd w:val="0"/>
              <w:spacing w:before="0" w:after="0" w:line="440" w:lineRule="exact"/>
              <w:ind w:left="0" w:firstLine="480" w:firstLineChars="200"/>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（3）动物保护措施</w:t>
            </w:r>
          </w:p>
          <w:p w14:paraId="6EF68B7F">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①缩短工期，避免长时间对项目周围动物活动进行惊扰；</w:t>
            </w:r>
          </w:p>
          <w:p w14:paraId="29BDA207">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②选用低噪声施工机械和运输车辆，禁止运输车辆鸣放高音喇叭，以降低施工环境噪声，减轻施工对动物的惊扰；</w:t>
            </w:r>
          </w:p>
          <w:p w14:paraId="47252C2E">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③加强宣传，不捕鸟类，做到文明施工。施工区设置保护警示牌；</w:t>
            </w:r>
          </w:p>
          <w:p w14:paraId="556854DE">
            <w:pPr>
              <w:pStyle w:val="2"/>
              <w:keepLines w:val="0"/>
              <w:pageBreakBefore w:val="0"/>
              <w:kinsoku/>
              <w:wordWrap/>
              <w:topLinePunct w:val="0"/>
              <w:autoSpaceDE/>
              <w:autoSpaceDN/>
              <w:bidi w:val="0"/>
              <w:adjustRightInd w:val="0"/>
              <w:spacing w:before="0" w:after="0" w:line="440" w:lineRule="exact"/>
              <w:ind w:left="0" w:firstLine="480" w:firstLineChars="20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④降低施工污染。施工期采用先进生产工艺和生产设备，降低大气、噪声、水质污染，维持</w:t>
            </w:r>
            <w:r>
              <w:rPr>
                <w:rFonts w:hint="eastAsia" w:eastAsia="宋体" w:cs="Times New Roman"/>
                <w:b w:val="0"/>
                <w:bCs w:val="0"/>
                <w:color w:val="auto"/>
                <w:kern w:val="0"/>
                <w:sz w:val="24"/>
                <w:szCs w:val="24"/>
                <w:highlight w:val="none"/>
                <w:lang w:val="en-US" w:eastAsia="zh-CN" w:bidi="ar-SA"/>
              </w:rPr>
              <w:t>项目所在区域</w:t>
            </w:r>
            <w:r>
              <w:rPr>
                <w:rFonts w:hint="eastAsia" w:ascii="Times New Roman" w:hAnsi="Times New Roman" w:eastAsia="宋体" w:cs="Times New Roman"/>
                <w:b w:val="0"/>
                <w:bCs w:val="0"/>
                <w:color w:val="auto"/>
                <w:kern w:val="0"/>
                <w:sz w:val="24"/>
                <w:szCs w:val="24"/>
                <w:highlight w:val="none"/>
                <w:lang w:val="en-US" w:eastAsia="zh-CN" w:bidi="ar-SA"/>
              </w:rPr>
              <w:t>动物基本生存环境，并降低施工活动对其所造成的干扰。</w:t>
            </w:r>
          </w:p>
          <w:p w14:paraId="07C9F94D">
            <w:pPr>
              <w:keepNext w:val="0"/>
              <w:keepLines w:val="0"/>
              <w:pageBreakBefore w:val="0"/>
              <w:widowControl/>
              <w:suppressLineNumbers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（4）水土流失</w:t>
            </w:r>
            <w:r>
              <w:rPr>
                <w:rFonts w:hint="eastAsia" w:cs="Times New Roman"/>
                <w:b w:val="0"/>
                <w:bCs w:val="0"/>
                <w:color w:val="auto"/>
                <w:kern w:val="0"/>
                <w:sz w:val="24"/>
                <w:szCs w:val="24"/>
                <w:highlight w:val="none"/>
                <w:lang w:val="en-US" w:eastAsia="zh-CN" w:bidi="ar-SA"/>
              </w:rPr>
              <w:t>、防沙治沙</w:t>
            </w:r>
            <w:r>
              <w:rPr>
                <w:rFonts w:hint="eastAsia" w:ascii="Times New Roman" w:hAnsi="Times New Roman" w:eastAsia="宋体" w:cs="Times New Roman"/>
                <w:b w:val="0"/>
                <w:bCs w:val="0"/>
                <w:color w:val="auto"/>
                <w:kern w:val="0"/>
                <w:sz w:val="24"/>
                <w:szCs w:val="24"/>
                <w:highlight w:val="none"/>
                <w:lang w:val="en-US" w:eastAsia="zh-CN" w:bidi="ar-SA"/>
              </w:rPr>
              <w:t>保护措施</w:t>
            </w:r>
          </w:p>
          <w:p w14:paraId="07115D8B">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按照《中华人民共和国防沙治沙法》（2018年11月14日修订）有关规定以及《关于加强沙区建设项目环境影响评价工作的通知》（新环环评发〔2020〕138号）规定，项目实施过程中还应采取以下防沙治沙措施：</w:t>
            </w:r>
          </w:p>
          <w:p w14:paraId="49C9CCD7">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①根据当地工程经验，采用土地压实、洒水、结皮等措施；</w:t>
            </w:r>
          </w:p>
          <w:p w14:paraId="103E7336">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②土方堆存过程中使用</w:t>
            </w:r>
            <w:r>
              <w:rPr>
                <w:rFonts w:hint="eastAsia"/>
                <w:color w:val="auto"/>
                <w:spacing w:val="-5"/>
                <w:highlight w:val="none"/>
                <w:lang w:val="en-US" w:eastAsia="zh-CN"/>
              </w:rPr>
              <w:t>篷布覆盖</w:t>
            </w:r>
            <w:r>
              <w:rPr>
                <w:rFonts w:hint="eastAsia"/>
                <w:color w:val="auto"/>
                <w:spacing w:val="-5"/>
                <w:highlight w:val="none"/>
              </w:rPr>
              <w:t>，并定期洒水抑尘；</w:t>
            </w:r>
          </w:p>
          <w:p w14:paraId="3A05C6DD">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③施工期间应划定施工活动范围，严格控制和管理运输车辆及重型机械的运行线路和范围，不得离开运输道路随意行驶，由专人负责，以防破坏土壤；</w:t>
            </w:r>
          </w:p>
          <w:p w14:paraId="5BBBA81E">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④加强对施工现场和物料运输的管理，保持道路清洁，管控料堆和</w:t>
            </w:r>
            <w:r>
              <w:rPr>
                <w:rFonts w:hint="eastAsia"/>
                <w:color w:val="auto"/>
                <w:spacing w:val="-5"/>
                <w:highlight w:val="none"/>
                <w:lang w:val="en-US" w:eastAsia="zh-CN"/>
              </w:rPr>
              <w:t>临时堆土</w:t>
            </w:r>
            <w:r>
              <w:rPr>
                <w:rFonts w:hint="eastAsia"/>
                <w:color w:val="auto"/>
                <w:spacing w:val="-5"/>
                <w:highlight w:val="none"/>
              </w:rPr>
              <w:t>堆放，防止扬尘污染。</w:t>
            </w:r>
          </w:p>
          <w:p w14:paraId="4688C442">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⑤施工后及时清理现场，尽可能恢复原状地貌，做到“工完、料尽、场清、整洁”，恢复原有生态。</w:t>
            </w:r>
          </w:p>
          <w:p w14:paraId="198F7C16">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⑥合理规划临时工程的位置，尽可能减小扰动范围；临时施工场地在施工结束后及时清理施工垃圾，对施工场地进行平整、压实。</w:t>
            </w:r>
          </w:p>
          <w:p w14:paraId="11D6074C">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⑦在土方开挖施工时，按照原土层顺序回填及覆盖，开挖回填，尽量不破坏表层土壤物理性质。</w:t>
            </w:r>
          </w:p>
          <w:p w14:paraId="7CCE9DB0">
            <w:pPr>
              <w:pStyle w:val="88"/>
              <w:keepNext w:val="0"/>
              <w:keepLines w:val="0"/>
              <w:pageBreakBefore w:val="0"/>
              <w:kinsoku/>
              <w:wordWrap/>
              <w:overflowPunct/>
              <w:topLinePunct w:val="0"/>
              <w:autoSpaceDE/>
              <w:autoSpaceDN/>
              <w:bidi w:val="0"/>
              <w:adjustRightInd/>
              <w:snapToGrid/>
              <w:spacing w:line="440" w:lineRule="exact"/>
              <w:ind w:firstLine="480"/>
              <w:rPr>
                <w:rFonts w:hint="eastAsia"/>
                <w:color w:val="auto"/>
                <w:spacing w:val="-5"/>
                <w:highlight w:val="none"/>
              </w:rPr>
            </w:pPr>
            <w:r>
              <w:rPr>
                <w:rFonts w:hint="eastAsia"/>
                <w:color w:val="auto"/>
                <w:spacing w:val="-5"/>
                <w:highlight w:val="none"/>
              </w:rPr>
              <w:t>⑧加强防沙治沙法规宣传，对施工人员进行培训和教育，督促其自觉保护项目区周边植被。</w:t>
            </w:r>
          </w:p>
          <w:p w14:paraId="6FDC2C7C">
            <w:pPr>
              <w:pStyle w:val="88"/>
              <w:keepNext w:val="0"/>
              <w:keepLines w:val="0"/>
              <w:pageBreakBefore w:val="0"/>
              <w:kinsoku/>
              <w:wordWrap/>
              <w:overflowPunct/>
              <w:topLinePunct w:val="0"/>
              <w:autoSpaceDE/>
              <w:autoSpaceDN/>
              <w:bidi w:val="0"/>
              <w:adjustRightInd/>
              <w:snapToGrid/>
              <w:spacing w:line="440" w:lineRule="exact"/>
              <w:ind w:firstLine="480"/>
              <w:rPr>
                <w:rFonts w:hint="eastAsia" w:ascii="Times New Roman" w:hAnsi="Times New Roman" w:eastAsia="宋体" w:cs="Times New Roman"/>
                <w:b w:val="0"/>
                <w:bCs w:val="0"/>
                <w:color w:val="auto"/>
                <w:kern w:val="0"/>
                <w:sz w:val="24"/>
                <w:szCs w:val="24"/>
                <w:highlight w:val="none"/>
                <w:lang w:val="en-US" w:eastAsia="zh-CN" w:bidi="ar-SA"/>
              </w:rPr>
            </w:pPr>
            <w:r>
              <w:rPr>
                <w:rFonts w:hint="eastAsia"/>
                <w:color w:val="auto"/>
                <w:spacing w:val="-5"/>
                <w:highlight w:val="none"/>
              </w:rPr>
              <w:t>采取以上措施后，可防止区域土地沙化，项目建设对区域内生态环境的影响较小</w:t>
            </w:r>
            <w:r>
              <w:rPr>
                <w:color w:val="auto"/>
                <w:spacing w:val="-5"/>
                <w:highlight w:val="none"/>
              </w:rPr>
              <w:t>。</w:t>
            </w:r>
          </w:p>
          <w:bookmarkEnd w:id="23"/>
          <w:bookmarkEnd w:id="24"/>
          <w:p w14:paraId="3A96B00C">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2.</w:t>
            </w:r>
            <w:r>
              <w:rPr>
                <w:rFonts w:hint="eastAsia" w:ascii="Times New Roman" w:hAnsi="Times New Roman" w:eastAsia="宋体" w:cs="Times New Roman"/>
                <w:b/>
                <w:bCs/>
                <w:color w:val="auto"/>
                <w:kern w:val="0"/>
                <w:sz w:val="24"/>
                <w:szCs w:val="24"/>
                <w:highlight w:val="none"/>
                <w:lang w:val="en-US" w:eastAsia="zh-CN" w:bidi="ar-SA"/>
              </w:rPr>
              <w:t>施工期废气治理措施</w:t>
            </w:r>
          </w:p>
          <w:p w14:paraId="784BEE36">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（1）施工、运输道路扬尘防治措施</w:t>
            </w:r>
          </w:p>
          <w:p w14:paraId="1BC83DF0">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施工扬尘主要来自井场平整、</w:t>
            </w:r>
            <w:r>
              <w:rPr>
                <w:rFonts w:hint="eastAsia" w:hAnsi="Times New Roman" w:cs="Times New Roman"/>
                <w:b w:val="0"/>
                <w:bCs w:val="0"/>
                <w:color w:val="auto"/>
                <w:kern w:val="0"/>
                <w:sz w:val="24"/>
                <w:szCs w:val="24"/>
                <w:highlight w:val="none"/>
                <w:lang w:val="en-US" w:eastAsia="zh-CN" w:bidi="ar-SA"/>
              </w:rPr>
              <w:t>井场</w:t>
            </w:r>
            <w:r>
              <w:rPr>
                <w:rFonts w:hint="eastAsia" w:ascii="Times New Roman" w:hAnsi="Times New Roman" w:eastAsia="宋体" w:cs="Times New Roman"/>
                <w:b w:val="0"/>
                <w:bCs w:val="0"/>
                <w:color w:val="auto"/>
                <w:kern w:val="0"/>
                <w:sz w:val="24"/>
                <w:szCs w:val="24"/>
                <w:highlight w:val="none"/>
                <w:lang w:val="en-US" w:eastAsia="zh-CN" w:bidi="ar-SA"/>
              </w:rPr>
              <w:t>道路建设过程中土地的清理</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大部分是由车辆在</w:t>
            </w:r>
            <w:r>
              <w:rPr>
                <w:rFonts w:hint="eastAsia" w:hAnsi="Times New Roman" w:cs="Times New Roman"/>
                <w:b w:val="0"/>
                <w:bCs w:val="0"/>
                <w:color w:val="auto"/>
                <w:kern w:val="0"/>
                <w:sz w:val="24"/>
                <w:szCs w:val="24"/>
                <w:highlight w:val="none"/>
                <w:lang w:val="en-US" w:eastAsia="zh-CN" w:bidi="ar-SA"/>
              </w:rPr>
              <w:t>井场</w:t>
            </w:r>
            <w:r>
              <w:rPr>
                <w:rFonts w:hint="eastAsia" w:ascii="Times New Roman" w:hAnsi="Times New Roman" w:eastAsia="宋体" w:cs="Times New Roman"/>
                <w:b w:val="0"/>
                <w:bCs w:val="0"/>
                <w:color w:val="auto"/>
                <w:kern w:val="0"/>
                <w:sz w:val="24"/>
                <w:szCs w:val="24"/>
                <w:highlight w:val="none"/>
                <w:lang w:val="en-US" w:eastAsia="zh-CN" w:bidi="ar-SA"/>
              </w:rPr>
              <w:t>来往行驶引起的。施工期拟采取以下防治措施。</w:t>
            </w:r>
          </w:p>
          <w:p w14:paraId="1CAD43D1">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①渣土运输车辆全部采取密闭措施；</w:t>
            </w:r>
          </w:p>
          <w:p w14:paraId="498654AD">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w:t>
            </w:r>
            <w:r>
              <w:rPr>
                <w:rFonts w:hint="eastAsia" w:hAnsi="Times New Roman" w:cs="Times New Roman"/>
                <w:b w:val="0"/>
                <w:bCs w:val="0"/>
                <w:color w:val="auto"/>
                <w:kern w:val="0"/>
                <w:sz w:val="24"/>
                <w:szCs w:val="24"/>
                <w:highlight w:val="none"/>
                <w:lang w:val="en-US" w:eastAsia="zh-CN" w:bidi="ar-SA"/>
              </w:rPr>
              <w:t>使用</w:t>
            </w:r>
            <w:r>
              <w:rPr>
                <w:rFonts w:hint="eastAsia" w:ascii="Times New Roman" w:hAnsi="Times New Roman" w:eastAsia="宋体" w:cs="Times New Roman"/>
                <w:b w:val="0"/>
                <w:bCs w:val="0"/>
                <w:color w:val="auto"/>
                <w:kern w:val="0"/>
                <w:sz w:val="24"/>
                <w:szCs w:val="24"/>
                <w:highlight w:val="none"/>
                <w:lang w:val="en-US" w:eastAsia="zh-CN" w:bidi="ar-SA"/>
              </w:rPr>
              <w:t>道路机械化清扫等低尘作业方式，各种物料堆存应实现封闭储存；</w:t>
            </w:r>
          </w:p>
          <w:p w14:paraId="1CFB663A">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③定期对道路</w:t>
            </w:r>
            <w:r>
              <w:rPr>
                <w:rFonts w:hint="eastAsia" w:hAnsi="Times New Roman" w:cs="Times New Roman"/>
                <w:b w:val="0"/>
                <w:bCs w:val="0"/>
                <w:color w:val="auto"/>
                <w:kern w:val="0"/>
                <w:sz w:val="24"/>
                <w:szCs w:val="24"/>
                <w:highlight w:val="none"/>
                <w:lang w:val="en-US" w:eastAsia="zh-CN" w:bidi="ar-SA"/>
              </w:rPr>
              <w:t>采取</w:t>
            </w:r>
            <w:r>
              <w:rPr>
                <w:rFonts w:hint="eastAsia" w:ascii="Times New Roman" w:hAnsi="Times New Roman" w:eastAsia="宋体" w:cs="Times New Roman"/>
                <w:b w:val="0"/>
                <w:bCs w:val="0"/>
                <w:color w:val="auto"/>
                <w:kern w:val="0"/>
                <w:sz w:val="24"/>
                <w:szCs w:val="24"/>
                <w:highlight w:val="none"/>
                <w:lang w:val="en-US" w:eastAsia="zh-CN" w:bidi="ar-SA"/>
              </w:rPr>
              <w:t>洒水</w:t>
            </w:r>
            <w:r>
              <w:rPr>
                <w:rFonts w:hint="eastAsia" w:hAnsi="Times New Roman" w:cs="Times New Roman"/>
                <w:b w:val="0"/>
                <w:bCs w:val="0"/>
                <w:color w:val="auto"/>
                <w:kern w:val="0"/>
                <w:sz w:val="24"/>
                <w:szCs w:val="24"/>
                <w:highlight w:val="none"/>
                <w:lang w:val="en-US" w:eastAsia="zh-CN" w:bidi="ar-SA"/>
              </w:rPr>
              <w:t>措施</w:t>
            </w:r>
            <w:r>
              <w:rPr>
                <w:rFonts w:hint="eastAsia" w:ascii="Times New Roman" w:hAnsi="Times New Roman" w:eastAsia="宋体" w:cs="Times New Roman"/>
                <w:b w:val="0"/>
                <w:bCs w:val="0"/>
                <w:color w:val="auto"/>
                <w:kern w:val="0"/>
                <w:sz w:val="24"/>
                <w:szCs w:val="24"/>
                <w:highlight w:val="none"/>
                <w:lang w:val="en-US" w:eastAsia="zh-CN" w:bidi="ar-SA"/>
              </w:rPr>
              <w:t>；</w:t>
            </w:r>
          </w:p>
          <w:p w14:paraId="35BE5523">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④对易产生扬尘的作业采取遮盖</w:t>
            </w:r>
            <w:r>
              <w:rPr>
                <w:rFonts w:hint="eastAsia" w:hAnsi="Times New Roman" w:cs="Times New Roman"/>
                <w:b w:val="0"/>
                <w:bCs w:val="0"/>
                <w:color w:val="auto"/>
                <w:kern w:val="0"/>
                <w:sz w:val="24"/>
                <w:szCs w:val="24"/>
                <w:highlight w:val="none"/>
                <w:lang w:val="en-US" w:eastAsia="zh-CN" w:bidi="ar-SA"/>
              </w:rPr>
              <w:t>措施</w:t>
            </w:r>
            <w:r>
              <w:rPr>
                <w:rFonts w:hint="eastAsia" w:ascii="Times New Roman" w:hAnsi="Times New Roman" w:eastAsia="宋体" w:cs="Times New Roman"/>
                <w:b w:val="0"/>
                <w:bCs w:val="0"/>
                <w:color w:val="auto"/>
                <w:kern w:val="0"/>
                <w:sz w:val="24"/>
                <w:szCs w:val="24"/>
                <w:highlight w:val="none"/>
                <w:lang w:val="en-US" w:eastAsia="zh-CN" w:bidi="ar-SA"/>
              </w:rPr>
              <w:t>；</w:t>
            </w:r>
          </w:p>
          <w:p w14:paraId="1BBF937D">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在采取相应措施后，施工期产生的扬尘对周围环境的影响较小。</w:t>
            </w:r>
          </w:p>
          <w:p w14:paraId="32F5B82E">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（2）伴生气</w:t>
            </w:r>
          </w:p>
          <w:p w14:paraId="4B7366D0">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w:t>
            </w:r>
            <w:r>
              <w:rPr>
                <w:rFonts w:hint="eastAsia" w:hAnsi="Times New Roman" w:cs="Times New Roman"/>
                <w:b w:val="0"/>
                <w:bCs w:val="0"/>
                <w:color w:val="auto"/>
                <w:kern w:val="0"/>
                <w:sz w:val="24"/>
                <w:szCs w:val="24"/>
                <w:highlight w:val="none"/>
                <w:lang w:val="en-US" w:eastAsia="zh-CN" w:bidi="ar-SA"/>
              </w:rPr>
              <w:t>项目测试放喷期较短，试油期产生的伴生气</w:t>
            </w:r>
            <w:r>
              <w:rPr>
                <w:rFonts w:hint="eastAsia" w:ascii="Times New Roman" w:hAnsi="Times New Roman" w:eastAsia="宋体" w:cs="Times New Roman"/>
                <w:b w:val="0"/>
                <w:bCs w:val="0"/>
                <w:color w:val="auto"/>
                <w:kern w:val="0"/>
                <w:sz w:val="24"/>
                <w:szCs w:val="24"/>
                <w:highlight w:val="none"/>
                <w:lang w:val="en-US" w:eastAsia="zh-CN" w:bidi="ar-SA"/>
              </w:rPr>
              <w:t>通过</w:t>
            </w:r>
            <w:r>
              <w:rPr>
                <w:rFonts w:hint="eastAsia" w:hAnsi="Times New Roman" w:cs="Times New Roman"/>
                <w:b w:val="0"/>
                <w:bCs w:val="0"/>
                <w:color w:val="auto"/>
                <w:kern w:val="0"/>
                <w:sz w:val="24"/>
                <w:szCs w:val="24"/>
                <w:highlight w:val="none"/>
                <w:lang w:val="en-US" w:eastAsia="zh-CN" w:bidi="ar-SA"/>
              </w:rPr>
              <w:t>火炬</w:t>
            </w:r>
            <w:r>
              <w:rPr>
                <w:rFonts w:hint="eastAsia" w:ascii="Times New Roman" w:hAnsi="Times New Roman" w:eastAsia="宋体" w:cs="Times New Roman"/>
                <w:b w:val="0"/>
                <w:bCs w:val="0"/>
                <w:color w:val="auto"/>
                <w:kern w:val="0"/>
                <w:sz w:val="24"/>
                <w:szCs w:val="24"/>
                <w:highlight w:val="none"/>
                <w:lang w:val="en-US" w:eastAsia="zh-CN" w:bidi="ar-SA"/>
              </w:rPr>
              <w:t>燃烧</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放喷燃烧属于短期排放，污染物排放量少，其主要污染物为</w:t>
            </w:r>
            <w:r>
              <w:rPr>
                <w:rFonts w:hint="eastAsia" w:hAnsi="Times New Roman" w:cs="Times New Roman"/>
                <w:b w:val="0"/>
                <w:bCs w:val="0"/>
                <w:color w:val="auto"/>
                <w:kern w:val="0"/>
                <w:sz w:val="24"/>
                <w:szCs w:val="24"/>
                <w:highlight w:val="none"/>
                <w:lang w:val="en-US" w:eastAsia="zh-CN" w:bidi="ar-SA"/>
              </w:rPr>
              <w:t>C</w:t>
            </w:r>
            <w:r>
              <w:rPr>
                <w:rFonts w:hint="eastAsia" w:ascii="Times New Roman" w:hAnsi="Times New Roman" w:eastAsia="宋体" w:cs="Times New Roman"/>
                <w:b w:val="0"/>
                <w:bCs w:val="0"/>
                <w:color w:val="auto"/>
                <w:kern w:val="0"/>
                <w:sz w:val="24"/>
                <w:szCs w:val="24"/>
                <w:highlight w:val="none"/>
                <w:lang w:val="en-US" w:eastAsia="zh-CN" w:bidi="ar-SA"/>
              </w:rPr>
              <w:t>O</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等。周围比较开阔，有利于污染物的扩散，同时距离周围</w:t>
            </w:r>
            <w:r>
              <w:rPr>
                <w:rFonts w:hint="eastAsia" w:hAnsi="Times New Roman" w:cs="Times New Roman"/>
                <w:b w:val="0"/>
                <w:bCs w:val="0"/>
                <w:color w:val="auto"/>
                <w:kern w:val="0"/>
                <w:sz w:val="24"/>
                <w:szCs w:val="24"/>
                <w:highlight w:val="none"/>
                <w:lang w:val="en-US" w:eastAsia="zh-CN" w:bidi="ar-SA"/>
              </w:rPr>
              <w:t>居民小区</w:t>
            </w:r>
            <w:r>
              <w:rPr>
                <w:rFonts w:hint="eastAsia" w:ascii="Times New Roman" w:hAnsi="Times New Roman" w:eastAsia="宋体" w:cs="Times New Roman"/>
                <w:b w:val="0"/>
                <w:bCs w:val="0"/>
                <w:color w:val="auto"/>
                <w:kern w:val="0"/>
                <w:sz w:val="24"/>
                <w:szCs w:val="24"/>
                <w:highlight w:val="none"/>
                <w:lang w:val="en-US" w:eastAsia="zh-CN" w:bidi="ar-SA"/>
              </w:rPr>
              <w:t>敏感点距离较远，对周边影响较小。</w:t>
            </w:r>
          </w:p>
          <w:p w14:paraId="59E82ECE">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（3）备用发电机燃油废气</w:t>
            </w:r>
          </w:p>
          <w:p w14:paraId="48643D5A">
            <w:pPr>
              <w:pStyle w:val="82"/>
              <w:keepLines w:val="0"/>
              <w:pageBreakBefore w:val="0"/>
              <w:kinsoku/>
              <w:wordWrap/>
              <w:topLinePunct w:val="0"/>
              <w:autoSpaceDE/>
              <w:autoSpaceDN/>
              <w:bidi w:val="0"/>
              <w:spacing w:line="440" w:lineRule="exact"/>
              <w:ind w:firstLine="48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本项目勘探期供电由</w:t>
            </w:r>
            <w:r>
              <w:rPr>
                <w:rFonts w:hint="eastAsia" w:hAnsi="Times New Roman" w:cs="Times New Roman"/>
                <w:b w:val="0"/>
                <w:bCs w:val="0"/>
                <w:color w:val="auto"/>
                <w:kern w:val="0"/>
                <w:sz w:val="24"/>
                <w:szCs w:val="24"/>
                <w:highlight w:val="none"/>
                <w:lang w:val="en-US" w:eastAsia="zh-CN" w:bidi="ar-SA"/>
              </w:rPr>
              <w:t>燃气</w:t>
            </w:r>
            <w:r>
              <w:rPr>
                <w:rFonts w:hint="eastAsia" w:ascii="Times New Roman" w:hAnsi="Times New Roman" w:eastAsia="宋体" w:cs="Times New Roman"/>
                <w:b w:val="0"/>
                <w:bCs w:val="0"/>
                <w:color w:val="auto"/>
                <w:kern w:val="0"/>
                <w:sz w:val="24"/>
                <w:szCs w:val="24"/>
                <w:highlight w:val="none"/>
                <w:lang w:val="en-US" w:eastAsia="zh-CN" w:bidi="ar-SA"/>
              </w:rPr>
              <w:t>发电机组作为电源，出现停电等异常情况由备用燃油发电机发电。正常情况下，使用</w:t>
            </w:r>
            <w:r>
              <w:rPr>
                <w:rFonts w:hint="eastAsia" w:hAnsi="Times New Roman" w:cs="Times New Roman"/>
                <w:b w:val="0"/>
                <w:bCs w:val="0"/>
                <w:color w:val="auto"/>
                <w:kern w:val="0"/>
                <w:sz w:val="24"/>
                <w:szCs w:val="24"/>
                <w:highlight w:val="none"/>
                <w:lang w:val="en-US" w:eastAsia="zh-CN" w:bidi="ar-SA"/>
              </w:rPr>
              <w:t>燃气</w:t>
            </w:r>
            <w:r>
              <w:rPr>
                <w:rFonts w:hint="eastAsia" w:ascii="Times New Roman" w:hAnsi="Times New Roman" w:eastAsia="宋体" w:cs="Times New Roman"/>
                <w:b w:val="0"/>
                <w:bCs w:val="0"/>
                <w:color w:val="auto"/>
                <w:kern w:val="0"/>
                <w:sz w:val="24"/>
                <w:szCs w:val="24"/>
                <w:highlight w:val="none"/>
                <w:lang w:val="en-US" w:eastAsia="zh-CN" w:bidi="ar-SA"/>
              </w:rPr>
              <w:t>发电机，不使用柴油机</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若停电情况下，会使用备用的柴油发电机发电，柴油机发电会产生燃烧废气，污染因子为SO</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、NOx、烟尘（PM）、CO、HC，属于阶段性的局部污染，其影响的持续时间较短，施工期结束后污染源随即消失，燃烧废气对环境空气质量不产生显著不利影响，本项目实施后环境空气质量可恢复至现状水平。</w:t>
            </w:r>
          </w:p>
          <w:p w14:paraId="11EA1A3B">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（4）</w:t>
            </w:r>
            <w:r>
              <w:rPr>
                <w:rFonts w:hint="eastAsia" w:ascii="Times New Roman" w:hAnsi="Times New Roman" w:eastAsia="宋体" w:cs="Times New Roman"/>
                <w:b w:val="0"/>
                <w:bCs w:val="0"/>
                <w:color w:val="auto"/>
                <w:kern w:val="0"/>
                <w:sz w:val="24"/>
                <w:szCs w:val="24"/>
                <w:highlight w:val="none"/>
                <w:lang w:val="en-US" w:eastAsia="zh-CN" w:bidi="ar-SA"/>
              </w:rPr>
              <w:t xml:space="preserve">挥发性有机废气 </w:t>
            </w:r>
          </w:p>
          <w:p w14:paraId="38CF4573">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柴油</w:t>
            </w:r>
            <w:r>
              <w:rPr>
                <w:rFonts w:hint="eastAsia" w:ascii="Times New Roman" w:hAnsi="Times New Roman" w:eastAsia="宋体" w:cs="Times New Roman"/>
                <w:b w:val="0"/>
                <w:bCs w:val="0"/>
                <w:color w:val="auto"/>
                <w:kern w:val="0"/>
                <w:sz w:val="24"/>
                <w:szCs w:val="24"/>
                <w:highlight w:val="none"/>
                <w:lang w:val="en-US" w:eastAsia="zh-CN" w:bidi="ar-SA"/>
              </w:rPr>
              <w:t>储</w:t>
            </w:r>
            <w:r>
              <w:rPr>
                <w:rFonts w:hint="default" w:ascii="Times New Roman" w:hAnsi="Times New Roman" w:eastAsia="宋体" w:cs="Times New Roman"/>
                <w:b w:val="0"/>
                <w:bCs w:val="0"/>
                <w:color w:val="auto"/>
                <w:kern w:val="0"/>
                <w:sz w:val="24"/>
                <w:szCs w:val="24"/>
                <w:highlight w:val="none"/>
                <w:lang w:val="en-US" w:eastAsia="zh-CN" w:bidi="ar-SA"/>
              </w:rPr>
              <w:t>罐挥发性有机废气（以非甲烷总烃计）</w:t>
            </w:r>
            <w:r>
              <w:rPr>
                <w:rFonts w:hint="eastAsia" w:ascii="Times New Roman" w:hAnsi="Times New Roman" w:eastAsia="宋体" w:cs="Times New Roman"/>
                <w:b w:val="0"/>
                <w:bCs w:val="0"/>
                <w:color w:val="auto"/>
                <w:kern w:val="0"/>
                <w:sz w:val="24"/>
                <w:szCs w:val="24"/>
                <w:highlight w:val="none"/>
                <w:lang w:val="en-US" w:eastAsia="zh-CN" w:bidi="ar-SA"/>
              </w:rPr>
              <w:t>采取以下措施：</w:t>
            </w:r>
          </w:p>
          <w:p w14:paraId="4516264C">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①</w:t>
            </w:r>
            <w:r>
              <w:rPr>
                <w:rFonts w:hint="eastAsia" w:ascii="Times New Roman" w:hAnsi="Times New Roman" w:eastAsia="宋体" w:cs="Times New Roman"/>
                <w:b w:val="0"/>
                <w:bCs w:val="0"/>
                <w:color w:val="auto"/>
                <w:kern w:val="0"/>
                <w:sz w:val="24"/>
                <w:szCs w:val="24"/>
                <w:highlight w:val="none"/>
                <w:lang w:val="en-US" w:eastAsia="zh-CN" w:bidi="ar-SA"/>
              </w:rPr>
              <w:t>柴油储</w:t>
            </w:r>
            <w:r>
              <w:rPr>
                <w:rFonts w:hint="default" w:ascii="Times New Roman" w:hAnsi="Times New Roman" w:eastAsia="宋体" w:cs="Times New Roman"/>
                <w:b w:val="0"/>
                <w:bCs w:val="0"/>
                <w:color w:val="auto"/>
                <w:kern w:val="0"/>
                <w:sz w:val="24"/>
                <w:szCs w:val="24"/>
                <w:highlight w:val="none"/>
                <w:lang w:val="en-US" w:eastAsia="zh-CN" w:bidi="ar-SA"/>
              </w:rPr>
              <w:t>罐采用防腐贮罐，采用环密技术防止烃类泄漏。</w:t>
            </w:r>
          </w:p>
          <w:p w14:paraId="64F18988">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②设置紧急切断系统，一旦发生事故，紧急切断油源，从而最大限度地减少烃类及油的排放量。</w:t>
            </w:r>
          </w:p>
          <w:p w14:paraId="553263BE">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③对管线、阀门等进行</w:t>
            </w:r>
            <w:r>
              <w:rPr>
                <w:rFonts w:hint="eastAsia" w:hAnsi="Times New Roman" w:cs="Times New Roman"/>
                <w:b w:val="0"/>
                <w:bCs w:val="0"/>
                <w:color w:val="auto"/>
                <w:kern w:val="0"/>
                <w:sz w:val="24"/>
                <w:szCs w:val="24"/>
                <w:highlight w:val="none"/>
                <w:lang w:val="en-US" w:eastAsia="zh-CN" w:bidi="ar-SA"/>
              </w:rPr>
              <w:t>定期</w:t>
            </w:r>
            <w:r>
              <w:rPr>
                <w:rFonts w:hint="default" w:ascii="Times New Roman" w:hAnsi="Times New Roman" w:eastAsia="宋体" w:cs="Times New Roman"/>
                <w:b w:val="0"/>
                <w:bCs w:val="0"/>
                <w:color w:val="auto"/>
                <w:kern w:val="0"/>
                <w:sz w:val="24"/>
                <w:szCs w:val="24"/>
                <w:highlight w:val="none"/>
                <w:lang w:val="en-US" w:eastAsia="zh-CN" w:bidi="ar-SA"/>
              </w:rPr>
              <w:t>检查、检修，以防止跑、冒、滴、漏的发生。</w:t>
            </w:r>
          </w:p>
          <w:p w14:paraId="3A5ED2D6">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测试放喷期</w:t>
            </w:r>
            <w:r>
              <w:rPr>
                <w:rFonts w:hint="default" w:ascii="Times New Roman" w:hAnsi="Times New Roman" w:eastAsia="宋体" w:cs="Times New Roman"/>
                <w:b w:val="0"/>
                <w:bCs w:val="0"/>
                <w:color w:val="auto"/>
                <w:kern w:val="0"/>
                <w:sz w:val="24"/>
                <w:szCs w:val="24"/>
                <w:highlight w:val="none"/>
                <w:lang w:val="en-US" w:eastAsia="zh-CN" w:bidi="ar-SA"/>
              </w:rPr>
              <w:t>为防止烃类气体的无组织挥发，本项目拟采取以下措施：</w:t>
            </w:r>
          </w:p>
          <w:p w14:paraId="385D2303">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①</w:t>
            </w:r>
            <w:r>
              <w:rPr>
                <w:rFonts w:hint="eastAsia" w:hAnsi="Times New Roman" w:cs="Times New Roman"/>
                <w:b w:val="0"/>
                <w:bCs w:val="0"/>
                <w:color w:val="auto"/>
                <w:kern w:val="0"/>
                <w:sz w:val="24"/>
                <w:szCs w:val="24"/>
                <w:highlight w:val="none"/>
                <w:lang w:val="en-US" w:eastAsia="zh-CN" w:bidi="ar-SA"/>
              </w:rPr>
              <w:t>原油储罐</w:t>
            </w:r>
            <w:r>
              <w:rPr>
                <w:rFonts w:hint="default" w:ascii="Times New Roman" w:hAnsi="Times New Roman" w:eastAsia="宋体" w:cs="Times New Roman"/>
                <w:b w:val="0"/>
                <w:bCs w:val="0"/>
                <w:color w:val="auto"/>
                <w:kern w:val="0"/>
                <w:sz w:val="24"/>
                <w:szCs w:val="24"/>
                <w:highlight w:val="none"/>
                <w:lang w:val="en-US" w:eastAsia="zh-CN" w:bidi="ar-SA"/>
              </w:rPr>
              <w:t>采用高架防腐贮罐，采用环密技术防止烃类泄漏。</w:t>
            </w:r>
          </w:p>
          <w:p w14:paraId="7A5ED541">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②在试油过程中采取密闭管路输送。</w:t>
            </w:r>
          </w:p>
          <w:p w14:paraId="4C9CC15C">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③对各井场的设备、管线、阀门等进行定期的检查、检修，以防止跑、冒、滴、漏的发生。</w:t>
            </w:r>
          </w:p>
          <w:p w14:paraId="17B91754">
            <w:pPr>
              <w:pStyle w:val="82"/>
              <w:keepLines w:val="0"/>
              <w:pageBreakBefore w:val="0"/>
              <w:kinsoku/>
              <w:wordWrap/>
              <w:topLinePunct w:val="0"/>
              <w:autoSpaceDE/>
              <w:autoSpaceDN/>
              <w:bidi w:val="0"/>
              <w:spacing w:line="440" w:lineRule="exact"/>
              <w:ind w:firstLine="480"/>
              <w:jc w:val="both"/>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④油罐车运输过程中确保油罐全程密闭，减少烃类气体的挥发。</w:t>
            </w:r>
          </w:p>
          <w:p w14:paraId="3EB4CCD2">
            <w:pPr>
              <w:pStyle w:val="12"/>
              <w:keepNext w:val="0"/>
              <w:keepLines w:val="0"/>
              <w:pageBreakBefore w:val="0"/>
              <w:kinsoku/>
              <w:wordWrap/>
              <w:overflowPunct/>
              <w:topLinePunct w:val="0"/>
              <w:autoSpaceDE/>
              <w:autoSpaceDN/>
              <w:bidi w:val="0"/>
              <w:adjustRightInd w:val="0"/>
              <w:snapToGrid w:val="0"/>
              <w:spacing w:before="0" w:after="0" w:line="440" w:lineRule="exact"/>
              <w:ind w:right="0"/>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3.</w:t>
            </w:r>
            <w:r>
              <w:rPr>
                <w:rFonts w:hint="eastAsia" w:ascii="Times New Roman" w:hAnsi="Times New Roman" w:eastAsia="宋体" w:cs="Times New Roman"/>
                <w:b/>
                <w:bCs/>
                <w:color w:val="auto"/>
                <w:kern w:val="0"/>
                <w:sz w:val="24"/>
                <w:szCs w:val="24"/>
                <w:highlight w:val="none"/>
                <w:lang w:val="en-US" w:eastAsia="zh-CN" w:bidi="ar-SA"/>
              </w:rPr>
              <w:t>施工期废水治理措施</w:t>
            </w:r>
          </w:p>
          <w:p w14:paraId="4CB9D885">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工程钻井过程中产生的废水有钻井废水、</w:t>
            </w:r>
            <w:r>
              <w:rPr>
                <w:rFonts w:hint="eastAsia" w:ascii="Times New Roman" w:hAnsi="Times New Roman" w:eastAsia="宋体" w:cs="Times New Roman"/>
                <w:color w:val="auto"/>
                <w:sz w:val="24"/>
                <w:szCs w:val="32"/>
                <w:highlight w:val="none"/>
                <w:lang w:val="en-US" w:eastAsia="zh-CN"/>
              </w:rPr>
              <w:t>酸化</w:t>
            </w:r>
            <w:r>
              <w:rPr>
                <w:rFonts w:hint="default" w:ascii="Times New Roman" w:hAnsi="Times New Roman" w:eastAsia="宋体" w:cs="Times New Roman"/>
                <w:color w:val="auto"/>
                <w:highlight w:val="none"/>
                <w:lang w:val="en-US" w:eastAsia="zh-CN"/>
              </w:rPr>
              <w:t>压裂返排液和生活污水。</w:t>
            </w:r>
          </w:p>
          <w:p w14:paraId="67002083">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（1）钻井废水</w:t>
            </w:r>
          </w:p>
          <w:p w14:paraId="3B9252A4">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本项目钻井废水与钻井岩屑随钻井泥浆带出，排入泥浆罐用于钻井液配制，完井后拉运至下一口井再利用，不外排。</w:t>
            </w:r>
          </w:p>
          <w:p w14:paraId="4DA5B56B">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sz w:val="24"/>
                <w:szCs w:val="32"/>
                <w:highlight w:val="none"/>
                <w:lang w:val="en-US" w:eastAsia="zh-CN"/>
              </w:rPr>
              <w:t>酸化</w:t>
            </w:r>
            <w:r>
              <w:rPr>
                <w:rFonts w:hint="default" w:ascii="Times New Roman" w:hAnsi="Times New Roman" w:eastAsia="宋体" w:cs="Times New Roman"/>
                <w:color w:val="auto"/>
                <w:highlight w:val="none"/>
                <w:lang w:val="en-US" w:eastAsia="zh-CN"/>
              </w:rPr>
              <w:t>压裂返排液</w:t>
            </w:r>
          </w:p>
          <w:p w14:paraId="0E697005">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w:t>
            </w:r>
            <w:r>
              <w:rPr>
                <w:rFonts w:hint="eastAsia" w:ascii="Times New Roman" w:hAnsi="Times New Roman" w:eastAsia="宋体" w:cs="Times New Roman"/>
                <w:color w:val="auto"/>
                <w:sz w:val="24"/>
                <w:szCs w:val="32"/>
                <w:highlight w:val="none"/>
                <w:lang w:val="en-US" w:eastAsia="zh-CN"/>
              </w:rPr>
              <w:t>酸化</w:t>
            </w:r>
            <w:r>
              <w:rPr>
                <w:rFonts w:hint="default" w:ascii="Times New Roman" w:hAnsi="Times New Roman" w:eastAsia="宋体" w:cs="Times New Roman"/>
                <w:color w:val="auto"/>
                <w:highlight w:val="none"/>
                <w:lang w:val="en-US" w:eastAsia="zh-CN"/>
              </w:rPr>
              <w:t>压裂返排液采用专用废液收集罐暂存，定期运至新疆腾疆环保科技有限公司处置。</w:t>
            </w:r>
          </w:p>
          <w:p w14:paraId="1D2C1EBA">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本次评价要求运输过程中须采取以下措施： </w:t>
            </w:r>
          </w:p>
          <w:p w14:paraId="7B510DAF">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①运输过程中应防止生污废水“跑、冒、滴、漏”。</w:t>
            </w:r>
          </w:p>
          <w:p w14:paraId="506AA8D4">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②运输过程中应采用密闭、环保、高效的运输车辆，提高装备水平，采取全密闭箱体防止滴漏，减少运输过程中的二次污染。 </w:t>
            </w:r>
          </w:p>
          <w:p w14:paraId="4376D978">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③认真执行罐车巡检、回检以及维护、修理管理办法，保持罐车完整性。</w:t>
            </w:r>
          </w:p>
          <w:p w14:paraId="5D5B6F5E">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4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t>④</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运输过程中进行全过程控制，严禁肆意排放。</w:t>
            </w:r>
          </w:p>
          <w:p w14:paraId="5B91F44C">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5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lang w:val="en-US" w:eastAsia="zh-CN"/>
              </w:rPr>
              <w:t>⑤</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建立水环境防治责任制度和管理台账，如实记录产生废水的类别、数量、流向、处置等信息。</w:t>
            </w:r>
          </w:p>
          <w:p w14:paraId="4827F4BF">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（3）生活污水</w:t>
            </w:r>
          </w:p>
          <w:p w14:paraId="1A4EEC9C">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生活污水经井场撬装式污水处理装置处理后，水质达到《农村生活污水处理排放标准》（DB654275-2019）表2的B级标准，用于荒漠灌溉。</w:t>
            </w:r>
          </w:p>
          <w:p w14:paraId="209E4207">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生活污水处理措施可行性分析：</w:t>
            </w:r>
          </w:p>
          <w:p w14:paraId="55E2A5AB">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钻井队临时生活区建设一座撬装化污水处理站，采用“A/O+MBR”工艺，即“化粪池+调节池+厌氧池+生物接触氧化池+MBR膜池+清水”处理工艺（见下图），该工艺结合了膜分离和生化技术，并强化了生化处理效果。根据《排污许可证申请与核发技术规范 水处理通用工序》（HJ1120-2020），生活污水采用“A/O+MBR”工艺符合规范中“4、采矿类排污单位——4.1.5污染治理设施”的要求。</w:t>
            </w:r>
          </w:p>
          <w:p w14:paraId="0178FB6A">
            <w:pPr>
              <w:pStyle w:val="82"/>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2466975" cy="2324100"/>
                  <wp:effectExtent l="0" t="0" r="9525" b="0"/>
                  <wp:docPr id="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31"/>
                          <pic:cNvPicPr>
                            <a:picLocks noChangeAspect="1"/>
                          </pic:cNvPicPr>
                        </pic:nvPicPr>
                        <pic:blipFill>
                          <a:blip r:embed="rId19"/>
                          <a:stretch>
                            <a:fillRect/>
                          </a:stretch>
                        </pic:blipFill>
                        <pic:spPr>
                          <a:xfrm>
                            <a:off x="0" y="0"/>
                            <a:ext cx="2466975" cy="2324100"/>
                          </a:xfrm>
                          <a:prstGeom prst="rect">
                            <a:avLst/>
                          </a:prstGeom>
                          <a:noFill/>
                          <a:ln>
                            <a:noFill/>
                          </a:ln>
                        </pic:spPr>
                      </pic:pic>
                    </a:graphicData>
                  </a:graphic>
                </wp:inline>
              </w:drawing>
            </w:r>
          </w:p>
          <w:p w14:paraId="5B9B5F5C">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图</w:t>
            </w:r>
            <w:r>
              <w:rPr>
                <w:rFonts w:hint="eastAsia" w:hAnsi="Times New Roman" w:cs="Times New Roman"/>
                <w:color w:val="auto"/>
                <w:highlight w:val="none"/>
                <w:lang w:val="en-US" w:eastAsia="zh-CN"/>
              </w:rPr>
              <w:t>5-1</w:t>
            </w:r>
            <w:r>
              <w:rPr>
                <w:rFonts w:hint="default" w:ascii="Times New Roman" w:hAnsi="Times New Roman" w:eastAsia="宋体" w:cs="Times New Roman"/>
                <w:color w:val="auto"/>
                <w:highlight w:val="none"/>
                <w:lang w:val="en-US" w:eastAsia="zh-CN"/>
              </w:rPr>
              <w:t xml:space="preserve">  撬装化污水处理站工艺流程示意图</w:t>
            </w:r>
          </w:p>
          <w:p w14:paraId="40E3014D">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厂家提供的技术资料及撬装化污水处理站运行效果调查，该工艺对COD、氨氮、总氮去除效果均佳，对悬浮物（SS）、有机物去除效率高，而且可以去除细菌等。生活污水经过该污水处理装置处理后，出水水质COD≤180mg/L、SS≤90mg/L、粪大肠菌群≤10000MPN/L、蛔虫卵个数≤2个/L，处理后水质可达到《农村生活污水处理排放标准》（DB65</w:t>
            </w:r>
            <w:r>
              <w:rPr>
                <w:rFonts w:hint="eastAsia" w:hAnsi="Times New Roman"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4275-2019）表2的B级标准。本项目所在区域为荒漠，主要生长荒漠植被，可用于荒漠灌溉。</w:t>
            </w:r>
          </w:p>
          <w:p w14:paraId="3F4288E3">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撬装化污水处理站设计处理规模</w:t>
            </w:r>
            <w:r>
              <w:rPr>
                <w:rFonts w:hint="eastAsia" w:hAnsi="Times New Roman" w:cs="Times New Roman"/>
                <w:color w:val="auto"/>
                <w:highlight w:val="none"/>
                <w:lang w:val="en-US" w:eastAsia="zh-CN"/>
              </w:rPr>
              <w:t>10</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/d，可满足本项目井场生活污水处理需求。</w:t>
            </w:r>
          </w:p>
          <w:p w14:paraId="16585E13">
            <w:pPr>
              <w:pStyle w:val="82"/>
              <w:keepNext w:val="0"/>
              <w:keepLines w:val="0"/>
              <w:pageBreakBefore w:val="0"/>
              <w:kinsoku/>
              <w:wordWrap/>
              <w:overflowPunct/>
              <w:topLinePunct w:val="0"/>
              <w:autoSpaceDE/>
              <w:autoSpaceDN/>
              <w:bidi w:val="0"/>
              <w:adjustRightInd/>
              <w:snapToGrid/>
              <w:spacing w:line="440" w:lineRule="exact"/>
              <w:ind w:firstLine="48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综上，本项目产生的废水均得到妥善处理，故本项目实施对地表水环境产生的影响可接受。</w:t>
            </w:r>
          </w:p>
          <w:p w14:paraId="3C81901C">
            <w:pPr>
              <w:keepNext w:val="0"/>
              <w:keepLines w:val="0"/>
              <w:pageBreakBefore w:val="0"/>
              <w:kinsoku/>
              <w:wordWrap/>
              <w:overflowPunct/>
              <w:topLinePunct w:val="0"/>
              <w:autoSpaceDE/>
              <w:autoSpaceDN/>
              <w:bidi w:val="0"/>
              <w:adjustRightInd/>
              <w:snapToGrid/>
              <w:spacing w:line="440" w:lineRule="exact"/>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cs="Times New Roman"/>
                <w:b/>
                <w:bCs/>
                <w:color w:val="auto"/>
                <w:kern w:val="0"/>
                <w:sz w:val="24"/>
                <w:szCs w:val="24"/>
                <w:highlight w:val="none"/>
                <w:lang w:val="en-US" w:eastAsia="zh-CN" w:bidi="ar-SA"/>
              </w:rPr>
              <w:t>4.</w:t>
            </w:r>
            <w:r>
              <w:rPr>
                <w:rFonts w:hint="eastAsia" w:ascii="Times New Roman" w:hAnsi="Times New Roman" w:eastAsia="宋体" w:cs="Times New Roman"/>
                <w:b/>
                <w:bCs/>
                <w:color w:val="auto"/>
                <w:kern w:val="0"/>
                <w:sz w:val="24"/>
                <w:szCs w:val="24"/>
                <w:highlight w:val="none"/>
                <w:lang w:val="en-US" w:eastAsia="zh-CN" w:bidi="ar-SA"/>
              </w:rPr>
              <w:t>地下水和土壤环境保护措施</w:t>
            </w:r>
          </w:p>
          <w:p w14:paraId="3582AB61">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为了减少对地下水和土壤环境的影响，本项目地下水污染防治措施按照“源头控制、分区防治、污染监控、应急响应”相结合的原则，从污染物的产生、入渗、扩散、应急响应进行控制。具体措施如下。</w:t>
            </w:r>
          </w:p>
          <w:p w14:paraId="6C4467A8">
            <w:pPr>
              <w:pStyle w:val="67"/>
              <w:keepNext w:val="0"/>
              <w:keepLines w:val="0"/>
              <w:pageBreakBefore w:val="0"/>
              <w:kinsoku/>
              <w:wordWrap/>
              <w:overflowPunct/>
              <w:topLinePunct w:val="0"/>
              <w:autoSpaceDE/>
              <w:autoSpaceDN/>
              <w:bidi w:val="0"/>
              <w:adjustRightInd/>
              <w:snapToGrid/>
              <w:spacing w:after="0" w:line="440" w:lineRule="exact"/>
              <w:ind w:left="0" w:leftChars="0" w:firstLine="482" w:firstLineChars="200"/>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eastAsia" w:ascii="Times New Roman" w:eastAsia="宋体" w:cs="Times New Roman"/>
                <w:b/>
                <w:bCs/>
                <w:color w:val="auto"/>
                <w:kern w:val="0"/>
                <w:sz w:val="24"/>
                <w:szCs w:val="24"/>
                <w:highlight w:val="none"/>
                <w:lang w:val="en-US" w:eastAsia="zh-CN" w:bidi="ar-SA"/>
              </w:rPr>
              <w:t>4.1污染源控制</w:t>
            </w:r>
          </w:p>
          <w:p w14:paraId="5472FB3D">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源头控制主要包括实施清洁生产及各类废物循环利用，减少污染物的排放量；在工艺、设备、污水储存采取相应措施，防止和降低污染物跑、冒、滴、漏，将污染物泄漏的环境风险事故降到最低限度。</w:t>
            </w:r>
          </w:p>
          <w:p w14:paraId="0F5E39D2">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本项目提出以下控制措施：</w:t>
            </w:r>
          </w:p>
          <w:p w14:paraId="1BD9F07E">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在施工前充分研究地质设计资料等，优化钻井施工工艺、泥浆体系等，对钻井过程中可能发生的泥浆漏失的情况，采用强钻方式快速钻穿漏失层达到固井层位。选用合理泥浆密度，实现近平衡压力钻井，降低泥浆环空压耗，降低泥浆激动压力，从而降低井筒中泥浆动压力，</w:t>
            </w:r>
            <w:r>
              <w:rPr>
                <w:rFonts w:hint="eastAsia" w:ascii="Times New Roman" w:eastAsia="宋体" w:cs="Times New Roman"/>
                <w:b w:val="0"/>
                <w:bCs w:val="0"/>
                <w:color w:val="auto"/>
                <w:kern w:val="0"/>
                <w:sz w:val="24"/>
                <w:szCs w:val="24"/>
                <w:highlight w:val="none"/>
                <w:lang w:val="en-US" w:eastAsia="zh-CN" w:bidi="ar-SA"/>
              </w:rPr>
              <w:t>减少</w:t>
            </w:r>
            <w:r>
              <w:rPr>
                <w:rFonts w:hint="eastAsia" w:ascii="Times New Roman" w:hAnsi="Times New Roman" w:eastAsia="宋体" w:cs="Times New Roman"/>
                <w:b w:val="0"/>
                <w:bCs w:val="0"/>
                <w:color w:val="auto"/>
                <w:kern w:val="0"/>
                <w:sz w:val="24"/>
                <w:szCs w:val="24"/>
                <w:highlight w:val="none"/>
                <w:lang w:val="en-US" w:eastAsia="zh-CN" w:bidi="ar-SA"/>
              </w:rPr>
              <w:t>泥浆漏失量。工程导管段利用空气钻迅速钻进，在套管的保护下能有效地保护浅层地下水。</w:t>
            </w:r>
          </w:p>
          <w:p w14:paraId="44F70148">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（2）钻</w:t>
            </w:r>
            <w:r>
              <w:rPr>
                <w:rFonts w:hint="eastAsia" w:ascii="Times New Roman" w:eastAsia="宋体" w:cs="Times New Roman"/>
                <w:b w:val="0"/>
                <w:bCs w:val="0"/>
                <w:color w:val="auto"/>
                <w:kern w:val="0"/>
                <w:sz w:val="24"/>
                <w:szCs w:val="24"/>
                <w:highlight w:val="none"/>
                <w:lang w:val="en-US" w:eastAsia="zh-CN" w:bidi="ar-SA"/>
              </w:rPr>
              <w:t>井</w:t>
            </w:r>
            <w:r>
              <w:rPr>
                <w:rFonts w:hint="eastAsia" w:ascii="Times New Roman" w:hAnsi="Times New Roman" w:eastAsia="宋体" w:cs="Times New Roman"/>
                <w:b w:val="0"/>
                <w:bCs w:val="0"/>
                <w:color w:val="auto"/>
                <w:kern w:val="0"/>
                <w:sz w:val="24"/>
                <w:szCs w:val="24"/>
                <w:highlight w:val="none"/>
                <w:lang w:val="en-US" w:eastAsia="zh-CN" w:bidi="ar-SA"/>
              </w:rPr>
              <w:t>过程中保持平衡操作，并对钻井</w:t>
            </w:r>
            <w:r>
              <w:rPr>
                <w:rFonts w:hint="eastAsia" w:ascii="Times New Roman" w:eastAsia="宋体"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进行实时监控。要求使用无害化的水基泥浆配制钻井液，配备足够量、高效的堵漏剂等，一旦发现漏失，立即采取堵漏措施，减少漏失量。堵漏剂的选取应考虑清洁、无毒、对人体无害，环境污染轻的种类。</w:t>
            </w:r>
          </w:p>
          <w:p w14:paraId="510BA04C">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（3）钻井过程中的固井措施，一方面加固井壁，同时也有分隔地层的作用，使各个不相连通的地层分隔开来，保持其原有的循环运移道路。另一方面可有效防止因为井漏事故造成的地下水环境污染。</w:t>
            </w:r>
          </w:p>
          <w:p w14:paraId="76A3B28E">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（4）作业用材料集中放置在</w:t>
            </w:r>
            <w:r>
              <w:rPr>
                <w:rFonts w:hint="eastAsia" w:ascii="Times New Roman" w:eastAsia="宋体" w:cs="Times New Roman"/>
                <w:b w:val="0"/>
                <w:bCs w:val="0"/>
                <w:color w:val="auto"/>
                <w:kern w:val="0"/>
                <w:sz w:val="24"/>
                <w:szCs w:val="24"/>
                <w:highlight w:val="none"/>
                <w:lang w:val="en-US" w:eastAsia="zh-CN" w:bidi="ar-SA"/>
              </w:rPr>
              <w:t>防渗布</w:t>
            </w:r>
            <w:r>
              <w:rPr>
                <w:rFonts w:hint="eastAsia" w:ascii="Times New Roman" w:hAnsi="Times New Roman" w:eastAsia="宋体" w:cs="Times New Roman"/>
                <w:b w:val="0"/>
                <w:bCs w:val="0"/>
                <w:color w:val="auto"/>
                <w:kern w:val="0"/>
                <w:sz w:val="24"/>
                <w:szCs w:val="24"/>
                <w:highlight w:val="none"/>
                <w:lang w:val="en-US" w:eastAsia="zh-CN" w:bidi="ar-SA"/>
              </w:rPr>
              <w:t>，防止对</w:t>
            </w:r>
            <w:r>
              <w:rPr>
                <w:rFonts w:hint="eastAsia" w:ascii="Times New Roman" w:eastAsia="宋体" w:cs="Times New Roman"/>
                <w:b w:val="0"/>
                <w:bCs w:val="0"/>
                <w:color w:val="auto"/>
                <w:kern w:val="0"/>
                <w:sz w:val="24"/>
                <w:szCs w:val="24"/>
                <w:highlight w:val="none"/>
                <w:lang w:val="en-US" w:eastAsia="zh-CN" w:bidi="ar-SA"/>
              </w:rPr>
              <w:t>土壤、</w:t>
            </w:r>
            <w:r>
              <w:rPr>
                <w:rFonts w:hint="eastAsia" w:ascii="Times New Roman" w:hAnsi="Times New Roman" w:eastAsia="宋体" w:cs="Times New Roman"/>
                <w:b w:val="0"/>
                <w:bCs w:val="0"/>
                <w:color w:val="auto"/>
                <w:kern w:val="0"/>
                <w:sz w:val="24"/>
                <w:szCs w:val="24"/>
                <w:highlight w:val="none"/>
                <w:lang w:val="en-US" w:eastAsia="zh-CN" w:bidi="ar-SA"/>
              </w:rPr>
              <w:t>地下水的污染。</w:t>
            </w:r>
          </w:p>
          <w:p w14:paraId="15F86376">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（5）钻井过程中应加强钻井废水的管理，防止出现废水渗漏、外溢等事故；钻井过程中产生的废水</w:t>
            </w:r>
            <w:r>
              <w:rPr>
                <w:rFonts w:hint="eastAsia" w:ascii="Times New Roman" w:eastAsia="宋体" w:cs="Times New Roman"/>
                <w:b w:val="0"/>
                <w:bCs w:val="0"/>
                <w:color w:val="auto"/>
                <w:kern w:val="0"/>
                <w:sz w:val="24"/>
                <w:szCs w:val="24"/>
                <w:highlight w:val="none"/>
                <w:lang w:val="en-US" w:eastAsia="zh-CN" w:bidi="ar-SA"/>
              </w:rPr>
              <w:t>经随钻不落地系统处理后</w:t>
            </w:r>
            <w:r>
              <w:rPr>
                <w:rFonts w:hint="eastAsia" w:ascii="Times New Roman" w:hAnsi="Times New Roman" w:eastAsia="宋体" w:cs="Times New Roman"/>
                <w:b w:val="0"/>
                <w:bCs w:val="0"/>
                <w:color w:val="auto"/>
                <w:kern w:val="0"/>
                <w:sz w:val="24"/>
                <w:szCs w:val="24"/>
                <w:highlight w:val="none"/>
                <w:lang w:val="en-US" w:eastAsia="zh-CN" w:bidi="ar-SA"/>
              </w:rPr>
              <w:t>作为钻井</w:t>
            </w:r>
            <w:r>
              <w:rPr>
                <w:rFonts w:hint="eastAsia" w:ascii="Times New Roman" w:eastAsia="宋体"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循环使用。</w:t>
            </w:r>
          </w:p>
          <w:p w14:paraId="3148931B">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6）根据勘探项目的实际生产情况，保证钻孔固井质量是保护地下水的有效措施，钻井过程中使用双层套管，表层套管和油层套管固井水泥浆均返至井口，确保安全封闭此深度内的潜水层和承压水层，同时封固地表疏松地层，为井口控制和后续完井采用预应力固井创造条件；表套固井禁止使用带有毒性的水泥外加剂。钻井过程中的固井措施，一方面加固井壁，同时也有分隔地层的作用，使各个不相连通的地层分隔开来，保持其原有的循环运移道路。在最不利情况下，如泄漏发生在主要与油层相近的承压含水层以下，由于该含水层上下均有很厚的隔水层，起到良好的隔水作用，因此不会向上渗入含水层，对地下水不会造成污染；若泄漏发生在含水层，由于本区块油水井所处含水层均处在固井范围内，即使发生泄漏，也有固井加套管等防护措施。</w:t>
            </w:r>
          </w:p>
          <w:p w14:paraId="2FDA74C7">
            <w:pPr>
              <w:pStyle w:val="67"/>
              <w:keepNext w:val="0"/>
              <w:keepLines w:val="0"/>
              <w:pageBreakBefore w:val="0"/>
              <w:kinsoku/>
              <w:wordWrap/>
              <w:overflowPunct/>
              <w:topLinePunct w:val="0"/>
              <w:autoSpaceDE/>
              <w:autoSpaceDN/>
              <w:bidi w:val="0"/>
              <w:adjustRightInd/>
              <w:snapToGrid/>
              <w:spacing w:after="0"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（7）加强油料的管理和控制，加强和完善</w:t>
            </w:r>
            <w:r>
              <w:rPr>
                <w:rFonts w:hint="eastAsia" w:ascii="Times New Roman" w:eastAsia="宋体" w:cs="Times New Roman"/>
                <w:b w:val="0"/>
                <w:bCs w:val="0"/>
                <w:color w:val="auto"/>
                <w:kern w:val="0"/>
                <w:sz w:val="24"/>
                <w:szCs w:val="24"/>
                <w:highlight w:val="none"/>
                <w:lang w:val="en-US" w:eastAsia="zh-CN" w:bidi="ar-SA"/>
              </w:rPr>
              <w:t>储罐</w:t>
            </w:r>
            <w:r>
              <w:rPr>
                <w:rFonts w:hint="eastAsia" w:ascii="Times New Roman" w:hAnsi="Times New Roman" w:eastAsia="宋体" w:cs="Times New Roman"/>
                <w:b w:val="0"/>
                <w:bCs w:val="0"/>
                <w:color w:val="auto"/>
                <w:kern w:val="0"/>
                <w:sz w:val="24"/>
                <w:szCs w:val="24"/>
                <w:highlight w:val="none"/>
                <w:lang w:val="en-US" w:eastAsia="zh-CN" w:bidi="ar-SA"/>
              </w:rPr>
              <w:t>及管线的控制措施。加强岩屑、</w:t>
            </w:r>
            <w:r>
              <w:rPr>
                <w:rFonts w:hint="eastAsia" w:ascii="Times New Roman" w:eastAsia="宋体" w:cs="Times New Roman"/>
                <w:b w:val="0"/>
                <w:bCs w:val="0"/>
                <w:color w:val="auto"/>
                <w:kern w:val="0"/>
                <w:sz w:val="24"/>
                <w:szCs w:val="24"/>
                <w:highlight w:val="none"/>
                <w:lang w:val="en-US" w:eastAsia="zh-CN" w:bidi="ar-SA"/>
              </w:rPr>
              <w:t>废</w:t>
            </w:r>
            <w:r>
              <w:rPr>
                <w:rFonts w:hint="eastAsia" w:ascii="Times New Roman" w:hAnsi="Times New Roman" w:eastAsia="宋体" w:cs="Times New Roman"/>
                <w:b w:val="0"/>
                <w:bCs w:val="0"/>
                <w:color w:val="auto"/>
                <w:kern w:val="0"/>
                <w:sz w:val="24"/>
                <w:szCs w:val="24"/>
                <w:highlight w:val="none"/>
                <w:lang w:val="en-US" w:eastAsia="zh-CN" w:bidi="ar-SA"/>
              </w:rPr>
              <w:t>泥浆及其他固体废弃物收集、运输及暂存、处置等过程的环境管理。</w:t>
            </w:r>
          </w:p>
          <w:p w14:paraId="16DD50BC">
            <w:pPr>
              <w:pStyle w:val="67"/>
              <w:keepNext w:val="0"/>
              <w:keepLines w:val="0"/>
              <w:pageBreakBefore w:val="0"/>
              <w:kinsoku/>
              <w:wordWrap/>
              <w:overflowPunct/>
              <w:topLinePunct w:val="0"/>
              <w:autoSpaceDE/>
              <w:autoSpaceDN/>
              <w:bidi w:val="0"/>
              <w:adjustRightInd/>
              <w:snapToGrid/>
              <w:spacing w:after="0" w:line="440" w:lineRule="exact"/>
              <w:ind w:left="0" w:leftChars="0" w:firstLine="482" w:firstLineChars="200"/>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eastAsia="宋体" w:cs="Times New Roman"/>
                <w:b/>
                <w:bCs/>
                <w:color w:val="auto"/>
                <w:kern w:val="0"/>
                <w:sz w:val="24"/>
                <w:szCs w:val="24"/>
                <w:highlight w:val="none"/>
                <w:lang w:val="en-US" w:eastAsia="zh-CN" w:bidi="ar-SA"/>
              </w:rPr>
              <w:t>4.2</w:t>
            </w:r>
            <w:r>
              <w:rPr>
                <w:rFonts w:hint="eastAsia" w:ascii="Times New Roman" w:hAnsi="Times New Roman" w:eastAsia="宋体" w:cs="Times New Roman"/>
                <w:b/>
                <w:bCs/>
                <w:color w:val="auto"/>
                <w:kern w:val="0"/>
                <w:sz w:val="24"/>
                <w:szCs w:val="24"/>
                <w:highlight w:val="none"/>
                <w:lang w:val="en-US" w:eastAsia="zh-CN" w:bidi="ar-SA"/>
              </w:rPr>
              <w:t>分区防控措施</w:t>
            </w:r>
          </w:p>
          <w:p w14:paraId="029A161B">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为防止污染地下水，针对井场施工期间工程特点，严格执行《环境影响评价技术导则 陆地石油</w:t>
            </w:r>
            <w:r>
              <w:rPr>
                <w:rFonts w:hint="eastAsia"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开发建设项目》（HJ349-2023）、《环境影响评价技术导则 地下水环境》（HJ610</w:t>
            </w:r>
            <w:r>
              <w:rPr>
                <w:rFonts w:hint="eastAsia"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2016）“11.2.2分区防控措施”和《石油化工工程防渗技术规范》（GB/T50934</w:t>
            </w:r>
            <w:r>
              <w:rPr>
                <w:rFonts w:hint="eastAsia"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2013）“4.0.4石油化工储运工程区的典型污染防治分区”相关要求，本项目分区防渗见表5-</w:t>
            </w:r>
            <w:r>
              <w:rPr>
                <w:rFonts w:hint="eastAsia" w:cs="Times New Roman"/>
                <w:b w:val="0"/>
                <w:bCs w:val="0"/>
                <w:color w:val="auto"/>
                <w:kern w:val="0"/>
                <w:sz w:val="24"/>
                <w:szCs w:val="24"/>
                <w:highlight w:val="none"/>
                <w:lang w:val="en-US" w:eastAsia="zh-CN" w:bidi="ar-SA"/>
              </w:rPr>
              <w:t>1，分区防渗图见附图2-3</w:t>
            </w:r>
            <w:r>
              <w:rPr>
                <w:rFonts w:hint="eastAsia" w:ascii="Times New Roman" w:hAnsi="Times New Roman" w:eastAsia="宋体" w:cs="Times New Roman"/>
                <w:b w:val="0"/>
                <w:bCs w:val="0"/>
                <w:color w:val="auto"/>
                <w:kern w:val="0"/>
                <w:sz w:val="24"/>
                <w:szCs w:val="24"/>
                <w:highlight w:val="none"/>
                <w:lang w:val="en-US" w:eastAsia="zh-CN" w:bidi="ar-SA"/>
              </w:rPr>
              <w:t>。</w:t>
            </w:r>
          </w:p>
          <w:p w14:paraId="4619425B">
            <w:pPr>
              <w:keepNext w:val="0"/>
              <w:keepLines w:val="0"/>
              <w:pageBreakBefore w:val="0"/>
              <w:widowControl w:val="0"/>
              <w:kinsoku/>
              <w:wordWrap/>
              <w:overflowPunct/>
              <w:topLinePunct w:val="0"/>
              <w:autoSpaceDE w:val="0"/>
              <w:autoSpaceDN w:val="0"/>
              <w:bidi w:val="0"/>
              <w:adjustRightInd w:val="0"/>
              <w:snapToGrid/>
              <w:spacing w:line="440" w:lineRule="exact"/>
              <w:jc w:val="center"/>
              <w:textAlignment w:val="baseline"/>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表5-</w:t>
            </w:r>
            <w:r>
              <w:rPr>
                <w:rFonts w:hint="default" w:ascii="Times New Roman" w:hAnsi="Times New Roman" w:eastAsia="宋体" w:cs="Times New Roman"/>
                <w:b/>
                <w:color w:val="auto"/>
                <w:sz w:val="21"/>
                <w:szCs w:val="21"/>
                <w:lang w:val="en-US" w:eastAsia="zh-CN"/>
              </w:rPr>
              <w:t>1</w:t>
            </w:r>
            <w:r>
              <w:rPr>
                <w:rFonts w:hint="default" w:ascii="Times New Roman" w:hAnsi="Times New Roman" w:eastAsia="宋体" w:cs="Times New Roman"/>
                <w:b/>
                <w:color w:val="auto"/>
                <w:sz w:val="21"/>
                <w:szCs w:val="21"/>
              </w:rPr>
              <w:t xml:space="preserve">  </w:t>
            </w:r>
            <w:r>
              <w:rPr>
                <w:rFonts w:hint="eastAsia" w:ascii="Times New Roman" w:hAnsi="Times New Roman" w:eastAsia="宋体" w:cs="Times New Roman"/>
                <w:b/>
                <w:color w:val="auto"/>
                <w:sz w:val="21"/>
                <w:szCs w:val="21"/>
                <w:lang w:val="en-US" w:eastAsia="zh-CN"/>
              </w:rPr>
              <w:t>井场</w:t>
            </w:r>
            <w:r>
              <w:rPr>
                <w:rFonts w:hint="default" w:ascii="Times New Roman" w:hAnsi="Times New Roman" w:eastAsia="宋体" w:cs="Times New Roman"/>
                <w:b/>
                <w:color w:val="auto"/>
                <w:sz w:val="21"/>
                <w:szCs w:val="21"/>
              </w:rPr>
              <w:t>防渗要求情况一览表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53"/>
              <w:gridCol w:w="1152"/>
              <w:gridCol w:w="2719"/>
              <w:gridCol w:w="3956"/>
            </w:tblGrid>
            <w:tr w14:paraId="2D49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14:paraId="3740886C">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687" w:type="pct"/>
                  <w:vAlign w:val="center"/>
                </w:tcPr>
                <w:p w14:paraId="59B5B9D9">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分区防渗</w:t>
                  </w:r>
                </w:p>
              </w:tc>
              <w:tc>
                <w:tcPr>
                  <w:tcW w:w="1622" w:type="pct"/>
                  <w:vAlign w:val="center"/>
                </w:tcPr>
                <w:p w14:paraId="2FEDA178">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建构筑物名称</w:t>
                  </w:r>
                </w:p>
              </w:tc>
              <w:tc>
                <w:tcPr>
                  <w:tcW w:w="2359" w:type="pct"/>
                  <w:vAlign w:val="center"/>
                </w:tcPr>
                <w:p w14:paraId="60A8E33B">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防渗要求</w:t>
                  </w:r>
                </w:p>
              </w:tc>
            </w:tr>
            <w:tr w14:paraId="77D5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14:paraId="1338835D">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87" w:type="pct"/>
                  <w:vMerge w:val="restart"/>
                  <w:vAlign w:val="center"/>
                </w:tcPr>
                <w:p w14:paraId="625D408D">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重点防渗区</w:t>
                  </w:r>
                </w:p>
              </w:tc>
              <w:tc>
                <w:tcPr>
                  <w:tcW w:w="2719" w:type="dxa"/>
                  <w:vAlign w:val="center"/>
                </w:tcPr>
                <w:p w14:paraId="7E118392">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作业区</w:t>
                  </w:r>
                  <w:r>
                    <w:rPr>
                      <w:rFonts w:hint="default" w:ascii="Times New Roman" w:hAnsi="Times New Roman" w:eastAsia="宋体" w:cs="Times New Roman"/>
                      <w:color w:val="auto"/>
                      <w:sz w:val="21"/>
                      <w:szCs w:val="21"/>
                    </w:rPr>
                    <w:t>、柴油罐区、</w:t>
                  </w:r>
                  <w:r>
                    <w:rPr>
                      <w:rFonts w:hint="eastAsia" w:cs="Times New Roman"/>
                      <w:color w:val="auto"/>
                      <w:sz w:val="21"/>
                      <w:szCs w:val="21"/>
                      <w:lang w:val="en-US" w:eastAsia="zh-CN"/>
                    </w:rPr>
                    <w:t>放喷池、原油储罐等</w:t>
                  </w:r>
                </w:p>
              </w:tc>
              <w:tc>
                <w:tcPr>
                  <w:tcW w:w="3956" w:type="dxa"/>
                  <w:vAlign w:val="center"/>
                </w:tcPr>
                <w:p w14:paraId="06C5B55E">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表面防渗材料应与所接触的物料或污染物相容，</w:t>
                  </w:r>
                  <w:r>
                    <w:rPr>
                      <w:rFonts w:hint="default" w:ascii="Times New Roman" w:hAnsi="Times New Roman" w:eastAsia="宋体" w:cs="Times New Roman"/>
                      <w:b w:val="0"/>
                      <w:bCs w:val="0"/>
                      <w:color w:val="auto"/>
                      <w:spacing w:val="0"/>
                      <w:kern w:val="2"/>
                      <w:sz w:val="21"/>
                      <w:szCs w:val="21"/>
                      <w:highlight w:val="none"/>
                      <w:lang w:val="en-US" w:eastAsia="zh-CN" w:bidi="ar-SA"/>
                    </w:rPr>
                    <w:t>等效黏土防渗层Mb≥6.0m，K&lt;1×10</w:t>
                  </w:r>
                  <w:r>
                    <w:rPr>
                      <w:rFonts w:hint="default" w:ascii="Times New Roman" w:hAnsi="Times New Roman" w:eastAsia="宋体" w:cs="Times New Roman"/>
                      <w:b w:val="0"/>
                      <w:bCs w:val="0"/>
                      <w:color w:val="auto"/>
                      <w:spacing w:val="0"/>
                      <w:kern w:val="2"/>
                      <w:sz w:val="21"/>
                      <w:szCs w:val="21"/>
                      <w:highlight w:val="none"/>
                      <w:vertAlign w:val="superscript"/>
                      <w:lang w:val="en-US" w:eastAsia="zh-CN" w:bidi="ar-SA"/>
                    </w:rPr>
                    <w:t>-7</w:t>
                  </w:r>
                  <w:r>
                    <w:rPr>
                      <w:rFonts w:hint="default" w:ascii="Times New Roman" w:hAnsi="Times New Roman" w:eastAsia="宋体" w:cs="Times New Roman"/>
                      <w:b w:val="0"/>
                      <w:bCs w:val="0"/>
                      <w:color w:val="auto"/>
                      <w:spacing w:val="0"/>
                      <w:kern w:val="2"/>
                      <w:sz w:val="21"/>
                      <w:szCs w:val="21"/>
                      <w:highlight w:val="none"/>
                      <w:lang w:val="en-US" w:eastAsia="zh-CN" w:bidi="ar-SA"/>
                    </w:rPr>
                    <w:t>cm/s</w:t>
                  </w:r>
                </w:p>
              </w:tc>
            </w:tr>
            <w:tr w14:paraId="1009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14:paraId="3A716525">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87" w:type="pct"/>
                  <w:vMerge w:val="continue"/>
                  <w:vAlign w:val="center"/>
                </w:tcPr>
                <w:p w14:paraId="29569C9E">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2719" w:type="dxa"/>
                  <w:vAlign w:val="center"/>
                </w:tcPr>
                <w:p w14:paraId="624C303F">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危险废物贮存点</w:t>
                  </w:r>
                </w:p>
              </w:tc>
              <w:tc>
                <w:tcPr>
                  <w:tcW w:w="3956" w:type="dxa"/>
                  <w:vAlign w:val="center"/>
                </w:tcPr>
                <w:p w14:paraId="270448AE">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sz w:val="21"/>
                      <w:szCs w:val="21"/>
                      <w:lang w:val="en-US" w:eastAsia="zh-CN"/>
                    </w:rPr>
                    <w:t>防渗层为至少1m厚黏土层（渗透系数不大于10</w:t>
                  </w:r>
                  <w:r>
                    <w:rPr>
                      <w:rFonts w:hint="eastAsia"/>
                      <w:sz w:val="21"/>
                      <w:szCs w:val="21"/>
                      <w:vertAlign w:val="superscript"/>
                      <w:lang w:val="en-US" w:eastAsia="zh-CN"/>
                    </w:rPr>
                    <w:t>-7</w:t>
                  </w:r>
                  <w:r>
                    <w:rPr>
                      <w:rFonts w:hint="eastAsia"/>
                      <w:sz w:val="21"/>
                      <w:szCs w:val="21"/>
                      <w:lang w:val="en-US" w:eastAsia="zh-CN"/>
                    </w:rPr>
                    <w:t>cm/s），或至少2mm厚高密度聚乙烯膜等人工防渗材料（渗透系数不大于10</w:t>
                  </w:r>
                  <w:r>
                    <w:rPr>
                      <w:rFonts w:hint="eastAsia"/>
                      <w:sz w:val="21"/>
                      <w:szCs w:val="21"/>
                      <w:vertAlign w:val="superscript"/>
                      <w:lang w:val="en-US" w:eastAsia="zh-CN"/>
                    </w:rPr>
                    <w:t>-10</w:t>
                  </w:r>
                  <w:r>
                    <w:rPr>
                      <w:rFonts w:hint="eastAsia"/>
                      <w:sz w:val="21"/>
                      <w:szCs w:val="21"/>
                      <w:lang w:val="en-US" w:eastAsia="zh-CN"/>
                    </w:rPr>
                    <w:t>cm/s），或其他防渗性能等效的材料</w:t>
                  </w:r>
                </w:p>
              </w:tc>
            </w:tr>
            <w:tr w14:paraId="5E64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0" w:type="pct"/>
                  <w:vAlign w:val="center"/>
                </w:tcPr>
                <w:p w14:paraId="4574842B">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687" w:type="pct"/>
                  <w:vAlign w:val="center"/>
                </w:tcPr>
                <w:p w14:paraId="4CB53D53">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一般防渗区</w:t>
                  </w:r>
                </w:p>
              </w:tc>
              <w:tc>
                <w:tcPr>
                  <w:tcW w:w="2719" w:type="dxa"/>
                  <w:vAlign w:val="center"/>
                </w:tcPr>
                <w:p w14:paraId="596551E9">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泥浆泵区、泥浆罐区</w:t>
                  </w:r>
                  <w:r>
                    <w:rPr>
                      <w:rFonts w:hint="eastAsia" w:cs="Times New Roman"/>
                      <w:color w:val="auto"/>
                      <w:sz w:val="21"/>
                      <w:szCs w:val="21"/>
                      <w:lang w:val="en-US" w:eastAsia="zh-CN"/>
                    </w:rPr>
                    <w:t>、泥浆不落地区等</w:t>
                  </w:r>
                </w:p>
              </w:tc>
              <w:tc>
                <w:tcPr>
                  <w:tcW w:w="3956" w:type="dxa"/>
                  <w:vAlign w:val="center"/>
                </w:tcPr>
                <w:p w14:paraId="7BA03A83">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防渗层防渗性能不应低于1.5m厚，渗透系数为1×10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cm/s的黏土层的防渗性能</w:t>
                  </w:r>
                </w:p>
              </w:tc>
            </w:tr>
          </w:tbl>
          <w:p w14:paraId="4EC420A3">
            <w:pPr>
              <w:pStyle w:val="17"/>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bidi="ar-SA"/>
              </w:rPr>
              <w:t>通过以上防渗措施</w:t>
            </w:r>
            <w:r>
              <w:rPr>
                <w:rFonts w:hint="eastAsia" w:ascii="Times New Roman" w:hAnsi="Times New Roman" w:cs="Times New Roman"/>
                <w:b w:val="0"/>
                <w:bCs w:val="0"/>
                <w:color w:val="auto"/>
                <w:kern w:val="0"/>
                <w:sz w:val="24"/>
                <w:szCs w:val="24"/>
                <w:highlight w:val="none"/>
                <w:lang w:val="en-US" w:eastAsia="zh-CN" w:bidi="ar-SA"/>
              </w:rPr>
              <w:t>后</w:t>
            </w:r>
            <w:r>
              <w:rPr>
                <w:rFonts w:hint="eastAsia" w:ascii="Times New Roman" w:hAnsi="Times New Roman" w:eastAsia="宋体" w:cs="Times New Roman"/>
                <w:b w:val="0"/>
                <w:bCs w:val="0"/>
                <w:color w:val="auto"/>
                <w:kern w:val="0"/>
                <w:sz w:val="24"/>
                <w:szCs w:val="24"/>
                <w:highlight w:val="none"/>
                <w:lang w:val="en-US" w:eastAsia="zh-CN" w:bidi="ar-SA"/>
              </w:rPr>
              <w:t>对地下水</w:t>
            </w:r>
            <w:r>
              <w:rPr>
                <w:rFonts w:hint="eastAsia" w:ascii="Times New Roman" w:hAnsi="Times New Roman" w:cs="Times New Roman"/>
                <w:b w:val="0"/>
                <w:bCs w:val="0"/>
                <w:color w:val="auto"/>
                <w:kern w:val="0"/>
                <w:sz w:val="24"/>
                <w:szCs w:val="24"/>
                <w:highlight w:val="none"/>
                <w:lang w:val="en-US" w:eastAsia="zh-CN" w:bidi="ar-SA"/>
              </w:rPr>
              <w:t>、土壤环境影响可接受</w:t>
            </w:r>
            <w:r>
              <w:rPr>
                <w:rFonts w:hint="eastAsia" w:ascii="Times New Roman" w:hAnsi="Times New Roman" w:eastAsia="宋体" w:cs="Times New Roman"/>
                <w:b w:val="0"/>
                <w:bCs w:val="0"/>
                <w:color w:val="auto"/>
                <w:kern w:val="0"/>
                <w:sz w:val="24"/>
                <w:szCs w:val="24"/>
                <w:highlight w:val="none"/>
                <w:lang w:val="en-US" w:eastAsia="zh-CN" w:bidi="ar-SA"/>
              </w:rPr>
              <w:t>。</w:t>
            </w:r>
          </w:p>
          <w:p w14:paraId="6972B3DE">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5.</w:t>
            </w:r>
            <w:r>
              <w:rPr>
                <w:rFonts w:hint="eastAsia" w:ascii="Times New Roman" w:hAnsi="Times New Roman" w:eastAsia="宋体" w:cs="Times New Roman"/>
                <w:b/>
                <w:bCs/>
                <w:color w:val="auto"/>
                <w:kern w:val="0"/>
                <w:sz w:val="24"/>
                <w:szCs w:val="24"/>
                <w:highlight w:val="none"/>
                <w:lang w:val="en-US" w:eastAsia="zh-CN" w:bidi="ar-SA"/>
              </w:rPr>
              <w:t>施工噪声污染防治措施</w:t>
            </w:r>
          </w:p>
          <w:p w14:paraId="71FDCE3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为最大限度避免和减轻施工对周围其他声环境的不利影响，本评价对施工期噪声控制提出以下要求和建议：</w:t>
            </w:r>
          </w:p>
          <w:p w14:paraId="5C5AA77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（1）合理安排施工</w:t>
            </w:r>
          </w:p>
          <w:p w14:paraId="7A3BD89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①根据</w:t>
            </w:r>
            <w:r>
              <w:rPr>
                <w:rFonts w:hint="eastAsia" w:hAnsi="Times New Roman" w:cs="Times New Roman"/>
                <w:b w:val="0"/>
                <w:bCs w:val="0"/>
                <w:color w:val="auto"/>
                <w:kern w:val="0"/>
                <w:sz w:val="24"/>
                <w:szCs w:val="24"/>
                <w:highlight w:val="none"/>
                <w:lang w:val="en-US" w:eastAsia="zh-CN" w:bidi="ar-SA"/>
              </w:rPr>
              <w:t>《建筑施工噪声排放标准》（GB12523-2025）</w:t>
            </w:r>
            <w:r>
              <w:rPr>
                <w:rFonts w:hint="eastAsia" w:ascii="Times New Roman" w:hAnsi="Times New Roman" w:eastAsia="宋体" w:cs="Times New Roman"/>
                <w:b w:val="0"/>
                <w:bCs w:val="0"/>
                <w:color w:val="auto"/>
                <w:kern w:val="0"/>
                <w:sz w:val="24"/>
                <w:szCs w:val="24"/>
                <w:highlight w:val="none"/>
                <w:lang w:val="en-US" w:eastAsia="zh-CN" w:bidi="ar-SA"/>
              </w:rPr>
              <w:t>确定工程施工场界，合理科学地布局施工现场。</w:t>
            </w:r>
          </w:p>
          <w:p w14:paraId="623C94B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②施工运输车辆在驶经声敏感点时控制车速、禁鸣，加强车辆维护，来减轻噪声对周围声环境的影响。</w:t>
            </w:r>
          </w:p>
          <w:p w14:paraId="4B80C9F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（2）噪声控制措施</w:t>
            </w:r>
          </w:p>
          <w:p w14:paraId="4666BA0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施工单位应尽量选用低噪声、低振动的施工机械设备，减少对周围声环境的影响。加强施工机械的保养维护，使其处于良好运行状态，倡导科学管理和文明施工。</w:t>
            </w:r>
          </w:p>
          <w:p w14:paraId="2243872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hAnsi="Times New Roman"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（3）周边敏感点的噪声防治措施：</w:t>
            </w:r>
          </w:p>
          <w:p w14:paraId="3C2B530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①施工前应与附近居民协商一致，将施工中出现的噪声环境污染情况提前告知附近居民。</w:t>
            </w:r>
          </w:p>
          <w:p w14:paraId="64DA890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②施工中应注意对施工井场靠近</w:t>
            </w:r>
            <w:r>
              <w:rPr>
                <w:rFonts w:hint="eastAsia" w:hAnsi="Times New Roman" w:cs="Times New Roman"/>
                <w:b w:val="0"/>
                <w:bCs w:val="0"/>
                <w:color w:val="auto"/>
                <w:kern w:val="0"/>
                <w:sz w:val="24"/>
                <w:szCs w:val="24"/>
                <w:highlight w:val="none"/>
                <w:lang w:val="en-US" w:eastAsia="zh-CN" w:bidi="ar-SA"/>
              </w:rPr>
              <w:t>居民</w:t>
            </w:r>
            <w:r>
              <w:rPr>
                <w:rFonts w:hint="eastAsia" w:ascii="Times New Roman" w:hAnsi="Times New Roman" w:eastAsia="宋体" w:cs="Times New Roman"/>
                <w:b w:val="0"/>
                <w:bCs w:val="0"/>
                <w:color w:val="auto"/>
                <w:kern w:val="0"/>
                <w:sz w:val="24"/>
                <w:szCs w:val="24"/>
                <w:highlight w:val="none"/>
                <w:lang w:val="en-US" w:eastAsia="zh-CN" w:bidi="ar-SA"/>
              </w:rPr>
              <w:t>一侧增设临时</w:t>
            </w:r>
            <w:r>
              <w:rPr>
                <w:rFonts w:hint="eastAsia" w:hAnsi="Times New Roman" w:cs="Times New Roman"/>
                <w:b w:val="0"/>
                <w:bCs w:val="0"/>
                <w:color w:val="auto"/>
                <w:kern w:val="0"/>
                <w:sz w:val="24"/>
                <w:szCs w:val="24"/>
                <w:highlight w:val="none"/>
                <w:lang w:val="en-US" w:eastAsia="zh-CN" w:bidi="ar-SA"/>
              </w:rPr>
              <w:t>围挡</w:t>
            </w:r>
            <w:r>
              <w:rPr>
                <w:rFonts w:hint="eastAsia" w:ascii="Times New Roman" w:hAnsi="Times New Roman" w:eastAsia="宋体" w:cs="Times New Roman"/>
                <w:b w:val="0"/>
                <w:bCs w:val="0"/>
                <w:color w:val="auto"/>
                <w:kern w:val="0"/>
                <w:sz w:val="24"/>
                <w:szCs w:val="24"/>
                <w:highlight w:val="none"/>
                <w:lang w:val="en-US" w:eastAsia="zh-CN" w:bidi="ar-SA"/>
              </w:rPr>
              <w:t>。</w:t>
            </w:r>
          </w:p>
          <w:p w14:paraId="67B2142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③项目施工期间应做好隔声降噪措施，选用低噪声机械设备</w:t>
            </w:r>
            <w:r>
              <w:rPr>
                <w:rFonts w:hint="eastAsia" w:hAnsi="Times New Roman" w:cs="Times New Roman"/>
                <w:b w:val="0"/>
                <w:bCs w:val="0"/>
                <w:color w:val="auto"/>
                <w:kern w:val="0"/>
                <w:sz w:val="24"/>
                <w:szCs w:val="24"/>
                <w:highlight w:val="none"/>
                <w:lang w:val="en-US" w:eastAsia="zh-CN" w:bidi="ar-SA"/>
              </w:rPr>
              <w:t>，在</w:t>
            </w:r>
            <w:r>
              <w:rPr>
                <w:rFonts w:hint="eastAsia" w:ascii="Times New Roman" w:hAnsi="Times New Roman" w:eastAsia="宋体" w:cs="Times New Roman"/>
                <w:b w:val="0"/>
                <w:bCs w:val="0"/>
                <w:color w:val="auto"/>
                <w:kern w:val="0"/>
                <w:sz w:val="24"/>
                <w:szCs w:val="24"/>
                <w:highlight w:val="none"/>
                <w:lang w:val="en-US" w:eastAsia="zh-CN" w:bidi="ar-SA"/>
              </w:rPr>
              <w:t>钻井泵两侧安装隔音墙。严禁露天布置，合理安排施工设备布局。柴油机、发电机和各类机泵等设备安置于</w:t>
            </w:r>
            <w:r>
              <w:rPr>
                <w:rFonts w:hint="eastAsia" w:hAnsi="Times New Roman" w:cs="Times New Roman"/>
                <w:b w:val="0"/>
                <w:bCs w:val="0"/>
                <w:color w:val="auto"/>
                <w:kern w:val="0"/>
                <w:sz w:val="24"/>
                <w:szCs w:val="24"/>
                <w:highlight w:val="none"/>
                <w:lang w:val="en-US" w:eastAsia="zh-CN" w:bidi="ar-SA"/>
              </w:rPr>
              <w:t>房</w:t>
            </w:r>
            <w:r>
              <w:rPr>
                <w:rFonts w:hint="eastAsia" w:ascii="Times New Roman" w:hAnsi="Times New Roman" w:eastAsia="宋体" w:cs="Times New Roman"/>
                <w:b w:val="0"/>
                <w:bCs w:val="0"/>
                <w:color w:val="auto"/>
                <w:kern w:val="0"/>
                <w:sz w:val="24"/>
                <w:szCs w:val="24"/>
                <w:highlight w:val="none"/>
                <w:lang w:val="en-US" w:eastAsia="zh-CN" w:bidi="ar-SA"/>
              </w:rPr>
              <w:t>内。</w:t>
            </w:r>
          </w:p>
          <w:p w14:paraId="2BBC482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④加强对设备的保养、维护，整体设备安放稳固，与地面保持良好接触，建议使用</w:t>
            </w:r>
            <w:r>
              <w:rPr>
                <w:rFonts w:hint="eastAsia" w:hAnsi="Times New Roman" w:cs="Times New Roman"/>
                <w:b w:val="0"/>
                <w:bCs w:val="0"/>
                <w:color w:val="auto"/>
                <w:kern w:val="0"/>
                <w:sz w:val="24"/>
                <w:szCs w:val="24"/>
                <w:highlight w:val="none"/>
                <w:lang w:val="en-US" w:eastAsia="zh-CN" w:bidi="ar-SA"/>
              </w:rPr>
              <w:t>隔声垫或减振</w:t>
            </w:r>
            <w:r>
              <w:rPr>
                <w:rFonts w:hint="eastAsia" w:ascii="Times New Roman" w:hAnsi="Times New Roman" w:eastAsia="宋体" w:cs="Times New Roman"/>
                <w:b w:val="0"/>
                <w:bCs w:val="0"/>
                <w:color w:val="auto"/>
                <w:kern w:val="0"/>
                <w:sz w:val="24"/>
                <w:szCs w:val="24"/>
                <w:highlight w:val="none"/>
                <w:lang w:val="en-US" w:eastAsia="zh-CN" w:bidi="ar-SA"/>
              </w:rPr>
              <w:t>基座。</w:t>
            </w:r>
          </w:p>
          <w:p w14:paraId="06E1B2E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⑤合理规划生产节奏，尽量避免在夜间进行起下钻作业，避免钻具碰撞和绞车刹车制动噪声。</w:t>
            </w:r>
          </w:p>
          <w:p w14:paraId="0DAB945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⑥地面平整、开挖施工尽量安排在昼间，夜间施工应告知周围单位或居民。</w:t>
            </w:r>
          </w:p>
          <w:p w14:paraId="671569F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⑦尽量减少夜间运输量，限制大型载重车的车速。</w:t>
            </w:r>
          </w:p>
          <w:p w14:paraId="33A7E80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经采取以上措施后，</w:t>
            </w:r>
            <w:r>
              <w:rPr>
                <w:rFonts w:hint="eastAsia"/>
                <w:lang w:eastAsia="zh-CN"/>
              </w:rPr>
              <w:t>施工噪声满足《建筑施工噪声排放标准》（GB12523-2025）要求，对周边声环境敏感点的影响可接受。</w:t>
            </w:r>
            <w:r>
              <w:rPr>
                <w:rFonts w:hint="eastAsia" w:ascii="Times New Roman" w:hAnsi="Times New Roman" w:eastAsia="宋体" w:cs="Times New Roman"/>
                <w:b w:val="0"/>
                <w:bCs w:val="0"/>
                <w:color w:val="auto"/>
                <w:kern w:val="0"/>
                <w:sz w:val="24"/>
                <w:szCs w:val="24"/>
                <w:highlight w:val="none"/>
                <w:lang w:val="en-US" w:eastAsia="zh-CN" w:bidi="ar-SA"/>
              </w:rPr>
              <w:t>钻井期施工噪声、试油期施工噪声是短暂的，随着施工的结束，施工噪声也随之结束，不会对周围声环境产生明显影响。</w:t>
            </w:r>
          </w:p>
          <w:p w14:paraId="451FDA98">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6.</w:t>
            </w:r>
            <w:r>
              <w:rPr>
                <w:rFonts w:hint="eastAsia" w:ascii="Times New Roman" w:hAnsi="Times New Roman" w:eastAsia="宋体" w:cs="Times New Roman"/>
                <w:b/>
                <w:bCs/>
                <w:color w:val="auto"/>
                <w:kern w:val="0"/>
                <w:sz w:val="24"/>
                <w:szCs w:val="24"/>
                <w:highlight w:val="none"/>
                <w:lang w:val="en-US" w:eastAsia="zh-CN" w:bidi="ar-SA"/>
              </w:rPr>
              <w:t>施工固废污染防治措施</w:t>
            </w:r>
          </w:p>
          <w:p w14:paraId="2D7A2CC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w:t>
            </w:r>
            <w:r>
              <w:rPr>
                <w:rFonts w:hint="eastAsia" w:hAnsi="Times New Roman" w:cs="Times New Roman"/>
                <w:b w:val="0"/>
                <w:bCs w:val="0"/>
                <w:color w:val="auto"/>
                <w:kern w:val="0"/>
                <w:sz w:val="24"/>
                <w:szCs w:val="24"/>
                <w:highlight w:val="none"/>
                <w:lang w:val="en-US" w:eastAsia="zh-CN" w:bidi="ar-SA"/>
              </w:rPr>
              <w:t>钻井泥浆、</w:t>
            </w:r>
            <w:r>
              <w:rPr>
                <w:rFonts w:hint="eastAsia" w:ascii="Times New Roman" w:hAnsi="Times New Roman" w:eastAsia="宋体" w:cs="Times New Roman"/>
                <w:b w:val="0"/>
                <w:bCs w:val="0"/>
                <w:color w:val="auto"/>
                <w:kern w:val="0"/>
                <w:sz w:val="24"/>
                <w:szCs w:val="24"/>
                <w:highlight w:val="none"/>
                <w:lang w:val="en-US" w:eastAsia="zh-CN" w:bidi="ar-SA"/>
              </w:rPr>
              <w:t>岩屑</w:t>
            </w:r>
          </w:p>
          <w:p w14:paraId="381ED06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钻井期间岩屑随泥浆一同进入固控系统进行固液分离，泥浆排入泥浆罐循环使用，完井后拉运至下一口井再利用；膨润土体系废弃钻井泥浆及岩屑排入防渗膨润土岩屑池干化，检测达标后用于井场平整或道路铺垫等；聚磺体系废弃钻井泥浆及岩屑在井场环保罐收集暂存，根据生产情况转运至第三方环保处理站处置或在钻井现场无害化达标处置后用于铺垫油区内的井场、道路</w:t>
            </w:r>
            <w:r>
              <w:rPr>
                <w:rFonts w:hint="eastAsia" w:hAnsi="Times New Roman" w:cs="Times New Roman"/>
                <w:b w:val="0"/>
                <w:bCs w:val="0"/>
                <w:color w:val="auto"/>
                <w:kern w:val="0"/>
                <w:sz w:val="24"/>
                <w:szCs w:val="24"/>
                <w:highlight w:val="none"/>
                <w:lang w:val="en-US" w:eastAsia="zh-CN" w:bidi="ar-SA"/>
              </w:rPr>
              <w:t>。</w:t>
            </w:r>
          </w:p>
          <w:p w14:paraId="595CC21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（2）废弃包装材料、废机油</w:t>
            </w:r>
            <w:r>
              <w:rPr>
                <w:rFonts w:hint="eastAsia" w:ascii="Times New Roman" w:hAnsi="Times New Roman" w:eastAsia="宋体" w:cs="Times New Roman"/>
                <w:b w:val="0"/>
                <w:bCs w:val="0"/>
                <w:color w:val="auto"/>
                <w:kern w:val="0"/>
                <w:sz w:val="24"/>
                <w:szCs w:val="24"/>
                <w:highlight w:val="none"/>
                <w:lang w:val="en-US" w:eastAsia="zh-CN" w:bidi="ar-SA"/>
              </w:rPr>
              <w:t>、废防渗材料</w:t>
            </w:r>
            <w:r>
              <w:rPr>
                <w:rFonts w:hint="eastAsia" w:hAnsi="Times New Roman" w:cs="Times New Roman"/>
                <w:b w:val="0"/>
                <w:bCs w:val="0"/>
                <w:color w:val="auto"/>
                <w:kern w:val="0"/>
                <w:sz w:val="24"/>
                <w:szCs w:val="24"/>
                <w:highlight w:val="none"/>
                <w:lang w:val="en-US" w:eastAsia="zh-CN" w:bidi="ar-SA"/>
              </w:rPr>
              <w:t>和落地油</w:t>
            </w:r>
          </w:p>
          <w:p w14:paraId="2F47B99D">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废弃包装材料</w:t>
            </w:r>
            <w:r>
              <w:rPr>
                <w:rFonts w:hint="eastAsia" w:ascii="Times New Roman" w:eastAsia="宋体" w:cs="Times New Roman"/>
                <w:color w:val="auto"/>
                <w:kern w:val="2"/>
                <w:sz w:val="24"/>
                <w:szCs w:val="32"/>
                <w:highlight w:val="none"/>
                <w:lang w:val="en-US" w:eastAsia="zh-CN" w:bidi="ar-SA"/>
              </w:rPr>
              <w:t>于</w:t>
            </w:r>
            <w:r>
              <w:rPr>
                <w:rFonts w:hint="eastAsia" w:cs="Times New Roman"/>
                <w:color w:val="auto"/>
                <w:kern w:val="2"/>
                <w:sz w:val="24"/>
                <w:szCs w:val="32"/>
                <w:highlight w:val="none"/>
                <w:lang w:val="en-US" w:eastAsia="zh-CN" w:bidi="ar-SA"/>
              </w:rPr>
              <w:t>危险废物贮存点</w:t>
            </w:r>
            <w:r>
              <w:rPr>
                <w:rFonts w:hint="eastAsia" w:ascii="Times New Roman" w:eastAsia="宋体" w:cs="Times New Roman"/>
                <w:color w:val="auto"/>
                <w:kern w:val="2"/>
                <w:sz w:val="24"/>
                <w:szCs w:val="32"/>
                <w:highlight w:val="none"/>
                <w:lang w:val="en-US" w:eastAsia="zh-CN" w:bidi="ar-SA"/>
              </w:rPr>
              <w:t>暂存，定期交由有资质单位处置</w:t>
            </w:r>
            <w:r>
              <w:rPr>
                <w:rFonts w:hint="eastAsia" w:hAnsi="Times New Roman" w:cs="Times New Roman"/>
                <w:b w:val="0"/>
                <w:bCs w:val="0"/>
                <w:color w:val="auto"/>
                <w:kern w:val="0"/>
                <w:sz w:val="24"/>
                <w:szCs w:val="24"/>
                <w:highlight w:val="none"/>
                <w:lang w:val="en-US" w:eastAsia="zh-CN" w:bidi="ar-SA"/>
              </w:rPr>
              <w:t>。</w:t>
            </w:r>
          </w:p>
          <w:p w14:paraId="4B9360A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在钻井、设备检修时产生</w:t>
            </w:r>
            <w:r>
              <w:rPr>
                <w:rFonts w:hint="eastAsia" w:hAnsi="Times New Roman" w:cs="Times New Roman"/>
                <w:b w:val="0"/>
                <w:bCs w:val="0"/>
                <w:color w:val="auto"/>
                <w:kern w:val="0"/>
                <w:sz w:val="24"/>
                <w:szCs w:val="24"/>
                <w:highlight w:val="none"/>
                <w:lang w:val="en-US" w:eastAsia="zh-CN" w:bidi="ar-SA"/>
              </w:rPr>
              <w:t>的落地油、废机油以及废防渗材料于危险废物贮存点内暂存，</w:t>
            </w:r>
            <w:r>
              <w:rPr>
                <w:rFonts w:hint="eastAsia" w:ascii="Times New Roman" w:hAnsi="Times New Roman" w:eastAsia="宋体" w:cs="Times New Roman"/>
                <w:b w:val="0"/>
                <w:bCs w:val="0"/>
                <w:color w:val="auto"/>
                <w:kern w:val="0"/>
                <w:sz w:val="24"/>
                <w:szCs w:val="24"/>
                <w:highlight w:val="none"/>
                <w:lang w:val="en-US" w:eastAsia="zh-CN" w:bidi="ar-SA"/>
              </w:rPr>
              <w:t>采用密闭容器储存，正常情况下不会发生散落或泄漏，危险废物在运输过程中发生散落或泄漏时，及时清理，危险废物转移过程应采取防扬散、防流失、防渗漏措施，不得擅自倾倒、堆放、丢弃、遗撒</w:t>
            </w:r>
            <w:r>
              <w:rPr>
                <w:rFonts w:hint="eastAsia" w:hAnsi="Times New Roman" w:cs="Times New Roman"/>
                <w:b w:val="0"/>
                <w:bCs w:val="0"/>
                <w:color w:val="auto"/>
                <w:kern w:val="0"/>
                <w:sz w:val="24"/>
                <w:szCs w:val="24"/>
                <w:highlight w:val="none"/>
                <w:lang w:val="en-US" w:eastAsia="zh-CN" w:bidi="ar-SA"/>
              </w:rPr>
              <w:t>，交由有资质单位处置；</w:t>
            </w:r>
            <w:r>
              <w:rPr>
                <w:rFonts w:hint="eastAsia" w:ascii="Times New Roman" w:hAnsi="Times New Roman" w:eastAsia="宋体" w:cs="Times New Roman"/>
                <w:b w:val="0"/>
                <w:bCs w:val="0"/>
                <w:color w:val="auto"/>
                <w:kern w:val="0"/>
                <w:sz w:val="24"/>
                <w:szCs w:val="24"/>
                <w:highlight w:val="none"/>
                <w:lang w:val="en-US" w:eastAsia="zh-CN" w:bidi="ar-SA"/>
              </w:rPr>
              <w:t>制定危险废物突发环境事件的防范措施和应急预案，发生危险废物突发环境事件时，采取有效措施消除或者减轻对环境的污染危害；制定危险废物管理计划，结合自身的实际情况，与生产记录相衔接，建立危险废物管理台账记录，如实记载产生危险废物的种类、数量、流向、贮存、利用处置等信息，并填写、运行危险废物转移联单。</w:t>
            </w:r>
          </w:p>
          <w:p w14:paraId="57D8B65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综上所述，工程施工期固体废物均能得到妥善处理，不会对周边环境产生明显影响。</w:t>
            </w:r>
          </w:p>
          <w:p w14:paraId="6C415D18">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7.</w:t>
            </w:r>
            <w:r>
              <w:rPr>
                <w:rFonts w:hint="eastAsia" w:ascii="Times New Roman" w:hAnsi="Times New Roman" w:eastAsia="宋体" w:cs="Times New Roman"/>
                <w:b/>
                <w:bCs/>
                <w:color w:val="auto"/>
                <w:kern w:val="0"/>
                <w:sz w:val="24"/>
                <w:szCs w:val="24"/>
                <w:highlight w:val="none"/>
                <w:lang w:val="en-US" w:eastAsia="zh-CN" w:bidi="ar-SA"/>
              </w:rPr>
              <w:t>施工期环境风险防范措施</w:t>
            </w:r>
          </w:p>
          <w:p w14:paraId="777CE67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7.1 井喷风险防范措施</w:t>
            </w:r>
          </w:p>
          <w:p w14:paraId="4872216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井喷防范措施主要在施工设计、钻井作业及安装放喷装置三个方面进行。</w:t>
            </w:r>
          </w:p>
          <w:p w14:paraId="65DEADC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（1）施工设计中的防井喷措施</w:t>
            </w:r>
          </w:p>
          <w:p w14:paraId="640D819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根据井场的具体情况，在施工设计中应做好防井喷措施：</w:t>
            </w:r>
          </w:p>
          <w:p w14:paraId="66540F0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①项目总平面布置中，应充分考虑总体布置的安全性，</w:t>
            </w:r>
            <w:r>
              <w:rPr>
                <w:rFonts w:hint="eastAsia" w:hAnsi="Times New Roman" w:cs="Times New Roman"/>
                <w:b w:val="0"/>
                <w:bCs w:val="0"/>
                <w:color w:val="auto"/>
                <w:kern w:val="0"/>
                <w:sz w:val="24"/>
                <w:szCs w:val="24"/>
                <w:highlight w:val="none"/>
                <w:lang w:val="en-US" w:eastAsia="zh-CN" w:bidi="ar-SA"/>
              </w:rPr>
              <w:t>作业</w:t>
            </w:r>
            <w:r>
              <w:rPr>
                <w:rFonts w:hint="eastAsia" w:ascii="Times New Roman" w:hAnsi="Times New Roman" w:eastAsia="宋体" w:cs="Times New Roman"/>
                <w:b w:val="0"/>
                <w:bCs w:val="0"/>
                <w:color w:val="auto"/>
                <w:kern w:val="0"/>
                <w:sz w:val="24"/>
                <w:szCs w:val="24"/>
                <w:highlight w:val="none"/>
                <w:lang w:val="en-US" w:eastAsia="zh-CN" w:bidi="ar-SA"/>
              </w:rPr>
              <w:t>区内外道路保持通畅，便于消防及安全疏散；</w:t>
            </w:r>
          </w:p>
          <w:p w14:paraId="435BA62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②井控装置组合按设计执行；</w:t>
            </w:r>
          </w:p>
          <w:p w14:paraId="6A4EB6A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③规定上提钻具的速度。井内下有大直径工具（工具外径超过油层套管内径80%以上）的井，严禁高速起钻，防止因高速起钻引起抽汲作用造成井喷事故；</w:t>
            </w:r>
          </w:p>
          <w:p w14:paraId="202B090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④对放喷装置的配备要有明确要求；</w:t>
            </w:r>
          </w:p>
          <w:p w14:paraId="19799BD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⑤选择使用有利于防止和控制井喷的井下管柱和工具，以适应突发事故的处理和补救措施的需要。</w:t>
            </w:r>
          </w:p>
          <w:p w14:paraId="67DB3BA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（2）钻井作业中的井喷防范措施</w:t>
            </w:r>
          </w:p>
          <w:p w14:paraId="034CCD8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①施工单位应严格执行</w:t>
            </w: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陆上石油</w:t>
            </w:r>
            <w:r>
              <w:rPr>
                <w:rFonts w:hint="eastAsia" w:hAnsi="Times New Roman"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钻井安全规范》（AQ2083-2025）</w:t>
            </w:r>
            <w:r>
              <w:rPr>
                <w:rFonts w:hint="eastAsia" w:hAnsi="Times New Roman" w:cs="Times New Roman"/>
                <w:b w:val="0"/>
                <w:bCs w:val="0"/>
                <w:color w:val="auto"/>
                <w:kern w:val="0"/>
                <w:sz w:val="24"/>
                <w:szCs w:val="24"/>
                <w:highlight w:val="none"/>
                <w:lang w:val="en-US" w:eastAsia="zh-CN" w:bidi="ar-SA"/>
              </w:rPr>
              <w:t>等文件要求</w:t>
            </w:r>
            <w:r>
              <w:rPr>
                <w:rFonts w:hint="eastAsia" w:ascii="Times New Roman" w:hAnsi="Times New Roman" w:eastAsia="宋体" w:cs="Times New Roman"/>
                <w:b w:val="0"/>
                <w:bCs w:val="0"/>
                <w:color w:val="auto"/>
                <w:kern w:val="0"/>
                <w:sz w:val="24"/>
                <w:szCs w:val="24"/>
                <w:highlight w:val="none"/>
                <w:lang w:val="en-US" w:eastAsia="zh-CN" w:bidi="ar-SA"/>
              </w:rPr>
              <w:t>，并针对工程情况制定具体的可操作的实施方案，主要包括：</w:t>
            </w:r>
          </w:p>
          <w:p w14:paraId="7B594E4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开钻前向全队职工、钻井现场的所有工作人员进行地质、工程、钻井液和井控装备等方面的技术交底，并提出具体要求；</w:t>
            </w:r>
          </w:p>
          <w:p w14:paraId="1154FB0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②严格执行井控工作管理制度，落实溢流监测岗位、关井操作岗位和钻井队干部24h值班制度，井控准备工作及应急预案必须经验收合格后，方可钻开油气层；</w:t>
            </w:r>
          </w:p>
          <w:p w14:paraId="5284B5B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③各种井控装备及其他专用工具、消防器材、防爆电路系统配备齐全、运转正常；</w:t>
            </w:r>
          </w:p>
          <w:p w14:paraId="39C59C2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④每次起钻前必须活动方钻杆上、下旋塞一次，以保证其正常可靠；</w:t>
            </w:r>
          </w:p>
          <w:p w14:paraId="5853BB8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⑤严格落实坐岗制度，无论</w:t>
            </w:r>
            <w:r>
              <w:rPr>
                <w:rFonts w:hint="eastAsia" w:hAnsi="Times New Roman" w:cs="Times New Roman"/>
                <w:b w:val="0"/>
                <w:bCs w:val="0"/>
                <w:color w:val="auto"/>
                <w:kern w:val="0"/>
                <w:sz w:val="24"/>
                <w:szCs w:val="24"/>
                <w:highlight w:val="none"/>
                <w:lang w:val="en-US" w:eastAsia="zh-CN" w:bidi="ar-SA"/>
              </w:rPr>
              <w:t>钻井</w:t>
            </w:r>
            <w:r>
              <w:rPr>
                <w:rFonts w:hint="eastAsia" w:ascii="Times New Roman" w:hAnsi="Times New Roman" w:eastAsia="宋体" w:cs="Times New Roman"/>
                <w:b w:val="0"/>
                <w:bCs w:val="0"/>
                <w:color w:val="auto"/>
                <w:kern w:val="0"/>
                <w:sz w:val="24"/>
                <w:szCs w:val="24"/>
                <w:highlight w:val="none"/>
                <w:lang w:val="en-US" w:eastAsia="zh-CN" w:bidi="ar-SA"/>
              </w:rPr>
              <w:t>还是起下钻，或其他辅助作业，钻井班落实专人坐岗观察钻井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出口情况，录井人员除了在仪表上观察外，还对钻井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出口进行定时观察，定时测量进出口钻井</w:t>
            </w:r>
            <w:r>
              <w:rPr>
                <w:rFonts w:hint="eastAsia" w:hAnsi="Times New Roman" w:cs="Times New Roman"/>
                <w:b w:val="0"/>
                <w:bCs w:val="0"/>
                <w:color w:val="auto"/>
                <w:kern w:val="0"/>
                <w:sz w:val="24"/>
                <w:szCs w:val="24"/>
                <w:highlight w:val="none"/>
                <w:lang w:val="en-US" w:eastAsia="zh-CN" w:bidi="ar-SA"/>
              </w:rPr>
              <w:t>泥浆</w:t>
            </w:r>
            <w:r>
              <w:rPr>
                <w:rFonts w:hint="eastAsia" w:ascii="Times New Roman" w:hAnsi="Times New Roman" w:eastAsia="宋体" w:cs="Times New Roman"/>
                <w:b w:val="0"/>
                <w:bCs w:val="0"/>
                <w:color w:val="auto"/>
                <w:kern w:val="0"/>
                <w:sz w:val="24"/>
                <w:szCs w:val="24"/>
                <w:highlight w:val="none"/>
                <w:lang w:val="en-US" w:eastAsia="zh-CN" w:bidi="ar-SA"/>
              </w:rPr>
              <w:t>性能，两个岗都必须做好真实准确记录，值班干部必须对上述两个岗位工作情况进行定时和不定时检查，并当班签认；</w:t>
            </w:r>
          </w:p>
          <w:p w14:paraId="4B6BBC6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⑥认真做好随钻地层压力的监测工作，发现地层压力异常、溢流、井涌等情况，应及时关井并调整钻井液密度，同时上报有关部门；</w:t>
            </w:r>
          </w:p>
          <w:p w14:paraId="43960BC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⑦严格控制起下钻速度，起钻必须按规定灌满钻井液；</w:t>
            </w:r>
          </w:p>
          <w:p w14:paraId="3987446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⑧钻进中遇到钻速突然加快、放空、井漏、气测及油气水显示异常等情况，应立即停钻观察，如发生溢流要按规定及时发出报警信号，并按正确的关井程序及时关井，关井求压后迅速实施压井作业；</w:t>
            </w:r>
          </w:p>
          <w:p w14:paraId="39975B2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⑨发生溢流后，根据关井压力，尽快在井口、地层和套管安全条件下压井，待井内平稳后才恢复钻进；</w:t>
            </w:r>
          </w:p>
          <w:p w14:paraId="5211596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⑩</w:t>
            </w:r>
            <w:r>
              <w:rPr>
                <w:rFonts w:hint="eastAsia" w:ascii="Times New Roman" w:hAnsi="Times New Roman" w:eastAsia="宋体" w:cs="Times New Roman"/>
                <w:b w:val="0"/>
                <w:bCs w:val="0"/>
                <w:color w:val="auto"/>
                <w:kern w:val="0"/>
                <w:sz w:val="24"/>
                <w:szCs w:val="24"/>
                <w:highlight w:val="none"/>
                <w:lang w:val="en-US" w:eastAsia="zh-CN" w:bidi="ar-SA"/>
              </w:rPr>
              <w:t>关井压力不得超过井口装置的工作压力、套管抗内压强度的80%和地层破裂压力三者中的最小值。</w:t>
            </w:r>
          </w:p>
          <w:p w14:paraId="44144B6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（3）井喷失控事故应急措施</w:t>
            </w:r>
          </w:p>
          <w:p w14:paraId="16C991A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1）伴有硫化氢</w:t>
            </w:r>
            <w:r>
              <w:rPr>
                <w:rFonts w:hint="eastAsia" w:hAnsi="Times New Roman" w:cs="Times New Roman"/>
                <w:b w:val="0"/>
                <w:bCs w:val="0"/>
                <w:color w:val="auto"/>
                <w:kern w:val="0"/>
                <w:sz w:val="24"/>
                <w:szCs w:val="24"/>
                <w:highlight w:val="none"/>
                <w:lang w:val="en-US" w:eastAsia="zh-CN" w:bidi="ar-SA"/>
              </w:rPr>
              <w:t>、甲烷</w:t>
            </w:r>
            <w:r>
              <w:rPr>
                <w:rFonts w:hint="eastAsia" w:ascii="Times New Roman" w:hAnsi="Times New Roman" w:eastAsia="宋体" w:cs="Times New Roman"/>
                <w:b w:val="0"/>
                <w:bCs w:val="0"/>
                <w:color w:val="auto"/>
                <w:kern w:val="0"/>
                <w:sz w:val="24"/>
                <w:szCs w:val="24"/>
                <w:highlight w:val="none"/>
                <w:lang w:val="en-US" w:eastAsia="zh-CN" w:bidi="ar-SA"/>
              </w:rPr>
              <w:t>等有毒有害气体逸散时：</w:t>
            </w:r>
          </w:p>
          <w:p w14:paraId="46F5E7A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①应迅速封闭事故现场，抢救现场窒息人员，发出硫化氢</w:t>
            </w:r>
            <w:r>
              <w:rPr>
                <w:rFonts w:hint="eastAsia" w:hAnsi="Times New Roman" w:cs="Times New Roman"/>
                <w:b w:val="0"/>
                <w:bCs w:val="0"/>
                <w:color w:val="auto"/>
                <w:kern w:val="0"/>
                <w:sz w:val="24"/>
                <w:szCs w:val="24"/>
                <w:highlight w:val="none"/>
                <w:lang w:val="en-US" w:eastAsia="zh-CN" w:bidi="ar-SA"/>
              </w:rPr>
              <w:t>、甲烷</w:t>
            </w:r>
            <w:r>
              <w:rPr>
                <w:rFonts w:hint="eastAsia" w:ascii="Times New Roman" w:hAnsi="Times New Roman" w:eastAsia="宋体" w:cs="Times New Roman"/>
                <w:b w:val="0"/>
                <w:bCs w:val="0"/>
                <w:color w:val="auto"/>
                <w:kern w:val="0"/>
                <w:sz w:val="24"/>
                <w:szCs w:val="24"/>
                <w:highlight w:val="none"/>
                <w:lang w:val="en-US" w:eastAsia="zh-CN" w:bidi="ar-SA"/>
              </w:rPr>
              <w:t>报警信号，进行交通管制，禁止外人进入现场，控制事态发展；</w:t>
            </w:r>
          </w:p>
          <w:p w14:paraId="0EA95BA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②监测有毒有害气体浓度，根据现场风向，协同当地政府疏散现场及周边无关人员；</w:t>
            </w:r>
          </w:p>
          <w:p w14:paraId="26786CA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③现场人员生命受到威胁、井口失控、撤离现场无望时，现场应急指挥应立即发出点火指令；</w:t>
            </w:r>
          </w:p>
          <w:p w14:paraId="4A95756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④条件允许时，迅速组织应急救援队伍抢装井口和实施压井作业。</w:t>
            </w:r>
          </w:p>
          <w:p w14:paraId="2D65D98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2）引发火灾、爆炸时：</w:t>
            </w:r>
          </w:p>
          <w:p w14:paraId="1AD322E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①现场发生火灾、爆炸，应立即阻断</w:t>
            </w:r>
            <w:r>
              <w:rPr>
                <w:rFonts w:hint="eastAsia" w:hAnsi="Times New Roman" w:cs="Times New Roman"/>
                <w:b w:val="0"/>
                <w:bCs w:val="0"/>
                <w:color w:val="auto"/>
                <w:kern w:val="0"/>
                <w:sz w:val="24"/>
                <w:szCs w:val="24"/>
                <w:highlight w:val="none"/>
                <w:lang w:val="en-US" w:eastAsia="zh-CN" w:bidi="ar-SA"/>
              </w:rPr>
              <w:t>火</w:t>
            </w:r>
            <w:r>
              <w:rPr>
                <w:rFonts w:hint="eastAsia" w:ascii="Times New Roman" w:hAnsi="Times New Roman" w:eastAsia="宋体" w:cs="Times New Roman"/>
                <w:b w:val="0"/>
                <w:bCs w:val="0"/>
                <w:color w:val="auto"/>
                <w:kern w:val="0"/>
                <w:sz w:val="24"/>
                <w:szCs w:val="24"/>
                <w:highlight w:val="none"/>
                <w:lang w:val="en-US" w:eastAsia="zh-CN" w:bidi="ar-SA"/>
              </w:rPr>
              <w:t>源，并组织灭火；</w:t>
            </w:r>
          </w:p>
          <w:p w14:paraId="33558CB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②条件允许时，迅速组织抢装井口和压井作业；</w:t>
            </w:r>
          </w:p>
          <w:p w14:paraId="3C46055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③井场四周设置围堤，防止喷出物污染环境；</w:t>
            </w:r>
          </w:p>
          <w:p w14:paraId="4C32F4B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④依据井喷事件程度确定警戒范围，撤离无关人员。</w:t>
            </w:r>
          </w:p>
          <w:p w14:paraId="3571834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3）遇险人员应急撤离条件：</w:t>
            </w:r>
          </w:p>
          <w:p w14:paraId="3DF7967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①井喷失控后，经采取措施无效，危及设施及人员生命安全或引起重大火灾无法控制时；</w:t>
            </w:r>
          </w:p>
          <w:p w14:paraId="1C5B1E5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②空气中硫化氢、甲烷浓度较高，且无法有效控制时；</w:t>
            </w:r>
          </w:p>
          <w:p w14:paraId="6E5D5C8D">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③由于各种原因（如油气泄漏）导致设施发生火灾，经采取措施无效，危及设施及人员生命安全时；</w:t>
            </w:r>
          </w:p>
          <w:p w14:paraId="29CB509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④由于各种原因导致设施发生爆炸，危及整个设施和人员生命安全时。</w:t>
            </w:r>
          </w:p>
          <w:p w14:paraId="7C0A55F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7.2井漏事故环境风险防范措施</w:t>
            </w:r>
          </w:p>
          <w:p w14:paraId="58831FC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①建立健全各项安全管理制度以及配套的工艺、设备安全操作规程并严格执行，确保施工质量，防漏、防窜，做好防腐工作。</w:t>
            </w:r>
          </w:p>
          <w:p w14:paraId="0530BAF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②操作人员应密切注意设备运行状况，发现管件破裂刺漏等问题及时处理；作业现场应配备消防设备以备应急救援。</w:t>
            </w:r>
          </w:p>
          <w:p w14:paraId="65AEA2D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③严格要求套管下入深度、确保固井质量。</w:t>
            </w:r>
          </w:p>
          <w:p w14:paraId="54415E5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④工程施工单位</w:t>
            </w:r>
            <w:r>
              <w:rPr>
                <w:rFonts w:hint="eastAsia" w:hAnsi="Times New Roman" w:cs="Times New Roman"/>
                <w:b w:val="0"/>
                <w:bCs w:val="0"/>
                <w:color w:val="auto"/>
                <w:kern w:val="0"/>
                <w:sz w:val="24"/>
                <w:szCs w:val="24"/>
                <w:highlight w:val="none"/>
                <w:lang w:val="en-US" w:eastAsia="zh-CN" w:bidi="ar-SA"/>
              </w:rPr>
              <w:t>须</w:t>
            </w:r>
            <w:r>
              <w:rPr>
                <w:rFonts w:hint="eastAsia" w:ascii="Times New Roman" w:hAnsi="Times New Roman" w:eastAsia="宋体" w:cs="Times New Roman"/>
                <w:b w:val="0"/>
                <w:bCs w:val="0"/>
                <w:color w:val="auto"/>
                <w:kern w:val="0"/>
                <w:sz w:val="24"/>
                <w:szCs w:val="24"/>
                <w:highlight w:val="none"/>
                <w:lang w:val="en-US" w:eastAsia="zh-CN" w:bidi="ar-SA"/>
              </w:rPr>
              <w:t>具备相应资质，加强对施工现场的安全组织管理和监督。</w:t>
            </w:r>
          </w:p>
          <w:p w14:paraId="59FD4D6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7.3硫化氢泄漏的监控与预防措施</w:t>
            </w:r>
          </w:p>
          <w:p w14:paraId="2C6A3FE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（1）监测与安全防护</w:t>
            </w:r>
          </w:p>
          <w:p w14:paraId="1CCAEFD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按照《硫化氢环境人身防护规范》（SY/T6277-2017）和《硫化氢环境</w:t>
            </w:r>
            <w:r>
              <w:rPr>
                <w:rFonts w:hint="eastAsia" w:hAnsi="Times New Roman"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采集与处理安全规范》（SY/T 6137-2024）要求进行。</w:t>
            </w:r>
          </w:p>
          <w:p w14:paraId="6911C4C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①作业人员巡检时应携带硫化氢</w:t>
            </w:r>
            <w:r>
              <w:rPr>
                <w:rFonts w:hint="eastAsia" w:hAnsi="Times New Roman" w:cs="Times New Roman"/>
                <w:b w:val="0"/>
                <w:bCs w:val="0"/>
                <w:color w:val="auto"/>
                <w:kern w:val="0"/>
                <w:sz w:val="24"/>
                <w:szCs w:val="24"/>
                <w:highlight w:val="none"/>
                <w:lang w:val="en-US" w:eastAsia="zh-CN" w:bidi="ar-SA"/>
              </w:rPr>
              <w:t>检测仪</w:t>
            </w:r>
            <w:r>
              <w:rPr>
                <w:rFonts w:hint="eastAsia" w:ascii="Times New Roman" w:hAnsi="Times New Roman" w:eastAsia="宋体" w:cs="Times New Roman"/>
                <w:b w:val="0"/>
                <w:bCs w:val="0"/>
                <w:color w:val="auto"/>
                <w:kern w:val="0"/>
                <w:sz w:val="24"/>
                <w:szCs w:val="24"/>
                <w:highlight w:val="none"/>
                <w:lang w:val="en-US" w:eastAsia="zh-CN" w:bidi="ar-SA"/>
              </w:rPr>
              <w:t>第1级预警阈值应设置为15mg/m</w:t>
            </w:r>
            <w:r>
              <w:rPr>
                <w:rFonts w:hint="eastAsia" w:ascii="Times New Roman" w:hAnsi="Times New Roman" w:eastAsia="宋体"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（或10ppm），第2级报警阈值应设置为30mg/m³（或20ppm），进入上述区域应注意是否有报警信号。</w:t>
            </w:r>
          </w:p>
          <w:p w14:paraId="5533C6A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②作业人员在检修和抢险作业时应</w:t>
            </w:r>
            <w:r>
              <w:rPr>
                <w:rFonts w:hint="eastAsia" w:hAnsi="Times New Roman" w:cs="Times New Roman"/>
                <w:b w:val="0"/>
                <w:bCs w:val="0"/>
                <w:color w:val="auto"/>
                <w:kern w:val="0"/>
                <w:sz w:val="24"/>
                <w:szCs w:val="24"/>
                <w:highlight w:val="none"/>
                <w:lang w:val="en-US" w:eastAsia="zh-CN" w:bidi="ar-SA"/>
              </w:rPr>
              <w:t>携带</w:t>
            </w:r>
            <w:r>
              <w:rPr>
                <w:rFonts w:hint="eastAsia" w:ascii="Times New Roman" w:hAnsi="Times New Roman" w:eastAsia="宋体" w:cs="Times New Roman"/>
                <w:b w:val="0"/>
                <w:bCs w:val="0"/>
                <w:color w:val="auto"/>
                <w:kern w:val="0"/>
                <w:sz w:val="24"/>
                <w:szCs w:val="24"/>
                <w:highlight w:val="none"/>
                <w:lang w:val="en-US" w:eastAsia="zh-CN" w:bidi="ar-SA"/>
              </w:rPr>
              <w:t>硫化氢</w:t>
            </w:r>
            <w:r>
              <w:rPr>
                <w:rFonts w:hint="eastAsia" w:hAnsi="Times New Roman" w:cs="Times New Roman"/>
                <w:b w:val="0"/>
                <w:bCs w:val="0"/>
                <w:color w:val="auto"/>
                <w:kern w:val="0"/>
                <w:sz w:val="24"/>
                <w:szCs w:val="24"/>
                <w:highlight w:val="none"/>
                <w:lang w:val="en-US" w:eastAsia="zh-CN" w:bidi="ar-SA"/>
              </w:rPr>
              <w:t>监测仪</w:t>
            </w:r>
            <w:r>
              <w:rPr>
                <w:rFonts w:hint="eastAsia" w:ascii="Times New Roman" w:hAnsi="Times New Roman" w:eastAsia="宋体" w:cs="Times New Roman"/>
                <w:b w:val="0"/>
                <w:bCs w:val="0"/>
                <w:color w:val="auto"/>
                <w:kern w:val="0"/>
                <w:sz w:val="24"/>
                <w:szCs w:val="24"/>
                <w:highlight w:val="none"/>
                <w:lang w:val="en-US" w:eastAsia="zh-CN" w:bidi="ar-SA"/>
              </w:rPr>
              <w:t xml:space="preserve">和正压式空气呼吸器。 </w:t>
            </w:r>
          </w:p>
          <w:p w14:paraId="332EA7C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③当监测到空气中硫化氢的浓度达到15mg/m</w:t>
            </w:r>
            <w:r>
              <w:rPr>
                <w:rFonts w:hint="eastAsia" w:hAnsi="Times New Roman" w:cs="Times New Roman"/>
                <w:b w:val="0"/>
                <w:bCs w:val="0"/>
                <w:color w:val="auto"/>
                <w:kern w:val="0"/>
                <w:sz w:val="24"/>
                <w:szCs w:val="24"/>
                <w:highlight w:val="none"/>
                <w:vertAlign w:val="superscript"/>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（或10ppm）时，作业人员应检查泄漏点，准备防护用具，迅速打开排风扇，实施应急程序。</w:t>
            </w:r>
          </w:p>
          <w:p w14:paraId="060EACB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④当监测到空气中硫化氢的浓度达到30mg/m³（或20ppm）时，作业人员应该迅速打开排风扇，疏散人员。作业人员应戴上防护用具，进入紧急状态，立即实施应急方案。</w:t>
            </w:r>
          </w:p>
          <w:p w14:paraId="6637273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⑤当监测到空气中硫化氢浓度达到150mg/m³（或100ppm）时，应组织周边危险区域内的作业人员有秩序地迅速向上风向撤离到安全区域。</w:t>
            </w:r>
          </w:p>
          <w:p w14:paraId="3733474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（2）预防措施</w:t>
            </w:r>
          </w:p>
          <w:p w14:paraId="68DC393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在含硫化氢环境中的作业人员上岗前都应接受H</w:t>
            </w:r>
            <w:r>
              <w:rPr>
                <w:rFonts w:hint="eastAsia" w:ascii="Times New Roman" w:hAnsi="Times New Roman" w:eastAsia="宋体" w:cs="Times New Roman"/>
                <w:b w:val="0"/>
                <w:bCs w:val="0"/>
                <w:color w:val="auto"/>
                <w:kern w:val="0"/>
                <w:sz w:val="24"/>
                <w:szCs w:val="24"/>
                <w:highlight w:val="none"/>
                <w:vertAlign w:val="subscript"/>
                <w:lang w:val="en-US" w:eastAsia="zh-CN" w:bidi="ar-SA"/>
              </w:rPr>
              <w:t>2</w:t>
            </w:r>
            <w:r>
              <w:rPr>
                <w:rFonts w:hint="eastAsia" w:ascii="Times New Roman" w:hAnsi="Times New Roman" w:eastAsia="宋体" w:cs="Times New Roman"/>
                <w:b w:val="0"/>
                <w:bCs w:val="0"/>
                <w:color w:val="auto"/>
                <w:kern w:val="0"/>
                <w:sz w:val="24"/>
                <w:szCs w:val="24"/>
                <w:highlight w:val="none"/>
                <w:lang w:val="en-US" w:eastAsia="zh-CN" w:bidi="ar-SA"/>
              </w:rPr>
              <w:t>S危害及人身防护措施的培训，经考核合格后方能持证上岗。</w:t>
            </w:r>
          </w:p>
          <w:p w14:paraId="1599344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①在钻井作业期间，比如放喷、拆卸井口设备和起下管柱、循环钻井液等，应采取特别预防措施，以避免残存其中的硫化氢释放出来造成危害。</w:t>
            </w:r>
          </w:p>
          <w:p w14:paraId="79640C3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②为避免无风和微风情况下硫化氢的积聚，可以使用防爆通风设备将有毒气体吹往期望的方向。</w:t>
            </w:r>
          </w:p>
          <w:p w14:paraId="7C23EAC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③应特别注意低洼的工作区域，比如井口方井，由于较重的硫化氢或二氧化硫在这些地点的沉积，可能会达到有害的浓度。</w:t>
            </w:r>
          </w:p>
          <w:p w14:paraId="163AC1C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④当人员在达到硫化氢危险临界浓度[150mg/m³（100ppm）]的大气环境中执行任务时，应有接受过救护技术培训的值班救护人员，同时应备有必要的救护设备，包括适用的呼吸器具。</w:t>
            </w:r>
          </w:p>
          <w:p w14:paraId="39EEC55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7.4 危险废物运输事故风险防范</w:t>
            </w:r>
          </w:p>
          <w:p w14:paraId="6D2FC24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危险废物运输的事故隐患主要是从泄漏开始的。因此，行车途中要勤于检查。当行驶一定时间后要查看一下车厢底部四周有无泄漏液体，若有液体泄漏，应查找泄漏点，采取相应的应急措施，防止液体继续泄漏，将受到污染的</w:t>
            </w:r>
            <w:r>
              <w:rPr>
                <w:rFonts w:hint="eastAsia" w:hAnsi="Times New Roman" w:cs="Times New Roman"/>
                <w:b w:val="0"/>
                <w:bCs w:val="0"/>
                <w:color w:val="auto"/>
                <w:kern w:val="0"/>
                <w:sz w:val="24"/>
                <w:szCs w:val="24"/>
                <w:highlight w:val="none"/>
                <w:lang w:val="en-US" w:eastAsia="zh-CN" w:bidi="ar-SA"/>
              </w:rPr>
              <w:t>土壤</w:t>
            </w:r>
            <w:r>
              <w:rPr>
                <w:rFonts w:hint="eastAsia" w:ascii="Times New Roman" w:hAnsi="Times New Roman" w:eastAsia="宋体" w:cs="Times New Roman"/>
                <w:b w:val="0"/>
                <w:bCs w:val="0"/>
                <w:color w:val="auto"/>
                <w:kern w:val="0"/>
                <w:sz w:val="24"/>
                <w:szCs w:val="24"/>
                <w:highlight w:val="none"/>
                <w:lang w:val="en-US" w:eastAsia="zh-CN" w:bidi="ar-SA"/>
              </w:rPr>
              <w:t>全部回收，委托有资质的单位处理。</w:t>
            </w:r>
          </w:p>
          <w:p w14:paraId="1D0EBEC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危险废物运输过程中主要风险防范措施如下：</w:t>
            </w:r>
          </w:p>
          <w:p w14:paraId="0395E20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①运输时应当采取密闭、遮盖、捆扎、喷淋等措施防止扬散；</w:t>
            </w:r>
          </w:p>
          <w:p w14:paraId="1E5B8E4D">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②对运输危险废物的设施和设备应当加强管理和维护，保证其正常运行和使用；</w:t>
            </w:r>
          </w:p>
          <w:p w14:paraId="31691B2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③不能混合运输性质不相容而又未经安全性处置的危险废物；</w:t>
            </w:r>
          </w:p>
          <w:p w14:paraId="69AD4F5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④转移危险废物时，必须按照规定向危险废物移出地和</w:t>
            </w:r>
            <w:r>
              <w:rPr>
                <w:rFonts w:hint="eastAsia" w:hAnsi="Times New Roman" w:cs="Times New Roman"/>
                <w:b w:val="0"/>
                <w:bCs w:val="0"/>
                <w:color w:val="auto"/>
                <w:kern w:val="0"/>
                <w:sz w:val="24"/>
                <w:szCs w:val="24"/>
                <w:highlight w:val="none"/>
                <w:lang w:val="en-US" w:eastAsia="zh-CN" w:bidi="ar-SA"/>
              </w:rPr>
              <w:t>接收</w:t>
            </w:r>
            <w:r>
              <w:rPr>
                <w:rFonts w:hint="eastAsia" w:ascii="Times New Roman" w:hAnsi="Times New Roman" w:eastAsia="宋体" w:cs="Times New Roman"/>
                <w:b w:val="0"/>
                <w:bCs w:val="0"/>
                <w:color w:val="auto"/>
                <w:kern w:val="0"/>
                <w:sz w:val="24"/>
                <w:szCs w:val="24"/>
                <w:highlight w:val="none"/>
                <w:lang w:val="en-US" w:eastAsia="zh-CN" w:bidi="ar-SA"/>
              </w:rPr>
              <w:t>地的县级以上地方人民政府环境保护行政主管部门报告；</w:t>
            </w:r>
          </w:p>
          <w:p w14:paraId="2762308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⑤禁止将危险废物与旅客在同一运输工具上载运；</w:t>
            </w:r>
          </w:p>
          <w:p w14:paraId="5E5493F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⑥运输危险废物的设施和设备在转作他用时，必须经过消除污染的处理，方可使用；</w:t>
            </w:r>
          </w:p>
          <w:p w14:paraId="59C613E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⑦运输危险废物的人员，应当接受专业培训；经考核合格后，方可从事运输危险废物的工作；</w:t>
            </w:r>
          </w:p>
          <w:p w14:paraId="0F91B94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⑧运输危险废物的单位应当制定在发生意外事故时采取的应急措施和防范措施；</w:t>
            </w:r>
          </w:p>
          <w:p w14:paraId="6FF8D95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⑨运输时，发生突发性事故必须立即采取措施消除或者减轻对环境的污染危害，及时通报给附近的单位和居民，并向事故发生地县级以上人民政府环境保护行政主管部门和有关部门报告，接受调查处理。</w:t>
            </w:r>
          </w:p>
          <w:p w14:paraId="7996105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hAnsi="Times New Roman" w:cs="Times New Roman"/>
                <w:b/>
                <w:bCs/>
                <w:color w:val="auto"/>
                <w:kern w:val="0"/>
                <w:sz w:val="24"/>
                <w:szCs w:val="24"/>
                <w:highlight w:val="none"/>
                <w:lang w:val="en-US" w:eastAsia="zh-CN" w:bidi="ar-SA"/>
              </w:rPr>
              <w:t>7.5</w:t>
            </w:r>
            <w:r>
              <w:rPr>
                <w:rFonts w:hint="eastAsia" w:ascii="Times New Roman" w:hAnsi="Times New Roman" w:eastAsia="宋体" w:cs="Times New Roman"/>
                <w:b/>
                <w:bCs/>
                <w:color w:val="auto"/>
                <w:kern w:val="0"/>
                <w:sz w:val="24"/>
                <w:szCs w:val="24"/>
                <w:highlight w:val="none"/>
                <w:lang w:val="en-US" w:eastAsia="zh-CN" w:bidi="ar-SA"/>
              </w:rPr>
              <w:t>油品储罐泄漏事故防范应急措施</w:t>
            </w:r>
          </w:p>
          <w:p w14:paraId="1279E44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1）储罐泄漏事故防范措施</w:t>
            </w:r>
          </w:p>
          <w:p w14:paraId="66A2E1F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严格按照《危险化学品安全管理条例》的要求，加强对危险化学品的管理；制定危险化学品安全操作规程，要求操作人员严格按操作规程作业；对从事危险化</w:t>
            </w:r>
            <w:r>
              <w:rPr>
                <w:rFonts w:hint="eastAsia" w:hAnsi="Times New Roman" w:cs="Times New Roman"/>
                <w:b w:val="0"/>
                <w:bCs w:val="0"/>
                <w:color w:val="auto"/>
                <w:kern w:val="0"/>
                <w:sz w:val="24"/>
                <w:szCs w:val="24"/>
                <w:highlight w:val="none"/>
                <w:lang w:val="en-US" w:eastAsia="zh-CN" w:bidi="ar-SA"/>
              </w:rPr>
              <w:t>学品</w:t>
            </w:r>
            <w:r>
              <w:rPr>
                <w:rFonts w:hint="eastAsia" w:ascii="Times New Roman" w:hAnsi="Times New Roman" w:eastAsia="宋体" w:cs="Times New Roman"/>
                <w:b w:val="0"/>
                <w:bCs w:val="0"/>
                <w:color w:val="auto"/>
                <w:kern w:val="0"/>
                <w:sz w:val="24"/>
                <w:szCs w:val="24"/>
                <w:highlight w:val="none"/>
                <w:lang w:val="en-US" w:eastAsia="zh-CN" w:bidi="ar-SA"/>
              </w:rPr>
              <w:t>作业人员定期进行安全培训教育；经常性对危险化学品作业场所进行安全检查。设立专用存放区，</w:t>
            </w:r>
            <w:r>
              <w:rPr>
                <w:rFonts w:hint="eastAsia" w:hAnsi="Times New Roman" w:cs="Times New Roman"/>
                <w:b w:val="0"/>
                <w:bCs w:val="0"/>
                <w:color w:val="auto"/>
                <w:kern w:val="0"/>
                <w:sz w:val="24"/>
                <w:szCs w:val="24"/>
                <w:highlight w:val="none"/>
                <w:lang w:val="en-US" w:eastAsia="zh-CN" w:bidi="ar-SA"/>
              </w:rPr>
              <w:t>设置围堰，</w:t>
            </w:r>
            <w:r>
              <w:rPr>
                <w:rFonts w:hint="eastAsia" w:ascii="Times New Roman" w:hAnsi="Times New Roman" w:eastAsia="宋体" w:cs="Times New Roman"/>
                <w:b w:val="0"/>
                <w:bCs w:val="0"/>
                <w:color w:val="auto"/>
                <w:kern w:val="0"/>
                <w:sz w:val="24"/>
                <w:szCs w:val="24"/>
                <w:highlight w:val="none"/>
                <w:lang w:val="en-US" w:eastAsia="zh-CN" w:bidi="ar-SA"/>
              </w:rPr>
              <w:t>使其符合储存危险化学品的相关条件（如防晒、防潮、通风、防雷、防静电</w:t>
            </w:r>
            <w:r>
              <w:rPr>
                <w:rFonts w:hint="eastAsia" w:hAnsi="Times New Roman" w:cs="Times New Roman"/>
                <w:b w:val="0"/>
                <w:bCs w:val="0"/>
                <w:color w:val="auto"/>
                <w:kern w:val="0"/>
                <w:sz w:val="24"/>
                <w:szCs w:val="24"/>
                <w:highlight w:val="none"/>
                <w:lang w:val="en-US" w:eastAsia="zh-CN" w:bidi="ar-SA"/>
              </w:rPr>
              <w:t>、防泄漏</w:t>
            </w:r>
            <w:r>
              <w:rPr>
                <w:rFonts w:hint="eastAsia" w:ascii="Times New Roman" w:hAnsi="Times New Roman" w:eastAsia="宋体" w:cs="Times New Roman"/>
                <w:b w:val="0"/>
                <w:bCs w:val="0"/>
                <w:color w:val="auto"/>
                <w:kern w:val="0"/>
                <w:sz w:val="24"/>
                <w:szCs w:val="24"/>
                <w:highlight w:val="none"/>
                <w:lang w:val="en-US" w:eastAsia="zh-CN" w:bidi="ar-SA"/>
              </w:rPr>
              <w:t>等）；建立健全安全规程及值勤制度，设置通讯、报警装置，确保其处于完好状态；对储存危险化学品的容器，需经有关检验部门检验合格，并设置明显的标识及警示牌；对使用危险化学品的名称、数量进行严格登记；凡储存、使用危险化学品的岗位，都应配置合格的防毒、消防器材，并确保其处于完好状态；所有进入存放、使用危险化学品区域的人员，都必须严格遵守《危险化学品管理制度》。</w:t>
            </w:r>
          </w:p>
          <w:p w14:paraId="6A9AF22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2）</w:t>
            </w:r>
            <w:r>
              <w:rPr>
                <w:rFonts w:hint="eastAsia" w:hAnsi="Times New Roman" w:cs="Times New Roman"/>
                <w:b w:val="0"/>
                <w:bCs w:val="0"/>
                <w:color w:val="auto"/>
                <w:kern w:val="0"/>
                <w:sz w:val="24"/>
                <w:szCs w:val="24"/>
                <w:highlight w:val="none"/>
                <w:lang w:val="en-US" w:eastAsia="zh-CN" w:bidi="ar-SA"/>
              </w:rPr>
              <w:t>原油</w:t>
            </w:r>
            <w:r>
              <w:rPr>
                <w:rFonts w:hint="eastAsia" w:ascii="Times New Roman" w:hAnsi="Times New Roman" w:eastAsia="宋体" w:cs="Times New Roman"/>
                <w:b w:val="0"/>
                <w:bCs w:val="0"/>
                <w:color w:val="auto"/>
                <w:kern w:val="0"/>
                <w:sz w:val="24"/>
                <w:szCs w:val="24"/>
                <w:highlight w:val="none"/>
                <w:lang w:val="en-US" w:eastAsia="zh-CN" w:bidi="ar-SA"/>
              </w:rPr>
              <w:t>罐泄漏事故应急措施</w:t>
            </w:r>
          </w:p>
          <w:p w14:paraId="757A286D">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①若</w:t>
            </w:r>
            <w:r>
              <w:rPr>
                <w:rFonts w:hint="eastAsia" w:hAnsi="Times New Roman" w:cs="Times New Roman"/>
                <w:b w:val="0"/>
                <w:bCs w:val="0"/>
                <w:color w:val="auto"/>
                <w:kern w:val="0"/>
                <w:sz w:val="24"/>
                <w:szCs w:val="24"/>
                <w:highlight w:val="none"/>
                <w:lang w:val="en-US" w:eastAsia="zh-CN" w:bidi="ar-SA"/>
              </w:rPr>
              <w:t>原油</w:t>
            </w:r>
            <w:r>
              <w:rPr>
                <w:rFonts w:hint="eastAsia" w:ascii="Times New Roman" w:hAnsi="Times New Roman" w:eastAsia="宋体" w:cs="Times New Roman"/>
                <w:b w:val="0"/>
                <w:bCs w:val="0"/>
                <w:color w:val="auto"/>
                <w:kern w:val="0"/>
                <w:sz w:val="24"/>
                <w:szCs w:val="24"/>
                <w:highlight w:val="none"/>
                <w:lang w:val="en-US" w:eastAsia="zh-CN" w:bidi="ar-SA"/>
              </w:rPr>
              <w:t>储罐出现泄漏，确定泄漏源的位置；</w:t>
            </w:r>
          </w:p>
          <w:p w14:paraId="67475BD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②关断泄漏处两端阀门或关停设备，对泄漏处进行紧急堵漏处理；</w:t>
            </w:r>
          </w:p>
          <w:p w14:paraId="6DA42CE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③对于泄漏的</w:t>
            </w:r>
            <w:r>
              <w:rPr>
                <w:rFonts w:hint="eastAsia" w:hAnsi="Times New Roman" w:cs="Times New Roman"/>
                <w:b w:val="0"/>
                <w:bCs w:val="0"/>
                <w:color w:val="auto"/>
                <w:kern w:val="0"/>
                <w:sz w:val="24"/>
                <w:szCs w:val="24"/>
                <w:highlight w:val="none"/>
                <w:lang w:val="en-US" w:eastAsia="zh-CN" w:bidi="ar-SA"/>
              </w:rPr>
              <w:t>油料</w:t>
            </w:r>
            <w:r>
              <w:rPr>
                <w:rFonts w:hint="eastAsia" w:ascii="Times New Roman" w:hAnsi="Times New Roman" w:eastAsia="宋体" w:cs="Times New Roman"/>
                <w:b w:val="0"/>
                <w:bCs w:val="0"/>
                <w:color w:val="auto"/>
                <w:kern w:val="0"/>
                <w:sz w:val="24"/>
                <w:szCs w:val="24"/>
                <w:highlight w:val="none"/>
                <w:lang w:val="en-US" w:eastAsia="zh-CN" w:bidi="ar-SA"/>
              </w:rPr>
              <w:t>等进行有效防护或</w:t>
            </w:r>
            <w:r>
              <w:rPr>
                <w:rFonts w:hint="eastAsia" w:hAnsi="Times New Roman" w:cs="Times New Roman"/>
                <w:b w:val="0"/>
                <w:bCs w:val="0"/>
                <w:color w:val="auto"/>
                <w:kern w:val="0"/>
                <w:sz w:val="24"/>
                <w:szCs w:val="24"/>
                <w:highlight w:val="none"/>
                <w:lang w:val="en-US" w:eastAsia="zh-CN" w:bidi="ar-SA"/>
              </w:rPr>
              <w:t>转移至</w:t>
            </w:r>
            <w:r>
              <w:rPr>
                <w:rFonts w:hint="eastAsia" w:ascii="Times New Roman" w:hAnsi="Times New Roman" w:eastAsia="宋体" w:cs="Times New Roman"/>
                <w:b w:val="0"/>
                <w:bCs w:val="0"/>
                <w:color w:val="auto"/>
                <w:kern w:val="0"/>
                <w:sz w:val="24"/>
                <w:szCs w:val="24"/>
                <w:highlight w:val="none"/>
                <w:lang w:val="en-US" w:eastAsia="zh-CN" w:bidi="ar-SA"/>
              </w:rPr>
              <w:t>安全处，防止发生火灾、爆炸事故；</w:t>
            </w:r>
          </w:p>
          <w:p w14:paraId="644F2A6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④采取围堰堵截的方式，使泄漏物不外流，防止污染物扩散，确保总排口阀门处于关闭状态，如果发生大型泄漏或火灾事故，启用事故应急池导流设施将物料或消防水引至应急池或应急罐；</w:t>
            </w:r>
          </w:p>
          <w:p w14:paraId="68ED2C8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⑤现场密切监测泄漏物、泄漏点状况，当泄漏无法控制时，人员在切断泄漏点与生产系统等的连接后，根据风向标的指示，紧急撤离至安全区域；</w:t>
            </w:r>
          </w:p>
          <w:p w14:paraId="1A298F1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⑥如果发生泄漏，则用工具进行收集；</w:t>
            </w:r>
          </w:p>
          <w:p w14:paraId="37ABFAD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⑦确定是否已有泄漏物质进入</w:t>
            </w:r>
            <w:r>
              <w:rPr>
                <w:rFonts w:hint="eastAsia" w:hAnsi="Times New Roman" w:cs="Times New Roman"/>
                <w:b w:val="0"/>
                <w:bCs w:val="0"/>
                <w:color w:val="auto"/>
                <w:kern w:val="0"/>
                <w:sz w:val="24"/>
                <w:szCs w:val="24"/>
                <w:highlight w:val="none"/>
                <w:lang w:val="en-US" w:eastAsia="zh-CN" w:bidi="ar-SA"/>
              </w:rPr>
              <w:t>若羌河</w:t>
            </w:r>
            <w:r>
              <w:rPr>
                <w:rFonts w:hint="eastAsia" w:ascii="Times New Roman" w:hAnsi="Times New Roman" w:eastAsia="宋体" w:cs="Times New Roman"/>
                <w:b w:val="0"/>
                <w:bCs w:val="0"/>
                <w:color w:val="auto"/>
                <w:kern w:val="0"/>
                <w:sz w:val="24"/>
                <w:szCs w:val="24"/>
                <w:highlight w:val="none"/>
                <w:lang w:val="en-US" w:eastAsia="zh-CN" w:bidi="ar-SA"/>
              </w:rPr>
              <w:t>；</w:t>
            </w:r>
          </w:p>
          <w:p w14:paraId="780C320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⑧事件发生后，应急监测小组对厂区、周围敏感目标大气污染物浓度进行监测，及时、准确地确定超标的项目及超标量，立即向应急指挥中心汇报监测结果。</w:t>
            </w:r>
          </w:p>
          <w:p w14:paraId="52ECE8D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）柴油外溢措施</w:t>
            </w:r>
          </w:p>
          <w:p w14:paraId="173C598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钻井期间</w:t>
            </w:r>
            <w:r>
              <w:rPr>
                <w:rFonts w:hint="eastAsia" w:hAnsi="Times New Roman" w:cs="Times New Roman"/>
                <w:b w:val="0"/>
                <w:bCs w:val="0"/>
                <w:color w:val="auto"/>
                <w:kern w:val="0"/>
                <w:sz w:val="24"/>
                <w:szCs w:val="24"/>
                <w:highlight w:val="none"/>
                <w:lang w:val="en-US" w:eastAsia="zh-CN" w:bidi="ar-SA"/>
              </w:rPr>
              <w:t>备用发电情况下会</w:t>
            </w:r>
            <w:r>
              <w:rPr>
                <w:rFonts w:hint="eastAsia" w:ascii="Times New Roman" w:hAnsi="Times New Roman" w:eastAsia="宋体" w:cs="Times New Roman"/>
                <w:b w:val="0"/>
                <w:bCs w:val="0"/>
                <w:color w:val="auto"/>
                <w:kern w:val="0"/>
                <w:sz w:val="24"/>
                <w:szCs w:val="24"/>
                <w:highlight w:val="none"/>
                <w:lang w:val="en-US" w:eastAsia="zh-CN" w:bidi="ar-SA"/>
              </w:rPr>
              <w:t>用到柴油发电机，柴油储存在</w:t>
            </w:r>
            <w:r>
              <w:rPr>
                <w:rFonts w:hint="eastAsia" w:hAnsi="Times New Roman" w:cs="Times New Roman"/>
                <w:b w:val="0"/>
                <w:bCs w:val="0"/>
                <w:color w:val="auto"/>
                <w:kern w:val="0"/>
                <w:sz w:val="24"/>
                <w:szCs w:val="24"/>
                <w:highlight w:val="none"/>
                <w:lang w:val="en-US" w:eastAsia="zh-CN" w:bidi="ar-SA"/>
              </w:rPr>
              <w:t>柴油储</w:t>
            </w:r>
            <w:r>
              <w:rPr>
                <w:rFonts w:hint="eastAsia" w:ascii="Times New Roman" w:hAnsi="Times New Roman" w:eastAsia="宋体" w:cs="Times New Roman"/>
                <w:b w:val="0"/>
                <w:bCs w:val="0"/>
                <w:color w:val="auto"/>
                <w:kern w:val="0"/>
                <w:sz w:val="24"/>
                <w:szCs w:val="24"/>
                <w:highlight w:val="none"/>
                <w:lang w:val="en-US" w:eastAsia="zh-CN" w:bidi="ar-SA"/>
              </w:rPr>
              <w:t>罐中，为防止柴油罐泄漏污染土壤和地下水，环评要求采取以下措施：</w:t>
            </w:r>
          </w:p>
          <w:p w14:paraId="7F46E29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①加强油罐的维护保养，避免柴油泄漏事件的发生。</w:t>
            </w:r>
          </w:p>
          <w:p w14:paraId="3444A49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hAnsi="Times New Roman" w:cs="Times New Roman"/>
                <w:b w:val="0"/>
                <w:bCs w:val="0"/>
                <w:color w:val="auto"/>
                <w:kern w:val="0"/>
                <w:sz w:val="24"/>
                <w:szCs w:val="24"/>
                <w:highlight w:val="none"/>
                <w:lang w:val="en-US" w:eastAsia="zh-CN" w:bidi="ar-SA"/>
              </w:rPr>
            </w:pPr>
            <w:bookmarkStart w:id="25" w:name="_Toc19801"/>
            <w:bookmarkStart w:id="26" w:name="_Toc19914"/>
            <w:r>
              <w:rPr>
                <w:rFonts w:hint="eastAsia" w:ascii="Times New Roman" w:hAnsi="Times New Roman" w:eastAsia="宋体" w:cs="Times New Roman"/>
                <w:b w:val="0"/>
                <w:bCs w:val="0"/>
                <w:color w:val="auto"/>
                <w:kern w:val="0"/>
                <w:sz w:val="24"/>
                <w:szCs w:val="24"/>
                <w:highlight w:val="none"/>
                <w:lang w:val="en-US" w:eastAsia="zh-CN" w:bidi="ar-SA"/>
              </w:rPr>
              <w:t>②在油罐</w:t>
            </w:r>
            <w:r>
              <w:rPr>
                <w:rFonts w:hint="eastAsia" w:hAnsi="Times New Roman" w:cs="Times New Roman"/>
                <w:b w:val="0"/>
                <w:bCs w:val="0"/>
                <w:color w:val="auto"/>
                <w:kern w:val="0"/>
                <w:sz w:val="24"/>
                <w:szCs w:val="24"/>
                <w:highlight w:val="none"/>
                <w:lang w:val="en-US" w:eastAsia="zh-CN" w:bidi="ar-SA"/>
              </w:rPr>
              <w:t>周边</w:t>
            </w:r>
            <w:r>
              <w:rPr>
                <w:rFonts w:hint="eastAsia" w:ascii="Times New Roman" w:hAnsi="Times New Roman" w:eastAsia="宋体" w:cs="Times New Roman"/>
                <w:b w:val="0"/>
                <w:bCs w:val="0"/>
                <w:color w:val="auto"/>
                <w:kern w:val="0"/>
                <w:sz w:val="24"/>
                <w:szCs w:val="24"/>
                <w:highlight w:val="none"/>
                <w:lang w:val="en-US" w:eastAsia="zh-CN" w:bidi="ar-SA"/>
              </w:rPr>
              <w:t>设置</w:t>
            </w:r>
            <w:r>
              <w:rPr>
                <w:rFonts w:hint="eastAsia" w:hAnsi="Times New Roman" w:cs="Times New Roman"/>
                <w:b w:val="0"/>
                <w:bCs w:val="0"/>
                <w:color w:val="auto"/>
                <w:kern w:val="0"/>
                <w:sz w:val="24"/>
                <w:szCs w:val="24"/>
                <w:highlight w:val="none"/>
                <w:lang w:val="en-US" w:eastAsia="zh-CN" w:bidi="ar-SA"/>
              </w:rPr>
              <w:t>围堰</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eastAsia" w:hAnsi="Times New Roman" w:cs="Times New Roman"/>
                <w:b w:val="0"/>
                <w:bCs w:val="0"/>
                <w:color w:val="auto"/>
                <w:kern w:val="0"/>
                <w:sz w:val="24"/>
                <w:szCs w:val="24"/>
                <w:highlight w:val="none"/>
                <w:lang w:val="en-US" w:eastAsia="zh-CN" w:bidi="ar-SA"/>
              </w:rPr>
              <w:t>围堰容积应满足容纳储罐全部柴油泄漏量的要求，对围堰内部及周边区域进行防渗处理，确保渗透系数满足要求。</w:t>
            </w:r>
            <w:r>
              <w:rPr>
                <w:rFonts w:hint="eastAsia" w:ascii="Times New Roman" w:hAnsi="Times New Roman" w:eastAsia="宋体" w:cs="Times New Roman"/>
                <w:b w:val="0"/>
                <w:bCs w:val="0"/>
                <w:color w:val="auto"/>
                <w:kern w:val="0"/>
                <w:sz w:val="24"/>
                <w:szCs w:val="24"/>
                <w:highlight w:val="none"/>
                <w:lang w:val="en-US" w:eastAsia="zh-CN" w:bidi="ar-SA"/>
              </w:rPr>
              <w:t>如发生油品泄漏，</w:t>
            </w:r>
            <w:r>
              <w:rPr>
                <w:rFonts w:hint="eastAsia" w:hAnsi="Times New Roman" w:cs="Times New Roman"/>
                <w:b w:val="0"/>
                <w:bCs w:val="0"/>
                <w:color w:val="auto"/>
                <w:kern w:val="0"/>
                <w:sz w:val="24"/>
                <w:szCs w:val="24"/>
                <w:highlight w:val="none"/>
                <w:lang w:val="en-US" w:eastAsia="zh-CN" w:bidi="ar-SA"/>
              </w:rPr>
              <w:t>泄漏的油品全部收集在围堰内，采用吸附材料对泄漏油品进行吸附收集，所有吸附废物作为危险废物交由有资质单位处置，严禁泄漏油品流出围堰外。</w:t>
            </w:r>
          </w:p>
          <w:p w14:paraId="62E8410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hAnsi="Times New Roman" w:cs="Times New Roman"/>
                <w:b w:val="0"/>
                <w:bCs w:val="0"/>
                <w:color w:val="auto"/>
                <w:kern w:val="0"/>
                <w:sz w:val="24"/>
                <w:szCs w:val="24"/>
                <w:highlight w:val="none"/>
                <w:lang w:val="en-US" w:eastAsia="zh-CN" w:bidi="ar-SA"/>
              </w:rPr>
              <w:t>综上，施工期通过落实以上环境风险防范与应急措施，可有效降低环境风险发生概率，减轻风险事故对周边环境的不利影响，环境风险可控</w:t>
            </w:r>
            <w:r>
              <w:rPr>
                <w:rFonts w:hint="eastAsia" w:ascii="Times New Roman" w:hAnsi="Times New Roman" w:eastAsia="宋体" w:cs="Times New Roman"/>
                <w:b w:val="0"/>
                <w:bCs w:val="0"/>
                <w:color w:val="auto"/>
                <w:kern w:val="0"/>
                <w:sz w:val="24"/>
                <w:szCs w:val="24"/>
                <w:highlight w:val="none"/>
                <w:lang w:val="en-US" w:eastAsia="zh-CN" w:bidi="ar-SA"/>
              </w:rPr>
              <w:t>。</w:t>
            </w:r>
          </w:p>
          <w:p w14:paraId="345B4A0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7.6CNG储罐泄漏事故防范措施</w:t>
            </w:r>
          </w:p>
          <w:p w14:paraId="491C4BE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 CNG 储罐选用合格压力容器，配套紧急切断、安全阀、可</w:t>
            </w:r>
            <w:r>
              <w:rPr>
                <w:rFonts w:hint="eastAsia" w:hAnsi="Times New Roman" w:cs="Times New Roman"/>
                <w:b w:val="0"/>
                <w:bCs w:val="0"/>
                <w:color w:val="auto"/>
                <w:kern w:val="0"/>
                <w:sz w:val="24"/>
                <w:szCs w:val="24"/>
                <w:highlight w:val="none"/>
                <w:lang w:val="en-US" w:eastAsia="zh-CN" w:bidi="ar-SA"/>
              </w:rPr>
              <w:t>燃气</w:t>
            </w:r>
            <w:r>
              <w:rPr>
                <w:rFonts w:hint="eastAsia" w:ascii="Times New Roman" w:hAnsi="Times New Roman" w:eastAsia="宋体" w:cs="Times New Roman"/>
                <w:b w:val="0"/>
                <w:bCs w:val="0"/>
                <w:color w:val="auto"/>
                <w:kern w:val="0"/>
                <w:sz w:val="24"/>
                <w:szCs w:val="24"/>
                <w:highlight w:val="none"/>
                <w:lang w:val="en-US" w:eastAsia="zh-CN" w:bidi="ar-SA"/>
              </w:rPr>
              <w:t>体探测及联锁报警系统，罐区采用防爆电气、防雷防静电接地、防撞及防爆通风设施；落实特种设备定期检验、附件校验与日常检漏，规范充装、动火等作业管理，严控点火源，配套消防设施；编制泄漏专项应急预案并定期演练，配备应急器材，发生泄漏时及时切断气源、疏散人员、放空泄压，杜绝盲目带压堵漏；健全安全管理制度，开展培训及隐患排查闭环管理，防范 CNG 储罐泄漏事故。</w:t>
            </w:r>
          </w:p>
          <w:bookmarkEnd w:id="25"/>
          <w:bookmarkEnd w:id="26"/>
          <w:p w14:paraId="024CACD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bCs/>
                <w:color w:val="auto"/>
                <w:kern w:val="0"/>
                <w:sz w:val="24"/>
                <w:szCs w:val="24"/>
                <w:highlight w:val="none"/>
                <w:lang w:val="en-US" w:eastAsia="zh-CN" w:bidi="ar-SA"/>
              </w:rPr>
            </w:pPr>
            <w:bookmarkStart w:id="27" w:name="_Toc22205"/>
            <w:r>
              <w:rPr>
                <w:rFonts w:hint="eastAsia" w:ascii="Times New Roman" w:hAnsi="Times New Roman" w:eastAsia="宋体" w:cs="Times New Roman"/>
                <w:b/>
                <w:bCs/>
                <w:color w:val="auto"/>
                <w:kern w:val="0"/>
                <w:sz w:val="24"/>
                <w:szCs w:val="24"/>
                <w:highlight w:val="none"/>
                <w:lang w:val="en-US" w:eastAsia="zh-CN" w:bidi="ar-SA"/>
              </w:rPr>
              <w:t>7.</w:t>
            </w:r>
            <w:r>
              <w:rPr>
                <w:rFonts w:hint="eastAsia" w:hAnsi="Times New Roman" w:cs="Times New Roman"/>
                <w:b/>
                <w:bCs/>
                <w:color w:val="auto"/>
                <w:kern w:val="0"/>
                <w:sz w:val="24"/>
                <w:szCs w:val="24"/>
                <w:highlight w:val="none"/>
                <w:lang w:val="en-US" w:eastAsia="zh-CN" w:bidi="ar-SA"/>
              </w:rPr>
              <w:t>7</w:t>
            </w:r>
            <w:r>
              <w:rPr>
                <w:rFonts w:hint="eastAsia" w:ascii="Times New Roman" w:hAnsi="Times New Roman" w:eastAsia="宋体" w:cs="Times New Roman"/>
                <w:b/>
                <w:bCs/>
                <w:color w:val="auto"/>
                <w:kern w:val="0"/>
                <w:sz w:val="24"/>
                <w:szCs w:val="24"/>
                <w:highlight w:val="none"/>
                <w:lang w:val="en-US" w:eastAsia="zh-CN" w:bidi="ar-SA"/>
              </w:rPr>
              <w:t xml:space="preserve"> 应急预案</w:t>
            </w:r>
            <w:bookmarkEnd w:id="27"/>
          </w:p>
          <w:p w14:paraId="64CB53C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（1）井喷及井喷失控应急处理预案</w:t>
            </w:r>
          </w:p>
          <w:p w14:paraId="4561E88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根据事态发展变化情况，事故现场抢险指挥</w:t>
            </w:r>
            <w:r>
              <w:rPr>
                <w:rFonts w:hint="eastAsia" w:hAnsi="Times New Roman" w:cs="Times New Roman"/>
                <w:b w:val="0"/>
                <w:bCs w:val="0"/>
                <w:color w:val="auto"/>
                <w:kern w:val="0"/>
                <w:sz w:val="24"/>
                <w:szCs w:val="24"/>
                <w:highlight w:val="none"/>
                <w:lang w:val="en-US" w:eastAsia="zh-CN" w:bidi="ar-SA"/>
              </w:rPr>
              <w:t>部在</w:t>
            </w:r>
            <w:r>
              <w:rPr>
                <w:rFonts w:hint="eastAsia" w:ascii="Times New Roman" w:hAnsi="Times New Roman" w:eastAsia="宋体" w:cs="Times New Roman"/>
                <w:b w:val="0"/>
                <w:bCs w:val="0"/>
                <w:color w:val="auto"/>
                <w:kern w:val="0"/>
                <w:sz w:val="24"/>
                <w:szCs w:val="24"/>
                <w:highlight w:val="none"/>
                <w:lang w:val="en-US" w:eastAsia="zh-CN" w:bidi="ar-SA"/>
              </w:rPr>
              <w:t>根据应急领导小组的指令</w:t>
            </w:r>
            <w:r>
              <w:rPr>
                <w:rFonts w:hint="eastAsia" w:hAnsi="Times New Roman" w:cs="Times New Roman"/>
                <w:b w:val="0"/>
                <w:bCs w:val="0"/>
                <w:color w:val="auto"/>
                <w:kern w:val="0"/>
                <w:sz w:val="24"/>
                <w:szCs w:val="24"/>
                <w:highlight w:val="none"/>
                <w:lang w:val="en-US" w:eastAsia="zh-CN" w:bidi="ar-SA"/>
              </w:rPr>
              <w:t>并</w:t>
            </w:r>
            <w:r>
              <w:rPr>
                <w:rFonts w:hint="eastAsia" w:ascii="Times New Roman" w:hAnsi="Times New Roman" w:eastAsia="宋体" w:cs="Times New Roman"/>
                <w:b w:val="0"/>
                <w:bCs w:val="0"/>
                <w:color w:val="auto"/>
                <w:kern w:val="0"/>
                <w:sz w:val="24"/>
                <w:szCs w:val="24"/>
                <w:highlight w:val="none"/>
                <w:lang w:val="en-US" w:eastAsia="zh-CN" w:bidi="ar-SA"/>
              </w:rPr>
              <w:t>充分考虑专家和有关意见的基础上，依法采取紧急措施，并注意做好以下工作：</w:t>
            </w:r>
          </w:p>
          <w:p w14:paraId="18B25C3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①井喷失控后严防着火和爆炸，应立即停钻机，切断井架、钻台、机泵房等处全部用电设备的电源，熄灭一切火源，需要时打开专用探照灯，并组织警戒。</w:t>
            </w:r>
          </w:p>
          <w:p w14:paraId="46AF318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②迅速成立现场抢险领导小组，根据失控状况制定抢险方案，统一指挥、组织和协调抢险工作。抢险方案制定及实施，要把环境保护同时考虑，同时实施，防止出现次生环境事故。</w:t>
            </w:r>
          </w:p>
          <w:p w14:paraId="6D8E83A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③井喷发生后，及时安排消防车、救护车、医护人员和技安人员到现场。</w:t>
            </w:r>
          </w:p>
          <w:p w14:paraId="08F02D39">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④在事故处理结束后，确认作业现场及其周围环境安全的情况下，商定警戒解除及工作人员的返回时间。</w:t>
            </w:r>
          </w:p>
          <w:p w14:paraId="263DADC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（2）井喷应急疏散预案</w:t>
            </w:r>
          </w:p>
          <w:p w14:paraId="3B7ADCC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当井喷失控时，应立即疏散可能受影响的工作人员，根据监测情况，考虑风向、地形、受污染程度等情况及时作出风险和危害程度评估，决定是否扩大撤离范围</w:t>
            </w:r>
          </w:p>
          <w:p w14:paraId="117AD18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为了保障每位工作人员的生命安全，应按正确的方法和方向撤离，每位接到撤离通知的工作人员应按下列程序撤离。</w:t>
            </w:r>
          </w:p>
          <w:p w14:paraId="4C5A83A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①井队员工由井队组织撤离；</w:t>
            </w:r>
          </w:p>
          <w:p w14:paraId="50DC0B9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②拉起警戒线，撤离与抢险急救无关人员；</w:t>
            </w:r>
          </w:p>
          <w:p w14:paraId="314B973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③逃生时要注意风向，一要沿上风（逆风）方向逃生，二要沿着地面上的高处跑；</w:t>
            </w:r>
          </w:p>
          <w:p w14:paraId="05E73A2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④时间就是生命，紧急逃生时，不要因收贵重物品等事宜延误时间，并且要轻装撤离逃生；</w:t>
            </w:r>
          </w:p>
          <w:p w14:paraId="7AD4822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⑤当所处位置离井场很远时，向偏离风向往离井场越来越远的方向逃生即可。</w:t>
            </w:r>
          </w:p>
          <w:p w14:paraId="49E6C49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w:t>
            </w:r>
            <w:r>
              <w:rPr>
                <w:rFonts w:hint="eastAsia" w:hAnsi="Times New Roman" w:cs="Times New Roman"/>
                <w:b w:val="0"/>
                <w:bCs w:val="0"/>
                <w:color w:val="auto"/>
                <w:kern w:val="0"/>
                <w:sz w:val="24"/>
                <w:szCs w:val="24"/>
                <w:highlight w:val="none"/>
                <w:lang w:val="en-US" w:eastAsia="zh-CN" w:bidi="ar-SA"/>
              </w:rPr>
              <w:t>3</w:t>
            </w:r>
            <w:r>
              <w:rPr>
                <w:rFonts w:hint="eastAsia" w:ascii="Times New Roman" w:hAnsi="Times New Roman" w:eastAsia="宋体" w:cs="Times New Roman"/>
                <w:b w:val="0"/>
                <w:bCs w:val="0"/>
                <w:color w:val="auto"/>
                <w:kern w:val="0"/>
                <w:sz w:val="24"/>
                <w:szCs w:val="24"/>
                <w:highlight w:val="none"/>
                <w:lang w:val="en-US" w:eastAsia="zh-CN" w:bidi="ar-SA"/>
              </w:rPr>
              <w:t>）风险管理措施</w:t>
            </w:r>
          </w:p>
          <w:p w14:paraId="7B8044B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为加强环境风险预防措施，在工程施工期间</w:t>
            </w:r>
            <w:r>
              <w:rPr>
                <w:rFonts w:hint="eastAsia" w:hAnsi="Times New Roman" w:cs="Times New Roman"/>
                <w:b w:val="0"/>
                <w:bCs w:val="0"/>
                <w:color w:val="auto"/>
                <w:kern w:val="0"/>
                <w:sz w:val="24"/>
                <w:szCs w:val="24"/>
                <w:highlight w:val="none"/>
                <w:lang w:val="en-US" w:eastAsia="zh-CN" w:bidi="ar-SA"/>
              </w:rPr>
              <w:t>对</w:t>
            </w:r>
            <w:r>
              <w:rPr>
                <w:rFonts w:hint="eastAsia" w:ascii="Times New Roman" w:hAnsi="Times New Roman" w:eastAsia="宋体" w:cs="Times New Roman"/>
                <w:b w:val="0"/>
                <w:bCs w:val="0"/>
                <w:color w:val="auto"/>
                <w:kern w:val="0"/>
                <w:sz w:val="24"/>
                <w:szCs w:val="24"/>
                <w:highlight w:val="none"/>
                <w:lang w:val="en-US" w:eastAsia="zh-CN" w:bidi="ar-SA"/>
              </w:rPr>
              <w:t>人员管理应做好以下几个方面：</w:t>
            </w:r>
          </w:p>
          <w:p w14:paraId="1EFAFE2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①加强各级干部、职工的风险意识和环境意识教育，增强环保意识。建立健全了各种规章制度、规程，使制度落到实处，严格遵守，杜绝违章作业。</w:t>
            </w:r>
          </w:p>
          <w:p w14:paraId="5AAEA4E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②强化岗位责任制，严格各项操作规程和奖惩制度，对生产操作的工人必须培训经考核后上岗，使其了解工艺过程，熟悉操作规程，对各种情况能进行正确判断，并严格遵守开、停工规程。</w:t>
            </w:r>
          </w:p>
          <w:p w14:paraId="6C0439A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③对事故易发部位、易泄漏地点，除本岗工人及时检查外，应设巡检员。对工程具有较大危险因素的重点部位（如：井控装置、储罐等）进行必要的定期巡检。</w:t>
            </w:r>
          </w:p>
          <w:p w14:paraId="0508359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④施工、设备、材料应按规章进行</w:t>
            </w:r>
            <w:r>
              <w:rPr>
                <w:rFonts w:hint="eastAsia" w:hAnsi="Times New Roman" w:cs="Times New Roman"/>
                <w:b w:val="0"/>
                <w:bCs w:val="0"/>
                <w:color w:val="auto"/>
                <w:kern w:val="0"/>
                <w:sz w:val="24"/>
                <w:szCs w:val="24"/>
                <w:highlight w:val="none"/>
                <w:lang w:val="en-US" w:eastAsia="zh-CN" w:bidi="ar-SA"/>
              </w:rPr>
              <w:t>认真</w:t>
            </w:r>
            <w:r>
              <w:rPr>
                <w:rFonts w:hint="eastAsia" w:ascii="Times New Roman" w:hAnsi="Times New Roman" w:eastAsia="宋体" w:cs="Times New Roman"/>
                <w:b w:val="0"/>
                <w:bCs w:val="0"/>
                <w:color w:val="auto"/>
                <w:kern w:val="0"/>
                <w:sz w:val="24"/>
                <w:szCs w:val="24"/>
                <w:highlight w:val="none"/>
                <w:lang w:val="en-US" w:eastAsia="zh-CN" w:bidi="ar-SA"/>
              </w:rPr>
              <w:t>检查、验收。设计、工艺、管理三部门通力合作，严防不合格设备、材料蒙混过关。</w:t>
            </w:r>
          </w:p>
          <w:p w14:paraId="35CC049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⑤提高自动化水平保证各系统在优化和安全状态下进行操作。</w:t>
            </w:r>
          </w:p>
          <w:p w14:paraId="46498E2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⑥对研究各种典型的事故要注意研究，充分吸取教训，并注意在技术措施上的改进和防范，尽可能减少人为的繁琐操作过程。</w:t>
            </w:r>
          </w:p>
          <w:p w14:paraId="266BB57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Cs/>
                <w:color w:val="auto"/>
                <w:spacing w:val="10"/>
                <w:szCs w:val="21"/>
                <w:highlight w:val="none"/>
                <w:lang w:eastAsia="zh-CN"/>
              </w:rPr>
            </w:pPr>
            <w:r>
              <w:rPr>
                <w:rFonts w:hint="eastAsia" w:ascii="Times New Roman" w:hAnsi="Times New Roman" w:eastAsia="宋体" w:cs="Times New Roman"/>
                <w:b w:val="0"/>
                <w:bCs w:val="0"/>
                <w:color w:val="auto"/>
                <w:kern w:val="0"/>
                <w:sz w:val="24"/>
                <w:szCs w:val="24"/>
                <w:highlight w:val="none"/>
                <w:lang w:val="en-US" w:eastAsia="zh-CN" w:bidi="ar-SA"/>
              </w:rPr>
              <w:t>⑦加强宣传有关环保知识及法律法规，建立联合防范体系，杜绝人为破坏。</w:t>
            </w:r>
            <w:bookmarkEnd w:id="22"/>
          </w:p>
        </w:tc>
      </w:tr>
      <w:tr w14:paraId="4F7C6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 w:type="pct"/>
            <w:noWrap w:val="0"/>
            <w:tcMar>
              <w:left w:w="28" w:type="dxa"/>
              <w:right w:w="28" w:type="dxa"/>
            </w:tcMar>
            <w:vAlign w:val="center"/>
          </w:tcPr>
          <w:p w14:paraId="053DD26E">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 w:val="24"/>
                <w:szCs w:val="24"/>
                <w:highlight w:val="none"/>
              </w:rPr>
              <w:t>运营期生态环境保护措施</w:t>
            </w:r>
          </w:p>
        </w:tc>
        <w:tc>
          <w:tcPr>
            <w:tcW w:w="4590" w:type="pct"/>
            <w:noWrap w:val="0"/>
            <w:vAlign w:val="center"/>
          </w:tcPr>
          <w:p w14:paraId="1239496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为能源地质勘探项目，勘探该区域油气储量及质量，不涉及运营期。试油过程中若发现该井不具开发价值或目的层不含油气，则进行封井。待以后新的成油理论成熟后，决定是否进一步利用。封井后需严格落实各项生态恢复措施，按照国家有关土地复垦规定做好土地复垦工作，确保工程区生态环境尽快恢复至未利用前状态。若试油期间发现该井具有开采价值，应根据《关于进一步加强石油</w:t>
            </w:r>
            <w:r>
              <w:rPr>
                <w:rFonts w:hint="eastAsia" w:hAnsi="Times New Roman"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行业环境影响评价管理的通知》（环办环评函〔2019〕910号）相关要求，对区块开发、地面工程建设或单井试采开展相应环境影响评价工作。具体生态恢复措施为：</w:t>
            </w:r>
          </w:p>
          <w:p w14:paraId="5650A9A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（1）需拆除地面设施，包括井架、储罐、临时营房等，同步清理各种固体废物，确保无废弃物残留。</w:t>
            </w:r>
          </w:p>
          <w:p w14:paraId="2ADDFCBB">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（2）对机械碾压区域进行30-50cm深度深耕，添加腐熟秸秆、有机肥等改良剂，改善土壤通气性、保水性与肥力。</w:t>
            </w:r>
          </w:p>
          <w:p w14:paraId="0736EA3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井场恢复后的植被覆盖率不应低于区域范围内同类型土地植被覆盖率，植被类型应与原有类型相似，并与周边自然景观协调，不得使用外来有害物种进行井场、站场植被恢复。禁牧区域同步设置围栏，防止牲畜破坏幼苗。</w:t>
            </w:r>
          </w:p>
          <w:p w14:paraId="117CB28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（4）临时占地范围不具备植被恢复条件的，按照《废弃井封井回填技术指南（试行）》（环办土壤函〔2020〕72 号）要求对套管地下切割，仅保留规范要求的井口保护装置；地表水泥基座拆除清理，场地平整，不遗留大面积硬化构筑物，以防止沙化，起到防沙固沙作用。</w:t>
            </w:r>
          </w:p>
          <w:p w14:paraId="6677F5C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（5）每年春秋季调查植被盖度、物种丰富度、幼苗成活率，盖度不足时补播/补植，及时清除外来入侵物种。</w:t>
            </w:r>
          </w:p>
        </w:tc>
      </w:tr>
      <w:tr w14:paraId="5EFC4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409" w:type="pct"/>
            <w:noWrap w:val="0"/>
            <w:vAlign w:val="center"/>
          </w:tcPr>
          <w:p w14:paraId="327630BF">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z w:val="24"/>
                <w:szCs w:val="24"/>
                <w:highlight w:val="none"/>
              </w:rPr>
              <w:t>其他</w:t>
            </w:r>
          </w:p>
        </w:tc>
        <w:tc>
          <w:tcPr>
            <w:tcW w:w="4590" w:type="pct"/>
            <w:noWrap w:val="0"/>
            <w:vAlign w:val="center"/>
          </w:tcPr>
          <w:p w14:paraId="5E836BEE">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1.封井环境影响保护措施</w:t>
            </w:r>
          </w:p>
          <w:p w14:paraId="1E26702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1.1封井环境空气保护措施</w:t>
            </w:r>
          </w:p>
          <w:p w14:paraId="6467893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（1）封井废气主要是施工过程中产生的扬尘，要求封井作业时，采取洒水抑尘的降尘措施，同时要求严禁在大风天气进行作业。</w:t>
            </w:r>
          </w:p>
          <w:p w14:paraId="2E46C4B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（2）运输车辆使用符合国家标准的油品。</w:t>
            </w:r>
          </w:p>
          <w:p w14:paraId="2F56BADA">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（3）封井施工过程中，应加强施工质量管理，避免出现封井不严等非正常工况的烃类等其他物质泄漏。</w:t>
            </w:r>
          </w:p>
          <w:p w14:paraId="35CD173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1.2封井水环境污染防治措施</w:t>
            </w:r>
          </w:p>
          <w:p w14:paraId="0652053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封井无废水污染物产生，要求在闭井作业过程中，严格按照《废弃井封井回填技术指南（试行）》（环办土壤函〔2020〕72号）、《废弃井及长停井处置指南》（SY/T6646-2017）要求进行施工作业，首先进行井场进行环境风险评估，根据评估等级分别采用不同的固井、封井方式，确保固井、封井措施的有效性，避免发生油水窜层。坚持“预防为主、防治结合、过程控制”的原则，将生态环境保护与恢复治理贯穿开采的全过程。</w:t>
            </w:r>
          </w:p>
          <w:p w14:paraId="28728BF8">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1.3封井噪声防治措施</w:t>
            </w:r>
          </w:p>
          <w:p w14:paraId="0374D0D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（1）选用低噪声机械和车辆。</w:t>
            </w:r>
          </w:p>
          <w:p w14:paraId="58426DF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（2）加强设备检查维修，保证其正常运行。</w:t>
            </w:r>
          </w:p>
          <w:p w14:paraId="782574F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（3）加强运输车辆管理，合理规划运输路线，禁止运输车辆随意高声鸣笛。</w:t>
            </w:r>
          </w:p>
          <w:p w14:paraId="480E0AB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1.4封井固体废物处置措施</w:t>
            </w:r>
          </w:p>
          <w:p w14:paraId="3FED9533">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（1）地面设施拆除、井场清理等工作中会产生废弃建筑残渣，应集中清理收集。废弃建筑残渣等收集后送垃圾填埋场妥善处理。</w:t>
            </w:r>
          </w:p>
          <w:p w14:paraId="503C3B3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（2）对应封堵的井拆除井口装置，清理场地，清除各种固体废弃物，按照土地复垦方案进行表土收集堆存，施工结束后及时恢复原状。</w:t>
            </w:r>
          </w:p>
          <w:p w14:paraId="6AB0DCF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（3）运输过程中，运输车辆均加盖篷布，以防止行驶过程中固体废物的散落。</w:t>
            </w:r>
          </w:p>
          <w:p w14:paraId="067D894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1.5封井生态恢复措施</w:t>
            </w:r>
          </w:p>
          <w:p w14:paraId="5F78EB8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后期按照《矿山生态环境保护与恢复治理技术规范（试行）》（HJ651-2013）、《石油</w:t>
            </w:r>
            <w:r>
              <w:rPr>
                <w:rFonts w:hint="eastAsia" w:hAnsi="Times New Roman"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项目土地复垦与生态修复技术规范》（GB/T 43936-2024）、《陆上石油</w:t>
            </w:r>
            <w:r>
              <w:rPr>
                <w:rFonts w:hint="eastAsia" w:hAnsi="Times New Roman" w:cs="Times New Roman"/>
                <w:b w:val="0"/>
                <w:bCs w:val="0"/>
                <w:color w:val="auto"/>
                <w:kern w:val="0"/>
                <w:sz w:val="24"/>
                <w:szCs w:val="24"/>
                <w:highlight w:val="none"/>
                <w:lang w:val="en-US" w:eastAsia="zh-CN" w:bidi="ar-SA"/>
              </w:rPr>
              <w:t>天然气</w:t>
            </w:r>
            <w:r>
              <w:rPr>
                <w:rFonts w:hint="eastAsia" w:ascii="Times New Roman" w:hAnsi="Times New Roman" w:eastAsia="宋体" w:cs="Times New Roman"/>
                <w:b w:val="0"/>
                <w:bCs w:val="0"/>
                <w:color w:val="auto"/>
                <w:kern w:val="0"/>
                <w:sz w:val="24"/>
                <w:szCs w:val="24"/>
                <w:highlight w:val="none"/>
                <w:lang w:val="en-US" w:eastAsia="zh-CN" w:bidi="ar-SA"/>
              </w:rPr>
              <w:t>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采取的生态恢复措施如下：</w:t>
            </w:r>
          </w:p>
          <w:p w14:paraId="62EE53F1">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（1）各种机动车辆固定线路，禁止随意开路。</w:t>
            </w:r>
          </w:p>
          <w:p w14:paraId="39553DE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严格按照《废弃井及长停井处置指南》（SY/T6646-2017）相关要求，先封堵内外井眼，拆除井口装置，地下截去一定深度的表层套管，拆除地面设施、清理井场、清除各种固体废物等，拆除的报废设备和建筑废料等由建设单位进行回收处置。</w:t>
            </w:r>
          </w:p>
          <w:p w14:paraId="6DA70F2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（3）保证封井措施有效可行，防止窜层，产生二次污染。</w:t>
            </w:r>
          </w:p>
          <w:p w14:paraId="00EF817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（4）将井场占地范围内的水泥平台和砂砾石路面进行清理，然后根据周边区域的自然现状对其进行恢复，使井场恢复到相对自然的一种状态。</w:t>
            </w:r>
          </w:p>
          <w:p w14:paraId="11C03F5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（5）临时占地范围不具备植被恢复条件的，按照《废弃井封井回填技术指南（试行）》（环办土壤函〔2020〕72 号）要求对套管地下切割，仅保留规范要求的井口保护装置；地表水泥基座拆除清理，场地平整，不遗留大面积硬化构筑物，以防止沙化，起到防沙固沙作用。</w:t>
            </w:r>
          </w:p>
          <w:p w14:paraId="04D2329E">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6）通过宣传教育的形式，使施工工作人员对于在项目区生存的野生动物及植物有基本的认识与了解。加强对《中华人民共和国野生动物保护法》《中华人民共和国野生植物保护条例》的普及、教育工作，强化保护野生动植物的观念。通过采取以上生态保护措施，对于减少植被破坏、减缓水土流失、抵制荒漠化发展起到了一定的积极作用，可有效保护脆弱的荒漠生态环境。</w:t>
            </w:r>
          </w:p>
          <w:p w14:paraId="7B06E5CE">
            <w:pPr>
              <w:pStyle w:val="82"/>
              <w:keepNext w:val="0"/>
              <w:keepLines w:val="0"/>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default" w:ascii="Times New Roman" w:hAnsi="Times New Roman" w:eastAsia="宋体" w:cs="Times New Roman"/>
                <w:b/>
                <w:bCs/>
                <w:color w:val="auto"/>
                <w:kern w:val="0"/>
                <w:sz w:val="24"/>
                <w:szCs w:val="24"/>
                <w:highlight w:val="none"/>
                <w:lang w:val="en-US" w:eastAsia="zh-CN" w:bidi="ar-SA"/>
              </w:rPr>
            </w:pPr>
            <w:r>
              <w:rPr>
                <w:rFonts w:hint="eastAsia" w:ascii="Times New Roman" w:hAnsi="Times New Roman" w:eastAsia="宋体" w:cs="Times New Roman"/>
                <w:b/>
                <w:bCs/>
                <w:color w:val="auto"/>
                <w:kern w:val="0"/>
                <w:sz w:val="24"/>
                <w:szCs w:val="24"/>
                <w:highlight w:val="none"/>
                <w:lang w:val="en-US" w:eastAsia="zh-CN" w:bidi="ar-SA"/>
              </w:rPr>
              <w:t>2.</w:t>
            </w:r>
            <w:r>
              <w:rPr>
                <w:rFonts w:hint="default" w:ascii="Times New Roman" w:hAnsi="Times New Roman" w:eastAsia="宋体" w:cs="Times New Roman"/>
                <w:b/>
                <w:bCs/>
                <w:color w:val="auto"/>
                <w:kern w:val="0"/>
                <w:sz w:val="24"/>
                <w:szCs w:val="24"/>
                <w:highlight w:val="none"/>
                <w:lang w:val="en-US" w:eastAsia="zh-CN" w:bidi="ar-SA"/>
              </w:rPr>
              <w:t>环境管理与监测计划</w:t>
            </w:r>
          </w:p>
          <w:p w14:paraId="39551E1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w:t>
            </w:r>
            <w:r>
              <w:rPr>
                <w:rFonts w:hint="default" w:ascii="Times New Roman" w:hAnsi="Times New Roman" w:eastAsia="宋体" w:cs="Times New Roman"/>
                <w:b w:val="0"/>
                <w:bCs w:val="0"/>
                <w:color w:val="auto"/>
                <w:kern w:val="0"/>
                <w:sz w:val="24"/>
                <w:szCs w:val="24"/>
                <w:highlight w:val="none"/>
                <w:lang w:val="en-US" w:eastAsia="zh-CN" w:bidi="ar-SA"/>
              </w:rPr>
              <w:t>.1 环境管理</w:t>
            </w:r>
          </w:p>
          <w:p w14:paraId="52AF961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（1）建立和实施施工作业队伍的HSE管理体系。</w:t>
            </w:r>
          </w:p>
          <w:p w14:paraId="3DD26D7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（2）对勘探开发建设全过程进行环保措施和环保工程的监督和检查。</w:t>
            </w:r>
          </w:p>
          <w:p w14:paraId="0A5E194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（3）实行开发施工期环境监理制度，将开发施工期作业对环境造成的破坏降低到最低限度。</w:t>
            </w:r>
          </w:p>
          <w:p w14:paraId="0DE51126">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（4）施工井场生态恢复，主要是对临时占地区域的生态修复。主要表现在临时道路、设备堆压、土方开挖、车辆碾压等，待油气井勘探工程结</w:t>
            </w:r>
            <w:r>
              <w:rPr>
                <w:rFonts w:hint="eastAsia" w:ascii="Times New Roman" w:hAnsi="Times New Roman" w:eastAsia="宋体" w:cs="Times New Roman"/>
                <w:b w:val="0"/>
                <w:bCs w:val="0"/>
                <w:color w:val="auto"/>
                <w:kern w:val="0"/>
                <w:sz w:val="24"/>
                <w:szCs w:val="24"/>
                <w:highlight w:val="none"/>
                <w:lang w:val="en-US" w:eastAsia="zh-CN" w:bidi="ar-SA"/>
              </w:rPr>
              <w:t>束后</w:t>
            </w:r>
            <w:r>
              <w:rPr>
                <w:rFonts w:hint="default" w:ascii="Times New Roman" w:hAnsi="Times New Roman" w:eastAsia="宋体" w:cs="Times New Roman"/>
                <w:b w:val="0"/>
                <w:bCs w:val="0"/>
                <w:color w:val="auto"/>
                <w:kern w:val="0"/>
                <w:sz w:val="24"/>
                <w:szCs w:val="24"/>
                <w:highlight w:val="none"/>
                <w:lang w:val="en-US" w:eastAsia="zh-CN" w:bidi="ar-SA"/>
              </w:rPr>
              <w:t>全部恢复原有土地类型。</w:t>
            </w:r>
          </w:p>
          <w:p w14:paraId="3B0E384C">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2.2</w:t>
            </w:r>
            <w:r>
              <w:rPr>
                <w:rFonts w:hint="default" w:ascii="Times New Roman" w:hAnsi="Times New Roman" w:eastAsia="宋体" w:cs="Times New Roman"/>
                <w:b w:val="0"/>
                <w:bCs w:val="0"/>
                <w:color w:val="auto"/>
                <w:kern w:val="0"/>
                <w:sz w:val="24"/>
                <w:szCs w:val="24"/>
                <w:highlight w:val="none"/>
                <w:lang w:val="en-US" w:eastAsia="zh-CN" w:bidi="ar-SA"/>
              </w:rPr>
              <w:t>排污许可制度衔接工作</w:t>
            </w:r>
          </w:p>
          <w:p w14:paraId="4409FB67">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本项目为勘探井项目，未在《固定污染源排污许可分类管理名录》（2019年版）（生态环境部令第11号）所列项目中，待有新的相关文件颁布后，从其执行。</w:t>
            </w:r>
          </w:p>
          <w:p w14:paraId="20CFE19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2.3</w:t>
            </w:r>
            <w:r>
              <w:rPr>
                <w:rFonts w:hint="default" w:ascii="Times New Roman" w:hAnsi="Times New Roman" w:eastAsia="宋体" w:cs="Times New Roman"/>
                <w:b w:val="0"/>
                <w:bCs w:val="0"/>
                <w:color w:val="auto"/>
                <w:kern w:val="0"/>
                <w:sz w:val="24"/>
                <w:szCs w:val="24"/>
                <w:highlight w:val="none"/>
                <w:lang w:val="en-US" w:eastAsia="zh-CN" w:bidi="ar-SA"/>
              </w:rPr>
              <w:t>环境监测计划</w:t>
            </w:r>
          </w:p>
          <w:p w14:paraId="275B4AB5">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根据《排污单位自行监测技术指南 总则》（HJ819-2017</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环境影响评价技术导则</w:t>
            </w:r>
            <w:r>
              <w:rPr>
                <w:rFonts w:hint="eastAsia" w:ascii="Times New Roman" w:hAnsi="Times New Roman" w:eastAsia="宋体" w:cs="Times New Roman"/>
                <w:b w:val="0"/>
                <w:bCs w:val="0"/>
                <w:color w:val="auto"/>
                <w:kern w:val="0"/>
                <w:sz w:val="24"/>
                <w:szCs w:val="24"/>
                <w:highlight w:val="none"/>
                <w:lang w:val="en-US" w:eastAsia="zh-CN" w:bidi="ar-SA"/>
              </w:rPr>
              <w:t xml:space="preserve"> </w:t>
            </w:r>
            <w:r>
              <w:rPr>
                <w:rFonts w:hint="default" w:ascii="Times New Roman" w:hAnsi="Times New Roman" w:eastAsia="宋体" w:cs="Times New Roman"/>
                <w:b w:val="0"/>
                <w:bCs w:val="0"/>
                <w:color w:val="auto"/>
                <w:kern w:val="0"/>
                <w:sz w:val="24"/>
                <w:szCs w:val="24"/>
                <w:highlight w:val="none"/>
                <w:lang w:val="en-US" w:eastAsia="zh-CN" w:bidi="ar-SA"/>
              </w:rPr>
              <w:t>地表水环境</w:t>
            </w:r>
            <w:r>
              <w:rPr>
                <w:rFonts w:hint="eastAsia" w:ascii="Times New Roman" w:hAnsi="Times New Roman" w:eastAsia="宋体" w:cs="Times New Roman"/>
                <w:b w:val="0"/>
                <w:bCs w:val="0"/>
                <w:color w:val="auto"/>
                <w:kern w:val="0"/>
                <w:sz w:val="24"/>
                <w:szCs w:val="24"/>
                <w:highlight w:val="none"/>
                <w:lang w:val="en-US" w:eastAsia="zh-CN" w:bidi="ar-SA"/>
              </w:rPr>
              <w:t>》（HJ2.3-2018）</w:t>
            </w:r>
            <w:r>
              <w:rPr>
                <w:rFonts w:hint="default" w:ascii="Times New Roman" w:hAnsi="Times New Roman" w:eastAsia="宋体" w:cs="Times New Roman"/>
                <w:b w:val="0"/>
                <w:bCs w:val="0"/>
                <w:color w:val="auto"/>
                <w:kern w:val="0"/>
                <w:sz w:val="24"/>
                <w:szCs w:val="24"/>
                <w:highlight w:val="none"/>
                <w:lang w:val="en-US" w:eastAsia="zh-CN" w:bidi="ar-SA"/>
              </w:rPr>
              <w:t>、《排污单位自行监测技术指南 陆上石油</w:t>
            </w:r>
            <w:r>
              <w:rPr>
                <w:rFonts w:hint="eastAsia" w:hAnsi="Times New Roman" w:cs="Times New Roman"/>
                <w:b w:val="0"/>
                <w:bCs w:val="0"/>
                <w:color w:val="auto"/>
                <w:kern w:val="0"/>
                <w:sz w:val="24"/>
                <w:szCs w:val="24"/>
                <w:highlight w:val="none"/>
                <w:lang w:val="en-US" w:eastAsia="zh-CN" w:bidi="ar-SA"/>
              </w:rPr>
              <w:t>天然气</w:t>
            </w:r>
            <w:r>
              <w:rPr>
                <w:rFonts w:hint="default" w:ascii="Times New Roman" w:hAnsi="Times New Roman" w:eastAsia="宋体" w:cs="Times New Roman"/>
                <w:b w:val="0"/>
                <w:bCs w:val="0"/>
                <w:color w:val="auto"/>
                <w:kern w:val="0"/>
                <w:sz w:val="24"/>
                <w:szCs w:val="24"/>
                <w:highlight w:val="none"/>
                <w:lang w:val="en-US" w:eastAsia="zh-CN" w:bidi="ar-SA"/>
              </w:rPr>
              <w:t>开采工业》（HJ1248-2022）等相关法律法规和技术规范要求，建设单位应制定施工期监测方案，开展自行监测。应做好与监测相关的数据记录，按照规定进行保存，并依据相关法规向社会公开监测结果</w:t>
            </w:r>
            <w:r>
              <w:rPr>
                <w:rFonts w:hint="eastAsia" w:ascii="Times New Roman" w:hAnsi="Times New Roman" w:eastAsia="宋体" w:cs="Times New Roman"/>
                <w:b w:val="0"/>
                <w:bCs w:val="0"/>
                <w:color w:val="auto"/>
                <w:kern w:val="0"/>
                <w:sz w:val="24"/>
                <w:szCs w:val="24"/>
                <w:highlight w:val="none"/>
                <w:lang w:val="en-US" w:eastAsia="zh-CN" w:bidi="ar-SA"/>
              </w:rPr>
              <w:t>。</w:t>
            </w:r>
            <w:r>
              <w:rPr>
                <w:rFonts w:hint="default" w:ascii="Times New Roman" w:hAnsi="Times New Roman" w:eastAsia="宋体" w:cs="Times New Roman"/>
                <w:b w:val="0"/>
                <w:bCs w:val="0"/>
                <w:color w:val="auto"/>
                <w:kern w:val="0"/>
                <w:sz w:val="24"/>
                <w:szCs w:val="24"/>
                <w:highlight w:val="none"/>
                <w:lang w:val="en-US" w:eastAsia="zh-CN" w:bidi="ar-SA"/>
              </w:rPr>
              <w:t>监测计划参照下表。</w:t>
            </w:r>
          </w:p>
          <w:p w14:paraId="436D3A4E">
            <w:pPr>
              <w:pStyle w:val="82"/>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表5-</w:t>
            </w:r>
            <w:r>
              <w:rPr>
                <w:rFonts w:hint="eastAsia" w:ascii="Times New Roman" w:hAnsi="Times New Roman" w:eastAsia="宋体" w:cs="Times New Roman"/>
                <w:b/>
                <w:bCs/>
                <w:color w:val="auto"/>
                <w:kern w:val="0"/>
                <w:sz w:val="21"/>
                <w:szCs w:val="21"/>
                <w:highlight w:val="none"/>
                <w:lang w:val="en-US" w:eastAsia="zh-CN" w:bidi="ar-SA"/>
              </w:rPr>
              <w:t>2</w:t>
            </w:r>
            <w:r>
              <w:rPr>
                <w:rFonts w:hint="default" w:ascii="Times New Roman" w:hAnsi="Times New Roman" w:eastAsia="宋体" w:cs="Times New Roman"/>
                <w:b/>
                <w:bCs/>
                <w:color w:val="auto"/>
                <w:kern w:val="0"/>
                <w:sz w:val="21"/>
                <w:szCs w:val="21"/>
                <w:highlight w:val="none"/>
                <w:lang w:val="en-US" w:eastAsia="zh-CN" w:bidi="ar-SA"/>
              </w:rPr>
              <w:t xml:space="preserve"> </w:t>
            </w:r>
            <w:r>
              <w:rPr>
                <w:rFonts w:hint="eastAsia" w:ascii="Times New Roman" w:hAnsi="Times New Roman" w:eastAsia="宋体" w:cs="Times New Roman"/>
                <w:b/>
                <w:bCs/>
                <w:color w:val="auto"/>
                <w:kern w:val="0"/>
                <w:sz w:val="21"/>
                <w:szCs w:val="21"/>
                <w:highlight w:val="none"/>
                <w:lang w:val="en-US" w:eastAsia="zh-CN" w:bidi="ar-SA"/>
              </w:rPr>
              <w:t xml:space="preserve"> </w:t>
            </w:r>
            <w:r>
              <w:rPr>
                <w:rFonts w:hint="default" w:ascii="Times New Roman" w:hAnsi="Times New Roman" w:eastAsia="宋体" w:cs="Times New Roman"/>
                <w:b/>
                <w:bCs/>
                <w:color w:val="auto"/>
                <w:kern w:val="0"/>
                <w:sz w:val="21"/>
                <w:szCs w:val="21"/>
                <w:highlight w:val="none"/>
                <w:lang w:val="en-US" w:eastAsia="zh-CN" w:bidi="ar-SA"/>
              </w:rPr>
              <w:t xml:space="preserve">   环境监测计划</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1382"/>
              <w:gridCol w:w="1844"/>
              <w:gridCol w:w="1160"/>
              <w:gridCol w:w="2857"/>
            </w:tblGrid>
            <w:tr w14:paraId="0DB2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14:paraId="6F66918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监测对象</w:t>
                  </w:r>
                </w:p>
              </w:tc>
              <w:tc>
                <w:tcPr>
                  <w:tcW w:w="824" w:type="pct"/>
                  <w:tcBorders>
                    <w:tl2br w:val="nil"/>
                    <w:tr2bl w:val="nil"/>
                  </w:tcBorders>
                  <w:noWrap w:val="0"/>
                  <w:vAlign w:val="center"/>
                </w:tcPr>
                <w:p w14:paraId="0CBAFC70">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监测频率</w:t>
                  </w:r>
                </w:p>
              </w:tc>
              <w:tc>
                <w:tcPr>
                  <w:tcW w:w="1100" w:type="pct"/>
                  <w:tcBorders>
                    <w:tl2br w:val="nil"/>
                    <w:tr2bl w:val="nil"/>
                  </w:tcBorders>
                  <w:noWrap w:val="0"/>
                  <w:vAlign w:val="center"/>
                </w:tcPr>
                <w:p w14:paraId="2985AF4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监测项目</w:t>
                  </w:r>
                </w:p>
              </w:tc>
              <w:tc>
                <w:tcPr>
                  <w:tcW w:w="692" w:type="pct"/>
                  <w:tcBorders>
                    <w:tl2br w:val="nil"/>
                    <w:tr2bl w:val="nil"/>
                  </w:tcBorders>
                  <w:noWrap w:val="0"/>
                  <w:vAlign w:val="center"/>
                </w:tcPr>
                <w:p w14:paraId="285ADA32">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监测地点</w:t>
                  </w:r>
                </w:p>
              </w:tc>
              <w:tc>
                <w:tcPr>
                  <w:tcW w:w="1704" w:type="pct"/>
                  <w:tcBorders>
                    <w:tl2br w:val="nil"/>
                    <w:tr2bl w:val="nil"/>
                  </w:tcBorders>
                  <w:noWrap w:val="0"/>
                  <w:vAlign w:val="center"/>
                </w:tcPr>
                <w:p w14:paraId="6BAA1409">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执行排放标准</w:t>
                  </w:r>
                </w:p>
              </w:tc>
            </w:tr>
            <w:tr w14:paraId="5315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14:paraId="52CEED4D">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大气</w:t>
                  </w:r>
                </w:p>
              </w:tc>
              <w:tc>
                <w:tcPr>
                  <w:tcW w:w="824" w:type="pct"/>
                  <w:tcBorders>
                    <w:tl2br w:val="nil"/>
                    <w:tr2bl w:val="nil"/>
                  </w:tcBorders>
                  <w:noWrap w:val="0"/>
                  <w:vAlign w:val="center"/>
                </w:tcPr>
                <w:p w14:paraId="6C8C696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14:paraId="2E370310">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非甲烷总烃、</w:t>
                  </w:r>
                  <w:r>
                    <w:rPr>
                      <w:rFonts w:hint="eastAsia" w:ascii="Times New Roman" w:hAnsi="Times New Roman" w:eastAsia="宋体" w:cs="Times New Roman"/>
                      <w:b w:val="0"/>
                      <w:bCs w:val="0"/>
                      <w:color w:val="auto"/>
                      <w:kern w:val="0"/>
                      <w:sz w:val="21"/>
                      <w:szCs w:val="21"/>
                      <w:highlight w:val="none"/>
                      <w:lang w:val="en-US" w:eastAsia="zh-CN" w:bidi="ar-SA"/>
                    </w:rPr>
                    <w:t>颗粒物、硫化氢、二氧化硫、氮氧化物</w:t>
                  </w:r>
                </w:p>
              </w:tc>
              <w:tc>
                <w:tcPr>
                  <w:tcW w:w="692" w:type="pct"/>
                  <w:tcBorders>
                    <w:tl2br w:val="nil"/>
                    <w:tr2bl w:val="nil"/>
                  </w:tcBorders>
                  <w:noWrap w:val="0"/>
                  <w:vAlign w:val="center"/>
                </w:tcPr>
                <w:p w14:paraId="2D08B403">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井场周围</w:t>
                  </w:r>
                </w:p>
              </w:tc>
              <w:tc>
                <w:tcPr>
                  <w:tcW w:w="1704" w:type="pct"/>
                  <w:tcBorders>
                    <w:tl2br w:val="nil"/>
                    <w:tr2bl w:val="nil"/>
                  </w:tcBorders>
                  <w:noWrap w:val="0"/>
                  <w:vAlign w:val="center"/>
                </w:tcPr>
                <w:p w14:paraId="53E4780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《大气污染物综合排放标准》（GB 16297-1996）</w:t>
                  </w:r>
                  <w:r>
                    <w:rPr>
                      <w:rFonts w:hint="eastAsia" w:ascii="Times New Roman" w:hAnsi="Times New Roman" w:eastAsia="宋体" w:cs="Times New Roman"/>
                      <w:b w:val="0"/>
                      <w:bCs w:val="0"/>
                      <w:color w:val="auto"/>
                      <w:kern w:val="0"/>
                      <w:sz w:val="21"/>
                      <w:szCs w:val="21"/>
                      <w:highlight w:val="none"/>
                      <w:lang w:val="en-US" w:eastAsia="zh-CN" w:bidi="ar-SA"/>
                    </w:rPr>
                    <w:t>；《陆上石油</w:t>
                  </w:r>
                  <w:r>
                    <w:rPr>
                      <w:rFonts w:hint="eastAsia" w:hAnsi="Times New Roman" w:cs="Times New Roman"/>
                      <w:b w:val="0"/>
                      <w:bCs w:val="0"/>
                      <w:color w:val="auto"/>
                      <w:kern w:val="0"/>
                      <w:sz w:val="21"/>
                      <w:szCs w:val="21"/>
                      <w:highlight w:val="none"/>
                      <w:lang w:val="en-US" w:eastAsia="zh-CN" w:bidi="ar-SA"/>
                    </w:rPr>
                    <w:t>天然气</w:t>
                  </w:r>
                  <w:r>
                    <w:rPr>
                      <w:rFonts w:hint="eastAsia" w:ascii="Times New Roman" w:hAnsi="Times New Roman" w:eastAsia="宋体" w:cs="Times New Roman"/>
                      <w:b w:val="0"/>
                      <w:bCs w:val="0"/>
                      <w:color w:val="auto"/>
                      <w:kern w:val="0"/>
                      <w:sz w:val="21"/>
                      <w:szCs w:val="21"/>
                      <w:highlight w:val="none"/>
                      <w:lang w:val="en-US" w:eastAsia="zh-CN" w:bidi="ar-SA"/>
                    </w:rPr>
                    <w:t>开采工业大气污染物排放标准》（GB39728-2020）；《恶臭污染物排放标准》（GB14554-93）表1标准限值要求</w:t>
                  </w:r>
                </w:p>
              </w:tc>
            </w:tr>
            <w:tr w14:paraId="2A53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14:paraId="4B02AE2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生活污水</w:t>
                  </w:r>
                </w:p>
              </w:tc>
              <w:tc>
                <w:tcPr>
                  <w:tcW w:w="824" w:type="pct"/>
                  <w:tcBorders>
                    <w:tl2br w:val="nil"/>
                    <w:tr2bl w:val="nil"/>
                  </w:tcBorders>
                  <w:noWrap w:val="0"/>
                  <w:vAlign w:val="center"/>
                </w:tcPr>
                <w:p w14:paraId="06C7164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施工期一次（钻井期间）</w:t>
                  </w:r>
                </w:p>
              </w:tc>
              <w:tc>
                <w:tcPr>
                  <w:tcW w:w="1100" w:type="pct"/>
                  <w:tcBorders>
                    <w:tl2br w:val="nil"/>
                    <w:tr2bl w:val="nil"/>
                  </w:tcBorders>
                  <w:noWrap w:val="0"/>
                  <w:vAlign w:val="center"/>
                </w:tcPr>
                <w:p w14:paraId="66B0F29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COD</w:t>
                  </w:r>
                  <w:r>
                    <w:rPr>
                      <w:rFonts w:hint="eastAsia" w:hAnsi="Times New Roman" w:cs="Times New Roman"/>
                      <w:b w:val="0"/>
                      <w:bCs w:val="0"/>
                      <w:color w:val="auto"/>
                      <w:kern w:val="0"/>
                      <w:sz w:val="21"/>
                      <w:szCs w:val="21"/>
                      <w:highlight w:val="none"/>
                      <w:lang w:val="en-US" w:eastAsia="zh-CN" w:bidi="ar-SA"/>
                    </w:rPr>
                    <w:t>、SS、粪大肠菌群、蛔虫卵个数</w:t>
                  </w:r>
                </w:p>
              </w:tc>
              <w:tc>
                <w:tcPr>
                  <w:tcW w:w="692" w:type="pct"/>
                  <w:tcBorders>
                    <w:tl2br w:val="nil"/>
                    <w:tr2bl w:val="nil"/>
                  </w:tcBorders>
                  <w:noWrap w:val="0"/>
                  <w:vAlign w:val="center"/>
                </w:tcPr>
                <w:p w14:paraId="48C917C8">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生活污水处理设施出口</w:t>
                  </w:r>
                </w:p>
              </w:tc>
              <w:tc>
                <w:tcPr>
                  <w:tcW w:w="1704" w:type="pct"/>
                  <w:tcBorders>
                    <w:tl2br w:val="nil"/>
                    <w:tr2bl w:val="nil"/>
                  </w:tcBorders>
                  <w:noWrap w:val="0"/>
                  <w:vAlign w:val="center"/>
                </w:tcPr>
                <w:p w14:paraId="496BE43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《农村生活污水处理排放标准》（DB65 4275-2019）表2的B级标准</w:t>
                  </w:r>
                </w:p>
              </w:tc>
            </w:tr>
            <w:tr w14:paraId="6399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14:paraId="2C6CD9B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噪声</w:t>
                  </w:r>
                </w:p>
              </w:tc>
              <w:tc>
                <w:tcPr>
                  <w:tcW w:w="824" w:type="pct"/>
                  <w:tcBorders>
                    <w:tl2br w:val="nil"/>
                    <w:tr2bl w:val="nil"/>
                  </w:tcBorders>
                  <w:noWrap w:val="0"/>
                  <w:vAlign w:val="center"/>
                </w:tcPr>
                <w:p w14:paraId="222FAE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14:paraId="403BEBB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等效连续A声级</w:t>
                  </w:r>
                </w:p>
              </w:tc>
              <w:tc>
                <w:tcPr>
                  <w:tcW w:w="692" w:type="pct"/>
                  <w:tcBorders>
                    <w:tl2br w:val="nil"/>
                    <w:tr2bl w:val="nil"/>
                  </w:tcBorders>
                  <w:noWrap w:val="0"/>
                  <w:vAlign w:val="center"/>
                </w:tcPr>
                <w:p w14:paraId="10C9367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井场周围</w:t>
                  </w:r>
                </w:p>
              </w:tc>
              <w:tc>
                <w:tcPr>
                  <w:tcW w:w="1704" w:type="pct"/>
                  <w:tcBorders>
                    <w:tl2br w:val="nil"/>
                    <w:tr2bl w:val="nil"/>
                  </w:tcBorders>
                  <w:noWrap w:val="0"/>
                  <w:vAlign w:val="center"/>
                </w:tcPr>
                <w:p w14:paraId="4F9DE275">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《建筑施工噪声排放标准》（GB12523-2025）</w:t>
                  </w:r>
                </w:p>
              </w:tc>
            </w:tr>
            <w:tr w14:paraId="1E59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tcBorders>
                    <w:tl2br w:val="nil"/>
                    <w:tr2bl w:val="nil"/>
                  </w:tcBorders>
                  <w:noWrap w:val="0"/>
                  <w:vAlign w:val="center"/>
                </w:tcPr>
                <w:p w14:paraId="1AFBF80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固废</w:t>
                  </w:r>
                </w:p>
              </w:tc>
              <w:tc>
                <w:tcPr>
                  <w:tcW w:w="824" w:type="pct"/>
                  <w:tcBorders>
                    <w:tl2br w:val="nil"/>
                    <w:tr2bl w:val="nil"/>
                  </w:tcBorders>
                  <w:noWrap w:val="0"/>
                  <w:vAlign w:val="center"/>
                </w:tcPr>
                <w:p w14:paraId="675266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施工期一次</w:t>
                  </w:r>
                  <w:r>
                    <w:rPr>
                      <w:rFonts w:hint="eastAsia" w:hAnsi="Times New Roman" w:cs="Times New Roman"/>
                      <w:b w:val="0"/>
                      <w:bCs w:val="0"/>
                      <w:color w:val="auto"/>
                      <w:kern w:val="0"/>
                      <w:sz w:val="21"/>
                      <w:szCs w:val="21"/>
                      <w:highlight w:val="none"/>
                      <w:lang w:val="en-US" w:eastAsia="zh-CN" w:bidi="ar-SA"/>
                    </w:rPr>
                    <w:t>（钻井期间）</w:t>
                  </w:r>
                </w:p>
              </w:tc>
              <w:tc>
                <w:tcPr>
                  <w:tcW w:w="1100" w:type="pct"/>
                  <w:tcBorders>
                    <w:tl2br w:val="nil"/>
                    <w:tr2bl w:val="nil"/>
                  </w:tcBorders>
                  <w:noWrap w:val="0"/>
                  <w:vAlign w:val="center"/>
                </w:tcPr>
                <w:p w14:paraId="0537CDC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岩屑</w:t>
                  </w:r>
                </w:p>
              </w:tc>
              <w:tc>
                <w:tcPr>
                  <w:tcW w:w="692" w:type="pct"/>
                  <w:tcBorders>
                    <w:tl2br w:val="nil"/>
                    <w:tr2bl w:val="nil"/>
                  </w:tcBorders>
                  <w:noWrap w:val="0"/>
                  <w:vAlign w:val="center"/>
                </w:tcPr>
                <w:p w14:paraId="2EC4B028">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泥浆不落地处理区</w:t>
                  </w:r>
                </w:p>
              </w:tc>
              <w:tc>
                <w:tcPr>
                  <w:tcW w:w="1704" w:type="pct"/>
                  <w:tcBorders>
                    <w:tl2br w:val="nil"/>
                    <w:tr2bl w:val="nil"/>
                  </w:tcBorders>
                  <w:noWrap w:val="0"/>
                  <w:vAlign w:val="center"/>
                </w:tcPr>
                <w:p w14:paraId="6DE8D49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满足《一般工业固体废物贮存和填埋污染控制标准》（GB18599-2020）</w:t>
                  </w:r>
                </w:p>
              </w:tc>
            </w:tr>
          </w:tbl>
          <w:p w14:paraId="6F6B1A9F">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p>
        </w:tc>
      </w:tr>
      <w:tr w14:paraId="23AD7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6" w:hRule="atLeast"/>
          <w:jc w:val="center"/>
        </w:trPr>
        <w:tc>
          <w:tcPr>
            <w:tcW w:w="409" w:type="pct"/>
            <w:noWrap w:val="0"/>
            <w:vAlign w:val="center"/>
          </w:tcPr>
          <w:p w14:paraId="0DC12AC2">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z w:val="24"/>
                <w:szCs w:val="24"/>
                <w:highlight w:val="none"/>
              </w:rPr>
              <w:t>环保投资</w:t>
            </w:r>
          </w:p>
        </w:tc>
        <w:tc>
          <w:tcPr>
            <w:tcW w:w="4590" w:type="pct"/>
            <w:noWrap w:val="0"/>
            <w:vAlign w:val="top"/>
          </w:tcPr>
          <w:p w14:paraId="6C3C745D">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w:t>
            </w:r>
            <w:r>
              <w:rPr>
                <w:rFonts w:hint="default" w:ascii="Times New Roman" w:hAnsi="Times New Roman" w:eastAsia="宋体" w:cs="Times New Roman"/>
                <w:b w:val="0"/>
                <w:bCs w:val="0"/>
                <w:color w:val="auto"/>
                <w:kern w:val="0"/>
                <w:sz w:val="24"/>
                <w:szCs w:val="24"/>
                <w:highlight w:val="none"/>
                <w:lang w:val="en-US" w:eastAsia="zh-CN" w:bidi="ar-SA"/>
              </w:rPr>
              <w:t>总投资为</w:t>
            </w:r>
            <w:r>
              <w:rPr>
                <w:rFonts w:hint="eastAsia" w:hAnsi="Times New Roman" w:cs="Times New Roman"/>
                <w:b w:val="0"/>
                <w:bCs w:val="0"/>
                <w:color w:val="auto"/>
                <w:kern w:val="0"/>
                <w:sz w:val="24"/>
                <w:szCs w:val="24"/>
                <w:highlight w:val="none"/>
                <w:lang w:val="en-US" w:eastAsia="zh-CN" w:bidi="ar-SA"/>
              </w:rPr>
              <w:t>4000</w:t>
            </w:r>
            <w:r>
              <w:rPr>
                <w:rFonts w:hint="default" w:ascii="Times New Roman" w:hAnsi="Times New Roman" w:eastAsia="宋体" w:cs="Times New Roman"/>
                <w:b w:val="0"/>
                <w:bCs w:val="0"/>
                <w:color w:val="auto"/>
                <w:kern w:val="0"/>
                <w:sz w:val="24"/>
                <w:szCs w:val="24"/>
                <w:highlight w:val="none"/>
                <w:lang w:val="en-US" w:eastAsia="zh-CN" w:bidi="ar-SA"/>
              </w:rPr>
              <w:t>万元，其中环保投资</w:t>
            </w:r>
            <w:r>
              <w:rPr>
                <w:rFonts w:hint="eastAsia" w:hAnsi="Times New Roman" w:cs="Times New Roman"/>
                <w:b w:val="0"/>
                <w:bCs w:val="0"/>
                <w:color w:val="auto"/>
                <w:kern w:val="0"/>
                <w:sz w:val="24"/>
                <w:szCs w:val="24"/>
                <w:highlight w:val="none"/>
                <w:lang w:val="en-US" w:eastAsia="zh-CN" w:bidi="ar-SA"/>
              </w:rPr>
              <w:t>118</w:t>
            </w:r>
            <w:r>
              <w:rPr>
                <w:rFonts w:hint="default" w:ascii="Times New Roman" w:hAnsi="Times New Roman" w:eastAsia="宋体" w:cs="Times New Roman"/>
                <w:b w:val="0"/>
                <w:bCs w:val="0"/>
                <w:color w:val="auto"/>
                <w:kern w:val="0"/>
                <w:sz w:val="24"/>
                <w:szCs w:val="24"/>
                <w:highlight w:val="none"/>
                <w:lang w:val="en-US" w:eastAsia="zh-CN" w:bidi="ar-SA"/>
              </w:rPr>
              <w:t>万元，占总投资的</w:t>
            </w:r>
            <w:r>
              <w:rPr>
                <w:rFonts w:hint="eastAsia" w:hAnsi="Times New Roman" w:cs="Times New Roman"/>
                <w:b w:val="0"/>
                <w:bCs w:val="0"/>
                <w:color w:val="auto"/>
                <w:kern w:val="0"/>
                <w:sz w:val="24"/>
                <w:szCs w:val="24"/>
                <w:highlight w:val="none"/>
                <w:lang w:val="en-US" w:eastAsia="zh-CN" w:bidi="ar-SA"/>
              </w:rPr>
              <w:t>2.95</w:t>
            </w:r>
            <w:r>
              <w:rPr>
                <w:rFonts w:hint="default" w:ascii="Times New Roman" w:hAnsi="Times New Roman" w:eastAsia="宋体" w:cs="Times New Roman"/>
                <w:b w:val="0"/>
                <w:bCs w:val="0"/>
                <w:color w:val="auto"/>
                <w:kern w:val="0"/>
                <w:sz w:val="24"/>
                <w:szCs w:val="24"/>
                <w:highlight w:val="none"/>
                <w:lang w:val="en-US" w:eastAsia="zh-CN" w:bidi="ar-SA"/>
              </w:rPr>
              <w:t>%，环保工程清单及投资见表</w:t>
            </w:r>
            <w:r>
              <w:rPr>
                <w:rFonts w:hint="eastAsia" w:ascii="Times New Roman" w:hAnsi="Times New Roman" w:eastAsia="宋体" w:cs="Times New Roman"/>
                <w:b w:val="0"/>
                <w:bCs w:val="0"/>
                <w:color w:val="auto"/>
                <w:kern w:val="0"/>
                <w:sz w:val="24"/>
                <w:szCs w:val="24"/>
                <w:highlight w:val="none"/>
                <w:lang w:val="en-US" w:eastAsia="zh-CN" w:bidi="ar-SA"/>
              </w:rPr>
              <w:t>5-3。</w:t>
            </w:r>
          </w:p>
          <w:p w14:paraId="69AF1B9E">
            <w:pPr>
              <w:pStyle w:val="82"/>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表5-</w:t>
            </w:r>
            <w:r>
              <w:rPr>
                <w:rFonts w:hint="eastAsia" w:ascii="Times New Roman" w:hAnsi="Times New Roman" w:eastAsia="宋体" w:cs="Times New Roman"/>
                <w:b/>
                <w:bCs/>
                <w:color w:val="auto"/>
                <w:kern w:val="0"/>
                <w:sz w:val="21"/>
                <w:szCs w:val="21"/>
                <w:highlight w:val="none"/>
                <w:lang w:val="en-US" w:eastAsia="zh-CN" w:bidi="ar-SA"/>
              </w:rPr>
              <w:t xml:space="preserve">3  </w:t>
            </w:r>
            <w:r>
              <w:rPr>
                <w:rFonts w:hint="default" w:ascii="Times New Roman" w:hAnsi="Times New Roman" w:eastAsia="宋体" w:cs="Times New Roman"/>
                <w:b/>
                <w:bCs/>
                <w:color w:val="auto"/>
                <w:kern w:val="0"/>
                <w:sz w:val="21"/>
                <w:szCs w:val="21"/>
                <w:highlight w:val="none"/>
                <w:lang w:val="en-US" w:eastAsia="zh-CN" w:bidi="ar-SA"/>
              </w:rPr>
              <w:t xml:space="preserve"> 环保工程清单及投资估算</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82"/>
              <w:gridCol w:w="944"/>
              <w:gridCol w:w="1527"/>
              <w:gridCol w:w="3931"/>
              <w:gridCol w:w="1296"/>
            </w:tblGrid>
            <w:tr w14:paraId="6839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tcBorders>
                    <w:tl2br w:val="nil"/>
                    <w:tr2bl w:val="nil"/>
                  </w:tcBorders>
                  <w:noWrap w:val="0"/>
                  <w:vAlign w:val="center"/>
                </w:tcPr>
                <w:p w14:paraId="1A712B7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时段</w:t>
                  </w:r>
                </w:p>
              </w:tc>
              <w:tc>
                <w:tcPr>
                  <w:tcW w:w="563" w:type="pct"/>
                  <w:tcBorders>
                    <w:tl2br w:val="nil"/>
                    <w:tr2bl w:val="nil"/>
                  </w:tcBorders>
                  <w:noWrap w:val="0"/>
                  <w:vAlign w:val="center"/>
                </w:tcPr>
                <w:p w14:paraId="7590A87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类型</w:t>
                  </w:r>
                </w:p>
              </w:tc>
              <w:tc>
                <w:tcPr>
                  <w:tcW w:w="910" w:type="pct"/>
                  <w:tcBorders>
                    <w:tl2br w:val="nil"/>
                    <w:tr2bl w:val="nil"/>
                  </w:tcBorders>
                  <w:noWrap w:val="0"/>
                  <w:vAlign w:val="center"/>
                </w:tcPr>
                <w:p w14:paraId="6F0C5693">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污染源</w:t>
                  </w:r>
                </w:p>
              </w:tc>
              <w:tc>
                <w:tcPr>
                  <w:tcW w:w="2345" w:type="pct"/>
                  <w:tcBorders>
                    <w:tl2br w:val="nil"/>
                    <w:tr2bl w:val="nil"/>
                  </w:tcBorders>
                  <w:noWrap w:val="0"/>
                  <w:vAlign w:val="center"/>
                </w:tcPr>
                <w:p w14:paraId="6C45F90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环保措施</w:t>
                  </w:r>
                </w:p>
              </w:tc>
              <w:tc>
                <w:tcPr>
                  <w:tcW w:w="773" w:type="pct"/>
                  <w:tcBorders>
                    <w:tl2br w:val="nil"/>
                    <w:tr2bl w:val="nil"/>
                  </w:tcBorders>
                  <w:noWrap w:val="0"/>
                  <w:vAlign w:val="center"/>
                </w:tcPr>
                <w:p w14:paraId="7617AD0B">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投资（万元）</w:t>
                  </w:r>
                </w:p>
              </w:tc>
            </w:tr>
            <w:tr w14:paraId="40B2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restart"/>
                  <w:tcBorders>
                    <w:tl2br w:val="nil"/>
                    <w:tr2bl w:val="nil"/>
                  </w:tcBorders>
                  <w:noWrap w:val="0"/>
                  <w:vAlign w:val="center"/>
                </w:tcPr>
                <w:p w14:paraId="524AE75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施工期</w:t>
                  </w:r>
                </w:p>
              </w:tc>
              <w:tc>
                <w:tcPr>
                  <w:tcW w:w="563" w:type="pct"/>
                  <w:vMerge w:val="restart"/>
                  <w:tcBorders>
                    <w:tl2br w:val="nil"/>
                    <w:tr2bl w:val="nil"/>
                  </w:tcBorders>
                  <w:noWrap w:val="0"/>
                  <w:vAlign w:val="center"/>
                </w:tcPr>
                <w:p w14:paraId="15529530">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废气</w:t>
                  </w:r>
                </w:p>
              </w:tc>
              <w:tc>
                <w:tcPr>
                  <w:tcW w:w="910" w:type="pct"/>
                  <w:tcBorders>
                    <w:tl2br w:val="nil"/>
                    <w:tr2bl w:val="nil"/>
                  </w:tcBorders>
                  <w:noWrap w:val="0"/>
                  <w:vAlign w:val="center"/>
                </w:tcPr>
                <w:p w14:paraId="42DDE675">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扬尘</w:t>
                  </w:r>
                </w:p>
              </w:tc>
              <w:tc>
                <w:tcPr>
                  <w:tcW w:w="2345" w:type="pct"/>
                  <w:tcBorders>
                    <w:tl2br w:val="nil"/>
                    <w:tr2bl w:val="nil"/>
                  </w:tcBorders>
                  <w:noWrap w:val="0"/>
                  <w:vAlign w:val="center"/>
                </w:tcPr>
                <w:p w14:paraId="0FF3DAA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洒水抑尘、苫布覆盖</w:t>
                  </w:r>
                </w:p>
              </w:tc>
              <w:tc>
                <w:tcPr>
                  <w:tcW w:w="773" w:type="pct"/>
                  <w:tcBorders>
                    <w:tl2br w:val="nil"/>
                    <w:tr2bl w:val="nil"/>
                  </w:tcBorders>
                  <w:noWrap w:val="0"/>
                  <w:vAlign w:val="center"/>
                </w:tcPr>
                <w:p w14:paraId="742B3872">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1</w:t>
                  </w:r>
                </w:p>
              </w:tc>
            </w:tr>
            <w:tr w14:paraId="3963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0A7C954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14:paraId="703F6D7E">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2BD89CC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伴生气</w:t>
                  </w:r>
                </w:p>
              </w:tc>
              <w:tc>
                <w:tcPr>
                  <w:tcW w:w="2345" w:type="pct"/>
                  <w:tcBorders>
                    <w:tl2br w:val="nil"/>
                    <w:tr2bl w:val="nil"/>
                  </w:tcBorders>
                  <w:noWrap w:val="0"/>
                  <w:vAlign w:val="center"/>
                </w:tcPr>
                <w:p w14:paraId="7FE384B3">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点火火炬燃烧</w:t>
                  </w:r>
                </w:p>
              </w:tc>
              <w:tc>
                <w:tcPr>
                  <w:tcW w:w="773" w:type="pct"/>
                  <w:tcBorders>
                    <w:tl2br w:val="nil"/>
                    <w:tr2bl w:val="nil"/>
                  </w:tcBorders>
                  <w:noWrap w:val="0"/>
                  <w:vAlign w:val="center"/>
                </w:tcPr>
                <w:p w14:paraId="40C947F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4</w:t>
                  </w:r>
                </w:p>
              </w:tc>
            </w:tr>
            <w:tr w14:paraId="1C5B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445D68F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14:paraId="31F4C5B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17AB662B">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挥发性烃类</w:t>
                  </w:r>
                </w:p>
              </w:tc>
              <w:tc>
                <w:tcPr>
                  <w:tcW w:w="2345" w:type="pct"/>
                  <w:tcBorders>
                    <w:tl2br w:val="nil"/>
                    <w:tr2bl w:val="nil"/>
                  </w:tcBorders>
                  <w:noWrap w:val="0"/>
                  <w:vAlign w:val="center"/>
                </w:tcPr>
                <w:p w14:paraId="6D40D86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原油储罐采用防腐贮罐，采用环密技术防止烃类泄漏</w:t>
                  </w:r>
                </w:p>
              </w:tc>
              <w:tc>
                <w:tcPr>
                  <w:tcW w:w="773" w:type="pct"/>
                  <w:tcBorders>
                    <w:tl2br w:val="nil"/>
                    <w:tr2bl w:val="nil"/>
                  </w:tcBorders>
                  <w:noWrap w:val="0"/>
                  <w:vAlign w:val="center"/>
                </w:tcPr>
                <w:p w14:paraId="6948C87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14:paraId="0A79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7B2D6ACE">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restart"/>
                  <w:tcBorders>
                    <w:tl2br w:val="nil"/>
                    <w:tr2bl w:val="nil"/>
                  </w:tcBorders>
                  <w:noWrap w:val="0"/>
                  <w:vAlign w:val="center"/>
                </w:tcPr>
                <w:p w14:paraId="0909259B">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废水</w:t>
                  </w:r>
                </w:p>
              </w:tc>
              <w:tc>
                <w:tcPr>
                  <w:tcW w:w="910" w:type="pct"/>
                  <w:tcBorders>
                    <w:tl2br w:val="nil"/>
                    <w:tr2bl w:val="nil"/>
                  </w:tcBorders>
                  <w:noWrap w:val="0"/>
                  <w:vAlign w:val="center"/>
                </w:tcPr>
                <w:p w14:paraId="2541AF1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钻井废水，酸化压裂返排液</w:t>
                  </w:r>
                </w:p>
              </w:tc>
              <w:tc>
                <w:tcPr>
                  <w:tcW w:w="2345" w:type="pct"/>
                  <w:tcBorders>
                    <w:tl2br w:val="nil"/>
                    <w:tr2bl w:val="nil"/>
                  </w:tcBorders>
                  <w:noWrap w:val="0"/>
                  <w:vAlign w:val="center"/>
                </w:tcPr>
                <w:p w14:paraId="2B5EB40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随钻不落地</w:t>
                  </w:r>
                  <w:r>
                    <w:rPr>
                      <w:rFonts w:hint="eastAsia" w:ascii="Times New Roman" w:hAnsi="Times New Roman" w:eastAsia="宋体" w:cs="Times New Roman"/>
                      <w:b w:val="0"/>
                      <w:bCs w:val="0"/>
                      <w:color w:val="auto"/>
                      <w:kern w:val="0"/>
                      <w:sz w:val="21"/>
                      <w:szCs w:val="21"/>
                      <w:highlight w:val="none"/>
                      <w:lang w:val="en-US" w:eastAsia="zh-CN" w:bidi="ar-SA"/>
                    </w:rPr>
                    <w:t>系统</w:t>
                  </w:r>
                  <w:r>
                    <w:rPr>
                      <w:rFonts w:hint="default" w:ascii="Times New Roman" w:hAnsi="Times New Roman" w:eastAsia="宋体" w:cs="Times New Roman"/>
                      <w:b w:val="0"/>
                      <w:bCs w:val="0"/>
                      <w:color w:val="auto"/>
                      <w:kern w:val="0"/>
                      <w:sz w:val="21"/>
                      <w:szCs w:val="21"/>
                      <w:highlight w:val="none"/>
                      <w:lang w:val="en-US" w:eastAsia="zh-CN" w:bidi="ar-SA"/>
                    </w:rPr>
                    <w:t>、</w:t>
                  </w:r>
                  <w:r>
                    <w:rPr>
                      <w:rFonts w:hint="eastAsia" w:ascii="Times New Roman" w:hAnsi="Times New Roman" w:eastAsia="宋体" w:cs="Times New Roman"/>
                      <w:b w:val="0"/>
                      <w:bCs w:val="0"/>
                      <w:color w:val="auto"/>
                      <w:kern w:val="0"/>
                      <w:sz w:val="21"/>
                      <w:szCs w:val="21"/>
                      <w:highlight w:val="none"/>
                      <w:lang w:val="en-US" w:eastAsia="zh-CN" w:bidi="ar-SA"/>
                    </w:rPr>
                    <w:t>废液收集罐</w:t>
                  </w:r>
                </w:p>
              </w:tc>
              <w:tc>
                <w:tcPr>
                  <w:tcW w:w="773" w:type="pct"/>
                  <w:tcBorders>
                    <w:tl2br w:val="nil"/>
                    <w:tr2bl w:val="nil"/>
                  </w:tcBorders>
                  <w:noWrap w:val="0"/>
                  <w:vAlign w:val="center"/>
                </w:tcPr>
                <w:p w14:paraId="139B2E28">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25</w:t>
                  </w:r>
                </w:p>
              </w:tc>
            </w:tr>
            <w:tr w14:paraId="4748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622F6BD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14:paraId="745FF2B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111A524D">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生活污水</w:t>
                  </w:r>
                </w:p>
              </w:tc>
              <w:tc>
                <w:tcPr>
                  <w:tcW w:w="2345" w:type="pct"/>
                  <w:tcBorders>
                    <w:tl2br w:val="nil"/>
                    <w:tr2bl w:val="nil"/>
                  </w:tcBorders>
                  <w:noWrap w:val="0"/>
                  <w:vAlign w:val="center"/>
                </w:tcPr>
                <w:p w14:paraId="5765FCD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经井场撬装式污水处理装置处理后，水质达到《农村生活污水处理排放标准》（DB654275-2019）表2的B级标准，用于荒漠灌溉</w:t>
                  </w:r>
                </w:p>
              </w:tc>
              <w:tc>
                <w:tcPr>
                  <w:tcW w:w="773" w:type="pct"/>
                  <w:tcBorders>
                    <w:tl2br w:val="nil"/>
                    <w:tr2bl w:val="nil"/>
                  </w:tcBorders>
                  <w:noWrap w:val="0"/>
                  <w:vAlign w:val="center"/>
                </w:tcPr>
                <w:p w14:paraId="5E07DB1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10</w:t>
                  </w:r>
                </w:p>
              </w:tc>
            </w:tr>
            <w:tr w14:paraId="5864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413FF2E9">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tcBorders>
                    <w:tl2br w:val="nil"/>
                    <w:tr2bl w:val="nil"/>
                  </w:tcBorders>
                  <w:noWrap w:val="0"/>
                  <w:vAlign w:val="center"/>
                </w:tcPr>
                <w:p w14:paraId="1FF93EB9">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噪声</w:t>
                  </w:r>
                </w:p>
              </w:tc>
              <w:tc>
                <w:tcPr>
                  <w:tcW w:w="910" w:type="pct"/>
                  <w:tcBorders>
                    <w:tl2br w:val="nil"/>
                    <w:tr2bl w:val="nil"/>
                  </w:tcBorders>
                  <w:noWrap w:val="0"/>
                  <w:vAlign w:val="center"/>
                </w:tcPr>
                <w:p w14:paraId="4269E5F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设备噪声</w:t>
                  </w:r>
                </w:p>
              </w:tc>
              <w:tc>
                <w:tcPr>
                  <w:tcW w:w="2345" w:type="pct"/>
                  <w:tcBorders>
                    <w:tl2br w:val="nil"/>
                    <w:tr2bl w:val="nil"/>
                  </w:tcBorders>
                  <w:noWrap w:val="0"/>
                  <w:vAlign w:val="center"/>
                </w:tcPr>
                <w:p w14:paraId="569EF662">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消声、</w:t>
                  </w:r>
                  <w:r>
                    <w:rPr>
                      <w:rFonts w:hint="eastAsia" w:ascii="Times New Roman" w:hAnsi="Times New Roman" w:eastAsia="宋体" w:cs="Times New Roman"/>
                      <w:b w:val="0"/>
                      <w:bCs w:val="0"/>
                      <w:color w:val="auto"/>
                      <w:kern w:val="0"/>
                      <w:sz w:val="21"/>
                      <w:szCs w:val="21"/>
                      <w:highlight w:val="none"/>
                      <w:lang w:val="en-US" w:eastAsia="zh-CN" w:bidi="ar-SA"/>
                    </w:rPr>
                    <w:t>减振设备</w:t>
                  </w:r>
                </w:p>
              </w:tc>
              <w:tc>
                <w:tcPr>
                  <w:tcW w:w="773" w:type="pct"/>
                  <w:tcBorders>
                    <w:tl2br w:val="nil"/>
                    <w:tr2bl w:val="nil"/>
                  </w:tcBorders>
                  <w:noWrap w:val="0"/>
                  <w:vAlign w:val="center"/>
                </w:tcPr>
                <w:p w14:paraId="3109BAB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w:t>
                  </w:r>
                </w:p>
              </w:tc>
            </w:tr>
            <w:tr w14:paraId="3534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637210FE">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restart"/>
                  <w:tcBorders>
                    <w:tl2br w:val="nil"/>
                    <w:tr2bl w:val="nil"/>
                  </w:tcBorders>
                  <w:noWrap w:val="0"/>
                  <w:vAlign w:val="center"/>
                </w:tcPr>
                <w:p w14:paraId="68D9F78B">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固体废物</w:t>
                  </w:r>
                </w:p>
              </w:tc>
              <w:tc>
                <w:tcPr>
                  <w:tcW w:w="910" w:type="pct"/>
                  <w:tcBorders>
                    <w:tl2br w:val="nil"/>
                    <w:tr2bl w:val="nil"/>
                  </w:tcBorders>
                  <w:noWrap w:val="0"/>
                  <w:vAlign w:val="center"/>
                </w:tcPr>
                <w:p w14:paraId="2A9DE396">
                  <w:pPr>
                    <w:keepNext w:val="0"/>
                    <w:keepLines w:val="0"/>
                    <w:pageBreakBefore w:val="0"/>
                    <w:widowControl w:val="0"/>
                    <w:wordWrap/>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lang w:val="en-US" w:eastAsia="zh-CN"/>
                    </w:rPr>
                    <w:t>固液分离后泥浆、岩屑</w:t>
                  </w:r>
                </w:p>
              </w:tc>
              <w:tc>
                <w:tcPr>
                  <w:tcW w:w="2345" w:type="pct"/>
                  <w:tcBorders>
                    <w:tl2br w:val="nil"/>
                    <w:tr2bl w:val="nil"/>
                  </w:tcBorders>
                  <w:noWrap w:val="0"/>
                  <w:vAlign w:val="center"/>
                </w:tcPr>
                <w:p w14:paraId="6FDCD91F">
                  <w:pPr>
                    <w:keepNext w:val="0"/>
                    <w:keepLines w:val="0"/>
                    <w:pageBreakBefore w:val="0"/>
                    <w:widowControl w:val="0"/>
                    <w:wordWrap/>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lang w:val="en-US" w:eastAsia="zh-CN"/>
                    </w:rPr>
                    <w:t>膨润土体系废弃钻井泥浆及岩屑于泥浆不落地处理区暂存，经检测达标后，用于铺垫油区内的井场、道路；</w:t>
                  </w:r>
                  <w:r>
                    <w:rPr>
                      <w:rFonts w:hint="eastAsia" w:ascii="Times New Roman" w:hAnsi="Times New Roman" w:eastAsia="宋体" w:cs="Times New Roman"/>
                      <w:b w:val="0"/>
                      <w:bCs w:val="0"/>
                      <w:color w:val="auto"/>
                      <w:kern w:val="0"/>
                      <w:sz w:val="21"/>
                      <w:szCs w:val="21"/>
                      <w:highlight w:val="none"/>
                      <w:lang w:val="en-US" w:eastAsia="zh-CN" w:bidi="ar"/>
                    </w:rPr>
                    <w:t>聚磺体系废弃钻井泥浆及岩屑在井场环保罐收集后，根据生产情况转运至第三方环保处理站处置或在钻井现场无害化达标处置后用于铺垫油区内的井场、道路</w:t>
                  </w:r>
                </w:p>
              </w:tc>
              <w:tc>
                <w:tcPr>
                  <w:tcW w:w="773" w:type="pct"/>
                  <w:tcBorders>
                    <w:tl2br w:val="nil"/>
                    <w:tr2bl w:val="nil"/>
                  </w:tcBorders>
                  <w:noWrap w:val="0"/>
                  <w:vAlign w:val="center"/>
                </w:tcPr>
                <w:p w14:paraId="439E57E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2</w:t>
                  </w:r>
                </w:p>
              </w:tc>
            </w:tr>
            <w:tr w14:paraId="6576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7" w:type="pct"/>
                  <w:vMerge w:val="continue"/>
                  <w:tcBorders>
                    <w:tl2br w:val="nil"/>
                    <w:tr2bl w:val="nil"/>
                  </w:tcBorders>
                  <w:noWrap w:val="0"/>
                  <w:vAlign w:val="center"/>
                </w:tcPr>
                <w:p w14:paraId="6DE20F5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563" w:type="pct"/>
                  <w:vMerge w:val="continue"/>
                  <w:tcBorders>
                    <w:tl2br w:val="nil"/>
                    <w:tr2bl w:val="nil"/>
                  </w:tcBorders>
                  <w:noWrap w:val="0"/>
                  <w:vAlign w:val="center"/>
                </w:tcPr>
                <w:p w14:paraId="75E8460D">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111E2A70">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废机油、防渗材料和落地油、废弃包装材料</w:t>
                  </w:r>
                </w:p>
              </w:tc>
              <w:tc>
                <w:tcPr>
                  <w:tcW w:w="2345" w:type="pct"/>
                  <w:tcBorders>
                    <w:tl2br w:val="nil"/>
                    <w:tr2bl w:val="nil"/>
                  </w:tcBorders>
                  <w:noWrap w:val="0"/>
                  <w:vAlign w:val="center"/>
                </w:tcPr>
                <w:p w14:paraId="324B076E">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危险废物贮存点、委托有资质单位处置</w:t>
                  </w:r>
                </w:p>
              </w:tc>
              <w:tc>
                <w:tcPr>
                  <w:tcW w:w="773" w:type="pct"/>
                  <w:tcBorders>
                    <w:tl2br w:val="nil"/>
                    <w:tr2bl w:val="nil"/>
                  </w:tcBorders>
                  <w:noWrap w:val="0"/>
                  <w:vAlign w:val="center"/>
                </w:tcPr>
                <w:p w14:paraId="7B2AFA22">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14:paraId="5D1A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881" w:type="pct"/>
                  <w:gridSpan w:val="3"/>
                  <w:tcBorders>
                    <w:tl2br w:val="nil"/>
                    <w:tr2bl w:val="nil"/>
                  </w:tcBorders>
                  <w:noWrap w:val="0"/>
                  <w:vAlign w:val="center"/>
                </w:tcPr>
                <w:p w14:paraId="04443D6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防渗</w:t>
                  </w:r>
                </w:p>
              </w:tc>
              <w:tc>
                <w:tcPr>
                  <w:tcW w:w="2345" w:type="pct"/>
                  <w:tcBorders>
                    <w:tl2br w:val="nil"/>
                    <w:tr2bl w:val="nil"/>
                  </w:tcBorders>
                  <w:noWrap w:val="0"/>
                  <w:vAlign w:val="center"/>
                </w:tcPr>
                <w:p w14:paraId="0E46E78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分区防渗</w:t>
                  </w:r>
                  <w:r>
                    <w:rPr>
                      <w:rFonts w:hint="eastAsia" w:ascii="Times New Roman" w:hAnsi="Times New Roman" w:eastAsia="宋体" w:cs="Times New Roman"/>
                      <w:b w:val="0"/>
                      <w:bCs w:val="0"/>
                      <w:color w:val="auto"/>
                      <w:kern w:val="0"/>
                      <w:sz w:val="21"/>
                      <w:szCs w:val="21"/>
                      <w:highlight w:val="none"/>
                      <w:lang w:val="en-US" w:eastAsia="zh-CN" w:bidi="ar-SA"/>
                    </w:rPr>
                    <w:t>，</w:t>
                  </w:r>
                  <w:r>
                    <w:rPr>
                      <w:rFonts w:hint="default" w:ascii="Times New Roman" w:hAnsi="Times New Roman" w:eastAsia="宋体" w:cs="Times New Roman"/>
                      <w:b w:val="0"/>
                      <w:bCs w:val="0"/>
                      <w:color w:val="auto"/>
                      <w:kern w:val="0"/>
                      <w:sz w:val="21"/>
                      <w:szCs w:val="21"/>
                      <w:highlight w:val="none"/>
                      <w:lang w:val="en-US" w:eastAsia="zh-CN" w:bidi="ar-SA"/>
                    </w:rPr>
                    <w:t>一般防渗区铺设防渗布进行防渗处理，防渗性能等效黏土防渗层 Mb≥1.5m、K≤1.0×10</w:t>
                  </w:r>
                  <w:r>
                    <w:rPr>
                      <w:rFonts w:hint="default" w:ascii="Times New Roman" w:hAnsi="Times New Roman" w:eastAsia="宋体" w:cs="Times New Roman"/>
                      <w:b w:val="0"/>
                      <w:bCs w:val="0"/>
                      <w:color w:val="auto"/>
                      <w:kern w:val="0"/>
                      <w:sz w:val="21"/>
                      <w:szCs w:val="21"/>
                      <w:highlight w:val="none"/>
                      <w:vertAlign w:val="superscript"/>
                      <w:lang w:val="en-US" w:eastAsia="zh-CN" w:bidi="ar-SA"/>
                    </w:rPr>
                    <w:t>-7</w:t>
                  </w:r>
                  <w:r>
                    <w:rPr>
                      <w:rFonts w:hint="default" w:ascii="Times New Roman" w:hAnsi="Times New Roman" w:eastAsia="宋体" w:cs="Times New Roman"/>
                      <w:b w:val="0"/>
                      <w:bCs w:val="0"/>
                      <w:color w:val="auto"/>
                      <w:kern w:val="0"/>
                      <w:sz w:val="21"/>
                      <w:szCs w:val="21"/>
                      <w:highlight w:val="none"/>
                      <w:lang w:val="en-US" w:eastAsia="zh-CN" w:bidi="ar-SA"/>
                    </w:rPr>
                    <w:t>cm/s。施工场地铺设HDPE防渗膜；重点防渗区铺设防渗布进行防渗处理，防渗性能等效黏土防渗层Mb≥6.0m、K≤1.0×10</w:t>
                  </w:r>
                  <w:r>
                    <w:rPr>
                      <w:rFonts w:hint="default" w:ascii="Times New Roman" w:hAnsi="Times New Roman" w:eastAsia="宋体" w:cs="Times New Roman"/>
                      <w:b w:val="0"/>
                      <w:bCs w:val="0"/>
                      <w:color w:val="auto"/>
                      <w:kern w:val="0"/>
                      <w:sz w:val="21"/>
                      <w:szCs w:val="21"/>
                      <w:highlight w:val="none"/>
                      <w:vertAlign w:val="superscript"/>
                      <w:lang w:val="en-US" w:eastAsia="zh-CN" w:bidi="ar-SA"/>
                    </w:rPr>
                    <w:t>-7</w:t>
                  </w:r>
                  <w:r>
                    <w:rPr>
                      <w:rFonts w:hint="default" w:ascii="Times New Roman" w:hAnsi="Times New Roman" w:eastAsia="宋体" w:cs="Times New Roman"/>
                      <w:b w:val="0"/>
                      <w:bCs w:val="0"/>
                      <w:color w:val="auto"/>
                      <w:kern w:val="0"/>
                      <w:sz w:val="21"/>
                      <w:szCs w:val="21"/>
                      <w:highlight w:val="none"/>
                      <w:lang w:val="en-US" w:eastAsia="zh-CN" w:bidi="ar-SA"/>
                    </w:rPr>
                    <w:t>cm/s。</w:t>
                  </w:r>
                </w:p>
              </w:tc>
              <w:tc>
                <w:tcPr>
                  <w:tcW w:w="773" w:type="pct"/>
                  <w:tcBorders>
                    <w:tl2br w:val="nil"/>
                    <w:tr2bl w:val="nil"/>
                  </w:tcBorders>
                  <w:noWrap w:val="0"/>
                  <w:vAlign w:val="center"/>
                </w:tcPr>
                <w:p w14:paraId="131D63EB">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14:paraId="25E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4" w:hRule="atLeast"/>
                <w:jc w:val="center"/>
              </w:trPr>
              <w:tc>
                <w:tcPr>
                  <w:tcW w:w="1881" w:type="pct"/>
                  <w:gridSpan w:val="3"/>
                  <w:tcBorders>
                    <w:tl2br w:val="nil"/>
                    <w:tr2bl w:val="nil"/>
                  </w:tcBorders>
                  <w:noWrap w:val="0"/>
                  <w:vAlign w:val="center"/>
                </w:tcPr>
                <w:p w14:paraId="527C3CB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环境风险</w:t>
                  </w:r>
                </w:p>
              </w:tc>
              <w:tc>
                <w:tcPr>
                  <w:tcW w:w="2345" w:type="pct"/>
                  <w:tcBorders>
                    <w:tl2br w:val="nil"/>
                    <w:tr2bl w:val="nil"/>
                  </w:tcBorders>
                  <w:noWrap w:val="0"/>
                  <w:vAlign w:val="center"/>
                </w:tcPr>
                <w:p w14:paraId="50A8D450">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防井喷装置，落实各项风险应急物资，制定具备符合行业标准和环评要求的环境风险应急预案；堵漏设施、应急监测设备等应急物资</w:t>
                  </w:r>
                </w:p>
              </w:tc>
              <w:tc>
                <w:tcPr>
                  <w:tcW w:w="773" w:type="pct"/>
                  <w:tcBorders>
                    <w:tl2br w:val="nil"/>
                    <w:tr2bl w:val="nil"/>
                  </w:tcBorders>
                  <w:noWrap w:val="0"/>
                  <w:vAlign w:val="center"/>
                </w:tcPr>
                <w:p w14:paraId="0F9C9029">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14:paraId="4953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70" w:type="pct"/>
                  <w:gridSpan w:val="2"/>
                  <w:vMerge w:val="restart"/>
                  <w:tcBorders>
                    <w:tl2br w:val="nil"/>
                    <w:tr2bl w:val="nil"/>
                  </w:tcBorders>
                  <w:noWrap w:val="0"/>
                  <w:vAlign w:val="center"/>
                </w:tcPr>
                <w:p w14:paraId="62B5940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生态恢复</w:t>
                  </w:r>
                </w:p>
              </w:tc>
              <w:tc>
                <w:tcPr>
                  <w:tcW w:w="910" w:type="pct"/>
                  <w:tcBorders>
                    <w:tl2br w:val="nil"/>
                    <w:tr2bl w:val="nil"/>
                  </w:tcBorders>
                  <w:noWrap w:val="0"/>
                  <w:vAlign w:val="center"/>
                </w:tcPr>
                <w:p w14:paraId="7F9CB2F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场地平整</w:t>
                  </w:r>
                </w:p>
              </w:tc>
              <w:tc>
                <w:tcPr>
                  <w:tcW w:w="2345" w:type="pct"/>
                  <w:tcBorders>
                    <w:tl2br w:val="nil"/>
                    <w:tr2bl w:val="nil"/>
                  </w:tcBorders>
                  <w:noWrap w:val="0"/>
                  <w:vAlign w:val="center"/>
                </w:tcPr>
                <w:p w14:paraId="545F722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场地平整，</w:t>
                  </w:r>
                  <w:r>
                    <w:rPr>
                      <w:rFonts w:hint="default" w:ascii="Times New Roman" w:hAnsi="Times New Roman" w:eastAsia="宋体" w:cs="Times New Roman"/>
                      <w:b w:val="0"/>
                      <w:bCs w:val="0"/>
                      <w:color w:val="auto"/>
                      <w:kern w:val="0"/>
                      <w:sz w:val="21"/>
                      <w:szCs w:val="21"/>
                      <w:highlight w:val="none"/>
                      <w:lang w:val="en-US" w:eastAsia="zh-CN" w:bidi="ar-SA"/>
                    </w:rPr>
                    <w:t>严格控制施工作业范围</w:t>
                  </w:r>
                </w:p>
              </w:tc>
              <w:tc>
                <w:tcPr>
                  <w:tcW w:w="773" w:type="pct"/>
                  <w:tcBorders>
                    <w:tl2br w:val="nil"/>
                    <w:tr2bl w:val="nil"/>
                  </w:tcBorders>
                  <w:noWrap w:val="0"/>
                  <w:vAlign w:val="center"/>
                </w:tcPr>
                <w:p w14:paraId="2303BE12">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5</w:t>
                  </w:r>
                </w:p>
              </w:tc>
            </w:tr>
            <w:tr w14:paraId="4216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70" w:type="pct"/>
                  <w:gridSpan w:val="2"/>
                  <w:vMerge w:val="continue"/>
                  <w:tcBorders>
                    <w:tl2br w:val="nil"/>
                    <w:tr2bl w:val="nil"/>
                  </w:tcBorders>
                  <w:noWrap w:val="0"/>
                  <w:vAlign w:val="center"/>
                </w:tcPr>
                <w:p w14:paraId="6FE6F86E">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457AC8E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工程占地</w:t>
                  </w:r>
                </w:p>
              </w:tc>
              <w:tc>
                <w:tcPr>
                  <w:tcW w:w="2345" w:type="pct"/>
                  <w:tcBorders>
                    <w:tl2br w:val="nil"/>
                    <w:tr2bl w:val="nil"/>
                  </w:tcBorders>
                  <w:noWrap w:val="0"/>
                  <w:vAlign w:val="center"/>
                </w:tcPr>
                <w:p w14:paraId="5BE9DDC1">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生态恢复、防沙治沙</w:t>
                  </w:r>
                  <w:r>
                    <w:rPr>
                      <w:rFonts w:hint="eastAsia" w:ascii="Times New Roman" w:hAnsi="Times New Roman" w:eastAsia="宋体" w:cs="Times New Roman"/>
                      <w:b w:val="0"/>
                      <w:bCs w:val="0"/>
                      <w:color w:val="auto"/>
                      <w:kern w:val="0"/>
                      <w:sz w:val="21"/>
                      <w:szCs w:val="21"/>
                      <w:highlight w:val="none"/>
                      <w:lang w:val="en-US" w:eastAsia="zh-CN" w:bidi="ar-SA"/>
                    </w:rPr>
                    <w:t>等措施</w:t>
                  </w:r>
                </w:p>
              </w:tc>
              <w:tc>
                <w:tcPr>
                  <w:tcW w:w="773" w:type="pct"/>
                  <w:tcBorders>
                    <w:tl2br w:val="nil"/>
                    <w:tr2bl w:val="nil"/>
                  </w:tcBorders>
                  <w:noWrap w:val="0"/>
                  <w:vAlign w:val="center"/>
                </w:tcPr>
                <w:p w14:paraId="3FFC9C87">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28</w:t>
                  </w:r>
                </w:p>
              </w:tc>
            </w:tr>
            <w:tr w14:paraId="006B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70" w:type="pct"/>
                  <w:gridSpan w:val="2"/>
                  <w:vMerge w:val="continue"/>
                  <w:tcBorders>
                    <w:tl2br w:val="nil"/>
                    <w:tr2bl w:val="nil"/>
                  </w:tcBorders>
                  <w:noWrap w:val="0"/>
                  <w:vAlign w:val="center"/>
                </w:tcPr>
                <w:p w14:paraId="091CCAF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0"/>
                      <w:sz w:val="21"/>
                      <w:szCs w:val="21"/>
                      <w:highlight w:val="none"/>
                      <w:lang w:val="en-US" w:eastAsia="zh-CN" w:bidi="ar-SA"/>
                    </w:rPr>
                  </w:pPr>
                </w:p>
              </w:tc>
              <w:tc>
                <w:tcPr>
                  <w:tcW w:w="910" w:type="pct"/>
                  <w:tcBorders>
                    <w:tl2br w:val="nil"/>
                    <w:tr2bl w:val="nil"/>
                  </w:tcBorders>
                  <w:noWrap w:val="0"/>
                  <w:vAlign w:val="center"/>
                </w:tcPr>
                <w:p w14:paraId="50069064">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恢复</w:t>
                  </w:r>
                </w:p>
              </w:tc>
              <w:tc>
                <w:tcPr>
                  <w:tcW w:w="2345" w:type="pct"/>
                  <w:tcBorders>
                    <w:tl2br w:val="nil"/>
                    <w:tr2bl w:val="nil"/>
                  </w:tcBorders>
                  <w:noWrap w:val="0"/>
                  <w:vAlign w:val="center"/>
                </w:tcPr>
                <w:p w14:paraId="3B1FEEDC">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临时占地上的设施</w:t>
                  </w:r>
                  <w:r>
                    <w:rPr>
                      <w:rFonts w:hint="eastAsia" w:ascii="Times New Roman" w:hAnsi="Times New Roman" w:eastAsia="宋体" w:cs="Times New Roman"/>
                      <w:b w:val="0"/>
                      <w:bCs w:val="0"/>
                      <w:color w:val="auto"/>
                      <w:kern w:val="0"/>
                      <w:sz w:val="21"/>
                      <w:szCs w:val="21"/>
                      <w:highlight w:val="none"/>
                      <w:lang w:val="en-US" w:eastAsia="zh-CN" w:bidi="ar-SA"/>
                    </w:rPr>
                    <w:t>拆除</w:t>
                  </w:r>
                  <w:r>
                    <w:rPr>
                      <w:rFonts w:hint="default" w:ascii="Times New Roman" w:hAnsi="Times New Roman" w:eastAsia="宋体" w:cs="Times New Roman"/>
                      <w:b w:val="0"/>
                      <w:bCs w:val="0"/>
                      <w:color w:val="auto"/>
                      <w:kern w:val="0"/>
                      <w:sz w:val="21"/>
                      <w:szCs w:val="21"/>
                      <w:highlight w:val="none"/>
                      <w:lang w:val="en-US" w:eastAsia="zh-CN" w:bidi="ar-SA"/>
                    </w:rPr>
                    <w:t>后，临时占地植被恢复至原状态</w:t>
                  </w:r>
                </w:p>
              </w:tc>
              <w:tc>
                <w:tcPr>
                  <w:tcW w:w="773" w:type="pct"/>
                  <w:tcBorders>
                    <w:tl2br w:val="nil"/>
                    <w:tr2bl w:val="nil"/>
                  </w:tcBorders>
                  <w:noWrap w:val="0"/>
                  <w:vAlign w:val="center"/>
                </w:tcPr>
                <w:p w14:paraId="77BA9496">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10</w:t>
                  </w:r>
                </w:p>
              </w:tc>
            </w:tr>
            <w:tr w14:paraId="2D3A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26" w:type="pct"/>
                  <w:gridSpan w:val="4"/>
                  <w:tcBorders>
                    <w:tl2br w:val="nil"/>
                    <w:tr2bl w:val="nil"/>
                  </w:tcBorders>
                  <w:noWrap w:val="0"/>
                  <w:vAlign w:val="center"/>
                </w:tcPr>
                <w:p w14:paraId="1BDE72AA">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合计</w:t>
                  </w:r>
                </w:p>
              </w:tc>
              <w:tc>
                <w:tcPr>
                  <w:tcW w:w="773" w:type="pct"/>
                  <w:tcBorders>
                    <w:tl2br w:val="nil"/>
                    <w:tr2bl w:val="nil"/>
                  </w:tcBorders>
                  <w:noWrap w:val="0"/>
                  <w:vAlign w:val="center"/>
                </w:tcPr>
                <w:p w14:paraId="0BBB3E0F">
                  <w:pPr>
                    <w:pStyle w:val="8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hAnsi="Times New Roman" w:cs="Times New Roman"/>
                      <w:b w:val="0"/>
                      <w:bCs w:val="0"/>
                      <w:color w:val="auto"/>
                      <w:kern w:val="0"/>
                      <w:sz w:val="21"/>
                      <w:szCs w:val="21"/>
                      <w:highlight w:val="none"/>
                      <w:lang w:val="en-US" w:eastAsia="zh-CN" w:bidi="ar-SA"/>
                    </w:rPr>
                    <w:t>118</w:t>
                  </w:r>
                </w:p>
              </w:tc>
            </w:tr>
          </w:tbl>
          <w:p w14:paraId="7C91EE70">
            <w:pPr>
              <w:pStyle w:val="47"/>
              <w:rPr>
                <w:rFonts w:hint="default" w:ascii="Times New Roman" w:hAnsi="Times New Roman" w:eastAsia="宋体" w:cs="Times New Roman"/>
                <w:color w:val="auto"/>
                <w:kern w:val="0"/>
                <w:sz w:val="24"/>
                <w:szCs w:val="24"/>
                <w:highlight w:val="none"/>
                <w:lang w:val="en-US" w:eastAsia="zh-CN" w:bidi="ar-SA"/>
              </w:rPr>
            </w:pPr>
          </w:p>
          <w:p w14:paraId="23E400A5">
            <w:pPr>
              <w:adjustRightInd w:val="0"/>
              <w:snapToGrid w:val="0"/>
              <w:rPr>
                <w:rFonts w:hint="default" w:ascii="Times New Roman" w:hAnsi="Times New Roman" w:cs="Times New Roman"/>
                <w:bCs/>
                <w:color w:val="auto"/>
                <w:spacing w:val="10"/>
                <w:szCs w:val="21"/>
                <w:highlight w:val="none"/>
              </w:rPr>
            </w:pPr>
          </w:p>
        </w:tc>
      </w:tr>
    </w:tbl>
    <w:p w14:paraId="694705FA">
      <w:pPr>
        <w:rPr>
          <w:rFonts w:hint="default" w:ascii="Times New Roman" w:hAnsi="Times New Roman" w:cs="Times New Roman"/>
          <w:color w:val="auto"/>
          <w:highlight w:val="none"/>
        </w:rPr>
        <w:sectPr>
          <w:pgSz w:w="11907" w:h="16840"/>
          <w:pgMar w:top="1304" w:right="1304" w:bottom="1304" w:left="1361" w:header="851" w:footer="1077" w:gutter="0"/>
          <w:pgBorders>
            <w:top w:val="none" w:sz="0" w:space="0"/>
            <w:left w:val="none" w:sz="0" w:space="0"/>
            <w:bottom w:val="none" w:sz="0" w:space="0"/>
            <w:right w:val="none" w:sz="0" w:space="0"/>
          </w:pgBorders>
          <w:pgNumType w:fmt="decimal"/>
          <w:cols w:space="720" w:num="1"/>
          <w:docGrid w:linePitch="312" w:charSpace="0"/>
        </w:sectPr>
      </w:pPr>
    </w:p>
    <w:p w14:paraId="3819FED7">
      <w:pPr>
        <w:pStyle w:val="32"/>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jc w:val="center"/>
        <w:textAlignment w:val="auto"/>
        <w:outlineLvl w:val="0"/>
        <w:rPr>
          <w:rFonts w:hint="default" w:ascii="Times New Roman" w:hAnsi="Times New Roman" w:eastAsia="黑体" w:cs="Times New Roman"/>
          <w:snapToGrid w:val="0"/>
          <w:color w:val="auto"/>
          <w:sz w:val="30"/>
          <w:szCs w:val="30"/>
          <w:highlight w:val="none"/>
        </w:rPr>
      </w:pPr>
      <w:bookmarkStart w:id="28" w:name="_Toc31403"/>
      <w:r>
        <w:rPr>
          <w:rFonts w:hint="default" w:ascii="Times New Roman" w:hAnsi="Times New Roman" w:eastAsia="黑体" w:cs="Times New Roman"/>
          <w:snapToGrid w:val="0"/>
          <w:color w:val="auto"/>
          <w:sz w:val="30"/>
          <w:szCs w:val="30"/>
          <w:highlight w:val="none"/>
        </w:rPr>
        <w:t>六、生态环境保护措施监督检查清单</w:t>
      </w:r>
      <w:bookmarkEnd w:id="28"/>
    </w:p>
    <w:tbl>
      <w:tblPr>
        <w:tblStyle w:val="36"/>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7"/>
        <w:gridCol w:w="2483"/>
        <w:gridCol w:w="3479"/>
        <w:gridCol w:w="989"/>
        <w:gridCol w:w="783"/>
      </w:tblGrid>
      <w:tr w14:paraId="0EBFA6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tcBorders>
              <w:tl2br w:val="single" w:color="auto" w:sz="4" w:space="0"/>
            </w:tcBorders>
            <w:noWrap w:val="0"/>
            <w:vAlign w:val="top"/>
          </w:tcPr>
          <w:p w14:paraId="2EC09BC6">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29" w:name="_Toc3440"/>
            <w:bookmarkStart w:id="30" w:name="_Toc21939"/>
            <w:r>
              <w:rPr>
                <w:rFonts w:hint="default" w:ascii="Times New Roman" w:hAnsi="Times New Roman" w:eastAsia="宋体" w:cs="Times New Roman"/>
                <w:b/>
                <w:bCs/>
                <w:color w:val="auto"/>
                <w:kern w:val="2"/>
                <w:sz w:val="24"/>
                <w:szCs w:val="24"/>
                <w:highlight w:val="none"/>
                <w:lang w:val="en-US" w:eastAsia="zh-CN"/>
              </w:rPr>
              <w:t>内容</w:t>
            </w:r>
            <w:bookmarkEnd w:id="29"/>
            <w:bookmarkEnd w:id="30"/>
            <w:r>
              <w:rPr>
                <w:rFonts w:hint="default" w:ascii="Times New Roman" w:hAnsi="Times New Roman" w:eastAsia="宋体" w:cs="Times New Roman"/>
                <w:b/>
                <w:bCs/>
                <w:color w:val="auto"/>
                <w:kern w:val="2"/>
                <w:sz w:val="24"/>
                <w:szCs w:val="24"/>
                <w:highlight w:val="none"/>
              </w:rPr>
              <w:t xml:space="preserve"> </w:t>
            </w:r>
          </w:p>
          <w:p w14:paraId="3701631E">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default" w:ascii="Times New Roman" w:hAnsi="Times New Roman" w:eastAsia="宋体" w:cs="Times New Roman"/>
                <w:b/>
                <w:bCs/>
                <w:color w:val="auto"/>
                <w:kern w:val="2"/>
                <w:sz w:val="24"/>
                <w:szCs w:val="24"/>
                <w:highlight w:val="none"/>
              </w:rPr>
            </w:pPr>
          </w:p>
          <w:p w14:paraId="51B20053">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textAlignment w:val="auto"/>
              <w:outlineLvl w:val="9"/>
              <w:rPr>
                <w:rFonts w:hint="default" w:ascii="Times New Roman" w:hAnsi="Times New Roman" w:eastAsia="宋体" w:cs="Times New Roman"/>
                <w:b/>
                <w:bCs/>
                <w:color w:val="auto"/>
                <w:kern w:val="2"/>
                <w:sz w:val="24"/>
                <w:szCs w:val="24"/>
                <w:highlight w:val="none"/>
              </w:rPr>
            </w:pPr>
            <w:bookmarkStart w:id="31" w:name="_Toc11310"/>
            <w:bookmarkStart w:id="32" w:name="_Toc21152"/>
            <w:r>
              <w:rPr>
                <w:rFonts w:hint="default" w:ascii="Times New Roman" w:hAnsi="Times New Roman" w:eastAsia="宋体" w:cs="Times New Roman"/>
                <w:b/>
                <w:bCs/>
                <w:color w:val="auto"/>
                <w:kern w:val="2"/>
                <w:sz w:val="24"/>
                <w:szCs w:val="24"/>
                <w:highlight w:val="none"/>
              </w:rPr>
              <w:t>要素</w:t>
            </w:r>
            <w:bookmarkEnd w:id="31"/>
            <w:bookmarkEnd w:id="32"/>
          </w:p>
        </w:tc>
        <w:tc>
          <w:tcPr>
            <w:tcW w:w="3651" w:type="pct"/>
            <w:gridSpan w:val="3"/>
            <w:noWrap w:val="0"/>
            <w:vAlign w:val="center"/>
          </w:tcPr>
          <w:p w14:paraId="125DE75A">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3" w:name="_Toc24243"/>
            <w:bookmarkStart w:id="34" w:name="_Toc18167"/>
            <w:r>
              <w:rPr>
                <w:rFonts w:hint="default" w:ascii="Times New Roman" w:hAnsi="Times New Roman" w:eastAsia="宋体" w:cs="Times New Roman"/>
                <w:b/>
                <w:bCs/>
                <w:color w:val="auto"/>
                <w:kern w:val="2"/>
                <w:sz w:val="24"/>
                <w:szCs w:val="24"/>
                <w:highlight w:val="none"/>
              </w:rPr>
              <w:t>施工期</w:t>
            </w:r>
            <w:bookmarkEnd w:id="33"/>
            <w:bookmarkEnd w:id="34"/>
          </w:p>
        </w:tc>
        <w:tc>
          <w:tcPr>
            <w:tcW w:w="937" w:type="pct"/>
            <w:gridSpan w:val="2"/>
            <w:noWrap w:val="0"/>
            <w:vAlign w:val="center"/>
          </w:tcPr>
          <w:p w14:paraId="05CF37C3">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5" w:name="_Toc17902"/>
            <w:bookmarkStart w:id="36" w:name="_Toc7989"/>
            <w:r>
              <w:rPr>
                <w:rFonts w:hint="default" w:ascii="Times New Roman" w:hAnsi="Times New Roman" w:eastAsia="宋体" w:cs="Times New Roman"/>
                <w:b/>
                <w:bCs/>
                <w:color w:val="auto"/>
                <w:kern w:val="2"/>
                <w:sz w:val="24"/>
                <w:szCs w:val="24"/>
                <w:highlight w:val="none"/>
              </w:rPr>
              <w:t>运营期</w:t>
            </w:r>
            <w:bookmarkEnd w:id="35"/>
            <w:bookmarkEnd w:id="36"/>
          </w:p>
        </w:tc>
      </w:tr>
      <w:tr w14:paraId="4051D3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top"/>
          </w:tcPr>
          <w:p w14:paraId="4123774A">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840"/>
              <w:jc w:val="center"/>
              <w:textAlignment w:val="auto"/>
              <w:outlineLvl w:val="9"/>
              <w:rPr>
                <w:rFonts w:hint="default" w:ascii="Times New Roman" w:hAnsi="Times New Roman" w:eastAsia="宋体" w:cs="Times New Roman"/>
                <w:b/>
                <w:bCs/>
                <w:color w:val="auto"/>
                <w:kern w:val="2"/>
                <w:sz w:val="24"/>
                <w:szCs w:val="24"/>
                <w:highlight w:val="none"/>
              </w:rPr>
            </w:pPr>
          </w:p>
        </w:tc>
        <w:tc>
          <w:tcPr>
            <w:tcW w:w="1810" w:type="pct"/>
            <w:gridSpan w:val="2"/>
            <w:noWrap w:val="0"/>
            <w:vAlign w:val="center"/>
          </w:tcPr>
          <w:p w14:paraId="323F1CF6">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7" w:name="_Toc10162"/>
            <w:bookmarkStart w:id="38" w:name="_Toc32257"/>
            <w:r>
              <w:rPr>
                <w:rFonts w:hint="default" w:ascii="Times New Roman" w:hAnsi="Times New Roman" w:eastAsia="宋体" w:cs="Times New Roman"/>
                <w:b/>
                <w:bCs/>
                <w:color w:val="auto"/>
                <w:kern w:val="2"/>
                <w:sz w:val="24"/>
                <w:szCs w:val="24"/>
                <w:highlight w:val="none"/>
              </w:rPr>
              <w:t>环境保护措施</w:t>
            </w:r>
            <w:bookmarkEnd w:id="37"/>
            <w:bookmarkEnd w:id="38"/>
          </w:p>
        </w:tc>
        <w:tc>
          <w:tcPr>
            <w:tcW w:w="1840" w:type="pct"/>
            <w:noWrap w:val="0"/>
            <w:vAlign w:val="center"/>
          </w:tcPr>
          <w:p w14:paraId="3DC21ED2">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39" w:name="_Toc31135"/>
            <w:bookmarkStart w:id="40" w:name="_Toc7186"/>
            <w:r>
              <w:rPr>
                <w:rFonts w:hint="default" w:ascii="Times New Roman" w:hAnsi="Times New Roman" w:eastAsia="宋体" w:cs="Times New Roman"/>
                <w:b/>
                <w:bCs/>
                <w:color w:val="auto"/>
                <w:kern w:val="2"/>
                <w:sz w:val="24"/>
                <w:szCs w:val="24"/>
                <w:highlight w:val="none"/>
              </w:rPr>
              <w:t>验收要求</w:t>
            </w:r>
            <w:bookmarkEnd w:id="39"/>
            <w:bookmarkEnd w:id="40"/>
          </w:p>
        </w:tc>
        <w:tc>
          <w:tcPr>
            <w:tcW w:w="523" w:type="pct"/>
            <w:noWrap w:val="0"/>
            <w:vAlign w:val="center"/>
          </w:tcPr>
          <w:p w14:paraId="729228DE">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41" w:name="_Toc32628"/>
            <w:bookmarkStart w:id="42" w:name="_Toc9561"/>
            <w:r>
              <w:rPr>
                <w:rFonts w:hint="default" w:ascii="Times New Roman" w:hAnsi="Times New Roman" w:eastAsia="宋体" w:cs="Times New Roman"/>
                <w:b/>
                <w:bCs/>
                <w:color w:val="auto"/>
                <w:kern w:val="2"/>
                <w:sz w:val="24"/>
                <w:szCs w:val="24"/>
                <w:highlight w:val="none"/>
              </w:rPr>
              <w:t>环境保护措施</w:t>
            </w:r>
            <w:bookmarkEnd w:id="41"/>
            <w:bookmarkEnd w:id="42"/>
          </w:p>
        </w:tc>
        <w:tc>
          <w:tcPr>
            <w:tcW w:w="413" w:type="pct"/>
            <w:noWrap w:val="0"/>
            <w:vAlign w:val="center"/>
          </w:tcPr>
          <w:p w14:paraId="5CB8D81C">
            <w:pPr>
              <w:pStyle w:val="32"/>
              <w:keepNext w:val="0"/>
              <w:keepLines w:val="0"/>
              <w:pageBreakBefore w:val="0"/>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color w:val="auto"/>
                <w:kern w:val="2"/>
                <w:sz w:val="24"/>
                <w:szCs w:val="24"/>
                <w:highlight w:val="none"/>
              </w:rPr>
            </w:pPr>
            <w:bookmarkStart w:id="43" w:name="_Toc21147"/>
            <w:bookmarkStart w:id="44" w:name="_Toc11074"/>
            <w:r>
              <w:rPr>
                <w:rFonts w:hint="default" w:ascii="Times New Roman" w:hAnsi="Times New Roman" w:eastAsia="宋体" w:cs="Times New Roman"/>
                <w:b/>
                <w:bCs/>
                <w:color w:val="auto"/>
                <w:kern w:val="2"/>
                <w:sz w:val="24"/>
                <w:szCs w:val="24"/>
                <w:highlight w:val="none"/>
              </w:rPr>
              <w:t>验收要求</w:t>
            </w:r>
            <w:bookmarkEnd w:id="43"/>
            <w:bookmarkEnd w:id="44"/>
          </w:p>
        </w:tc>
      </w:tr>
      <w:tr w14:paraId="19D25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14:paraId="25BB426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陆生生态</w:t>
            </w:r>
          </w:p>
        </w:tc>
        <w:tc>
          <w:tcPr>
            <w:tcW w:w="1810" w:type="pct"/>
            <w:gridSpan w:val="2"/>
            <w:noWrap w:val="0"/>
            <w:vAlign w:val="center"/>
          </w:tcPr>
          <w:p w14:paraId="35473A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对临时占地合理规划，严格控制占地面积</w:t>
            </w:r>
          </w:p>
        </w:tc>
        <w:tc>
          <w:tcPr>
            <w:tcW w:w="1840" w:type="pct"/>
            <w:vMerge w:val="restart"/>
            <w:noWrap w:val="0"/>
            <w:vAlign w:val="center"/>
          </w:tcPr>
          <w:p w14:paraId="6E05F3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调查施工过程中生态治理恢复措施，施工期是否严格控制临时占地面积。施工结束后是否及时清理现场、恢复地貌，做到“工完、料净、场地清”，对临时占地进行平整；是否及时采取生态恢复、防沙治沙、水土保持等措施；有无破坏项目区以外的植被。</w:t>
            </w:r>
          </w:p>
        </w:tc>
        <w:tc>
          <w:tcPr>
            <w:tcW w:w="523" w:type="pct"/>
            <w:noWrap w:val="0"/>
            <w:vAlign w:val="center"/>
          </w:tcPr>
          <w:p w14:paraId="39BDB97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6F98FED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57C0C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1EDB0FA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680357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水土保持、防沙治沙</w:t>
            </w:r>
          </w:p>
        </w:tc>
        <w:tc>
          <w:tcPr>
            <w:tcW w:w="1840" w:type="pct"/>
            <w:vMerge w:val="continue"/>
            <w:noWrap w:val="0"/>
            <w:vAlign w:val="center"/>
          </w:tcPr>
          <w:p w14:paraId="019BE4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noWrap w:val="0"/>
            <w:vAlign w:val="center"/>
          </w:tcPr>
          <w:p w14:paraId="54189BD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4B22AF7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15FA1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7D81B52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1F538C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现场施工作业机械应严格管理，划定活动范围，不得在道路、井场以外的地方行驶和作业，保持征地区域以外的植被不被破坏。</w:t>
            </w:r>
          </w:p>
        </w:tc>
        <w:tc>
          <w:tcPr>
            <w:tcW w:w="1840" w:type="pct"/>
            <w:vMerge w:val="continue"/>
            <w:noWrap w:val="0"/>
            <w:vAlign w:val="center"/>
          </w:tcPr>
          <w:p w14:paraId="2F20E6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noWrap w:val="0"/>
            <w:vAlign w:val="center"/>
          </w:tcPr>
          <w:p w14:paraId="7629287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08C604B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37D27E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0D53691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27B419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完钻后井场、道路等临时占地恢复，场地平整</w:t>
            </w:r>
          </w:p>
        </w:tc>
        <w:tc>
          <w:tcPr>
            <w:tcW w:w="1840" w:type="pct"/>
            <w:noWrap w:val="0"/>
            <w:vAlign w:val="center"/>
          </w:tcPr>
          <w:p w14:paraId="645A1D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①</w:t>
            </w:r>
            <w:r>
              <w:rPr>
                <w:rFonts w:hint="eastAsia" w:ascii="Times New Roman" w:hAnsi="Times New Roman" w:eastAsia="宋体" w:cs="Times New Roman"/>
                <w:color w:val="auto"/>
                <w:kern w:val="0"/>
                <w:sz w:val="24"/>
                <w:szCs w:val="24"/>
                <w:highlight w:val="none"/>
                <w:lang w:val="en-US" w:eastAsia="zh-CN" w:bidi="ar"/>
              </w:rPr>
              <w:t>临时设施（</w:t>
            </w:r>
            <w:r>
              <w:rPr>
                <w:rFonts w:hint="default" w:ascii="Times New Roman" w:hAnsi="Times New Roman" w:eastAsia="宋体" w:cs="Times New Roman"/>
                <w:color w:val="auto"/>
                <w:kern w:val="0"/>
                <w:sz w:val="24"/>
                <w:szCs w:val="24"/>
                <w:highlight w:val="none"/>
                <w:lang w:val="en-US" w:eastAsia="zh-CN" w:bidi="ar"/>
              </w:rPr>
              <w:t>井架、板房、储罐、泥浆罐</w:t>
            </w:r>
            <w:r>
              <w:rPr>
                <w:rFonts w:hint="eastAsia"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、硬化地坪全部拆除；水泥硬化层破碎清运或深翻破除板结；</w:t>
            </w:r>
          </w:p>
          <w:p w14:paraId="669088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②临时防渗膜、防渗垫层完整回收，不得就地掩埋</w:t>
            </w:r>
            <w:r>
              <w:rPr>
                <w:rFonts w:hint="eastAsia" w:ascii="Times New Roman" w:hAnsi="Times New Roman" w:eastAsia="宋体" w:cs="Times New Roman"/>
                <w:color w:val="auto"/>
                <w:kern w:val="0"/>
                <w:sz w:val="24"/>
                <w:szCs w:val="24"/>
                <w:highlight w:val="none"/>
                <w:lang w:val="en-US" w:eastAsia="zh-CN" w:bidi="ar"/>
              </w:rPr>
              <w:t>；</w:t>
            </w:r>
          </w:p>
          <w:p w14:paraId="1F2434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③膨润土体系废弃钻井泥浆及岩屑经检测达标后，用于铺垫油区内的井场、道路；</w:t>
            </w:r>
            <w:r>
              <w:rPr>
                <w:rFonts w:hint="eastAsia" w:ascii="Times New Roman" w:hAnsi="Times New Roman" w:eastAsia="宋体" w:cs="Times New Roman"/>
                <w:color w:val="auto"/>
                <w:kern w:val="0"/>
                <w:sz w:val="24"/>
                <w:szCs w:val="24"/>
                <w:highlight w:val="none"/>
                <w:lang w:val="en-US" w:eastAsia="zh-CN" w:bidi="ar"/>
              </w:rPr>
              <w:t>聚磺体系废弃钻井泥浆及岩屑在井场环保罐收集后，根据生产情况转运至第三方环保处理站处置或在钻井现场无害化达标处置后用于铺垫油区内的井场、道路，现场无遗留；</w:t>
            </w:r>
            <w:r>
              <w:rPr>
                <w:rFonts w:hint="default" w:ascii="Times New Roman" w:hAnsi="Times New Roman" w:eastAsia="宋体" w:cs="Times New Roman"/>
                <w:color w:val="auto"/>
                <w:kern w:val="0"/>
                <w:sz w:val="24"/>
                <w:szCs w:val="24"/>
                <w:highlight w:val="none"/>
                <w:lang w:val="en-US" w:eastAsia="zh-CN" w:bidi="ar"/>
              </w:rPr>
              <w:t>废机油、防渗材料和落地油、废弃包装材料全部交由有资质单位处置，现场不得遗留任何含油废弃物；生活垃圾统一清运出场，井场、便道范围内无散落钢材、塑料、油料包装物。</w:t>
            </w:r>
          </w:p>
          <w:p w14:paraId="31F43B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④土地复垦，恢复植被。</w:t>
            </w:r>
          </w:p>
        </w:tc>
        <w:tc>
          <w:tcPr>
            <w:tcW w:w="523" w:type="pct"/>
            <w:noWrap w:val="0"/>
            <w:vAlign w:val="center"/>
          </w:tcPr>
          <w:p w14:paraId="2FC8F0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3E57B45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39CB3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39F6A98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水生生态</w:t>
            </w:r>
          </w:p>
        </w:tc>
        <w:tc>
          <w:tcPr>
            <w:tcW w:w="1810" w:type="pct"/>
            <w:gridSpan w:val="2"/>
            <w:noWrap w:val="0"/>
            <w:vAlign w:val="center"/>
          </w:tcPr>
          <w:p w14:paraId="6EE0E68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合理进行施工组织和场地布置。</w:t>
            </w:r>
          </w:p>
        </w:tc>
        <w:tc>
          <w:tcPr>
            <w:tcW w:w="1840" w:type="pct"/>
            <w:noWrap w:val="0"/>
            <w:vAlign w:val="center"/>
          </w:tcPr>
          <w:p w14:paraId="17373FA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3" w:type="pct"/>
            <w:noWrap w:val="0"/>
            <w:vAlign w:val="center"/>
          </w:tcPr>
          <w:p w14:paraId="4CB895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7CFBD5D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7A240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14:paraId="6E39032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地表水环境</w:t>
            </w:r>
          </w:p>
        </w:tc>
        <w:tc>
          <w:tcPr>
            <w:tcW w:w="1810" w:type="pct"/>
            <w:gridSpan w:val="2"/>
            <w:noWrap w:val="0"/>
            <w:vAlign w:val="center"/>
          </w:tcPr>
          <w:p w14:paraId="11657AE1">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snapToGrid w:val="0"/>
                <w:color w:val="auto"/>
                <w:kern w:val="0"/>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钻井废水排入随钻泥浆不落地系统处理后回用，不外排</w:t>
            </w:r>
          </w:p>
        </w:tc>
        <w:tc>
          <w:tcPr>
            <w:tcW w:w="1840" w:type="pct"/>
            <w:vMerge w:val="restart"/>
            <w:noWrap w:val="0"/>
            <w:vAlign w:val="center"/>
          </w:tcPr>
          <w:p w14:paraId="1237355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废水不外排</w:t>
            </w:r>
            <w:r>
              <w:rPr>
                <w:rFonts w:hint="default" w:ascii="Times New Roman" w:hAnsi="Times New Roman" w:eastAsia="宋体" w:cs="Times New Roman"/>
                <w:color w:val="auto"/>
                <w:sz w:val="24"/>
                <w:szCs w:val="24"/>
                <w:highlight w:val="none"/>
                <w:lang w:eastAsia="zh-CN"/>
              </w:rPr>
              <w:t>。</w:t>
            </w:r>
          </w:p>
        </w:tc>
        <w:tc>
          <w:tcPr>
            <w:tcW w:w="523" w:type="pct"/>
            <w:noWrap w:val="0"/>
            <w:vAlign w:val="center"/>
          </w:tcPr>
          <w:p w14:paraId="3A9875B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3371965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6FB6E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614EC07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06044063">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snapToGrid w:val="0"/>
                <w:color w:val="auto"/>
                <w:kern w:val="0"/>
                <w:sz w:val="24"/>
                <w:szCs w:val="24"/>
                <w:highlight w:val="none"/>
                <w:lang w:val="en-US" w:eastAsia="zh-CN" w:bidi="ar-SA"/>
              </w:rPr>
            </w:pPr>
            <w:r>
              <w:rPr>
                <w:rFonts w:hint="eastAsia" w:ascii="Times New Roman" w:hAnsi="Times New Roman" w:eastAsia="宋体" w:cs="Times New Roman"/>
                <w:color w:val="auto"/>
                <w:sz w:val="24"/>
                <w:szCs w:val="32"/>
                <w:highlight w:val="none"/>
                <w:lang w:val="en-US" w:eastAsia="zh-CN"/>
              </w:rPr>
              <w:t>酸化</w:t>
            </w:r>
            <w:r>
              <w:rPr>
                <w:rFonts w:hint="default" w:ascii="Times New Roman" w:hAnsi="Times New Roman" w:eastAsia="宋体" w:cs="Times New Roman"/>
                <w:snapToGrid w:val="0"/>
                <w:color w:val="auto"/>
                <w:kern w:val="0"/>
                <w:sz w:val="24"/>
                <w:szCs w:val="24"/>
                <w:highlight w:val="none"/>
                <w:lang w:val="en-US" w:eastAsia="zh-CN" w:bidi="ar-SA"/>
              </w:rPr>
              <w:t>压裂返排液</w:t>
            </w:r>
            <w:r>
              <w:rPr>
                <w:rFonts w:hint="default" w:ascii="Times New Roman" w:hAnsi="Times New Roman" w:eastAsia="宋体" w:cs="Times New Roman"/>
                <w:color w:val="auto"/>
                <w:kern w:val="2"/>
                <w:sz w:val="24"/>
                <w:szCs w:val="24"/>
                <w:highlight w:val="none"/>
                <w:lang w:val="en-US" w:eastAsia="zh-CN" w:bidi="ar-SA"/>
              </w:rPr>
              <w:t>采用专用废液收集罐收集，运至新疆腾疆环保科技有限公司处置</w:t>
            </w:r>
            <w:r>
              <w:rPr>
                <w:rFonts w:hint="default" w:ascii="Times New Roman" w:hAnsi="Times New Roman" w:eastAsia="宋体" w:cs="Times New Roman"/>
                <w:snapToGrid w:val="0"/>
                <w:color w:val="auto"/>
                <w:kern w:val="0"/>
                <w:sz w:val="24"/>
                <w:szCs w:val="24"/>
                <w:highlight w:val="none"/>
                <w:lang w:val="en-US" w:eastAsia="zh-CN" w:bidi="ar-SA"/>
              </w:rPr>
              <w:t>。</w:t>
            </w:r>
          </w:p>
        </w:tc>
        <w:tc>
          <w:tcPr>
            <w:tcW w:w="1840" w:type="pct"/>
            <w:vMerge w:val="continue"/>
            <w:noWrap w:val="0"/>
            <w:vAlign w:val="center"/>
          </w:tcPr>
          <w:p w14:paraId="091E819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523" w:type="pct"/>
            <w:noWrap w:val="0"/>
            <w:vAlign w:val="center"/>
          </w:tcPr>
          <w:p w14:paraId="48BA2D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50E3F02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1DD23A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4E57E9C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7374DE30">
            <w:pPr>
              <w:pStyle w:val="71"/>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hint="default" w:ascii="Times New Roman" w:hAnsi="Times New Roman" w:eastAsia="宋体" w:cs="Times New Roman"/>
                <w:snapToGrid w:val="0"/>
                <w:color w:val="auto"/>
                <w:kern w:val="0"/>
                <w:sz w:val="24"/>
                <w:szCs w:val="24"/>
                <w:highlight w:val="none"/>
                <w:lang w:val="en-US" w:eastAsia="zh-CN" w:bidi="ar-SA"/>
              </w:rPr>
            </w:pPr>
            <w:r>
              <w:rPr>
                <w:rFonts w:hint="eastAsia" w:ascii="Times New Roman" w:hAnsi="Times New Roman" w:cs="Times New Roman"/>
                <w:snapToGrid w:val="0"/>
                <w:color w:val="auto"/>
                <w:kern w:val="0"/>
                <w:sz w:val="24"/>
                <w:szCs w:val="24"/>
                <w:highlight w:val="none"/>
                <w:lang w:val="en-US" w:eastAsia="zh-CN" w:bidi="ar-SA"/>
              </w:rPr>
              <w:t>生活污水</w:t>
            </w:r>
            <w:r>
              <w:rPr>
                <w:rFonts w:hint="default" w:ascii="Times New Roman" w:hAnsi="Times New Roman" w:eastAsia="宋体" w:cs="Times New Roman"/>
                <w:snapToGrid w:val="0"/>
                <w:color w:val="auto"/>
                <w:kern w:val="0"/>
                <w:sz w:val="24"/>
                <w:szCs w:val="24"/>
                <w:highlight w:val="none"/>
                <w:lang w:val="en-US" w:eastAsia="zh-CN" w:bidi="ar-SA"/>
              </w:rPr>
              <w:t>经井场撬装式污水处理装置处理后，水质达到《农村生活污水处理排放标准》（DB654275-2019）表2的B级标准，用于荒漠灌溉</w:t>
            </w:r>
          </w:p>
        </w:tc>
        <w:tc>
          <w:tcPr>
            <w:tcW w:w="1840" w:type="pct"/>
            <w:noWrap w:val="0"/>
            <w:vAlign w:val="center"/>
          </w:tcPr>
          <w:p w14:paraId="648C3D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达到《农村生活污水处理排放标准》（DB654275-2019）表2的B级标准</w:t>
            </w:r>
          </w:p>
        </w:tc>
        <w:tc>
          <w:tcPr>
            <w:tcW w:w="523" w:type="pct"/>
            <w:shd w:val="clear" w:color="auto" w:fill="auto"/>
            <w:noWrap w:val="0"/>
            <w:vAlign w:val="center"/>
          </w:tcPr>
          <w:p w14:paraId="3547918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shd w:val="clear" w:color="auto" w:fill="auto"/>
            <w:noWrap w:val="0"/>
            <w:vAlign w:val="center"/>
          </w:tcPr>
          <w:p w14:paraId="4DDB93A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05ED4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14:paraId="422BD22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地下水及土壤环境</w:t>
            </w:r>
          </w:p>
        </w:tc>
        <w:tc>
          <w:tcPr>
            <w:tcW w:w="1810" w:type="pct"/>
            <w:gridSpan w:val="2"/>
            <w:noWrap w:val="0"/>
            <w:vAlign w:val="center"/>
          </w:tcPr>
          <w:p w14:paraId="27C695D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作业区、泥浆罐区、柴油罐区、放喷池等、</w:t>
            </w:r>
            <w:r>
              <w:rPr>
                <w:rFonts w:hint="eastAsia" w:ascii="Times New Roman" w:hAnsi="Times New Roman" w:eastAsia="宋体" w:cs="Times New Roman"/>
                <w:color w:val="auto"/>
                <w:kern w:val="0"/>
                <w:sz w:val="24"/>
                <w:szCs w:val="24"/>
                <w:highlight w:val="none"/>
                <w:lang w:val="en-US" w:eastAsia="zh-CN" w:bidi="ar"/>
              </w:rPr>
              <w:t>危险废物贮存点</w:t>
            </w:r>
            <w:r>
              <w:rPr>
                <w:rFonts w:hint="default" w:ascii="Times New Roman" w:hAnsi="Times New Roman" w:eastAsia="宋体" w:cs="Times New Roman"/>
                <w:color w:val="auto"/>
                <w:kern w:val="2"/>
                <w:sz w:val="24"/>
                <w:szCs w:val="24"/>
                <w:highlight w:val="none"/>
                <w:lang w:val="en-US" w:eastAsia="zh-CN" w:bidi="ar-SA"/>
              </w:rPr>
              <w:t>等划分为重点防渗区，</w:t>
            </w:r>
            <w:r>
              <w:rPr>
                <w:rFonts w:hint="default" w:ascii="Times New Roman" w:hAnsi="Times New Roman" w:eastAsia="宋体" w:cs="Times New Roman"/>
                <w:color w:val="auto"/>
                <w:kern w:val="0"/>
                <w:sz w:val="24"/>
                <w:szCs w:val="24"/>
                <w:highlight w:val="none"/>
                <w:lang w:val="en-US" w:eastAsia="zh-CN" w:bidi="ar"/>
              </w:rPr>
              <w:t>铺设防渗材料。</w:t>
            </w:r>
          </w:p>
        </w:tc>
        <w:tc>
          <w:tcPr>
            <w:tcW w:w="1840" w:type="pct"/>
            <w:vMerge w:val="restart"/>
            <w:noWrap w:val="0"/>
            <w:vAlign w:val="center"/>
          </w:tcPr>
          <w:p w14:paraId="333870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未发生地下水及土壤污染事件；分区防渗。</w:t>
            </w:r>
          </w:p>
        </w:tc>
        <w:tc>
          <w:tcPr>
            <w:tcW w:w="523" w:type="pct"/>
            <w:noWrap w:val="0"/>
            <w:vAlign w:val="center"/>
          </w:tcPr>
          <w:p w14:paraId="616F262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547077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56B173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1C95BE2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09AC65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其他区域为一般防渗区。</w:t>
            </w:r>
          </w:p>
        </w:tc>
        <w:tc>
          <w:tcPr>
            <w:tcW w:w="1840" w:type="pct"/>
            <w:vMerge w:val="continue"/>
            <w:noWrap w:val="0"/>
            <w:vAlign w:val="center"/>
          </w:tcPr>
          <w:p w14:paraId="44AA28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shd w:val="clear" w:color="auto" w:fill="auto"/>
            <w:noWrap w:val="0"/>
            <w:vAlign w:val="center"/>
          </w:tcPr>
          <w:p w14:paraId="038B656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shd w:val="clear" w:color="auto" w:fill="auto"/>
            <w:noWrap w:val="0"/>
            <w:vAlign w:val="center"/>
          </w:tcPr>
          <w:p w14:paraId="376EF12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60189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72BDFF0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声环境</w:t>
            </w:r>
          </w:p>
        </w:tc>
        <w:tc>
          <w:tcPr>
            <w:tcW w:w="1810" w:type="pct"/>
            <w:gridSpan w:val="2"/>
            <w:noWrap w:val="0"/>
            <w:vAlign w:val="center"/>
          </w:tcPr>
          <w:p w14:paraId="0F9AB0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选用低噪声设备；产噪设备做好基础减振措施</w:t>
            </w:r>
          </w:p>
        </w:tc>
        <w:tc>
          <w:tcPr>
            <w:tcW w:w="1840" w:type="pct"/>
            <w:noWrap w:val="0"/>
            <w:vAlign w:val="center"/>
          </w:tcPr>
          <w:p w14:paraId="0C8857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满足《建筑施工噪声排放标准》（GB12523-2025)</w:t>
            </w:r>
          </w:p>
        </w:tc>
        <w:tc>
          <w:tcPr>
            <w:tcW w:w="523" w:type="pct"/>
            <w:noWrap w:val="0"/>
            <w:vAlign w:val="center"/>
          </w:tcPr>
          <w:p w14:paraId="2C93F5C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50D9E37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1D628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6982DDE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振动</w:t>
            </w:r>
          </w:p>
        </w:tc>
        <w:tc>
          <w:tcPr>
            <w:tcW w:w="1810" w:type="pct"/>
            <w:gridSpan w:val="2"/>
            <w:noWrap w:val="0"/>
            <w:vAlign w:val="center"/>
          </w:tcPr>
          <w:p w14:paraId="42A705A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1840" w:type="pct"/>
            <w:noWrap w:val="0"/>
            <w:vAlign w:val="center"/>
          </w:tcPr>
          <w:p w14:paraId="5162E62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3" w:type="pct"/>
            <w:noWrap w:val="0"/>
            <w:vAlign w:val="center"/>
          </w:tcPr>
          <w:p w14:paraId="23725A0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2E92AB7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412E0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14:paraId="4BF4A16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大气环境</w:t>
            </w:r>
          </w:p>
        </w:tc>
        <w:tc>
          <w:tcPr>
            <w:tcW w:w="496" w:type="pct"/>
            <w:noWrap w:val="0"/>
            <w:vAlign w:val="center"/>
          </w:tcPr>
          <w:p w14:paraId="6CEBA5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施工扬尘</w:t>
            </w:r>
          </w:p>
        </w:tc>
        <w:tc>
          <w:tcPr>
            <w:tcW w:w="1313" w:type="pct"/>
            <w:noWrap w:val="0"/>
            <w:vAlign w:val="center"/>
          </w:tcPr>
          <w:p w14:paraId="14E6BF5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采取洒水抑尘、车辆减速慢行、物料苫盖。</w:t>
            </w:r>
          </w:p>
        </w:tc>
        <w:tc>
          <w:tcPr>
            <w:tcW w:w="1840" w:type="pct"/>
            <w:noWrap w:val="0"/>
            <w:vAlign w:val="center"/>
          </w:tcPr>
          <w:p w14:paraId="68DED0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施工扬尘执行《大气污染物综合排放标准》（GB16297-1996）中无组织排放监控浓度限值；</w:t>
            </w:r>
          </w:p>
        </w:tc>
        <w:tc>
          <w:tcPr>
            <w:tcW w:w="523" w:type="pct"/>
            <w:noWrap w:val="0"/>
            <w:vAlign w:val="center"/>
          </w:tcPr>
          <w:p w14:paraId="5E9E0B6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6B0A4D8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3A8F2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1D5D90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p>
        </w:tc>
        <w:tc>
          <w:tcPr>
            <w:tcW w:w="496" w:type="pct"/>
            <w:noWrap w:val="0"/>
            <w:vAlign w:val="center"/>
          </w:tcPr>
          <w:p w14:paraId="383E1A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机械燃油废气</w:t>
            </w:r>
          </w:p>
        </w:tc>
        <w:tc>
          <w:tcPr>
            <w:tcW w:w="1313" w:type="pct"/>
            <w:noWrap w:val="0"/>
            <w:vAlign w:val="center"/>
          </w:tcPr>
          <w:p w14:paraId="218365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使用符合国家标准的油品，定期对柴油机、发电机等设备检维修并加强保养，保证设备正常运行。备用</w:t>
            </w:r>
            <w:r>
              <w:rPr>
                <w:rFonts w:hint="default" w:ascii="Times New Roman" w:hAnsi="Times New Roman" w:eastAsia="宋体" w:cs="Times New Roman"/>
                <w:color w:val="auto"/>
                <w:kern w:val="0"/>
                <w:sz w:val="24"/>
                <w:szCs w:val="24"/>
                <w:highlight w:val="none"/>
                <w:lang w:val="en-US" w:eastAsia="zh-CN" w:bidi="ar"/>
              </w:rPr>
              <w:t>柴油发电机定期检修、运行良好，燃用符合质量标准的燃料</w:t>
            </w:r>
          </w:p>
        </w:tc>
        <w:tc>
          <w:tcPr>
            <w:tcW w:w="1840" w:type="pct"/>
            <w:noWrap w:val="0"/>
            <w:vAlign w:val="center"/>
          </w:tcPr>
          <w:p w14:paraId="62DC40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柴油发电机</w:t>
            </w:r>
            <w:r>
              <w:rPr>
                <w:rFonts w:hint="default" w:ascii="Times New Roman" w:hAnsi="Times New Roman" w:eastAsia="宋体" w:cs="Times New Roman"/>
                <w:color w:val="auto"/>
                <w:sz w:val="24"/>
                <w:szCs w:val="24"/>
                <w:highlight w:val="none"/>
                <w:lang w:val="en-US" w:eastAsia="zh-CN"/>
              </w:rPr>
              <w:t>废气</w:t>
            </w:r>
            <w:r>
              <w:rPr>
                <w:rFonts w:hint="default" w:ascii="Times New Roman" w:hAnsi="Times New Roman" w:eastAsia="宋体" w:cs="Times New Roman"/>
                <w:color w:val="auto"/>
                <w:sz w:val="24"/>
                <w:szCs w:val="24"/>
                <w:highlight w:val="none"/>
                <w:lang w:eastAsia="zh-CN"/>
              </w:rPr>
              <w:t>参照执行《非道路移动机械用柴油机排气污染物排放限值及测量方法（中国第三、四阶段）》（GB20891-2014）修改单</w:t>
            </w:r>
            <w:r>
              <w:rPr>
                <w:rFonts w:hint="default" w:ascii="Times New Roman" w:hAnsi="Times New Roman" w:eastAsia="宋体" w:cs="Times New Roman"/>
                <w:color w:val="auto"/>
                <w:sz w:val="24"/>
                <w:szCs w:val="24"/>
                <w:highlight w:val="none"/>
                <w:lang w:val="en-US" w:eastAsia="zh-CN"/>
              </w:rPr>
              <w:t>限值要求</w:t>
            </w:r>
          </w:p>
        </w:tc>
        <w:tc>
          <w:tcPr>
            <w:tcW w:w="523" w:type="pct"/>
            <w:noWrap w:val="0"/>
            <w:vAlign w:val="center"/>
          </w:tcPr>
          <w:p w14:paraId="6EC991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0B2B19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21D7BA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1A1FC3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p>
        </w:tc>
        <w:tc>
          <w:tcPr>
            <w:tcW w:w="937" w:type="dxa"/>
            <w:noWrap w:val="0"/>
            <w:vAlign w:val="center"/>
          </w:tcPr>
          <w:p w14:paraId="0E0BA5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燃气发电机废气</w:t>
            </w:r>
          </w:p>
        </w:tc>
        <w:tc>
          <w:tcPr>
            <w:tcW w:w="2483" w:type="dxa"/>
            <w:noWrap w:val="0"/>
            <w:vAlign w:val="center"/>
          </w:tcPr>
          <w:p w14:paraId="6CE39D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使用符合国家标准的</w:t>
            </w:r>
            <w:r>
              <w:rPr>
                <w:rFonts w:hint="eastAsia" w:cs="Times New Roman"/>
                <w:color w:val="auto"/>
                <w:kern w:val="2"/>
                <w:sz w:val="24"/>
                <w:szCs w:val="24"/>
                <w:highlight w:val="none"/>
                <w:lang w:val="en-US" w:eastAsia="zh-CN" w:bidi="ar-SA"/>
              </w:rPr>
              <w:t>天然气</w:t>
            </w:r>
          </w:p>
        </w:tc>
        <w:tc>
          <w:tcPr>
            <w:tcW w:w="3479" w:type="dxa"/>
            <w:noWrap w:val="0"/>
            <w:vAlign w:val="center"/>
          </w:tcPr>
          <w:p w14:paraId="764A33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《大气污染物综合排放标准》（GB16297-1996）中无组织排放监控浓度限值</w:t>
            </w:r>
          </w:p>
        </w:tc>
        <w:tc>
          <w:tcPr>
            <w:tcW w:w="989" w:type="dxa"/>
            <w:noWrap w:val="0"/>
            <w:vAlign w:val="center"/>
          </w:tcPr>
          <w:p w14:paraId="659361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p>
        </w:tc>
        <w:tc>
          <w:tcPr>
            <w:tcW w:w="783" w:type="dxa"/>
            <w:noWrap w:val="0"/>
            <w:vAlign w:val="center"/>
          </w:tcPr>
          <w:p w14:paraId="6F3CD6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2EEA2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1307C9F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496" w:type="pct"/>
            <w:noWrap w:val="0"/>
            <w:vAlign w:val="center"/>
          </w:tcPr>
          <w:p w14:paraId="1AA223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测试放喷废气</w:t>
            </w:r>
          </w:p>
        </w:tc>
        <w:tc>
          <w:tcPr>
            <w:tcW w:w="1313" w:type="pct"/>
            <w:noWrap w:val="0"/>
            <w:vAlign w:val="center"/>
          </w:tcPr>
          <w:p w14:paraId="666E20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科学测算放喷时间，减少点火</w:t>
            </w:r>
            <w:r>
              <w:rPr>
                <w:rFonts w:hint="default" w:ascii="Times New Roman" w:hAnsi="Times New Roman" w:eastAsia="宋体" w:cs="Times New Roman"/>
                <w:bCs/>
                <w:color w:val="auto"/>
                <w:kern w:val="0"/>
                <w:sz w:val="24"/>
                <w:szCs w:val="24"/>
                <w:highlight w:val="none"/>
              </w:rPr>
              <w:t>放</w:t>
            </w:r>
            <w:r>
              <w:rPr>
                <w:rFonts w:hint="default" w:ascii="Times New Roman" w:hAnsi="Times New Roman" w:eastAsia="宋体" w:cs="Times New Roman"/>
                <w:bCs/>
                <w:color w:val="auto"/>
                <w:kern w:val="0"/>
                <w:sz w:val="24"/>
                <w:szCs w:val="24"/>
                <w:highlight w:val="none"/>
                <w:lang w:val="en-US" w:eastAsia="zh-CN"/>
              </w:rPr>
              <w:t>喷</w:t>
            </w:r>
            <w:r>
              <w:rPr>
                <w:rFonts w:hint="default" w:ascii="Times New Roman" w:hAnsi="Times New Roman" w:eastAsia="宋体" w:cs="Times New Roman"/>
                <w:color w:val="auto"/>
                <w:kern w:val="0"/>
                <w:sz w:val="24"/>
                <w:szCs w:val="24"/>
                <w:highlight w:val="none"/>
                <w:lang w:val="en-US" w:eastAsia="zh-CN" w:bidi="ar"/>
              </w:rPr>
              <w:t>造成的环境污染</w:t>
            </w:r>
          </w:p>
        </w:tc>
        <w:tc>
          <w:tcPr>
            <w:tcW w:w="1840" w:type="pct"/>
            <w:noWrap w:val="0"/>
            <w:vAlign w:val="center"/>
          </w:tcPr>
          <w:p w14:paraId="1A2BD5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《陆上石油</w:t>
            </w:r>
            <w:r>
              <w:rPr>
                <w:rFonts w:hint="eastAsia" w:cs="Times New Roman"/>
                <w:color w:val="auto"/>
                <w:kern w:val="0"/>
                <w:sz w:val="24"/>
                <w:szCs w:val="24"/>
                <w:highlight w:val="none"/>
                <w:lang w:val="en-US" w:eastAsia="zh-CN" w:bidi="ar"/>
              </w:rPr>
              <w:t>天然气</w:t>
            </w:r>
            <w:r>
              <w:rPr>
                <w:rFonts w:hint="default" w:ascii="Times New Roman" w:hAnsi="Times New Roman" w:eastAsia="宋体" w:cs="Times New Roman"/>
                <w:color w:val="auto"/>
                <w:kern w:val="0"/>
                <w:sz w:val="24"/>
                <w:szCs w:val="24"/>
                <w:highlight w:val="none"/>
                <w:lang w:val="en-US" w:eastAsia="zh-CN" w:bidi="ar"/>
              </w:rPr>
              <w:t>开采工业大气污染物排放标准》（GB39728-2020）中边界污染物控制要求；《恶臭污染物排放标准》（GB14554-93）表1标准限值要求</w:t>
            </w:r>
          </w:p>
        </w:tc>
        <w:tc>
          <w:tcPr>
            <w:tcW w:w="523" w:type="pct"/>
            <w:noWrap w:val="0"/>
            <w:vAlign w:val="center"/>
          </w:tcPr>
          <w:p w14:paraId="5A7A019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5C52834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74CD92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5CA1CD7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496" w:type="pct"/>
            <w:noWrap w:val="0"/>
            <w:vAlign w:val="center"/>
          </w:tcPr>
          <w:p w14:paraId="796B79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储罐无组织废气</w:t>
            </w:r>
          </w:p>
        </w:tc>
        <w:tc>
          <w:tcPr>
            <w:tcW w:w="1313" w:type="pct"/>
            <w:noWrap w:val="0"/>
            <w:vAlign w:val="center"/>
          </w:tcPr>
          <w:p w14:paraId="096687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储罐采用防腐贮罐，采用环密技术防止烃类泄漏</w:t>
            </w:r>
          </w:p>
        </w:tc>
        <w:tc>
          <w:tcPr>
            <w:tcW w:w="1840" w:type="pct"/>
            <w:noWrap w:val="0"/>
            <w:vAlign w:val="center"/>
          </w:tcPr>
          <w:p w14:paraId="39925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《陆上石油</w:t>
            </w:r>
            <w:r>
              <w:rPr>
                <w:rFonts w:hint="eastAsia" w:cs="Times New Roman"/>
                <w:color w:val="auto"/>
                <w:kern w:val="0"/>
                <w:sz w:val="24"/>
                <w:szCs w:val="24"/>
                <w:highlight w:val="none"/>
                <w:lang w:val="en-US" w:eastAsia="zh-CN" w:bidi="ar"/>
              </w:rPr>
              <w:t>天然气</w:t>
            </w:r>
            <w:r>
              <w:rPr>
                <w:rFonts w:hint="default" w:ascii="Times New Roman" w:hAnsi="Times New Roman" w:eastAsia="宋体" w:cs="Times New Roman"/>
                <w:color w:val="auto"/>
                <w:kern w:val="0"/>
                <w:sz w:val="24"/>
                <w:szCs w:val="24"/>
                <w:highlight w:val="none"/>
                <w:lang w:val="en-US" w:eastAsia="zh-CN" w:bidi="ar"/>
              </w:rPr>
              <w:t>开采工业大气污染物排放标准》（GB39728-2020）边界污染物控制要求</w:t>
            </w:r>
          </w:p>
        </w:tc>
        <w:tc>
          <w:tcPr>
            <w:tcW w:w="523" w:type="pct"/>
            <w:noWrap w:val="0"/>
            <w:vAlign w:val="center"/>
          </w:tcPr>
          <w:p w14:paraId="52DF62E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78EE3E6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2BD04F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restart"/>
            <w:noWrap w:val="0"/>
            <w:vAlign w:val="center"/>
          </w:tcPr>
          <w:p w14:paraId="0C5FB6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固体废物</w:t>
            </w:r>
          </w:p>
        </w:tc>
        <w:tc>
          <w:tcPr>
            <w:tcW w:w="1810" w:type="pct"/>
            <w:gridSpan w:val="2"/>
            <w:noWrap w:val="0"/>
            <w:vAlign w:val="center"/>
          </w:tcPr>
          <w:p w14:paraId="3E2248AA">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SA"/>
              </w:rPr>
              <w:t>膨润土体系废弃钻井泥浆及岩屑于泥浆不落地处理区暂存，经检测达标后，用于铺垫油区内的井场、道路</w:t>
            </w:r>
            <w:r>
              <w:rPr>
                <w:rFonts w:hint="eastAsia" w:cs="Times New Roman"/>
                <w:color w:val="auto"/>
                <w:kern w:val="2"/>
                <w:sz w:val="24"/>
                <w:szCs w:val="24"/>
                <w:highlight w:val="none"/>
                <w:lang w:val="en-US" w:eastAsia="zh-CN" w:bidi="ar-SA"/>
              </w:rPr>
              <w:t>。</w:t>
            </w:r>
          </w:p>
        </w:tc>
        <w:tc>
          <w:tcPr>
            <w:tcW w:w="1840" w:type="pct"/>
            <w:vMerge w:val="restart"/>
            <w:noWrap w:val="0"/>
            <w:vAlign w:val="center"/>
          </w:tcPr>
          <w:p w14:paraId="0C1077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满足《一般工业固体废物贮存和填埋污染控制标准》（GB18599-2020）</w:t>
            </w:r>
          </w:p>
        </w:tc>
        <w:tc>
          <w:tcPr>
            <w:tcW w:w="523" w:type="pct"/>
            <w:noWrap w:val="0"/>
            <w:vAlign w:val="center"/>
          </w:tcPr>
          <w:p w14:paraId="623BDD1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0DE1951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502E77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4114BB6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26129C79">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生活垃圾集中收集后交当地环卫部门处理</w:t>
            </w:r>
          </w:p>
        </w:tc>
        <w:tc>
          <w:tcPr>
            <w:tcW w:w="1840" w:type="pct"/>
            <w:vMerge w:val="continue"/>
            <w:noWrap w:val="0"/>
            <w:vAlign w:val="center"/>
          </w:tcPr>
          <w:p w14:paraId="2E3A11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shd w:val="clear" w:color="auto" w:fill="auto"/>
            <w:noWrap w:val="0"/>
            <w:vAlign w:val="center"/>
          </w:tcPr>
          <w:p w14:paraId="57C17F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shd w:val="clear" w:color="auto" w:fill="auto"/>
            <w:noWrap w:val="0"/>
            <w:vAlign w:val="center"/>
          </w:tcPr>
          <w:p w14:paraId="08782B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41EBC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09A396E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0C0E54D7">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聚磺体系废弃钻井泥浆及岩屑在井场环保罐收集后，根据生产情况转运至第三方环保处理站处置或在钻井现场无害化达标处置后用于铺垫油区内的井场、道路</w:t>
            </w:r>
          </w:p>
        </w:tc>
        <w:tc>
          <w:tcPr>
            <w:tcW w:w="1840" w:type="pct"/>
            <w:vMerge w:val="restart"/>
            <w:noWrap w:val="0"/>
            <w:vAlign w:val="center"/>
          </w:tcPr>
          <w:p w14:paraId="51E0DA08">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现场无固废遗留。固体废物在处置和运行管理中严格落实。废机油、废防渗材料和落地油执行《危险废物贮存污染控制标准》（GB18597-2023）要求及《危险废物收集 贮存 运输技术规范》（HJ2025-2012）</w:t>
            </w:r>
          </w:p>
        </w:tc>
        <w:tc>
          <w:tcPr>
            <w:tcW w:w="523" w:type="pct"/>
            <w:shd w:val="clear" w:color="auto" w:fill="auto"/>
            <w:noWrap w:val="0"/>
            <w:vAlign w:val="center"/>
          </w:tcPr>
          <w:p w14:paraId="45C730C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shd w:val="clear" w:color="auto" w:fill="auto"/>
            <w:noWrap w:val="0"/>
            <w:vAlign w:val="center"/>
          </w:tcPr>
          <w:p w14:paraId="77F9CF6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75A35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3D49E2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5CC171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废机油、废防渗材料和落地油</w:t>
            </w:r>
            <w:r>
              <w:rPr>
                <w:rFonts w:hint="eastAsia" w:ascii="Times New Roman" w:hAnsi="Times New Roman" w:eastAsia="宋体" w:cs="Times New Roman"/>
                <w:b w:val="0"/>
                <w:bCs w:val="0"/>
                <w:color w:val="auto"/>
                <w:kern w:val="0"/>
                <w:sz w:val="24"/>
                <w:szCs w:val="24"/>
                <w:highlight w:val="none"/>
                <w:lang w:val="en-US" w:eastAsia="zh-CN" w:bidi="ar-SA"/>
              </w:rPr>
              <w:t>危险废物贮存点</w:t>
            </w:r>
            <w:r>
              <w:rPr>
                <w:rFonts w:hint="default" w:ascii="Times New Roman" w:hAnsi="Times New Roman" w:eastAsia="宋体" w:cs="Times New Roman"/>
                <w:b w:val="0"/>
                <w:bCs w:val="0"/>
                <w:color w:val="auto"/>
                <w:kern w:val="0"/>
                <w:sz w:val="24"/>
                <w:szCs w:val="24"/>
                <w:highlight w:val="none"/>
                <w:lang w:val="en-US" w:eastAsia="zh-CN" w:bidi="ar-SA"/>
              </w:rPr>
              <w:t>内暂存，钻井结束后送资质单位进行处置</w:t>
            </w:r>
          </w:p>
        </w:tc>
        <w:tc>
          <w:tcPr>
            <w:tcW w:w="1840" w:type="pct"/>
            <w:vMerge w:val="continue"/>
            <w:noWrap w:val="0"/>
            <w:vAlign w:val="center"/>
          </w:tcPr>
          <w:p w14:paraId="7F42AC15">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noWrap w:val="0"/>
            <w:vAlign w:val="center"/>
          </w:tcPr>
          <w:p w14:paraId="2D190D7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314B455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650A5A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vMerge w:val="continue"/>
            <w:noWrap w:val="0"/>
            <w:vAlign w:val="center"/>
          </w:tcPr>
          <w:p w14:paraId="5E212D5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p>
        </w:tc>
        <w:tc>
          <w:tcPr>
            <w:tcW w:w="1810" w:type="pct"/>
            <w:gridSpan w:val="2"/>
            <w:noWrap w:val="0"/>
            <w:vAlign w:val="center"/>
          </w:tcPr>
          <w:p w14:paraId="025908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废弃包装材料于</w:t>
            </w:r>
            <w:r>
              <w:rPr>
                <w:rFonts w:hint="eastAsia" w:ascii="Times New Roman" w:hAnsi="Times New Roman" w:eastAsia="宋体" w:cs="Times New Roman"/>
                <w:color w:val="auto"/>
                <w:kern w:val="0"/>
                <w:sz w:val="24"/>
                <w:szCs w:val="24"/>
                <w:highlight w:val="none"/>
                <w:lang w:val="en-US" w:eastAsia="zh-CN" w:bidi="ar"/>
              </w:rPr>
              <w:t>危险废物贮存点</w:t>
            </w:r>
            <w:r>
              <w:rPr>
                <w:rFonts w:hint="default" w:ascii="Times New Roman" w:hAnsi="Times New Roman" w:eastAsia="宋体" w:cs="Times New Roman"/>
                <w:color w:val="auto"/>
                <w:kern w:val="0"/>
                <w:sz w:val="24"/>
                <w:szCs w:val="24"/>
                <w:highlight w:val="none"/>
                <w:lang w:val="en-US" w:eastAsia="zh-CN" w:bidi="ar"/>
              </w:rPr>
              <w:t>暂存，定期交由有资质单位处置。</w:t>
            </w:r>
          </w:p>
        </w:tc>
        <w:tc>
          <w:tcPr>
            <w:tcW w:w="1840" w:type="pct"/>
            <w:vMerge w:val="continue"/>
            <w:noWrap w:val="0"/>
            <w:vAlign w:val="center"/>
          </w:tcPr>
          <w:p w14:paraId="45CEC1D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kern w:val="0"/>
                <w:sz w:val="24"/>
                <w:szCs w:val="24"/>
                <w:highlight w:val="none"/>
                <w:lang w:val="en-US" w:eastAsia="zh-CN" w:bidi="ar"/>
              </w:rPr>
            </w:pPr>
          </w:p>
        </w:tc>
        <w:tc>
          <w:tcPr>
            <w:tcW w:w="523" w:type="pct"/>
            <w:noWrap w:val="0"/>
            <w:vAlign w:val="center"/>
          </w:tcPr>
          <w:p w14:paraId="07FD53C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6119A0F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0E66A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7989C2E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电磁环境</w:t>
            </w:r>
          </w:p>
        </w:tc>
        <w:tc>
          <w:tcPr>
            <w:tcW w:w="1810" w:type="pct"/>
            <w:gridSpan w:val="2"/>
            <w:noWrap w:val="0"/>
            <w:vAlign w:val="center"/>
          </w:tcPr>
          <w:p w14:paraId="304F10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1840" w:type="pct"/>
            <w:noWrap w:val="0"/>
            <w:vAlign w:val="center"/>
          </w:tcPr>
          <w:p w14:paraId="35B275F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523" w:type="pct"/>
            <w:noWrap w:val="0"/>
            <w:vAlign w:val="center"/>
          </w:tcPr>
          <w:p w14:paraId="3A57611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5E96E0F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7CBE12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554CFB2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环境风险</w:t>
            </w:r>
          </w:p>
        </w:tc>
        <w:tc>
          <w:tcPr>
            <w:tcW w:w="1810" w:type="pct"/>
            <w:gridSpan w:val="2"/>
            <w:noWrap w:val="0"/>
            <w:vAlign w:val="center"/>
          </w:tcPr>
          <w:p w14:paraId="2AAF83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Cs/>
                <w:snapToGrid w:val="0"/>
                <w:color w:val="auto"/>
                <w:sz w:val="24"/>
                <w:szCs w:val="24"/>
                <w:highlight w:val="none"/>
                <w:lang w:eastAsia="zh-CN"/>
              </w:rPr>
              <w:t>设置防井喷等风险控制装置，储罐区设置围堰、收集装置等落实各项风险应急物资，</w:t>
            </w:r>
            <w:r>
              <w:rPr>
                <w:rFonts w:hint="default" w:ascii="Times New Roman" w:hAnsi="Times New Roman" w:eastAsia="宋体" w:cs="Times New Roman"/>
                <w:bCs/>
                <w:snapToGrid w:val="0"/>
                <w:color w:val="auto"/>
                <w:sz w:val="24"/>
                <w:szCs w:val="24"/>
                <w:highlight w:val="none"/>
                <w:lang w:val="en-US" w:eastAsia="zh-CN"/>
              </w:rPr>
              <w:t>制定</w:t>
            </w:r>
            <w:r>
              <w:rPr>
                <w:rFonts w:hint="default" w:ascii="Times New Roman" w:hAnsi="Times New Roman" w:eastAsia="宋体" w:cs="Times New Roman"/>
                <w:color w:val="auto"/>
                <w:kern w:val="0"/>
                <w:sz w:val="24"/>
                <w:szCs w:val="24"/>
                <w:highlight w:val="none"/>
                <w:lang w:val="en-US" w:eastAsia="zh-CN" w:bidi="ar"/>
              </w:rPr>
              <w:t>应急预案</w:t>
            </w:r>
          </w:p>
        </w:tc>
        <w:tc>
          <w:tcPr>
            <w:tcW w:w="1840" w:type="pct"/>
            <w:noWrap w:val="0"/>
            <w:vAlign w:val="center"/>
          </w:tcPr>
          <w:p w14:paraId="7E7F3E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将环境风险控制在可防控范围内</w:t>
            </w:r>
          </w:p>
        </w:tc>
        <w:tc>
          <w:tcPr>
            <w:tcW w:w="523" w:type="pct"/>
            <w:noWrap w:val="0"/>
            <w:vAlign w:val="center"/>
          </w:tcPr>
          <w:p w14:paraId="34F29A3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c>
          <w:tcPr>
            <w:tcW w:w="413" w:type="pct"/>
            <w:noWrap w:val="0"/>
            <w:vAlign w:val="center"/>
          </w:tcPr>
          <w:p w14:paraId="2CE05AB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p>
        </w:tc>
      </w:tr>
      <w:tr w14:paraId="6A289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21BB9355">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环境监测</w:t>
            </w:r>
          </w:p>
        </w:tc>
        <w:tc>
          <w:tcPr>
            <w:tcW w:w="1810" w:type="pct"/>
            <w:gridSpan w:val="2"/>
            <w:noWrap w:val="0"/>
            <w:vAlign w:val="center"/>
          </w:tcPr>
          <w:p w14:paraId="7BD600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1840" w:type="pct"/>
            <w:noWrap w:val="0"/>
            <w:vAlign w:val="center"/>
          </w:tcPr>
          <w:p w14:paraId="1193E1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523" w:type="pct"/>
            <w:noWrap w:val="0"/>
            <w:vAlign w:val="center"/>
          </w:tcPr>
          <w:p w14:paraId="5C521529">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413" w:type="pct"/>
            <w:noWrap w:val="0"/>
            <w:vAlign w:val="center"/>
          </w:tcPr>
          <w:p w14:paraId="1605742A">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r>
      <w:tr w14:paraId="5851B4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1" w:type="pct"/>
            <w:noWrap w:val="0"/>
            <w:vAlign w:val="center"/>
          </w:tcPr>
          <w:p w14:paraId="2F3CC9FB">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其他</w:t>
            </w:r>
          </w:p>
        </w:tc>
        <w:tc>
          <w:tcPr>
            <w:tcW w:w="1810" w:type="pct"/>
            <w:gridSpan w:val="2"/>
            <w:noWrap w:val="0"/>
            <w:vAlign w:val="center"/>
          </w:tcPr>
          <w:p w14:paraId="5986B1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1840" w:type="pct"/>
            <w:noWrap w:val="0"/>
            <w:vAlign w:val="center"/>
          </w:tcPr>
          <w:p w14:paraId="2FC80F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523" w:type="pct"/>
            <w:noWrap w:val="0"/>
            <w:vAlign w:val="center"/>
          </w:tcPr>
          <w:p w14:paraId="08272675">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c>
          <w:tcPr>
            <w:tcW w:w="413" w:type="pct"/>
            <w:noWrap w:val="0"/>
            <w:vAlign w:val="center"/>
          </w:tcPr>
          <w:p w14:paraId="1B0DC2B9">
            <w:pPr>
              <w:keepNext w:val="0"/>
              <w:keepLines w:val="0"/>
              <w:pageBreakBefore w:val="0"/>
              <w:widowControl/>
              <w:suppressLineNumbers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p>
        </w:tc>
      </w:tr>
    </w:tbl>
    <w:p w14:paraId="1163F62A">
      <w:pPr>
        <w:bidi w:val="0"/>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snapToGrid w:val="0"/>
          <w:color w:val="auto"/>
          <w:sz w:val="30"/>
          <w:szCs w:val="30"/>
          <w:highlight w:val="none"/>
        </w:rPr>
        <w:t>七、结论</w:t>
      </w:r>
    </w:p>
    <w:tbl>
      <w:tblPr>
        <w:tblStyle w:val="3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457"/>
      </w:tblGrid>
      <w:tr w14:paraId="5F1B3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68" w:hRule="atLeast"/>
          <w:jc w:val="center"/>
        </w:trPr>
        <w:tc>
          <w:tcPr>
            <w:tcW w:w="5000" w:type="pct"/>
            <w:noWrap w:val="0"/>
            <w:vAlign w:val="top"/>
          </w:tcPr>
          <w:p w14:paraId="2FDB74B2">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建设符合国家产业政策，满足生态保护红线及生态分区管控相关管理要求。项目配套完善生态防护及污染治理措施，各类污染物可实现稳定达标排放，废水得到合理处置；通过源头管控、分区防渗等措施，项目对地下水、土壤环境的影响可接受；落实噪声防治措施后，对区域声环境影响可接受；固体废物均得到综合利用或妥善处置。</w:t>
            </w:r>
          </w:p>
          <w:p w14:paraId="29DBAF24">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选址周边及邻近区域不涉及自然保护区、风景名胜区及其他特殊保护区域，选址合理。施工阶段严格管控作业范围，最大限度减少土地占用，施工车辆限定于作业场地内活动，避免碾压损毁周边植被。在全面落实各项污染防治措施、保障污染物达标排放的前提下，本项目建设对区域生态环境影响可接受；配套落实完备的环境风险防控与应急处置措施，环境风险处于可防控水平。</w:t>
            </w:r>
          </w:p>
          <w:p w14:paraId="20F67E80">
            <w:pPr>
              <w:pStyle w:val="82"/>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综上，从环境保护角度分析，本项目环境影响可行</w:t>
            </w:r>
            <w:r>
              <w:rPr>
                <w:rFonts w:hint="eastAsia" w:hAnsi="Times New Roman" w:cs="Times New Roman"/>
                <w:color w:val="auto"/>
                <w:szCs w:val="21"/>
                <w:highlight w:val="none"/>
                <w:lang w:eastAsia="zh-CN"/>
              </w:rPr>
              <w:t>。</w:t>
            </w:r>
          </w:p>
        </w:tc>
      </w:tr>
    </w:tbl>
    <w:p w14:paraId="3085BEEF">
      <w:pPr>
        <w:pStyle w:val="20"/>
        <w:numPr>
          <w:ilvl w:val="0"/>
          <w:numId w:val="0"/>
        </w:numPr>
        <w:rPr>
          <w:rFonts w:hint="eastAsia" w:eastAsia="宋体"/>
          <w:color w:val="auto"/>
          <w:lang w:eastAsia="zh-CN"/>
        </w:rPr>
      </w:pPr>
      <w:bookmarkStart w:id="45" w:name="编制单位和编制人员情况表"/>
      <w:bookmarkEnd w:id="45"/>
    </w:p>
    <w:sectPr>
      <w:footerReference r:id="rId5" w:type="default"/>
      <w:pgSz w:w="11906" w:h="16838"/>
      <w:pgMar w:top="1304" w:right="1304" w:bottom="1304" w:left="1361"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ED4F38F-422D-4C54-A59C-B9B9E19CA7C0}"/>
  </w:font>
  <w:font w:name="黑体">
    <w:panose1 w:val="02010609060101010101"/>
    <w:charset w:val="86"/>
    <w:family w:val="auto"/>
    <w:pitch w:val="default"/>
    <w:sig w:usb0="800002BF" w:usb1="38CF7CFA" w:usb2="00000016" w:usb3="00000000" w:csb0="00040001" w:csb1="00000000"/>
    <w:embedRegular r:id="rId2" w:fontKey="{C8E8A0D2-6C65-45F6-90F4-77A69605EF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auto"/>
    <w:pitch w:val="default"/>
    <w:sig w:usb0="F7FFAEFF" w:usb1="F9DFFFFF" w:usb2="0000007F" w:usb3="00000000" w:csb0="203F01FF" w:csb1="DFFF0000"/>
  </w:font>
  <w:font w:name="仿宋_GB2312">
    <w:panose1 w:val="02010609030101010101"/>
    <w:charset w:val="86"/>
    <w:family w:val="modern"/>
    <w:pitch w:val="default"/>
    <w:sig w:usb0="00000001" w:usb1="080E0000" w:usb2="00000000" w:usb3="00000000" w:csb0="00040000" w:csb1="00000000"/>
    <w:embedRegular r:id="rId3" w:fontKey="{4AF4F718-D93F-40ED-B5D2-06136EFEA9C1}"/>
  </w:font>
  <w:font w:name="微软雅黑">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embedRegular r:id="rId4" w:fontKey="{D3973EC0-E652-4F71-8C97-27C789304D75}"/>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embedRegular r:id="rId5" w:fontKey="{28443A91-3C49-43CB-B21E-D5F00D8E79DD}"/>
  </w:font>
  <w:font w:name="楷体_GB2312">
    <w:panose1 w:val="02010609030101010101"/>
    <w:charset w:val="86"/>
    <w:family w:val="modern"/>
    <w:pitch w:val="default"/>
    <w:sig w:usb0="00000001" w:usb1="080E0000" w:usb2="00000000" w:usb3="00000000" w:csb0="00040000" w:csb1="00000000"/>
    <w:embedRegular r:id="rId6" w:fontKey="{E5A31561-A424-4861-92D8-B97FB449A74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CE38">
    <w:pPr>
      <w:pStyle w:val="2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63A9A">
    <w:pPr>
      <w:pStyle w:val="24"/>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63029">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5963029">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56150">
    <w:pPr>
      <w:pStyle w:val="24"/>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D831F">
                          <w:pPr>
                            <w:pStyle w:val="24"/>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2D831F">
                    <w:pPr>
                      <w:pStyle w:val="24"/>
                    </w:pPr>
                    <w:r>
                      <w:fldChar w:fldCharType="begin"/>
                    </w:r>
                    <w:r>
                      <w:instrText xml:space="preserve"> PAGE  \* MERGEFORMAT </w:instrText>
                    </w:r>
                    <w:r>
                      <w:fldChar w:fldCharType="separate"/>
                    </w:r>
                    <w:r>
                      <w:t>93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6CC53A"/>
    <w:multiLevelType w:val="singleLevel"/>
    <w:tmpl w:val="F36CC53A"/>
    <w:lvl w:ilvl="0" w:tentative="0">
      <w:start w:val="1"/>
      <w:numFmt w:val="bullet"/>
      <w:pStyle w:val="20"/>
      <w:lvlText w:val=""/>
      <w:lvlJc w:val="left"/>
      <w:pPr>
        <w:tabs>
          <w:tab w:val="left" w:pos="2040"/>
        </w:tabs>
        <w:ind w:left="2040" w:hanging="360"/>
      </w:pPr>
      <w:rPr>
        <w:rFonts w:hint="default" w:ascii="Wingdings" w:hAnsi="Wingdings"/>
      </w:rPr>
    </w:lvl>
  </w:abstractNum>
  <w:abstractNum w:abstractNumId="1">
    <w:nsid w:val="1403BCA6"/>
    <w:multiLevelType w:val="singleLevel"/>
    <w:tmpl w:val="1403BCA6"/>
    <w:lvl w:ilvl="0" w:tentative="0">
      <w:start w:val="1"/>
      <w:numFmt w:val="decimal"/>
      <w:pStyle w:val="27"/>
      <w:lvlText w:val="%1."/>
      <w:lvlJc w:val="left"/>
      <w:pPr>
        <w:tabs>
          <w:tab w:val="left" w:pos="2040"/>
        </w:tabs>
        <w:ind w:left="20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zOWY3MWViMDM0ZjMzNDNhMWEwNTU0OGUyNTE2ZjE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33A4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47B5B"/>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01C1"/>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B643A"/>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8E1"/>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E7115"/>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2FA7"/>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27C1"/>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46B09"/>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372"/>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3EEA"/>
    <w:rsid w:val="00F74345"/>
    <w:rsid w:val="00F74441"/>
    <w:rsid w:val="00F77F30"/>
    <w:rsid w:val="00F82589"/>
    <w:rsid w:val="00F82B19"/>
    <w:rsid w:val="00F90AA7"/>
    <w:rsid w:val="00F9212D"/>
    <w:rsid w:val="00FA301A"/>
    <w:rsid w:val="00FA406A"/>
    <w:rsid w:val="00FA5CB6"/>
    <w:rsid w:val="00FC206D"/>
    <w:rsid w:val="00FC66AC"/>
    <w:rsid w:val="00FD18F4"/>
    <w:rsid w:val="00FD6EB0"/>
    <w:rsid w:val="00FD74B4"/>
    <w:rsid w:val="00FF6FCE"/>
    <w:rsid w:val="00FF7518"/>
    <w:rsid w:val="00FF7FD8"/>
    <w:rsid w:val="01062EEC"/>
    <w:rsid w:val="01067B7E"/>
    <w:rsid w:val="01160EA3"/>
    <w:rsid w:val="01170C55"/>
    <w:rsid w:val="01367BC1"/>
    <w:rsid w:val="013E61E2"/>
    <w:rsid w:val="013E6E1F"/>
    <w:rsid w:val="01444A6E"/>
    <w:rsid w:val="014D0D5A"/>
    <w:rsid w:val="017C4E3A"/>
    <w:rsid w:val="01BC366C"/>
    <w:rsid w:val="01F608F0"/>
    <w:rsid w:val="02184C85"/>
    <w:rsid w:val="02362D67"/>
    <w:rsid w:val="02664B16"/>
    <w:rsid w:val="0270452D"/>
    <w:rsid w:val="02A15629"/>
    <w:rsid w:val="02BE1F02"/>
    <w:rsid w:val="02DA5FC0"/>
    <w:rsid w:val="02ED0A15"/>
    <w:rsid w:val="02F374F8"/>
    <w:rsid w:val="030E7E36"/>
    <w:rsid w:val="03246A06"/>
    <w:rsid w:val="03391357"/>
    <w:rsid w:val="03425A83"/>
    <w:rsid w:val="03630182"/>
    <w:rsid w:val="036C34DA"/>
    <w:rsid w:val="036E4623"/>
    <w:rsid w:val="0370464D"/>
    <w:rsid w:val="03AD1591"/>
    <w:rsid w:val="03C07382"/>
    <w:rsid w:val="03C446E1"/>
    <w:rsid w:val="03D22932"/>
    <w:rsid w:val="03D33559"/>
    <w:rsid w:val="03DB0660"/>
    <w:rsid w:val="03DB16E4"/>
    <w:rsid w:val="03EE33BF"/>
    <w:rsid w:val="03F7555A"/>
    <w:rsid w:val="040A5B3F"/>
    <w:rsid w:val="041328BF"/>
    <w:rsid w:val="041E30D0"/>
    <w:rsid w:val="04290182"/>
    <w:rsid w:val="042D58D8"/>
    <w:rsid w:val="04360129"/>
    <w:rsid w:val="044036B7"/>
    <w:rsid w:val="04485ED3"/>
    <w:rsid w:val="044C0C16"/>
    <w:rsid w:val="049C294E"/>
    <w:rsid w:val="04B769D7"/>
    <w:rsid w:val="04C738AC"/>
    <w:rsid w:val="04E52EB2"/>
    <w:rsid w:val="04E7150E"/>
    <w:rsid w:val="04FC6AE0"/>
    <w:rsid w:val="05106822"/>
    <w:rsid w:val="053A5B25"/>
    <w:rsid w:val="05412745"/>
    <w:rsid w:val="0546428C"/>
    <w:rsid w:val="054B365B"/>
    <w:rsid w:val="05681A7F"/>
    <w:rsid w:val="05742AC8"/>
    <w:rsid w:val="058C7E64"/>
    <w:rsid w:val="05971F55"/>
    <w:rsid w:val="05AD2488"/>
    <w:rsid w:val="05D45EEE"/>
    <w:rsid w:val="05E25CD6"/>
    <w:rsid w:val="05E41A4E"/>
    <w:rsid w:val="060101C2"/>
    <w:rsid w:val="060A70A7"/>
    <w:rsid w:val="06352F05"/>
    <w:rsid w:val="063E7D85"/>
    <w:rsid w:val="06422973"/>
    <w:rsid w:val="06431B15"/>
    <w:rsid w:val="0645628F"/>
    <w:rsid w:val="065B1E1B"/>
    <w:rsid w:val="068F04FE"/>
    <w:rsid w:val="069D691E"/>
    <w:rsid w:val="06A83220"/>
    <w:rsid w:val="06AB406F"/>
    <w:rsid w:val="06D53CC1"/>
    <w:rsid w:val="06EE14C4"/>
    <w:rsid w:val="07017D69"/>
    <w:rsid w:val="070875E0"/>
    <w:rsid w:val="071E2D3E"/>
    <w:rsid w:val="07204424"/>
    <w:rsid w:val="072308DB"/>
    <w:rsid w:val="07293586"/>
    <w:rsid w:val="07295285"/>
    <w:rsid w:val="07481B68"/>
    <w:rsid w:val="075B6A1A"/>
    <w:rsid w:val="07636A29"/>
    <w:rsid w:val="077520F8"/>
    <w:rsid w:val="07770C56"/>
    <w:rsid w:val="07C33549"/>
    <w:rsid w:val="07D75ACC"/>
    <w:rsid w:val="07E74BB6"/>
    <w:rsid w:val="080C0E25"/>
    <w:rsid w:val="082A6E89"/>
    <w:rsid w:val="08696B41"/>
    <w:rsid w:val="087A48E9"/>
    <w:rsid w:val="08A30046"/>
    <w:rsid w:val="08B651F8"/>
    <w:rsid w:val="08C2594B"/>
    <w:rsid w:val="08CF4EE1"/>
    <w:rsid w:val="08D21B08"/>
    <w:rsid w:val="08D35DAA"/>
    <w:rsid w:val="08DF5AD4"/>
    <w:rsid w:val="08E9266F"/>
    <w:rsid w:val="09090F59"/>
    <w:rsid w:val="091811D6"/>
    <w:rsid w:val="092217DD"/>
    <w:rsid w:val="09290360"/>
    <w:rsid w:val="092A791F"/>
    <w:rsid w:val="09336E74"/>
    <w:rsid w:val="093876D2"/>
    <w:rsid w:val="093A7294"/>
    <w:rsid w:val="094032D2"/>
    <w:rsid w:val="09410F65"/>
    <w:rsid w:val="094910A2"/>
    <w:rsid w:val="095011A8"/>
    <w:rsid w:val="098064E2"/>
    <w:rsid w:val="098F05E9"/>
    <w:rsid w:val="09AE5696"/>
    <w:rsid w:val="09C90142"/>
    <w:rsid w:val="09C95A46"/>
    <w:rsid w:val="09CD45A7"/>
    <w:rsid w:val="0A27573A"/>
    <w:rsid w:val="0A2D3298"/>
    <w:rsid w:val="0A2D34D0"/>
    <w:rsid w:val="0A37476C"/>
    <w:rsid w:val="0A68475A"/>
    <w:rsid w:val="0A6A5FC1"/>
    <w:rsid w:val="0A776860"/>
    <w:rsid w:val="0A7809B7"/>
    <w:rsid w:val="0AA47595"/>
    <w:rsid w:val="0ABA2D7D"/>
    <w:rsid w:val="0AE75B3C"/>
    <w:rsid w:val="0AFB0415"/>
    <w:rsid w:val="0B0A6803"/>
    <w:rsid w:val="0B305855"/>
    <w:rsid w:val="0B48216D"/>
    <w:rsid w:val="0B4D3A18"/>
    <w:rsid w:val="0B6158EF"/>
    <w:rsid w:val="0B626ACC"/>
    <w:rsid w:val="0B731858"/>
    <w:rsid w:val="0B7C44D7"/>
    <w:rsid w:val="0B7D12DC"/>
    <w:rsid w:val="0B9A495D"/>
    <w:rsid w:val="0BA61345"/>
    <w:rsid w:val="0BA7487D"/>
    <w:rsid w:val="0BBB55B4"/>
    <w:rsid w:val="0BD27BF6"/>
    <w:rsid w:val="0BD460C1"/>
    <w:rsid w:val="0BE1258C"/>
    <w:rsid w:val="0BEF7C49"/>
    <w:rsid w:val="0C0B1A0F"/>
    <w:rsid w:val="0C0F616A"/>
    <w:rsid w:val="0C146529"/>
    <w:rsid w:val="0C275F3F"/>
    <w:rsid w:val="0C524D8A"/>
    <w:rsid w:val="0C5C759D"/>
    <w:rsid w:val="0C5E723D"/>
    <w:rsid w:val="0C7763DD"/>
    <w:rsid w:val="0C792A29"/>
    <w:rsid w:val="0C7C4137"/>
    <w:rsid w:val="0C8278CB"/>
    <w:rsid w:val="0C831573"/>
    <w:rsid w:val="0CC52EF5"/>
    <w:rsid w:val="0CC954FA"/>
    <w:rsid w:val="0D205C25"/>
    <w:rsid w:val="0D307327"/>
    <w:rsid w:val="0D4E1EA3"/>
    <w:rsid w:val="0D4E2FA5"/>
    <w:rsid w:val="0D5154EF"/>
    <w:rsid w:val="0D657CAC"/>
    <w:rsid w:val="0D7533BA"/>
    <w:rsid w:val="0D832B27"/>
    <w:rsid w:val="0D901319"/>
    <w:rsid w:val="0D9941F9"/>
    <w:rsid w:val="0DD52CE6"/>
    <w:rsid w:val="0DD71E98"/>
    <w:rsid w:val="0DF41725"/>
    <w:rsid w:val="0E0B61DD"/>
    <w:rsid w:val="0E110D06"/>
    <w:rsid w:val="0E222CDC"/>
    <w:rsid w:val="0E415FAD"/>
    <w:rsid w:val="0E464928"/>
    <w:rsid w:val="0E64566D"/>
    <w:rsid w:val="0E682C97"/>
    <w:rsid w:val="0E793D0A"/>
    <w:rsid w:val="0E843362"/>
    <w:rsid w:val="0E847F1E"/>
    <w:rsid w:val="0E944180"/>
    <w:rsid w:val="0EA133A6"/>
    <w:rsid w:val="0EAA135B"/>
    <w:rsid w:val="0EC51CF1"/>
    <w:rsid w:val="0ED72DE7"/>
    <w:rsid w:val="0EEB5186"/>
    <w:rsid w:val="0EF32D02"/>
    <w:rsid w:val="0EF6412A"/>
    <w:rsid w:val="0EFD592E"/>
    <w:rsid w:val="0F13775A"/>
    <w:rsid w:val="0F156355"/>
    <w:rsid w:val="0F225395"/>
    <w:rsid w:val="0F680A54"/>
    <w:rsid w:val="0F8572F3"/>
    <w:rsid w:val="0F9718DF"/>
    <w:rsid w:val="0F9A112B"/>
    <w:rsid w:val="0FC06194"/>
    <w:rsid w:val="0FE502A9"/>
    <w:rsid w:val="101F1FCD"/>
    <w:rsid w:val="10271A6B"/>
    <w:rsid w:val="102748C3"/>
    <w:rsid w:val="10341FC5"/>
    <w:rsid w:val="103501B8"/>
    <w:rsid w:val="10443B37"/>
    <w:rsid w:val="106D2F64"/>
    <w:rsid w:val="107E2A9F"/>
    <w:rsid w:val="10B62239"/>
    <w:rsid w:val="10B63710"/>
    <w:rsid w:val="10C304B2"/>
    <w:rsid w:val="10C7129F"/>
    <w:rsid w:val="10CC380A"/>
    <w:rsid w:val="10CD6C49"/>
    <w:rsid w:val="10D161A1"/>
    <w:rsid w:val="10F3621A"/>
    <w:rsid w:val="110E048F"/>
    <w:rsid w:val="111C2F7A"/>
    <w:rsid w:val="111C4A8B"/>
    <w:rsid w:val="11290903"/>
    <w:rsid w:val="113013DE"/>
    <w:rsid w:val="113A4C18"/>
    <w:rsid w:val="11400A48"/>
    <w:rsid w:val="11441A61"/>
    <w:rsid w:val="1158509E"/>
    <w:rsid w:val="115B2DE0"/>
    <w:rsid w:val="11651569"/>
    <w:rsid w:val="11A53D53"/>
    <w:rsid w:val="11CF78D0"/>
    <w:rsid w:val="11D1272C"/>
    <w:rsid w:val="11D9289F"/>
    <w:rsid w:val="11DF3D93"/>
    <w:rsid w:val="11E30EE8"/>
    <w:rsid w:val="11E3705D"/>
    <w:rsid w:val="11E9626A"/>
    <w:rsid w:val="122B06C2"/>
    <w:rsid w:val="124F64A1"/>
    <w:rsid w:val="12587B95"/>
    <w:rsid w:val="12593E56"/>
    <w:rsid w:val="12631F4C"/>
    <w:rsid w:val="12724255"/>
    <w:rsid w:val="12727EA3"/>
    <w:rsid w:val="12A65A26"/>
    <w:rsid w:val="12AC266A"/>
    <w:rsid w:val="12B33A8E"/>
    <w:rsid w:val="12EB3CF0"/>
    <w:rsid w:val="12F554FB"/>
    <w:rsid w:val="130003A3"/>
    <w:rsid w:val="13103E92"/>
    <w:rsid w:val="131330B4"/>
    <w:rsid w:val="131F6DE2"/>
    <w:rsid w:val="133E0E6F"/>
    <w:rsid w:val="13433B2C"/>
    <w:rsid w:val="135F0966"/>
    <w:rsid w:val="13650A8D"/>
    <w:rsid w:val="137E4BF0"/>
    <w:rsid w:val="13951726"/>
    <w:rsid w:val="139F1126"/>
    <w:rsid w:val="13A13CD3"/>
    <w:rsid w:val="13A51F3C"/>
    <w:rsid w:val="13C06F2A"/>
    <w:rsid w:val="13D72C53"/>
    <w:rsid w:val="141259D8"/>
    <w:rsid w:val="14396509"/>
    <w:rsid w:val="14437D75"/>
    <w:rsid w:val="14470FF5"/>
    <w:rsid w:val="1447165C"/>
    <w:rsid w:val="14672C5A"/>
    <w:rsid w:val="148651E9"/>
    <w:rsid w:val="14A01236"/>
    <w:rsid w:val="14BC7590"/>
    <w:rsid w:val="14CB202B"/>
    <w:rsid w:val="14E338A7"/>
    <w:rsid w:val="14E90C79"/>
    <w:rsid w:val="14F670A8"/>
    <w:rsid w:val="14F90946"/>
    <w:rsid w:val="150D2643"/>
    <w:rsid w:val="15153759"/>
    <w:rsid w:val="15252DED"/>
    <w:rsid w:val="152715FF"/>
    <w:rsid w:val="15603729"/>
    <w:rsid w:val="1564220B"/>
    <w:rsid w:val="15657D89"/>
    <w:rsid w:val="156A1DE8"/>
    <w:rsid w:val="15AE1224"/>
    <w:rsid w:val="15BD2403"/>
    <w:rsid w:val="15C47699"/>
    <w:rsid w:val="15EC04AB"/>
    <w:rsid w:val="16016036"/>
    <w:rsid w:val="161377E5"/>
    <w:rsid w:val="161547DB"/>
    <w:rsid w:val="161D17C8"/>
    <w:rsid w:val="16757683"/>
    <w:rsid w:val="1678091D"/>
    <w:rsid w:val="16917C74"/>
    <w:rsid w:val="16A15E13"/>
    <w:rsid w:val="16A2698A"/>
    <w:rsid w:val="16B0772A"/>
    <w:rsid w:val="16C55695"/>
    <w:rsid w:val="16D937A2"/>
    <w:rsid w:val="17182642"/>
    <w:rsid w:val="17224323"/>
    <w:rsid w:val="172422A9"/>
    <w:rsid w:val="1742207E"/>
    <w:rsid w:val="17596145"/>
    <w:rsid w:val="17727EF9"/>
    <w:rsid w:val="17735226"/>
    <w:rsid w:val="177644D0"/>
    <w:rsid w:val="178F649F"/>
    <w:rsid w:val="179508A0"/>
    <w:rsid w:val="17A77181"/>
    <w:rsid w:val="17B6195E"/>
    <w:rsid w:val="17B86896"/>
    <w:rsid w:val="17DD454F"/>
    <w:rsid w:val="17E41B07"/>
    <w:rsid w:val="18062CAC"/>
    <w:rsid w:val="18196493"/>
    <w:rsid w:val="181D0DEF"/>
    <w:rsid w:val="18574301"/>
    <w:rsid w:val="185873EF"/>
    <w:rsid w:val="185C1EE0"/>
    <w:rsid w:val="18645966"/>
    <w:rsid w:val="18B54B84"/>
    <w:rsid w:val="18CA08D2"/>
    <w:rsid w:val="18D47889"/>
    <w:rsid w:val="18D531AE"/>
    <w:rsid w:val="18D55226"/>
    <w:rsid w:val="18E65685"/>
    <w:rsid w:val="18EE5509"/>
    <w:rsid w:val="19283F59"/>
    <w:rsid w:val="194D1955"/>
    <w:rsid w:val="19572765"/>
    <w:rsid w:val="195B1BCF"/>
    <w:rsid w:val="197B5DCD"/>
    <w:rsid w:val="197D694C"/>
    <w:rsid w:val="198A6011"/>
    <w:rsid w:val="198D243A"/>
    <w:rsid w:val="19A03C6A"/>
    <w:rsid w:val="19CC4FC2"/>
    <w:rsid w:val="19CD414F"/>
    <w:rsid w:val="19D74549"/>
    <w:rsid w:val="1A122C11"/>
    <w:rsid w:val="1A1C66C0"/>
    <w:rsid w:val="1A262BD4"/>
    <w:rsid w:val="1A2B6A50"/>
    <w:rsid w:val="1A396462"/>
    <w:rsid w:val="1A42393B"/>
    <w:rsid w:val="1A43313F"/>
    <w:rsid w:val="1A6E0D68"/>
    <w:rsid w:val="1A8C60A2"/>
    <w:rsid w:val="1A903AFB"/>
    <w:rsid w:val="1AC12E5F"/>
    <w:rsid w:val="1AC7052D"/>
    <w:rsid w:val="1AC775D5"/>
    <w:rsid w:val="1AD54E90"/>
    <w:rsid w:val="1AD67034"/>
    <w:rsid w:val="1B041DF3"/>
    <w:rsid w:val="1B046F80"/>
    <w:rsid w:val="1B050D24"/>
    <w:rsid w:val="1B102545"/>
    <w:rsid w:val="1B2E0C1E"/>
    <w:rsid w:val="1B3267B5"/>
    <w:rsid w:val="1B351FAC"/>
    <w:rsid w:val="1B3A28C7"/>
    <w:rsid w:val="1B4729A2"/>
    <w:rsid w:val="1B6921EB"/>
    <w:rsid w:val="1B6D3826"/>
    <w:rsid w:val="1B8933AE"/>
    <w:rsid w:val="1B950DC1"/>
    <w:rsid w:val="1B950F86"/>
    <w:rsid w:val="1BC11A92"/>
    <w:rsid w:val="1BC25DC8"/>
    <w:rsid w:val="1BCA6B98"/>
    <w:rsid w:val="1BCD6688"/>
    <w:rsid w:val="1BD46DDD"/>
    <w:rsid w:val="1BF0493A"/>
    <w:rsid w:val="1BF12377"/>
    <w:rsid w:val="1C2C4491"/>
    <w:rsid w:val="1C31682F"/>
    <w:rsid w:val="1C3968FC"/>
    <w:rsid w:val="1C3F04A8"/>
    <w:rsid w:val="1C581EDC"/>
    <w:rsid w:val="1C5E7925"/>
    <w:rsid w:val="1C7B089B"/>
    <w:rsid w:val="1C887FC8"/>
    <w:rsid w:val="1C890385"/>
    <w:rsid w:val="1CA82BA5"/>
    <w:rsid w:val="1CE935AE"/>
    <w:rsid w:val="1CFD2DEB"/>
    <w:rsid w:val="1D24677C"/>
    <w:rsid w:val="1D262808"/>
    <w:rsid w:val="1D3F5615"/>
    <w:rsid w:val="1D403077"/>
    <w:rsid w:val="1D4D64FF"/>
    <w:rsid w:val="1D5E095D"/>
    <w:rsid w:val="1D5F6196"/>
    <w:rsid w:val="1D6132A5"/>
    <w:rsid w:val="1D6D35A0"/>
    <w:rsid w:val="1D6F3564"/>
    <w:rsid w:val="1D790FEA"/>
    <w:rsid w:val="1D7F01E3"/>
    <w:rsid w:val="1D890B16"/>
    <w:rsid w:val="1D8E56D5"/>
    <w:rsid w:val="1DE101C9"/>
    <w:rsid w:val="1DEF0AA8"/>
    <w:rsid w:val="1DF60A19"/>
    <w:rsid w:val="1E0839A8"/>
    <w:rsid w:val="1E0B0E08"/>
    <w:rsid w:val="1E116CA0"/>
    <w:rsid w:val="1E134DFA"/>
    <w:rsid w:val="1E1B11FB"/>
    <w:rsid w:val="1E2D15D1"/>
    <w:rsid w:val="1E303681"/>
    <w:rsid w:val="1E570222"/>
    <w:rsid w:val="1E5E09D7"/>
    <w:rsid w:val="1E696B3C"/>
    <w:rsid w:val="1E7135D0"/>
    <w:rsid w:val="1E7A43DA"/>
    <w:rsid w:val="1E8E690E"/>
    <w:rsid w:val="1EAA53BD"/>
    <w:rsid w:val="1EB277FE"/>
    <w:rsid w:val="1EB34211"/>
    <w:rsid w:val="1EBC2425"/>
    <w:rsid w:val="1EC37D91"/>
    <w:rsid w:val="1ED0096A"/>
    <w:rsid w:val="1F250A92"/>
    <w:rsid w:val="1F4B3E9E"/>
    <w:rsid w:val="1F502D2F"/>
    <w:rsid w:val="1F5B798C"/>
    <w:rsid w:val="1F625EE4"/>
    <w:rsid w:val="1F6E6D87"/>
    <w:rsid w:val="1F841754"/>
    <w:rsid w:val="1F8658CD"/>
    <w:rsid w:val="1F9E5D80"/>
    <w:rsid w:val="1FAB0A8F"/>
    <w:rsid w:val="1FAB45DF"/>
    <w:rsid w:val="1FB01ED9"/>
    <w:rsid w:val="1FC87893"/>
    <w:rsid w:val="1FD7246A"/>
    <w:rsid w:val="1FE7539E"/>
    <w:rsid w:val="200D1731"/>
    <w:rsid w:val="20231B2E"/>
    <w:rsid w:val="203E7571"/>
    <w:rsid w:val="203E7B55"/>
    <w:rsid w:val="204A05F1"/>
    <w:rsid w:val="20602044"/>
    <w:rsid w:val="20663D00"/>
    <w:rsid w:val="207770F1"/>
    <w:rsid w:val="208337BA"/>
    <w:rsid w:val="20853119"/>
    <w:rsid w:val="20963CB8"/>
    <w:rsid w:val="20A21E92"/>
    <w:rsid w:val="20B07FB6"/>
    <w:rsid w:val="20B505E7"/>
    <w:rsid w:val="20C214E5"/>
    <w:rsid w:val="20C6515E"/>
    <w:rsid w:val="20D97ED6"/>
    <w:rsid w:val="210501EA"/>
    <w:rsid w:val="210D7169"/>
    <w:rsid w:val="210E7CA5"/>
    <w:rsid w:val="21311DFD"/>
    <w:rsid w:val="213B74B1"/>
    <w:rsid w:val="21400CDB"/>
    <w:rsid w:val="21463165"/>
    <w:rsid w:val="21543588"/>
    <w:rsid w:val="215A2310"/>
    <w:rsid w:val="21863561"/>
    <w:rsid w:val="218D3E60"/>
    <w:rsid w:val="21B43FCC"/>
    <w:rsid w:val="21C80489"/>
    <w:rsid w:val="21D40771"/>
    <w:rsid w:val="21DE318A"/>
    <w:rsid w:val="21EF5B80"/>
    <w:rsid w:val="21F5168E"/>
    <w:rsid w:val="21F77E6C"/>
    <w:rsid w:val="220B18C2"/>
    <w:rsid w:val="222442D5"/>
    <w:rsid w:val="22270A2C"/>
    <w:rsid w:val="22370462"/>
    <w:rsid w:val="223D15D3"/>
    <w:rsid w:val="223F3975"/>
    <w:rsid w:val="2245454D"/>
    <w:rsid w:val="2249746C"/>
    <w:rsid w:val="22576990"/>
    <w:rsid w:val="22720A33"/>
    <w:rsid w:val="2273035C"/>
    <w:rsid w:val="227D579B"/>
    <w:rsid w:val="2297318B"/>
    <w:rsid w:val="229C4EAB"/>
    <w:rsid w:val="229E7E5F"/>
    <w:rsid w:val="22B12170"/>
    <w:rsid w:val="22D551CD"/>
    <w:rsid w:val="22EA18E2"/>
    <w:rsid w:val="22F55AC0"/>
    <w:rsid w:val="231E5DE6"/>
    <w:rsid w:val="2324538E"/>
    <w:rsid w:val="232A2844"/>
    <w:rsid w:val="23377209"/>
    <w:rsid w:val="234A56EA"/>
    <w:rsid w:val="235A7016"/>
    <w:rsid w:val="23870664"/>
    <w:rsid w:val="23932947"/>
    <w:rsid w:val="23C25BE2"/>
    <w:rsid w:val="23E63520"/>
    <w:rsid w:val="24091E96"/>
    <w:rsid w:val="240C7B63"/>
    <w:rsid w:val="241C73D4"/>
    <w:rsid w:val="2427533E"/>
    <w:rsid w:val="245160C7"/>
    <w:rsid w:val="245168ED"/>
    <w:rsid w:val="2482186F"/>
    <w:rsid w:val="249B0CBF"/>
    <w:rsid w:val="24C341A1"/>
    <w:rsid w:val="24C60977"/>
    <w:rsid w:val="24D80578"/>
    <w:rsid w:val="24DD41C2"/>
    <w:rsid w:val="24F81B46"/>
    <w:rsid w:val="252501DA"/>
    <w:rsid w:val="252D53FE"/>
    <w:rsid w:val="25531CBF"/>
    <w:rsid w:val="255617B4"/>
    <w:rsid w:val="2567101A"/>
    <w:rsid w:val="256C6F12"/>
    <w:rsid w:val="2582149C"/>
    <w:rsid w:val="258B383C"/>
    <w:rsid w:val="258D7FA4"/>
    <w:rsid w:val="2593624D"/>
    <w:rsid w:val="259A7F19"/>
    <w:rsid w:val="25BD00FE"/>
    <w:rsid w:val="25DA4F02"/>
    <w:rsid w:val="25EC2D81"/>
    <w:rsid w:val="25F25669"/>
    <w:rsid w:val="2601169B"/>
    <w:rsid w:val="26061FD1"/>
    <w:rsid w:val="260D1A06"/>
    <w:rsid w:val="263222D7"/>
    <w:rsid w:val="264528BD"/>
    <w:rsid w:val="264726B9"/>
    <w:rsid w:val="264A4F28"/>
    <w:rsid w:val="26553B6F"/>
    <w:rsid w:val="267511C1"/>
    <w:rsid w:val="267A6873"/>
    <w:rsid w:val="269B1CF0"/>
    <w:rsid w:val="26A2016B"/>
    <w:rsid w:val="26A526DC"/>
    <w:rsid w:val="26BD5838"/>
    <w:rsid w:val="26C36959"/>
    <w:rsid w:val="26CE1CCE"/>
    <w:rsid w:val="26D00413"/>
    <w:rsid w:val="26D046A2"/>
    <w:rsid w:val="26D40973"/>
    <w:rsid w:val="26E96EA3"/>
    <w:rsid w:val="2722685A"/>
    <w:rsid w:val="27241DFD"/>
    <w:rsid w:val="275A34C6"/>
    <w:rsid w:val="279446B3"/>
    <w:rsid w:val="27956086"/>
    <w:rsid w:val="279C55DC"/>
    <w:rsid w:val="27BB0BF2"/>
    <w:rsid w:val="27C41CC5"/>
    <w:rsid w:val="27C50B33"/>
    <w:rsid w:val="27CA22EB"/>
    <w:rsid w:val="27D15DD1"/>
    <w:rsid w:val="27D575DB"/>
    <w:rsid w:val="27EE178F"/>
    <w:rsid w:val="27F06F4F"/>
    <w:rsid w:val="28102B8B"/>
    <w:rsid w:val="281063D6"/>
    <w:rsid w:val="28277120"/>
    <w:rsid w:val="282E4405"/>
    <w:rsid w:val="28456ABE"/>
    <w:rsid w:val="285048C9"/>
    <w:rsid w:val="285C44CF"/>
    <w:rsid w:val="286A22CA"/>
    <w:rsid w:val="287F049E"/>
    <w:rsid w:val="28862F2A"/>
    <w:rsid w:val="28885CD4"/>
    <w:rsid w:val="289C2B8B"/>
    <w:rsid w:val="28A76295"/>
    <w:rsid w:val="28B11143"/>
    <w:rsid w:val="28BF3FDA"/>
    <w:rsid w:val="28C10D1E"/>
    <w:rsid w:val="28C507BD"/>
    <w:rsid w:val="28CA2242"/>
    <w:rsid w:val="28CA467C"/>
    <w:rsid w:val="28E33031"/>
    <w:rsid w:val="28F3730E"/>
    <w:rsid w:val="28F907F2"/>
    <w:rsid w:val="2902434E"/>
    <w:rsid w:val="2918017B"/>
    <w:rsid w:val="29206EB8"/>
    <w:rsid w:val="292C565E"/>
    <w:rsid w:val="29422464"/>
    <w:rsid w:val="29431FF9"/>
    <w:rsid w:val="295D5DA6"/>
    <w:rsid w:val="298C7710"/>
    <w:rsid w:val="29A808AE"/>
    <w:rsid w:val="29B844D4"/>
    <w:rsid w:val="29C0792D"/>
    <w:rsid w:val="29C81755"/>
    <w:rsid w:val="29E325E0"/>
    <w:rsid w:val="29ED498D"/>
    <w:rsid w:val="29F33F71"/>
    <w:rsid w:val="29F7252B"/>
    <w:rsid w:val="2A2279FD"/>
    <w:rsid w:val="2A452503"/>
    <w:rsid w:val="2A5078E5"/>
    <w:rsid w:val="2A635EC6"/>
    <w:rsid w:val="2A823ABD"/>
    <w:rsid w:val="2A8433D1"/>
    <w:rsid w:val="2AAB2DC7"/>
    <w:rsid w:val="2AB54EB7"/>
    <w:rsid w:val="2ACB6489"/>
    <w:rsid w:val="2ADA0CDC"/>
    <w:rsid w:val="2AE03D95"/>
    <w:rsid w:val="2AEC4154"/>
    <w:rsid w:val="2AF23D54"/>
    <w:rsid w:val="2AFC2091"/>
    <w:rsid w:val="2B0B4AD7"/>
    <w:rsid w:val="2B1D5A65"/>
    <w:rsid w:val="2B200852"/>
    <w:rsid w:val="2B2805DD"/>
    <w:rsid w:val="2B492795"/>
    <w:rsid w:val="2B494A3D"/>
    <w:rsid w:val="2B535728"/>
    <w:rsid w:val="2B5D628A"/>
    <w:rsid w:val="2B5E7730"/>
    <w:rsid w:val="2B933DAA"/>
    <w:rsid w:val="2BA31BF4"/>
    <w:rsid w:val="2BA936A8"/>
    <w:rsid w:val="2BB8344C"/>
    <w:rsid w:val="2BC31486"/>
    <w:rsid w:val="2BE023BB"/>
    <w:rsid w:val="2BE36EAA"/>
    <w:rsid w:val="2C016606"/>
    <w:rsid w:val="2C1300E8"/>
    <w:rsid w:val="2C2F340C"/>
    <w:rsid w:val="2C315A5A"/>
    <w:rsid w:val="2C427FB9"/>
    <w:rsid w:val="2C624BCB"/>
    <w:rsid w:val="2C6429CA"/>
    <w:rsid w:val="2C7768C8"/>
    <w:rsid w:val="2C8113C9"/>
    <w:rsid w:val="2CB03B88"/>
    <w:rsid w:val="2CC17ED2"/>
    <w:rsid w:val="2CCD4CC0"/>
    <w:rsid w:val="2CDE06F5"/>
    <w:rsid w:val="2CF476ED"/>
    <w:rsid w:val="2D0143E4"/>
    <w:rsid w:val="2D2A56E9"/>
    <w:rsid w:val="2D307187"/>
    <w:rsid w:val="2D5C5ABE"/>
    <w:rsid w:val="2D62353A"/>
    <w:rsid w:val="2D8566CB"/>
    <w:rsid w:val="2D970F00"/>
    <w:rsid w:val="2D9E56F5"/>
    <w:rsid w:val="2DB374FA"/>
    <w:rsid w:val="2DBB27E5"/>
    <w:rsid w:val="2DC605AA"/>
    <w:rsid w:val="2DC718FA"/>
    <w:rsid w:val="2E05314B"/>
    <w:rsid w:val="2E166B2C"/>
    <w:rsid w:val="2E1D5471"/>
    <w:rsid w:val="2E3A7BAD"/>
    <w:rsid w:val="2E3E70F8"/>
    <w:rsid w:val="2E5D3721"/>
    <w:rsid w:val="2E613C69"/>
    <w:rsid w:val="2E667F96"/>
    <w:rsid w:val="2E73211E"/>
    <w:rsid w:val="2E8226AB"/>
    <w:rsid w:val="2EA84F13"/>
    <w:rsid w:val="2EB833FF"/>
    <w:rsid w:val="2EC15BD9"/>
    <w:rsid w:val="2EDE1B52"/>
    <w:rsid w:val="2F0B4FBF"/>
    <w:rsid w:val="2F263B51"/>
    <w:rsid w:val="2F387363"/>
    <w:rsid w:val="2F3945C8"/>
    <w:rsid w:val="2F4C598D"/>
    <w:rsid w:val="2F5C6DF5"/>
    <w:rsid w:val="2F6321CD"/>
    <w:rsid w:val="2F6F4C6C"/>
    <w:rsid w:val="2F832C79"/>
    <w:rsid w:val="2F982E42"/>
    <w:rsid w:val="2F9A6335"/>
    <w:rsid w:val="2F9E6116"/>
    <w:rsid w:val="2FC07BC7"/>
    <w:rsid w:val="2FE93064"/>
    <w:rsid w:val="2FEF2D58"/>
    <w:rsid w:val="2FF72146"/>
    <w:rsid w:val="300F0BC6"/>
    <w:rsid w:val="301B1AA7"/>
    <w:rsid w:val="30221572"/>
    <w:rsid w:val="302810DF"/>
    <w:rsid w:val="30466CDD"/>
    <w:rsid w:val="304D09A9"/>
    <w:rsid w:val="30580BC9"/>
    <w:rsid w:val="30601421"/>
    <w:rsid w:val="307A415A"/>
    <w:rsid w:val="308E41E1"/>
    <w:rsid w:val="309C3FE5"/>
    <w:rsid w:val="30B47E7A"/>
    <w:rsid w:val="30C14F19"/>
    <w:rsid w:val="30F856AE"/>
    <w:rsid w:val="311E2ED7"/>
    <w:rsid w:val="31213A03"/>
    <w:rsid w:val="312B5233"/>
    <w:rsid w:val="3130665F"/>
    <w:rsid w:val="31306953"/>
    <w:rsid w:val="31477BE9"/>
    <w:rsid w:val="314D4FA4"/>
    <w:rsid w:val="315115A8"/>
    <w:rsid w:val="315C449C"/>
    <w:rsid w:val="31772AF1"/>
    <w:rsid w:val="318444C8"/>
    <w:rsid w:val="31963DC5"/>
    <w:rsid w:val="31B022D4"/>
    <w:rsid w:val="31B82709"/>
    <w:rsid w:val="31DA60CB"/>
    <w:rsid w:val="31EC3EB3"/>
    <w:rsid w:val="31FA016A"/>
    <w:rsid w:val="32400B34"/>
    <w:rsid w:val="32456B21"/>
    <w:rsid w:val="32537490"/>
    <w:rsid w:val="325902CC"/>
    <w:rsid w:val="326956A0"/>
    <w:rsid w:val="329E6876"/>
    <w:rsid w:val="32A92228"/>
    <w:rsid w:val="32AB3221"/>
    <w:rsid w:val="32AC54CC"/>
    <w:rsid w:val="32B03200"/>
    <w:rsid w:val="32C60367"/>
    <w:rsid w:val="32C75788"/>
    <w:rsid w:val="32E03BD0"/>
    <w:rsid w:val="32F3657D"/>
    <w:rsid w:val="33096E5B"/>
    <w:rsid w:val="33224F6A"/>
    <w:rsid w:val="33252641"/>
    <w:rsid w:val="33257191"/>
    <w:rsid w:val="33321433"/>
    <w:rsid w:val="333B7496"/>
    <w:rsid w:val="334376C2"/>
    <w:rsid w:val="335F09E9"/>
    <w:rsid w:val="336111FD"/>
    <w:rsid w:val="33686F6B"/>
    <w:rsid w:val="336E069A"/>
    <w:rsid w:val="33775400"/>
    <w:rsid w:val="3387001B"/>
    <w:rsid w:val="33902CC3"/>
    <w:rsid w:val="33A34B7C"/>
    <w:rsid w:val="33AA7D8A"/>
    <w:rsid w:val="33AE48CC"/>
    <w:rsid w:val="33AF1B9C"/>
    <w:rsid w:val="33C70135"/>
    <w:rsid w:val="33D934D4"/>
    <w:rsid w:val="33E66C1A"/>
    <w:rsid w:val="33F04C35"/>
    <w:rsid w:val="33F16F60"/>
    <w:rsid w:val="33FE2F6A"/>
    <w:rsid w:val="3400642D"/>
    <w:rsid w:val="34657983"/>
    <w:rsid w:val="346C4839"/>
    <w:rsid w:val="347F61D5"/>
    <w:rsid w:val="34AE4E51"/>
    <w:rsid w:val="34B41D3C"/>
    <w:rsid w:val="34B800A1"/>
    <w:rsid w:val="34D06B52"/>
    <w:rsid w:val="34F30AB6"/>
    <w:rsid w:val="34FE01D7"/>
    <w:rsid w:val="352073D1"/>
    <w:rsid w:val="35260E8C"/>
    <w:rsid w:val="352E5050"/>
    <w:rsid w:val="353332B8"/>
    <w:rsid w:val="35795DD6"/>
    <w:rsid w:val="35831E3A"/>
    <w:rsid w:val="35894A3C"/>
    <w:rsid w:val="35896346"/>
    <w:rsid w:val="35896B7C"/>
    <w:rsid w:val="35BE11C9"/>
    <w:rsid w:val="35C97A69"/>
    <w:rsid w:val="35D629F5"/>
    <w:rsid w:val="35D75E78"/>
    <w:rsid w:val="35EC4108"/>
    <w:rsid w:val="36074A7F"/>
    <w:rsid w:val="36321AB2"/>
    <w:rsid w:val="363D6078"/>
    <w:rsid w:val="36570DD6"/>
    <w:rsid w:val="36574D8D"/>
    <w:rsid w:val="365A2F9F"/>
    <w:rsid w:val="36742F19"/>
    <w:rsid w:val="367E654A"/>
    <w:rsid w:val="36902F82"/>
    <w:rsid w:val="36923549"/>
    <w:rsid w:val="369C6467"/>
    <w:rsid w:val="369E2CA4"/>
    <w:rsid w:val="36B75FBF"/>
    <w:rsid w:val="36BB5A9B"/>
    <w:rsid w:val="36C07852"/>
    <w:rsid w:val="36D82130"/>
    <w:rsid w:val="36E74081"/>
    <w:rsid w:val="36E903C3"/>
    <w:rsid w:val="36FB4891"/>
    <w:rsid w:val="37054AD1"/>
    <w:rsid w:val="371A4A20"/>
    <w:rsid w:val="371B60A2"/>
    <w:rsid w:val="373C7B7B"/>
    <w:rsid w:val="37677539"/>
    <w:rsid w:val="3780060D"/>
    <w:rsid w:val="37881E3B"/>
    <w:rsid w:val="37946B57"/>
    <w:rsid w:val="379A4107"/>
    <w:rsid w:val="37A24A9D"/>
    <w:rsid w:val="37BF7375"/>
    <w:rsid w:val="37D20543"/>
    <w:rsid w:val="37E80261"/>
    <w:rsid w:val="38160618"/>
    <w:rsid w:val="381C4EFF"/>
    <w:rsid w:val="38284F1B"/>
    <w:rsid w:val="383D1175"/>
    <w:rsid w:val="384629B1"/>
    <w:rsid w:val="388C0703"/>
    <w:rsid w:val="389D0C7A"/>
    <w:rsid w:val="38B7760F"/>
    <w:rsid w:val="38BA4EFA"/>
    <w:rsid w:val="38BC3F52"/>
    <w:rsid w:val="38C85737"/>
    <w:rsid w:val="38EE7F12"/>
    <w:rsid w:val="38F12CD3"/>
    <w:rsid w:val="38F94775"/>
    <w:rsid w:val="390E0C3B"/>
    <w:rsid w:val="391E1E7A"/>
    <w:rsid w:val="39227BBC"/>
    <w:rsid w:val="392971ED"/>
    <w:rsid w:val="3948754F"/>
    <w:rsid w:val="394D5442"/>
    <w:rsid w:val="39565C38"/>
    <w:rsid w:val="39693A3D"/>
    <w:rsid w:val="39696849"/>
    <w:rsid w:val="396E6BC5"/>
    <w:rsid w:val="39981C2C"/>
    <w:rsid w:val="399B4E73"/>
    <w:rsid w:val="39DF785B"/>
    <w:rsid w:val="39EB4452"/>
    <w:rsid w:val="3A017F84"/>
    <w:rsid w:val="3A1923DE"/>
    <w:rsid w:val="3A2F57A2"/>
    <w:rsid w:val="3A3C2210"/>
    <w:rsid w:val="3A5D2EE4"/>
    <w:rsid w:val="3A675D79"/>
    <w:rsid w:val="3A751F6D"/>
    <w:rsid w:val="3A815271"/>
    <w:rsid w:val="3A836907"/>
    <w:rsid w:val="3A976388"/>
    <w:rsid w:val="3AA75652"/>
    <w:rsid w:val="3AB5046E"/>
    <w:rsid w:val="3ACB0BC3"/>
    <w:rsid w:val="3AD73D45"/>
    <w:rsid w:val="3ADD023E"/>
    <w:rsid w:val="3AFA5018"/>
    <w:rsid w:val="3B0C4680"/>
    <w:rsid w:val="3B3573C0"/>
    <w:rsid w:val="3B3763D1"/>
    <w:rsid w:val="3B614F44"/>
    <w:rsid w:val="3B680AD5"/>
    <w:rsid w:val="3B6B1A33"/>
    <w:rsid w:val="3B8C58E3"/>
    <w:rsid w:val="3B8E6940"/>
    <w:rsid w:val="3B8F7AAD"/>
    <w:rsid w:val="3B9308FD"/>
    <w:rsid w:val="3B961AA0"/>
    <w:rsid w:val="3B96663F"/>
    <w:rsid w:val="3B9823B7"/>
    <w:rsid w:val="3B9A72A6"/>
    <w:rsid w:val="3BB56AC5"/>
    <w:rsid w:val="3BE52F21"/>
    <w:rsid w:val="3C894AED"/>
    <w:rsid w:val="3CAF79B9"/>
    <w:rsid w:val="3CCA2A44"/>
    <w:rsid w:val="3CCA47F2"/>
    <w:rsid w:val="3CCE71EB"/>
    <w:rsid w:val="3CDA245A"/>
    <w:rsid w:val="3CDD5F1D"/>
    <w:rsid w:val="3CE753A4"/>
    <w:rsid w:val="3CEE0A37"/>
    <w:rsid w:val="3CF96CED"/>
    <w:rsid w:val="3D0611DA"/>
    <w:rsid w:val="3D09356D"/>
    <w:rsid w:val="3D1434D7"/>
    <w:rsid w:val="3D341597"/>
    <w:rsid w:val="3D4C2BEB"/>
    <w:rsid w:val="3D5B28C2"/>
    <w:rsid w:val="3DBD7EB3"/>
    <w:rsid w:val="3DC94748"/>
    <w:rsid w:val="3DD25346"/>
    <w:rsid w:val="3DDC0EF7"/>
    <w:rsid w:val="3DE3265E"/>
    <w:rsid w:val="3DEA7081"/>
    <w:rsid w:val="3DF243FA"/>
    <w:rsid w:val="3E103B9E"/>
    <w:rsid w:val="3E390A38"/>
    <w:rsid w:val="3E4817DA"/>
    <w:rsid w:val="3E587BDC"/>
    <w:rsid w:val="3E5D1061"/>
    <w:rsid w:val="3E706AA3"/>
    <w:rsid w:val="3E7B1405"/>
    <w:rsid w:val="3E7B70C5"/>
    <w:rsid w:val="3E891477"/>
    <w:rsid w:val="3E984202"/>
    <w:rsid w:val="3E994DA1"/>
    <w:rsid w:val="3E9C5D1B"/>
    <w:rsid w:val="3EA2161A"/>
    <w:rsid w:val="3EB301ED"/>
    <w:rsid w:val="3EBB06AE"/>
    <w:rsid w:val="3EC4425B"/>
    <w:rsid w:val="3EC76004"/>
    <w:rsid w:val="3EC83E85"/>
    <w:rsid w:val="3EE97204"/>
    <w:rsid w:val="3EEC6CA2"/>
    <w:rsid w:val="3EF207DB"/>
    <w:rsid w:val="3F0F473E"/>
    <w:rsid w:val="3F17721A"/>
    <w:rsid w:val="3F1E7077"/>
    <w:rsid w:val="3F205007"/>
    <w:rsid w:val="3F23643C"/>
    <w:rsid w:val="3F292ED7"/>
    <w:rsid w:val="3F5C7C20"/>
    <w:rsid w:val="3F660E74"/>
    <w:rsid w:val="3F7067FF"/>
    <w:rsid w:val="3F71316E"/>
    <w:rsid w:val="3F9240AD"/>
    <w:rsid w:val="3FD15E98"/>
    <w:rsid w:val="3FF1585F"/>
    <w:rsid w:val="3FFC6E1D"/>
    <w:rsid w:val="40003087"/>
    <w:rsid w:val="400C5AA1"/>
    <w:rsid w:val="40214047"/>
    <w:rsid w:val="4021626F"/>
    <w:rsid w:val="40343550"/>
    <w:rsid w:val="40471332"/>
    <w:rsid w:val="4068302C"/>
    <w:rsid w:val="407A6407"/>
    <w:rsid w:val="409E4832"/>
    <w:rsid w:val="40AA16DA"/>
    <w:rsid w:val="40B437EF"/>
    <w:rsid w:val="40C8729B"/>
    <w:rsid w:val="40D13E8F"/>
    <w:rsid w:val="40E44F98"/>
    <w:rsid w:val="40ED53D8"/>
    <w:rsid w:val="40F62000"/>
    <w:rsid w:val="40FF07E3"/>
    <w:rsid w:val="411F121F"/>
    <w:rsid w:val="4121627F"/>
    <w:rsid w:val="412546F1"/>
    <w:rsid w:val="41274734"/>
    <w:rsid w:val="419A1BF6"/>
    <w:rsid w:val="41A8557D"/>
    <w:rsid w:val="41B351DD"/>
    <w:rsid w:val="41C45CB4"/>
    <w:rsid w:val="41D01239"/>
    <w:rsid w:val="41EC701C"/>
    <w:rsid w:val="4215030D"/>
    <w:rsid w:val="4217148E"/>
    <w:rsid w:val="421A55AA"/>
    <w:rsid w:val="421D6A85"/>
    <w:rsid w:val="421F2EEA"/>
    <w:rsid w:val="423A3BCC"/>
    <w:rsid w:val="424B67F4"/>
    <w:rsid w:val="42554A87"/>
    <w:rsid w:val="42604C5D"/>
    <w:rsid w:val="427B0595"/>
    <w:rsid w:val="42817E6E"/>
    <w:rsid w:val="428C6D65"/>
    <w:rsid w:val="42905431"/>
    <w:rsid w:val="429F350F"/>
    <w:rsid w:val="42A76A5F"/>
    <w:rsid w:val="42AB198E"/>
    <w:rsid w:val="42AC04F6"/>
    <w:rsid w:val="42D10E7F"/>
    <w:rsid w:val="42D261AF"/>
    <w:rsid w:val="42D903F6"/>
    <w:rsid w:val="42E142D1"/>
    <w:rsid w:val="42EA74ED"/>
    <w:rsid w:val="42FF2EA4"/>
    <w:rsid w:val="430012E9"/>
    <w:rsid w:val="43087A30"/>
    <w:rsid w:val="431778C2"/>
    <w:rsid w:val="432933BF"/>
    <w:rsid w:val="433A6FE6"/>
    <w:rsid w:val="4350713C"/>
    <w:rsid w:val="43515CE6"/>
    <w:rsid w:val="43540A65"/>
    <w:rsid w:val="436653E0"/>
    <w:rsid w:val="436F72CA"/>
    <w:rsid w:val="437A3377"/>
    <w:rsid w:val="4390375B"/>
    <w:rsid w:val="43923B90"/>
    <w:rsid w:val="439B68B4"/>
    <w:rsid w:val="43A21908"/>
    <w:rsid w:val="43D80310"/>
    <w:rsid w:val="43DE4235"/>
    <w:rsid w:val="441A2E22"/>
    <w:rsid w:val="443828B2"/>
    <w:rsid w:val="443F72CB"/>
    <w:rsid w:val="44435E15"/>
    <w:rsid w:val="4456442C"/>
    <w:rsid w:val="44717AD9"/>
    <w:rsid w:val="449B0C14"/>
    <w:rsid w:val="44B040D7"/>
    <w:rsid w:val="44BE7D74"/>
    <w:rsid w:val="44C85ABB"/>
    <w:rsid w:val="44CD14E0"/>
    <w:rsid w:val="44E126D9"/>
    <w:rsid w:val="44EA49A4"/>
    <w:rsid w:val="44F32C5F"/>
    <w:rsid w:val="44F6020F"/>
    <w:rsid w:val="450F36EA"/>
    <w:rsid w:val="451B69DA"/>
    <w:rsid w:val="45385363"/>
    <w:rsid w:val="45385B9C"/>
    <w:rsid w:val="4545107A"/>
    <w:rsid w:val="45482758"/>
    <w:rsid w:val="4552724E"/>
    <w:rsid w:val="45535011"/>
    <w:rsid w:val="45765517"/>
    <w:rsid w:val="458946E9"/>
    <w:rsid w:val="45B13CAF"/>
    <w:rsid w:val="45BE6EBE"/>
    <w:rsid w:val="45C55AD7"/>
    <w:rsid w:val="45D147FE"/>
    <w:rsid w:val="45D65285"/>
    <w:rsid w:val="46191F15"/>
    <w:rsid w:val="466B4AD7"/>
    <w:rsid w:val="46701BA1"/>
    <w:rsid w:val="46802416"/>
    <w:rsid w:val="46C140A0"/>
    <w:rsid w:val="46C202E8"/>
    <w:rsid w:val="46C823CD"/>
    <w:rsid w:val="46D63D94"/>
    <w:rsid w:val="46D955A7"/>
    <w:rsid w:val="46E60E0B"/>
    <w:rsid w:val="46F920EB"/>
    <w:rsid w:val="47133957"/>
    <w:rsid w:val="47177374"/>
    <w:rsid w:val="472D60AA"/>
    <w:rsid w:val="47411B9B"/>
    <w:rsid w:val="475064D9"/>
    <w:rsid w:val="47660D18"/>
    <w:rsid w:val="4779329E"/>
    <w:rsid w:val="4792415F"/>
    <w:rsid w:val="47A07E0C"/>
    <w:rsid w:val="47BC6FFD"/>
    <w:rsid w:val="47C50446"/>
    <w:rsid w:val="47C6205A"/>
    <w:rsid w:val="47F22E14"/>
    <w:rsid w:val="47F866B8"/>
    <w:rsid w:val="48031447"/>
    <w:rsid w:val="480D7C89"/>
    <w:rsid w:val="48140818"/>
    <w:rsid w:val="48205CFE"/>
    <w:rsid w:val="486B55DF"/>
    <w:rsid w:val="486C0E54"/>
    <w:rsid w:val="4870272E"/>
    <w:rsid w:val="48816480"/>
    <w:rsid w:val="48901E74"/>
    <w:rsid w:val="48A252FE"/>
    <w:rsid w:val="48AD4B08"/>
    <w:rsid w:val="48B00D40"/>
    <w:rsid w:val="48B870E3"/>
    <w:rsid w:val="48F331AB"/>
    <w:rsid w:val="490177EE"/>
    <w:rsid w:val="4911104B"/>
    <w:rsid w:val="4912285A"/>
    <w:rsid w:val="491C626C"/>
    <w:rsid w:val="49296D45"/>
    <w:rsid w:val="492E3C77"/>
    <w:rsid w:val="494029CE"/>
    <w:rsid w:val="4966775F"/>
    <w:rsid w:val="496B24D0"/>
    <w:rsid w:val="496D4F07"/>
    <w:rsid w:val="49723CFD"/>
    <w:rsid w:val="498B2253"/>
    <w:rsid w:val="499F0DB5"/>
    <w:rsid w:val="49DC7715"/>
    <w:rsid w:val="49E6448F"/>
    <w:rsid w:val="49FC181A"/>
    <w:rsid w:val="4A023139"/>
    <w:rsid w:val="4A280204"/>
    <w:rsid w:val="4A3E412A"/>
    <w:rsid w:val="4A7B576F"/>
    <w:rsid w:val="4A95657B"/>
    <w:rsid w:val="4AAB5968"/>
    <w:rsid w:val="4AAC5537"/>
    <w:rsid w:val="4ABE1613"/>
    <w:rsid w:val="4ACA56B2"/>
    <w:rsid w:val="4B016416"/>
    <w:rsid w:val="4B62209A"/>
    <w:rsid w:val="4B681E28"/>
    <w:rsid w:val="4B952E6B"/>
    <w:rsid w:val="4BC845F3"/>
    <w:rsid w:val="4C1603E0"/>
    <w:rsid w:val="4C17152C"/>
    <w:rsid w:val="4C172E1B"/>
    <w:rsid w:val="4C1930A0"/>
    <w:rsid w:val="4C1F049D"/>
    <w:rsid w:val="4C37435E"/>
    <w:rsid w:val="4C4A0649"/>
    <w:rsid w:val="4C53438E"/>
    <w:rsid w:val="4C6707F9"/>
    <w:rsid w:val="4C7B10AA"/>
    <w:rsid w:val="4C8B627B"/>
    <w:rsid w:val="4C8C3872"/>
    <w:rsid w:val="4C9B7E6F"/>
    <w:rsid w:val="4CB400D3"/>
    <w:rsid w:val="4CC30FA7"/>
    <w:rsid w:val="4CE470D3"/>
    <w:rsid w:val="4CEC4311"/>
    <w:rsid w:val="4D3162DF"/>
    <w:rsid w:val="4D425940"/>
    <w:rsid w:val="4D4B6A9F"/>
    <w:rsid w:val="4D61529C"/>
    <w:rsid w:val="4DB67E2C"/>
    <w:rsid w:val="4DC02FC3"/>
    <w:rsid w:val="4DD80599"/>
    <w:rsid w:val="4DEC4FB0"/>
    <w:rsid w:val="4E03296E"/>
    <w:rsid w:val="4E075D8A"/>
    <w:rsid w:val="4E193BF2"/>
    <w:rsid w:val="4E1B58BB"/>
    <w:rsid w:val="4E1F24C4"/>
    <w:rsid w:val="4E1F4272"/>
    <w:rsid w:val="4E296E9F"/>
    <w:rsid w:val="4E2A50F1"/>
    <w:rsid w:val="4E3E29A9"/>
    <w:rsid w:val="4E4E2408"/>
    <w:rsid w:val="4E6F0D56"/>
    <w:rsid w:val="4E6F3F3D"/>
    <w:rsid w:val="4EAC6F54"/>
    <w:rsid w:val="4EC63499"/>
    <w:rsid w:val="4F3F67BA"/>
    <w:rsid w:val="4F4E3061"/>
    <w:rsid w:val="4F6E5EEA"/>
    <w:rsid w:val="4F7417D5"/>
    <w:rsid w:val="4F801DF4"/>
    <w:rsid w:val="4F99788D"/>
    <w:rsid w:val="4F9B5A06"/>
    <w:rsid w:val="4F9B6297"/>
    <w:rsid w:val="4FB13CC1"/>
    <w:rsid w:val="4FBA24A4"/>
    <w:rsid w:val="4FBA3848"/>
    <w:rsid w:val="4FBC2876"/>
    <w:rsid w:val="4FBF66F1"/>
    <w:rsid w:val="4FC62A8C"/>
    <w:rsid w:val="4FC774A8"/>
    <w:rsid w:val="4FE20F0D"/>
    <w:rsid w:val="5020391B"/>
    <w:rsid w:val="50450867"/>
    <w:rsid w:val="50504C4B"/>
    <w:rsid w:val="505B4739"/>
    <w:rsid w:val="50852693"/>
    <w:rsid w:val="509C2AD4"/>
    <w:rsid w:val="509C6E7C"/>
    <w:rsid w:val="50A40985"/>
    <w:rsid w:val="50A8054F"/>
    <w:rsid w:val="50E320EE"/>
    <w:rsid w:val="50F20C7E"/>
    <w:rsid w:val="511236BF"/>
    <w:rsid w:val="515A3F3F"/>
    <w:rsid w:val="5162104E"/>
    <w:rsid w:val="51646B6C"/>
    <w:rsid w:val="519531C9"/>
    <w:rsid w:val="51983D66"/>
    <w:rsid w:val="51990256"/>
    <w:rsid w:val="51B014ED"/>
    <w:rsid w:val="51EE6E89"/>
    <w:rsid w:val="5208323E"/>
    <w:rsid w:val="520A4540"/>
    <w:rsid w:val="520C130D"/>
    <w:rsid w:val="5217441C"/>
    <w:rsid w:val="521B275B"/>
    <w:rsid w:val="52287F9B"/>
    <w:rsid w:val="522B1438"/>
    <w:rsid w:val="523671C8"/>
    <w:rsid w:val="524644C3"/>
    <w:rsid w:val="524904A8"/>
    <w:rsid w:val="526E5ECA"/>
    <w:rsid w:val="52754C5D"/>
    <w:rsid w:val="527E3C5D"/>
    <w:rsid w:val="52840B88"/>
    <w:rsid w:val="52894437"/>
    <w:rsid w:val="52AF3E17"/>
    <w:rsid w:val="52B05894"/>
    <w:rsid w:val="52B400B8"/>
    <w:rsid w:val="52BA4CC2"/>
    <w:rsid w:val="52BE77B3"/>
    <w:rsid w:val="52CA29FF"/>
    <w:rsid w:val="52D32621"/>
    <w:rsid w:val="52DB10B0"/>
    <w:rsid w:val="52E87329"/>
    <w:rsid w:val="52F228DF"/>
    <w:rsid w:val="530E308D"/>
    <w:rsid w:val="53144E64"/>
    <w:rsid w:val="53236529"/>
    <w:rsid w:val="53336043"/>
    <w:rsid w:val="53466D73"/>
    <w:rsid w:val="534F55EA"/>
    <w:rsid w:val="535C0B74"/>
    <w:rsid w:val="535D1AC5"/>
    <w:rsid w:val="537F5F20"/>
    <w:rsid w:val="53856325"/>
    <w:rsid w:val="539E40EB"/>
    <w:rsid w:val="539E5CD6"/>
    <w:rsid w:val="53A039CC"/>
    <w:rsid w:val="53A1505A"/>
    <w:rsid w:val="53AA2830"/>
    <w:rsid w:val="53BA133E"/>
    <w:rsid w:val="53BB5C3B"/>
    <w:rsid w:val="53C24EA6"/>
    <w:rsid w:val="53C51418"/>
    <w:rsid w:val="53D97D6F"/>
    <w:rsid w:val="53DB685D"/>
    <w:rsid w:val="53E87E95"/>
    <w:rsid w:val="53F427CA"/>
    <w:rsid w:val="54063E08"/>
    <w:rsid w:val="54132291"/>
    <w:rsid w:val="54271911"/>
    <w:rsid w:val="543437E8"/>
    <w:rsid w:val="543C44AC"/>
    <w:rsid w:val="54492996"/>
    <w:rsid w:val="54656F77"/>
    <w:rsid w:val="54730D61"/>
    <w:rsid w:val="54A92AE8"/>
    <w:rsid w:val="54AB273B"/>
    <w:rsid w:val="54AC4E44"/>
    <w:rsid w:val="54CF6795"/>
    <w:rsid w:val="550A17D8"/>
    <w:rsid w:val="55414233"/>
    <w:rsid w:val="5543118E"/>
    <w:rsid w:val="555B2B3E"/>
    <w:rsid w:val="55651104"/>
    <w:rsid w:val="559225EB"/>
    <w:rsid w:val="559B174B"/>
    <w:rsid w:val="559E53A8"/>
    <w:rsid w:val="55B94FAC"/>
    <w:rsid w:val="55BF2853"/>
    <w:rsid w:val="55C41F93"/>
    <w:rsid w:val="55CE0CF4"/>
    <w:rsid w:val="55DB4F23"/>
    <w:rsid w:val="55DD038A"/>
    <w:rsid w:val="55DD6EED"/>
    <w:rsid w:val="55F84694"/>
    <w:rsid w:val="56336B0D"/>
    <w:rsid w:val="564256A8"/>
    <w:rsid w:val="564A5F34"/>
    <w:rsid w:val="56534474"/>
    <w:rsid w:val="56B22A9C"/>
    <w:rsid w:val="56BC2FA6"/>
    <w:rsid w:val="56FA762A"/>
    <w:rsid w:val="570513F7"/>
    <w:rsid w:val="57090A62"/>
    <w:rsid w:val="571B64DD"/>
    <w:rsid w:val="572C7C8D"/>
    <w:rsid w:val="57325016"/>
    <w:rsid w:val="57327A88"/>
    <w:rsid w:val="5738773E"/>
    <w:rsid w:val="573C40E7"/>
    <w:rsid w:val="57512487"/>
    <w:rsid w:val="57696EE6"/>
    <w:rsid w:val="579B3D40"/>
    <w:rsid w:val="57A5744C"/>
    <w:rsid w:val="57B72A76"/>
    <w:rsid w:val="57C670E2"/>
    <w:rsid w:val="57CF3265"/>
    <w:rsid w:val="57E571DE"/>
    <w:rsid w:val="58094E3C"/>
    <w:rsid w:val="5848061F"/>
    <w:rsid w:val="586B712A"/>
    <w:rsid w:val="587D6765"/>
    <w:rsid w:val="589504F4"/>
    <w:rsid w:val="589A10C5"/>
    <w:rsid w:val="58A67DD1"/>
    <w:rsid w:val="58A67F87"/>
    <w:rsid w:val="58CA74C5"/>
    <w:rsid w:val="58D8399B"/>
    <w:rsid w:val="58DC7907"/>
    <w:rsid w:val="58DF56AC"/>
    <w:rsid w:val="58E02CD6"/>
    <w:rsid w:val="58E327BE"/>
    <w:rsid w:val="58F743BA"/>
    <w:rsid w:val="58FF1E58"/>
    <w:rsid w:val="59046094"/>
    <w:rsid w:val="591140C3"/>
    <w:rsid w:val="592B7F6F"/>
    <w:rsid w:val="5947482F"/>
    <w:rsid w:val="597F36B6"/>
    <w:rsid w:val="598B1C60"/>
    <w:rsid w:val="59914E4A"/>
    <w:rsid w:val="59A6128D"/>
    <w:rsid w:val="59B651F0"/>
    <w:rsid w:val="59B937CD"/>
    <w:rsid w:val="59F6057D"/>
    <w:rsid w:val="5A0857CF"/>
    <w:rsid w:val="5A0C0D95"/>
    <w:rsid w:val="5A2E7D17"/>
    <w:rsid w:val="5A354C3A"/>
    <w:rsid w:val="5A3C747D"/>
    <w:rsid w:val="5A414BF1"/>
    <w:rsid w:val="5A517A4E"/>
    <w:rsid w:val="5A56101C"/>
    <w:rsid w:val="5A80337C"/>
    <w:rsid w:val="5A8E6A07"/>
    <w:rsid w:val="5A937687"/>
    <w:rsid w:val="5AA13369"/>
    <w:rsid w:val="5AA7456D"/>
    <w:rsid w:val="5AB01776"/>
    <w:rsid w:val="5ABE2233"/>
    <w:rsid w:val="5AD82E93"/>
    <w:rsid w:val="5AE06A77"/>
    <w:rsid w:val="5AEE2153"/>
    <w:rsid w:val="5AF32D0E"/>
    <w:rsid w:val="5AF6502D"/>
    <w:rsid w:val="5B2561DF"/>
    <w:rsid w:val="5B266C40"/>
    <w:rsid w:val="5B27555E"/>
    <w:rsid w:val="5B276D18"/>
    <w:rsid w:val="5B296730"/>
    <w:rsid w:val="5B4B2214"/>
    <w:rsid w:val="5B530396"/>
    <w:rsid w:val="5B7B4BA0"/>
    <w:rsid w:val="5B8322E4"/>
    <w:rsid w:val="5B9E5921"/>
    <w:rsid w:val="5BA109BC"/>
    <w:rsid w:val="5BA17E43"/>
    <w:rsid w:val="5BA8326C"/>
    <w:rsid w:val="5BAD213A"/>
    <w:rsid w:val="5BB35562"/>
    <w:rsid w:val="5BB823D4"/>
    <w:rsid w:val="5BD64622"/>
    <w:rsid w:val="5BDF5D95"/>
    <w:rsid w:val="5C0009AC"/>
    <w:rsid w:val="5C125480"/>
    <w:rsid w:val="5C1436A0"/>
    <w:rsid w:val="5C161CD2"/>
    <w:rsid w:val="5C186ED1"/>
    <w:rsid w:val="5C192C93"/>
    <w:rsid w:val="5C466736"/>
    <w:rsid w:val="5C626C2B"/>
    <w:rsid w:val="5C71213D"/>
    <w:rsid w:val="5CB07109"/>
    <w:rsid w:val="5CB307DB"/>
    <w:rsid w:val="5CCE30DB"/>
    <w:rsid w:val="5CD03307"/>
    <w:rsid w:val="5D064F7B"/>
    <w:rsid w:val="5D142F08"/>
    <w:rsid w:val="5D162744"/>
    <w:rsid w:val="5D3038FF"/>
    <w:rsid w:val="5D4E3D26"/>
    <w:rsid w:val="5D5C1D60"/>
    <w:rsid w:val="5D78775B"/>
    <w:rsid w:val="5D8774BB"/>
    <w:rsid w:val="5D8D67D9"/>
    <w:rsid w:val="5DA369D2"/>
    <w:rsid w:val="5DA65EFA"/>
    <w:rsid w:val="5DBF512A"/>
    <w:rsid w:val="5DD13A18"/>
    <w:rsid w:val="5DD26515"/>
    <w:rsid w:val="5DEC2D3B"/>
    <w:rsid w:val="5DEF1EB3"/>
    <w:rsid w:val="5DF23DD6"/>
    <w:rsid w:val="5DF67310"/>
    <w:rsid w:val="5DF87A0F"/>
    <w:rsid w:val="5DFE6777"/>
    <w:rsid w:val="5E13730C"/>
    <w:rsid w:val="5E3E4C2D"/>
    <w:rsid w:val="5E4B74CC"/>
    <w:rsid w:val="5E525F9E"/>
    <w:rsid w:val="5E687C70"/>
    <w:rsid w:val="5ECF3E31"/>
    <w:rsid w:val="5ED54C05"/>
    <w:rsid w:val="5EE67042"/>
    <w:rsid w:val="5F1A2B43"/>
    <w:rsid w:val="5F1E25EF"/>
    <w:rsid w:val="5F411581"/>
    <w:rsid w:val="5F52598B"/>
    <w:rsid w:val="5F5F1938"/>
    <w:rsid w:val="5F6B37BB"/>
    <w:rsid w:val="5F6E0BB6"/>
    <w:rsid w:val="5F750196"/>
    <w:rsid w:val="5F882426"/>
    <w:rsid w:val="5F8C3EEF"/>
    <w:rsid w:val="5FB837BB"/>
    <w:rsid w:val="5FC01AAC"/>
    <w:rsid w:val="5FF26C90"/>
    <w:rsid w:val="5FF63452"/>
    <w:rsid w:val="5FFC2665"/>
    <w:rsid w:val="6003562D"/>
    <w:rsid w:val="600D4072"/>
    <w:rsid w:val="601427B8"/>
    <w:rsid w:val="601A0617"/>
    <w:rsid w:val="604F3526"/>
    <w:rsid w:val="60531331"/>
    <w:rsid w:val="605B435E"/>
    <w:rsid w:val="60673E51"/>
    <w:rsid w:val="60681AA9"/>
    <w:rsid w:val="606D2C19"/>
    <w:rsid w:val="60711935"/>
    <w:rsid w:val="60724A56"/>
    <w:rsid w:val="607E2A31"/>
    <w:rsid w:val="6085490E"/>
    <w:rsid w:val="60925F84"/>
    <w:rsid w:val="60A70D54"/>
    <w:rsid w:val="60B57195"/>
    <w:rsid w:val="60B62814"/>
    <w:rsid w:val="60B85C28"/>
    <w:rsid w:val="60BD6A7A"/>
    <w:rsid w:val="60C94F37"/>
    <w:rsid w:val="60F2357F"/>
    <w:rsid w:val="60F844C9"/>
    <w:rsid w:val="61120392"/>
    <w:rsid w:val="611B3B25"/>
    <w:rsid w:val="6122664B"/>
    <w:rsid w:val="613E7236"/>
    <w:rsid w:val="613F73D5"/>
    <w:rsid w:val="6147287B"/>
    <w:rsid w:val="617F043C"/>
    <w:rsid w:val="618C757F"/>
    <w:rsid w:val="61905473"/>
    <w:rsid w:val="6198016C"/>
    <w:rsid w:val="61AC36FA"/>
    <w:rsid w:val="61AD20C2"/>
    <w:rsid w:val="61AF2558"/>
    <w:rsid w:val="61CC3C88"/>
    <w:rsid w:val="61CD250B"/>
    <w:rsid w:val="61E41603"/>
    <w:rsid w:val="61E73CCB"/>
    <w:rsid w:val="61F168F6"/>
    <w:rsid w:val="61F734FF"/>
    <w:rsid w:val="62225869"/>
    <w:rsid w:val="62257C51"/>
    <w:rsid w:val="62266E8B"/>
    <w:rsid w:val="6229476C"/>
    <w:rsid w:val="62315E8A"/>
    <w:rsid w:val="62364782"/>
    <w:rsid w:val="624B30B0"/>
    <w:rsid w:val="624C1DD7"/>
    <w:rsid w:val="6287090C"/>
    <w:rsid w:val="62976109"/>
    <w:rsid w:val="62B71699"/>
    <w:rsid w:val="62C95C4A"/>
    <w:rsid w:val="62D1763C"/>
    <w:rsid w:val="62F15D85"/>
    <w:rsid w:val="630A6E47"/>
    <w:rsid w:val="630F77B6"/>
    <w:rsid w:val="63145320"/>
    <w:rsid w:val="63152B80"/>
    <w:rsid w:val="632D146C"/>
    <w:rsid w:val="63461B81"/>
    <w:rsid w:val="63860BC4"/>
    <w:rsid w:val="638B46E2"/>
    <w:rsid w:val="63901A42"/>
    <w:rsid w:val="63A14DDA"/>
    <w:rsid w:val="63A941EF"/>
    <w:rsid w:val="63B1226D"/>
    <w:rsid w:val="63BB2093"/>
    <w:rsid w:val="63BC2837"/>
    <w:rsid w:val="63C27D52"/>
    <w:rsid w:val="63D40BE9"/>
    <w:rsid w:val="63E0211F"/>
    <w:rsid w:val="63E80F78"/>
    <w:rsid w:val="63EA24F1"/>
    <w:rsid w:val="63FD02BC"/>
    <w:rsid w:val="640302F6"/>
    <w:rsid w:val="641C2867"/>
    <w:rsid w:val="642A59F3"/>
    <w:rsid w:val="642E3827"/>
    <w:rsid w:val="64333354"/>
    <w:rsid w:val="644C25DC"/>
    <w:rsid w:val="645A4B51"/>
    <w:rsid w:val="64600DEC"/>
    <w:rsid w:val="6460175B"/>
    <w:rsid w:val="64754DD6"/>
    <w:rsid w:val="648A46E4"/>
    <w:rsid w:val="648B7BB6"/>
    <w:rsid w:val="649E083C"/>
    <w:rsid w:val="64A31301"/>
    <w:rsid w:val="64B01820"/>
    <w:rsid w:val="64BE613B"/>
    <w:rsid w:val="65130235"/>
    <w:rsid w:val="651746CD"/>
    <w:rsid w:val="65230BB9"/>
    <w:rsid w:val="6526534F"/>
    <w:rsid w:val="653359CE"/>
    <w:rsid w:val="65373578"/>
    <w:rsid w:val="655156DF"/>
    <w:rsid w:val="655B398A"/>
    <w:rsid w:val="655E1A15"/>
    <w:rsid w:val="65640162"/>
    <w:rsid w:val="65640F93"/>
    <w:rsid w:val="656C5B97"/>
    <w:rsid w:val="65867DB4"/>
    <w:rsid w:val="65A36D1C"/>
    <w:rsid w:val="65A83860"/>
    <w:rsid w:val="65AD68DC"/>
    <w:rsid w:val="65D77084"/>
    <w:rsid w:val="65EE0CA2"/>
    <w:rsid w:val="65F978E9"/>
    <w:rsid w:val="6600416A"/>
    <w:rsid w:val="664E629F"/>
    <w:rsid w:val="66634050"/>
    <w:rsid w:val="666C4B65"/>
    <w:rsid w:val="668564BC"/>
    <w:rsid w:val="66927A06"/>
    <w:rsid w:val="669F0140"/>
    <w:rsid w:val="66A4436F"/>
    <w:rsid w:val="66AE5459"/>
    <w:rsid w:val="66E81F39"/>
    <w:rsid w:val="66EA1469"/>
    <w:rsid w:val="66FC2F4B"/>
    <w:rsid w:val="671658BB"/>
    <w:rsid w:val="67201D84"/>
    <w:rsid w:val="6723497B"/>
    <w:rsid w:val="6726762B"/>
    <w:rsid w:val="672E19F4"/>
    <w:rsid w:val="67312BBD"/>
    <w:rsid w:val="67317098"/>
    <w:rsid w:val="673F2C7A"/>
    <w:rsid w:val="67492AE0"/>
    <w:rsid w:val="6753700F"/>
    <w:rsid w:val="67542490"/>
    <w:rsid w:val="676E5054"/>
    <w:rsid w:val="678A1ED0"/>
    <w:rsid w:val="67A3717C"/>
    <w:rsid w:val="67A4786A"/>
    <w:rsid w:val="67A657E3"/>
    <w:rsid w:val="67A94E81"/>
    <w:rsid w:val="67BA0E3C"/>
    <w:rsid w:val="67BA5A3A"/>
    <w:rsid w:val="67C92B46"/>
    <w:rsid w:val="67CD5013"/>
    <w:rsid w:val="67D40F92"/>
    <w:rsid w:val="67E2032F"/>
    <w:rsid w:val="67F10FEB"/>
    <w:rsid w:val="681F6961"/>
    <w:rsid w:val="68213928"/>
    <w:rsid w:val="682C4089"/>
    <w:rsid w:val="68440FB6"/>
    <w:rsid w:val="6846174B"/>
    <w:rsid w:val="68476448"/>
    <w:rsid w:val="68610A2F"/>
    <w:rsid w:val="687E1793"/>
    <w:rsid w:val="68805514"/>
    <w:rsid w:val="688E2417"/>
    <w:rsid w:val="68985AFA"/>
    <w:rsid w:val="689D36A0"/>
    <w:rsid w:val="68B27663"/>
    <w:rsid w:val="68D37C3F"/>
    <w:rsid w:val="68EC5C64"/>
    <w:rsid w:val="68EE3554"/>
    <w:rsid w:val="68EF2D67"/>
    <w:rsid w:val="68F77E6E"/>
    <w:rsid w:val="690757FD"/>
    <w:rsid w:val="69083DAC"/>
    <w:rsid w:val="69207F5F"/>
    <w:rsid w:val="692B4437"/>
    <w:rsid w:val="694109E6"/>
    <w:rsid w:val="694806C9"/>
    <w:rsid w:val="694E2071"/>
    <w:rsid w:val="69583F61"/>
    <w:rsid w:val="696C50F0"/>
    <w:rsid w:val="697033BA"/>
    <w:rsid w:val="697A3B33"/>
    <w:rsid w:val="699E2456"/>
    <w:rsid w:val="69B377A2"/>
    <w:rsid w:val="69BF47F8"/>
    <w:rsid w:val="69CA5F2E"/>
    <w:rsid w:val="69CB63AC"/>
    <w:rsid w:val="6A301889"/>
    <w:rsid w:val="6A3179FB"/>
    <w:rsid w:val="6A333127"/>
    <w:rsid w:val="6A3F437E"/>
    <w:rsid w:val="6A44056F"/>
    <w:rsid w:val="6A502AF1"/>
    <w:rsid w:val="6A5827AD"/>
    <w:rsid w:val="6A6034B6"/>
    <w:rsid w:val="6A626289"/>
    <w:rsid w:val="6A662197"/>
    <w:rsid w:val="6A6A2D76"/>
    <w:rsid w:val="6A8A2CD2"/>
    <w:rsid w:val="6A8B4631"/>
    <w:rsid w:val="6A9242F2"/>
    <w:rsid w:val="6A987ACE"/>
    <w:rsid w:val="6A99742E"/>
    <w:rsid w:val="6AA61B4B"/>
    <w:rsid w:val="6AA902FE"/>
    <w:rsid w:val="6AB360EA"/>
    <w:rsid w:val="6AC56475"/>
    <w:rsid w:val="6AC91945"/>
    <w:rsid w:val="6AEE6320"/>
    <w:rsid w:val="6AEF4B46"/>
    <w:rsid w:val="6B1158C1"/>
    <w:rsid w:val="6B235449"/>
    <w:rsid w:val="6B322639"/>
    <w:rsid w:val="6B725D7B"/>
    <w:rsid w:val="6B923E7E"/>
    <w:rsid w:val="6BB44ED4"/>
    <w:rsid w:val="6BD526E8"/>
    <w:rsid w:val="6BEC6D2D"/>
    <w:rsid w:val="6C272818"/>
    <w:rsid w:val="6C311874"/>
    <w:rsid w:val="6C636C38"/>
    <w:rsid w:val="6C822BFD"/>
    <w:rsid w:val="6CA05C89"/>
    <w:rsid w:val="6CC91D04"/>
    <w:rsid w:val="6CCB2AC6"/>
    <w:rsid w:val="6CE40709"/>
    <w:rsid w:val="6CE64481"/>
    <w:rsid w:val="6D001308"/>
    <w:rsid w:val="6D0D36D4"/>
    <w:rsid w:val="6D1B1D7C"/>
    <w:rsid w:val="6D1C7EA3"/>
    <w:rsid w:val="6D4549E6"/>
    <w:rsid w:val="6D4F42A6"/>
    <w:rsid w:val="6D5533B5"/>
    <w:rsid w:val="6D610FF4"/>
    <w:rsid w:val="6D68758C"/>
    <w:rsid w:val="6D7373DC"/>
    <w:rsid w:val="6D8F33F0"/>
    <w:rsid w:val="6D965EA7"/>
    <w:rsid w:val="6DAF6549"/>
    <w:rsid w:val="6DB34098"/>
    <w:rsid w:val="6DB545B6"/>
    <w:rsid w:val="6DB63F9C"/>
    <w:rsid w:val="6DC742B3"/>
    <w:rsid w:val="6DCD28C7"/>
    <w:rsid w:val="6DCE746D"/>
    <w:rsid w:val="6DEF6433"/>
    <w:rsid w:val="6E0628E0"/>
    <w:rsid w:val="6E0C7852"/>
    <w:rsid w:val="6E212636"/>
    <w:rsid w:val="6E241705"/>
    <w:rsid w:val="6E4375A0"/>
    <w:rsid w:val="6E514CED"/>
    <w:rsid w:val="6E6B2E90"/>
    <w:rsid w:val="6E711408"/>
    <w:rsid w:val="6E79491A"/>
    <w:rsid w:val="6E84591A"/>
    <w:rsid w:val="6EA21FB6"/>
    <w:rsid w:val="6EA939B8"/>
    <w:rsid w:val="6EAB5982"/>
    <w:rsid w:val="6EB563D5"/>
    <w:rsid w:val="6EC75B90"/>
    <w:rsid w:val="6EE95058"/>
    <w:rsid w:val="6EEC50A9"/>
    <w:rsid w:val="6F0070D8"/>
    <w:rsid w:val="6F225983"/>
    <w:rsid w:val="6F346779"/>
    <w:rsid w:val="6F4B1FB9"/>
    <w:rsid w:val="6F5307C0"/>
    <w:rsid w:val="6F70401F"/>
    <w:rsid w:val="6F8951DD"/>
    <w:rsid w:val="6FA26D85"/>
    <w:rsid w:val="6FD90E02"/>
    <w:rsid w:val="6FEC5674"/>
    <w:rsid w:val="6FED137C"/>
    <w:rsid w:val="6FFC5590"/>
    <w:rsid w:val="70062C74"/>
    <w:rsid w:val="701A100B"/>
    <w:rsid w:val="70301DA3"/>
    <w:rsid w:val="70386109"/>
    <w:rsid w:val="704020FA"/>
    <w:rsid w:val="704B7459"/>
    <w:rsid w:val="706D1DD0"/>
    <w:rsid w:val="70786110"/>
    <w:rsid w:val="70826EAE"/>
    <w:rsid w:val="70856B87"/>
    <w:rsid w:val="708B79CE"/>
    <w:rsid w:val="70967F6C"/>
    <w:rsid w:val="70A118E4"/>
    <w:rsid w:val="70D07922"/>
    <w:rsid w:val="70D527EE"/>
    <w:rsid w:val="70FF2F8F"/>
    <w:rsid w:val="71075B8E"/>
    <w:rsid w:val="71146718"/>
    <w:rsid w:val="71153587"/>
    <w:rsid w:val="711F62B3"/>
    <w:rsid w:val="714D2D21"/>
    <w:rsid w:val="715B5300"/>
    <w:rsid w:val="715F4BD7"/>
    <w:rsid w:val="716A5681"/>
    <w:rsid w:val="716D33C3"/>
    <w:rsid w:val="717A163C"/>
    <w:rsid w:val="719374FA"/>
    <w:rsid w:val="719426FE"/>
    <w:rsid w:val="71942DE0"/>
    <w:rsid w:val="71A0641D"/>
    <w:rsid w:val="71B7406C"/>
    <w:rsid w:val="71CF667C"/>
    <w:rsid w:val="71D27F8A"/>
    <w:rsid w:val="71E573FD"/>
    <w:rsid w:val="71F744C6"/>
    <w:rsid w:val="71F960CF"/>
    <w:rsid w:val="71FA3814"/>
    <w:rsid w:val="720D6117"/>
    <w:rsid w:val="7218332F"/>
    <w:rsid w:val="721D33B4"/>
    <w:rsid w:val="72201655"/>
    <w:rsid w:val="7252339E"/>
    <w:rsid w:val="7270245D"/>
    <w:rsid w:val="727067FE"/>
    <w:rsid w:val="72766AE8"/>
    <w:rsid w:val="727D7FFE"/>
    <w:rsid w:val="72837B34"/>
    <w:rsid w:val="728E2A0C"/>
    <w:rsid w:val="729566BF"/>
    <w:rsid w:val="729B614B"/>
    <w:rsid w:val="72AC68D1"/>
    <w:rsid w:val="72AF5315"/>
    <w:rsid w:val="72F773E8"/>
    <w:rsid w:val="731F5D5E"/>
    <w:rsid w:val="733D0C11"/>
    <w:rsid w:val="735E18C5"/>
    <w:rsid w:val="736858AF"/>
    <w:rsid w:val="736B1B84"/>
    <w:rsid w:val="73812C97"/>
    <w:rsid w:val="73A25805"/>
    <w:rsid w:val="73AE4625"/>
    <w:rsid w:val="73AF3ED7"/>
    <w:rsid w:val="73B10D33"/>
    <w:rsid w:val="73BD5C61"/>
    <w:rsid w:val="73C300B5"/>
    <w:rsid w:val="73CB5983"/>
    <w:rsid w:val="741E793C"/>
    <w:rsid w:val="742359C8"/>
    <w:rsid w:val="744D7FD2"/>
    <w:rsid w:val="745962A5"/>
    <w:rsid w:val="746D7D34"/>
    <w:rsid w:val="74745D74"/>
    <w:rsid w:val="74862CB5"/>
    <w:rsid w:val="749054CE"/>
    <w:rsid w:val="7497281D"/>
    <w:rsid w:val="74C62370"/>
    <w:rsid w:val="74D13C69"/>
    <w:rsid w:val="74E31AB7"/>
    <w:rsid w:val="74E474F8"/>
    <w:rsid w:val="74F12D84"/>
    <w:rsid w:val="74FD06B6"/>
    <w:rsid w:val="75061AC9"/>
    <w:rsid w:val="7507768A"/>
    <w:rsid w:val="750A679A"/>
    <w:rsid w:val="7518696C"/>
    <w:rsid w:val="751F6782"/>
    <w:rsid w:val="75510CEF"/>
    <w:rsid w:val="755A7479"/>
    <w:rsid w:val="755D780C"/>
    <w:rsid w:val="75630D65"/>
    <w:rsid w:val="75640268"/>
    <w:rsid w:val="758D75E2"/>
    <w:rsid w:val="759058D2"/>
    <w:rsid w:val="75B6190E"/>
    <w:rsid w:val="75B73335"/>
    <w:rsid w:val="75C24208"/>
    <w:rsid w:val="75F33DF9"/>
    <w:rsid w:val="75F461B7"/>
    <w:rsid w:val="76127D2C"/>
    <w:rsid w:val="76170914"/>
    <w:rsid w:val="76254258"/>
    <w:rsid w:val="762878B8"/>
    <w:rsid w:val="762B1157"/>
    <w:rsid w:val="763E0C3F"/>
    <w:rsid w:val="76417752"/>
    <w:rsid w:val="764D4987"/>
    <w:rsid w:val="765B7BA5"/>
    <w:rsid w:val="768674F2"/>
    <w:rsid w:val="768B5210"/>
    <w:rsid w:val="76B90687"/>
    <w:rsid w:val="76DD4F9D"/>
    <w:rsid w:val="76DE41F1"/>
    <w:rsid w:val="76EC20A9"/>
    <w:rsid w:val="76EE5700"/>
    <w:rsid w:val="76F35851"/>
    <w:rsid w:val="76F56BF7"/>
    <w:rsid w:val="76FB4FCD"/>
    <w:rsid w:val="77090102"/>
    <w:rsid w:val="77185B7F"/>
    <w:rsid w:val="771A3308"/>
    <w:rsid w:val="771C6CCF"/>
    <w:rsid w:val="773724A9"/>
    <w:rsid w:val="77462789"/>
    <w:rsid w:val="775E1652"/>
    <w:rsid w:val="77762421"/>
    <w:rsid w:val="77974CF6"/>
    <w:rsid w:val="779E1EC9"/>
    <w:rsid w:val="77A95B85"/>
    <w:rsid w:val="77AB69F3"/>
    <w:rsid w:val="77B85277"/>
    <w:rsid w:val="77C620FD"/>
    <w:rsid w:val="77EE0813"/>
    <w:rsid w:val="77F008AA"/>
    <w:rsid w:val="780060BD"/>
    <w:rsid w:val="780B1240"/>
    <w:rsid w:val="780F09F4"/>
    <w:rsid w:val="783C3AEF"/>
    <w:rsid w:val="78512C2B"/>
    <w:rsid w:val="78664144"/>
    <w:rsid w:val="788404BC"/>
    <w:rsid w:val="789C4F47"/>
    <w:rsid w:val="78A90480"/>
    <w:rsid w:val="78B64615"/>
    <w:rsid w:val="78CD2873"/>
    <w:rsid w:val="78D1064D"/>
    <w:rsid w:val="78D20353"/>
    <w:rsid w:val="78D9133E"/>
    <w:rsid w:val="78EC1457"/>
    <w:rsid w:val="790E039A"/>
    <w:rsid w:val="790E0FF2"/>
    <w:rsid w:val="7912390B"/>
    <w:rsid w:val="7921798A"/>
    <w:rsid w:val="792508EE"/>
    <w:rsid w:val="79286CE4"/>
    <w:rsid w:val="793B4BEA"/>
    <w:rsid w:val="79415D1A"/>
    <w:rsid w:val="794B56F7"/>
    <w:rsid w:val="794E7636"/>
    <w:rsid w:val="794F20E9"/>
    <w:rsid w:val="794F391C"/>
    <w:rsid w:val="79702623"/>
    <w:rsid w:val="79763162"/>
    <w:rsid w:val="79787CD6"/>
    <w:rsid w:val="797C1D3C"/>
    <w:rsid w:val="79811327"/>
    <w:rsid w:val="798464EF"/>
    <w:rsid w:val="79C57453"/>
    <w:rsid w:val="79C8172F"/>
    <w:rsid w:val="7A04063C"/>
    <w:rsid w:val="7A1C14E2"/>
    <w:rsid w:val="7A1E6CEA"/>
    <w:rsid w:val="7A364017"/>
    <w:rsid w:val="7A3E0998"/>
    <w:rsid w:val="7A4F3EBD"/>
    <w:rsid w:val="7A647695"/>
    <w:rsid w:val="7A8265E1"/>
    <w:rsid w:val="7A8A27C8"/>
    <w:rsid w:val="7AAD715B"/>
    <w:rsid w:val="7AAF05A8"/>
    <w:rsid w:val="7AB00BA7"/>
    <w:rsid w:val="7AB314B0"/>
    <w:rsid w:val="7AC0578A"/>
    <w:rsid w:val="7AC8166A"/>
    <w:rsid w:val="7AEE78AA"/>
    <w:rsid w:val="7AF67F85"/>
    <w:rsid w:val="7B1A46D0"/>
    <w:rsid w:val="7B29556A"/>
    <w:rsid w:val="7B340AAD"/>
    <w:rsid w:val="7B3E36DA"/>
    <w:rsid w:val="7B545B2F"/>
    <w:rsid w:val="7B562C46"/>
    <w:rsid w:val="7B686D42"/>
    <w:rsid w:val="7B841746"/>
    <w:rsid w:val="7B8F5EB1"/>
    <w:rsid w:val="7B944376"/>
    <w:rsid w:val="7BB265A2"/>
    <w:rsid w:val="7BB32DB4"/>
    <w:rsid w:val="7BB82DC6"/>
    <w:rsid w:val="7BD0191D"/>
    <w:rsid w:val="7BEC31E9"/>
    <w:rsid w:val="7BF545EA"/>
    <w:rsid w:val="7C3A78BD"/>
    <w:rsid w:val="7C4B2625"/>
    <w:rsid w:val="7C4E0559"/>
    <w:rsid w:val="7C606325"/>
    <w:rsid w:val="7C623ED3"/>
    <w:rsid w:val="7C684375"/>
    <w:rsid w:val="7C766D2D"/>
    <w:rsid w:val="7C893E5D"/>
    <w:rsid w:val="7C896BD7"/>
    <w:rsid w:val="7C9E2682"/>
    <w:rsid w:val="7C9F764E"/>
    <w:rsid w:val="7CA97FA9"/>
    <w:rsid w:val="7CC11F9B"/>
    <w:rsid w:val="7CC2297D"/>
    <w:rsid w:val="7CCA4595"/>
    <w:rsid w:val="7CCA5D6B"/>
    <w:rsid w:val="7CCE35F1"/>
    <w:rsid w:val="7CE111F7"/>
    <w:rsid w:val="7CE420E4"/>
    <w:rsid w:val="7CE44342"/>
    <w:rsid w:val="7D0239FF"/>
    <w:rsid w:val="7D112996"/>
    <w:rsid w:val="7D1F30F6"/>
    <w:rsid w:val="7D221505"/>
    <w:rsid w:val="7D250F9B"/>
    <w:rsid w:val="7D403F89"/>
    <w:rsid w:val="7D5E40CD"/>
    <w:rsid w:val="7D65005C"/>
    <w:rsid w:val="7D693BED"/>
    <w:rsid w:val="7D8306B2"/>
    <w:rsid w:val="7D865DAB"/>
    <w:rsid w:val="7D94511A"/>
    <w:rsid w:val="7D9C4AF6"/>
    <w:rsid w:val="7DAC0DCF"/>
    <w:rsid w:val="7DAC5273"/>
    <w:rsid w:val="7DAF3A78"/>
    <w:rsid w:val="7DB67696"/>
    <w:rsid w:val="7DC57527"/>
    <w:rsid w:val="7DC9002B"/>
    <w:rsid w:val="7DD86F02"/>
    <w:rsid w:val="7DDC0E2A"/>
    <w:rsid w:val="7DE01C8E"/>
    <w:rsid w:val="7DEB758C"/>
    <w:rsid w:val="7DEC566F"/>
    <w:rsid w:val="7DFE62B3"/>
    <w:rsid w:val="7E030D6F"/>
    <w:rsid w:val="7E0935CE"/>
    <w:rsid w:val="7E363E11"/>
    <w:rsid w:val="7E401975"/>
    <w:rsid w:val="7E4C6EBA"/>
    <w:rsid w:val="7E5A4BEE"/>
    <w:rsid w:val="7E677AC8"/>
    <w:rsid w:val="7E813BF9"/>
    <w:rsid w:val="7EC33788"/>
    <w:rsid w:val="7ED25BF7"/>
    <w:rsid w:val="7EE01E28"/>
    <w:rsid w:val="7EEE727B"/>
    <w:rsid w:val="7EEF6683"/>
    <w:rsid w:val="7EF46ED2"/>
    <w:rsid w:val="7EFC435E"/>
    <w:rsid w:val="7F0E1779"/>
    <w:rsid w:val="7F585B0D"/>
    <w:rsid w:val="7F6702C8"/>
    <w:rsid w:val="7F7A235A"/>
    <w:rsid w:val="7F804FE9"/>
    <w:rsid w:val="7F807712"/>
    <w:rsid w:val="7F8D1B23"/>
    <w:rsid w:val="7FA20C8F"/>
    <w:rsid w:val="7FA2692E"/>
    <w:rsid w:val="7FB855D1"/>
    <w:rsid w:val="7FCA077A"/>
    <w:rsid w:val="7FCF3FAE"/>
    <w:rsid w:val="7FDB15C0"/>
    <w:rsid w:val="7FDC257E"/>
    <w:rsid w:val="7FE47E50"/>
    <w:rsid w:val="7FF16F6D"/>
    <w:rsid w:val="7FF411DF"/>
    <w:rsid w:val="7FF802FC"/>
    <w:rsid w:val="7FF82358"/>
    <w:rsid w:val="7FF86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iPriority="99" w:semiHidden="0" w:name="index heading"/>
    <w:lsdException w:qFormat="1" w:unhideWhenUsed="0" w:uiPriority="0" w:semiHidden="0" w:name="caption" w:locked="1"/>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adjustRightInd w:val="0"/>
      <w:snapToGrid w:val="0"/>
      <w:spacing w:line="520" w:lineRule="exact"/>
      <w:outlineLvl w:val="1"/>
    </w:pPr>
    <w:rPr>
      <w:rFonts w:ascii="Times New Roman"/>
      <w:b/>
      <w:bCs/>
      <w:sz w:val="24"/>
      <w:szCs w:val="32"/>
    </w:rPr>
  </w:style>
  <w:style w:type="paragraph" w:styleId="4">
    <w:name w:val="heading 3"/>
    <w:basedOn w:val="1"/>
    <w:next w:val="5"/>
    <w:qFormat/>
    <w:locked/>
    <w:uiPriority w:val="0"/>
    <w:pPr>
      <w:keepNext/>
      <w:keepLines/>
      <w:spacing w:before="260" w:after="260" w:line="416" w:lineRule="auto"/>
      <w:outlineLvl w:val="2"/>
    </w:pPr>
    <w:rPr>
      <w:b/>
      <w:bCs/>
      <w:sz w:val="32"/>
      <w:szCs w:val="32"/>
    </w:rPr>
  </w:style>
  <w:style w:type="paragraph" w:styleId="8">
    <w:name w:val="heading 4"/>
    <w:basedOn w:val="1"/>
    <w:next w:val="1"/>
    <w:qFormat/>
    <w:locked/>
    <w:uiPriority w:val="1"/>
    <w:pPr>
      <w:ind w:left="989" w:hanging="635"/>
      <w:outlineLvl w:val="3"/>
    </w:pPr>
    <w:rPr>
      <w:rFonts w:ascii="宋体" w:hAnsi="宋体" w:eastAsia="宋体" w:cs="宋体"/>
      <w:b/>
      <w:bCs/>
      <w:sz w:val="28"/>
      <w:szCs w:val="28"/>
      <w:lang w:val="zh-CN" w:eastAsia="zh-CN" w:bidi="zh-CN"/>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customStyle="1" w:styleId="5">
    <w:name w:val="样式1"/>
    <w:basedOn w:val="6"/>
    <w:next w:val="1"/>
    <w:qFormat/>
    <w:uiPriority w:val="0"/>
    <w:pPr>
      <w:ind w:firstLine="510"/>
    </w:pPr>
    <w:rPr>
      <w:szCs w:val="20"/>
    </w:rPr>
  </w:style>
  <w:style w:type="paragraph" w:styleId="6">
    <w:name w:val="index heading"/>
    <w:basedOn w:val="1"/>
    <w:next w:val="7"/>
    <w:unhideWhenUsed/>
    <w:qFormat/>
    <w:uiPriority w:val="99"/>
    <w:rPr>
      <w:rFonts w:ascii="Cambria" w:hAnsi="Cambria" w:eastAsia="宋体" w:cs="Times New Roman"/>
      <w:b/>
      <w:bCs/>
      <w:spacing w:val="5"/>
      <w:sz w:val="25"/>
      <w:szCs w:val="25"/>
    </w:rPr>
  </w:style>
  <w:style w:type="paragraph" w:styleId="7">
    <w:name w:val="index 1"/>
    <w:basedOn w:val="1"/>
    <w:next w:val="1"/>
    <w:qFormat/>
    <w:uiPriority w:val="0"/>
  </w:style>
  <w:style w:type="paragraph" w:styleId="9">
    <w:name w:val="Normal Indent"/>
    <w:basedOn w:val="1"/>
    <w:qFormat/>
    <w:uiPriority w:val="0"/>
    <w:pPr>
      <w:ind w:firstLine="420" w:firstLineChars="200"/>
    </w:pPr>
  </w:style>
  <w:style w:type="paragraph" w:styleId="10">
    <w:name w:val="caption"/>
    <w:basedOn w:val="1"/>
    <w:next w:val="1"/>
    <w:qFormat/>
    <w:locked/>
    <w:uiPriority w:val="0"/>
    <w:pPr>
      <w:widowControl/>
      <w:tabs>
        <w:tab w:val="right" w:leader="middleDot" w:pos="8295"/>
      </w:tabs>
      <w:spacing w:line="360" w:lineRule="auto"/>
      <w:ind w:firstLine="480" w:firstLineChars="200"/>
    </w:pPr>
    <w:rPr>
      <w:rFonts w:ascii="Cambria" w:hAnsi="Cambria" w:eastAsia="黑体"/>
      <w:sz w:val="24"/>
    </w:rPr>
  </w:style>
  <w:style w:type="paragraph" w:styleId="11">
    <w:name w:val="annotation text"/>
    <w:basedOn w:val="1"/>
    <w:link w:val="52"/>
    <w:semiHidden/>
    <w:qFormat/>
    <w:uiPriority w:val="0"/>
    <w:pPr>
      <w:jc w:val="left"/>
    </w:pPr>
    <w:rPr>
      <w:kern w:val="0"/>
      <w:sz w:val="20"/>
    </w:rPr>
  </w:style>
  <w:style w:type="paragraph" w:styleId="12">
    <w:name w:val="Body Text"/>
    <w:basedOn w:val="1"/>
    <w:next w:val="13"/>
    <w:link w:val="53"/>
    <w:qFormat/>
    <w:uiPriority w:val="0"/>
    <w:pPr>
      <w:widowControl/>
      <w:snapToGrid w:val="0"/>
      <w:spacing w:before="60" w:after="160" w:line="259" w:lineRule="auto"/>
      <w:ind w:right="113"/>
    </w:pPr>
    <w:rPr>
      <w:kern w:val="0"/>
      <w:sz w:val="18"/>
      <w:szCs w:val="18"/>
    </w:rPr>
  </w:style>
  <w:style w:type="paragraph" w:customStyle="1" w:styleId="13">
    <w:name w:val="xl27"/>
    <w:basedOn w:val="1"/>
    <w:qFormat/>
    <w:uiPriority w:val="0"/>
    <w:pPr>
      <w:widowControl/>
      <w:pBdr>
        <w:bottom w:val="single" w:color="auto" w:sz="4" w:space="0"/>
        <w:right w:val="single" w:color="auto" w:sz="4" w:space="0"/>
      </w:pBdr>
      <w:spacing w:before="100" w:beforeAutospacing="1" w:after="100" w:afterAutospacing="1"/>
      <w:jc w:val="center"/>
    </w:pPr>
    <w:rPr>
      <w:rFonts w:eastAsia="Arial Unicode MS"/>
      <w:kern w:val="0"/>
      <w:szCs w:val="21"/>
    </w:rPr>
  </w:style>
  <w:style w:type="paragraph" w:styleId="14">
    <w:name w:val="Body Text Indent"/>
    <w:basedOn w:val="1"/>
    <w:link w:val="54"/>
    <w:semiHidden/>
    <w:qFormat/>
    <w:uiPriority w:val="0"/>
    <w:pPr>
      <w:spacing w:after="120"/>
      <w:ind w:left="420" w:leftChars="200"/>
    </w:pPr>
  </w:style>
  <w:style w:type="paragraph" w:styleId="15">
    <w:name w:val="List 2"/>
    <w:basedOn w:val="1"/>
    <w:qFormat/>
    <w:uiPriority w:val="99"/>
    <w:pPr>
      <w:ind w:left="100" w:leftChars="200" w:hanging="200" w:hangingChars="200"/>
    </w:pPr>
    <w:rPr>
      <w:rFonts w:ascii="Times New Roman"/>
      <w:spacing w:val="0"/>
      <w:sz w:val="21"/>
      <w:szCs w:val="24"/>
    </w:rPr>
  </w:style>
  <w:style w:type="paragraph" w:styleId="16">
    <w:name w:val="Block Text"/>
    <w:basedOn w:val="1"/>
    <w:qFormat/>
    <w:uiPriority w:val="99"/>
    <w:pPr>
      <w:ind w:left="-70" w:leftChars="-33" w:rightChars="-51"/>
      <w:jc w:val="center"/>
    </w:pPr>
    <w:rPr>
      <w:rFonts w:ascii="Arial" w:hAnsi="Arial"/>
      <w:sz w:val="24"/>
    </w:rPr>
  </w:style>
  <w:style w:type="paragraph" w:styleId="17">
    <w:name w:val="Plain Text"/>
    <w:basedOn w:val="1"/>
    <w:next w:val="18"/>
    <w:qFormat/>
    <w:uiPriority w:val="0"/>
    <w:rPr>
      <w:rFonts w:ascii="宋体" w:hAnsi="Courier New"/>
      <w:kern w:val="0"/>
    </w:rPr>
  </w:style>
  <w:style w:type="paragraph" w:customStyle="1" w:styleId="18">
    <w:name w:val="Default"/>
    <w:basedOn w:val="19"/>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9">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styleId="20">
    <w:name w:val="List Bullet 5"/>
    <w:basedOn w:val="1"/>
    <w:qFormat/>
    <w:uiPriority w:val="0"/>
    <w:pPr>
      <w:numPr>
        <w:ilvl w:val="0"/>
        <w:numId w:val="1"/>
      </w:numPr>
    </w:pPr>
  </w:style>
  <w:style w:type="paragraph" w:styleId="21">
    <w:name w:val="Date"/>
    <w:basedOn w:val="1"/>
    <w:next w:val="1"/>
    <w:link w:val="55"/>
    <w:qFormat/>
    <w:uiPriority w:val="0"/>
    <w:pPr>
      <w:ind w:left="100" w:leftChars="2500"/>
    </w:pPr>
    <w:rPr>
      <w:kern w:val="0"/>
      <w:sz w:val="20"/>
    </w:rPr>
  </w:style>
  <w:style w:type="paragraph" w:styleId="22">
    <w:name w:val="Body Text Indent 2"/>
    <w:basedOn w:val="1"/>
    <w:qFormat/>
    <w:uiPriority w:val="0"/>
    <w:pPr>
      <w:spacing w:line="500" w:lineRule="exact"/>
      <w:ind w:firstLine="556"/>
    </w:pPr>
    <w:rPr>
      <w:bCs/>
      <w:sz w:val="28"/>
    </w:rPr>
  </w:style>
  <w:style w:type="paragraph" w:styleId="23">
    <w:name w:val="Balloon Text"/>
    <w:basedOn w:val="1"/>
    <w:link w:val="56"/>
    <w:semiHidden/>
    <w:qFormat/>
    <w:uiPriority w:val="0"/>
    <w:rPr>
      <w:sz w:val="18"/>
      <w:szCs w:val="18"/>
    </w:rPr>
  </w:style>
  <w:style w:type="paragraph" w:styleId="24">
    <w:name w:val="footer"/>
    <w:basedOn w:val="1"/>
    <w:link w:val="57"/>
    <w:qFormat/>
    <w:uiPriority w:val="0"/>
    <w:pPr>
      <w:tabs>
        <w:tab w:val="center" w:pos="4153"/>
        <w:tab w:val="right" w:pos="8306"/>
      </w:tabs>
      <w:snapToGrid w:val="0"/>
      <w:jc w:val="left"/>
    </w:pPr>
    <w:rPr>
      <w:sz w:val="18"/>
      <w:szCs w:val="18"/>
    </w:rPr>
  </w:style>
  <w:style w:type="paragraph" w:styleId="25">
    <w:name w:val="header"/>
    <w:basedOn w:val="1"/>
    <w:next w:val="1"/>
    <w:link w:val="58"/>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locked/>
    <w:uiPriority w:val="0"/>
  </w:style>
  <w:style w:type="paragraph" w:styleId="27">
    <w:name w:val="List Number 5"/>
    <w:basedOn w:val="1"/>
    <w:qFormat/>
    <w:uiPriority w:val="0"/>
    <w:pPr>
      <w:numPr>
        <w:ilvl w:val="0"/>
        <w:numId w:val="2"/>
      </w:numPr>
    </w:pPr>
  </w:style>
  <w:style w:type="paragraph" w:styleId="28">
    <w:name w:val="List"/>
    <w:basedOn w:val="1"/>
    <w:qFormat/>
    <w:uiPriority w:val="0"/>
    <w:pPr>
      <w:spacing w:line="240" w:lineRule="exact"/>
      <w:ind w:firstLine="200" w:firstLineChars="200"/>
      <w:jc w:val="center"/>
    </w:pPr>
    <w:rPr>
      <w:rFonts w:ascii="Arial" w:hAnsi="Arial"/>
      <w:snapToGrid w:val="0"/>
      <w:kern w:val="0"/>
      <w:sz w:val="24"/>
    </w:rPr>
  </w:style>
  <w:style w:type="paragraph" w:styleId="29">
    <w:name w:val="Body Text Indent 3"/>
    <w:basedOn w:val="1"/>
    <w:qFormat/>
    <w:uiPriority w:val="0"/>
    <w:pPr>
      <w:spacing w:line="480" w:lineRule="exact"/>
      <w:ind w:firstLine="720" w:firstLineChars="300"/>
    </w:pPr>
    <w:rPr>
      <w:rFonts w:ascii="Times New Roman"/>
      <w:sz w:val="24"/>
      <w:szCs w:val="24"/>
    </w:rPr>
  </w:style>
  <w:style w:type="paragraph" w:styleId="30">
    <w:name w:val="table of figures"/>
    <w:basedOn w:val="1"/>
    <w:next w:val="1"/>
    <w:unhideWhenUsed/>
    <w:qFormat/>
    <w:uiPriority w:val="99"/>
    <w:pPr>
      <w:ind w:firstLine="390"/>
      <w:jc w:val="center"/>
    </w:pPr>
    <w:rPr>
      <w:b/>
      <w:bCs/>
      <w:spacing w:val="-8"/>
      <w:kern w:val="0"/>
      <w:sz w:val="21"/>
      <w:szCs w:val="21"/>
    </w:rPr>
  </w:style>
  <w:style w:type="paragraph" w:styleId="31">
    <w:name w:val="Body Text 2"/>
    <w:basedOn w:val="1"/>
    <w:qFormat/>
    <w:uiPriority w:val="0"/>
    <w:pPr>
      <w:jc w:val="center"/>
    </w:pPr>
  </w:style>
  <w:style w:type="paragraph" w:styleId="32">
    <w:name w:val="Normal (Web)"/>
    <w:basedOn w:val="1"/>
    <w:link w:val="59"/>
    <w:qFormat/>
    <w:uiPriority w:val="0"/>
    <w:pPr>
      <w:widowControl/>
      <w:spacing w:before="100" w:beforeAutospacing="1" w:after="100" w:afterAutospacing="1"/>
      <w:jc w:val="left"/>
    </w:pPr>
    <w:rPr>
      <w:rFonts w:ascii="宋体" w:hAnsi="宋体"/>
      <w:kern w:val="0"/>
      <w:sz w:val="24"/>
    </w:rPr>
  </w:style>
  <w:style w:type="paragraph" w:styleId="33">
    <w:name w:val="Title"/>
    <w:basedOn w:val="1"/>
    <w:next w:val="1"/>
    <w:qFormat/>
    <w:locked/>
    <w:uiPriority w:val="0"/>
    <w:pPr>
      <w:spacing w:before="240" w:after="60"/>
      <w:jc w:val="center"/>
      <w:outlineLvl w:val="0"/>
    </w:pPr>
    <w:rPr>
      <w:rFonts w:ascii="Cambria" w:hAnsi="Cambria"/>
      <w:b/>
      <w:bCs/>
      <w:sz w:val="32"/>
      <w:szCs w:val="32"/>
    </w:rPr>
  </w:style>
  <w:style w:type="paragraph" w:styleId="34">
    <w:name w:val="annotation subject"/>
    <w:basedOn w:val="11"/>
    <w:next w:val="1"/>
    <w:link w:val="60"/>
    <w:semiHidden/>
    <w:qFormat/>
    <w:uiPriority w:val="0"/>
    <w:rPr>
      <w:b/>
      <w:bCs/>
    </w:rPr>
  </w:style>
  <w:style w:type="paragraph" w:styleId="35">
    <w:name w:val="Body Text First Indent 2"/>
    <w:basedOn w:val="14"/>
    <w:next w:val="1"/>
    <w:qFormat/>
    <w:uiPriority w:val="0"/>
    <w:pPr>
      <w:ind w:firstLine="420" w:firstLineChars="200"/>
    </w:pPr>
    <w:rPr>
      <w:szCs w:val="20"/>
    </w:r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locked/>
    <w:uiPriority w:val="0"/>
    <w:rPr>
      <w:b/>
    </w:rPr>
  </w:style>
  <w:style w:type="character" w:styleId="40">
    <w:name w:val="page number"/>
    <w:basedOn w:val="38"/>
    <w:qFormat/>
    <w:uiPriority w:val="0"/>
  </w:style>
  <w:style w:type="character" w:styleId="41">
    <w:name w:val="Emphasis"/>
    <w:basedOn w:val="38"/>
    <w:qFormat/>
    <w:locked/>
    <w:uiPriority w:val="0"/>
    <w:rPr>
      <w:i/>
    </w:rPr>
  </w:style>
  <w:style w:type="character" w:styleId="42">
    <w:name w:val="Hyperlink"/>
    <w:basedOn w:val="38"/>
    <w:qFormat/>
    <w:uiPriority w:val="0"/>
    <w:rPr>
      <w:color w:val="0000FF"/>
      <w:u w:val="single"/>
    </w:rPr>
  </w:style>
  <w:style w:type="character" w:styleId="43">
    <w:name w:val="annotation reference"/>
    <w:basedOn w:val="38"/>
    <w:semiHidden/>
    <w:qFormat/>
    <w:uiPriority w:val="0"/>
    <w:rPr>
      <w:sz w:val="21"/>
    </w:rPr>
  </w:style>
  <w:style w:type="paragraph" w:customStyle="1" w:styleId="44">
    <w:name w:val="无间隔1"/>
    <w:qFormat/>
    <w:uiPriority w:val="99"/>
    <w:pPr>
      <w:widowControl w:val="0"/>
    </w:pPr>
    <w:rPr>
      <w:rFonts w:ascii="Times New Roman" w:hAnsi="Times New Roman" w:eastAsia="仿宋_GB2312" w:cs="Times New Roman"/>
      <w:kern w:val="2"/>
      <w:sz w:val="28"/>
      <w:szCs w:val="21"/>
      <w:lang w:val="en-US" w:eastAsia="zh-CN" w:bidi="ar-SA"/>
    </w:rPr>
  </w:style>
  <w:style w:type="paragraph" w:customStyle="1" w:styleId="45">
    <w:name w:val="表格内"/>
    <w:basedOn w:val="1"/>
    <w:qFormat/>
    <w:uiPriority w:val="0"/>
    <w:pPr>
      <w:widowControl/>
      <w:adjustRightInd w:val="0"/>
      <w:snapToGrid w:val="0"/>
      <w:spacing w:after="200" w:line="360" w:lineRule="exact"/>
      <w:jc w:val="center"/>
    </w:pPr>
    <w:rPr>
      <w:rFonts w:eastAsia="微软雅黑"/>
      <w:kern w:val="0"/>
      <w:sz w:val="22"/>
      <w:szCs w:val="22"/>
    </w:rPr>
  </w:style>
  <w:style w:type="paragraph" w:customStyle="1" w:styleId="46">
    <w:name w:val="默认段落"/>
    <w:basedOn w:val="1"/>
    <w:qFormat/>
    <w:uiPriority w:val="0"/>
  </w:style>
  <w:style w:type="paragraph" w:customStyle="1" w:styleId="47">
    <w:name w:val="Char"/>
    <w:basedOn w:val="1"/>
    <w:next w:val="1"/>
    <w:qFormat/>
    <w:uiPriority w:val="0"/>
    <w:rPr>
      <w:rFonts w:ascii="Arial" w:hAnsi="Arial" w:eastAsia="黑体"/>
      <w:b/>
      <w:kern w:val="2"/>
      <w:sz w:val="28"/>
      <w:lang w:val="en-US" w:eastAsia="zh-CN"/>
    </w:rPr>
  </w:style>
  <w:style w:type="paragraph" w:customStyle="1" w:styleId="48">
    <w:name w:val="纯文本1"/>
    <w:basedOn w:val="1"/>
    <w:qFormat/>
    <w:uiPriority w:val="99"/>
    <w:pPr>
      <w:autoSpaceDE w:val="0"/>
      <w:autoSpaceDN w:val="0"/>
      <w:adjustRightInd w:val="0"/>
      <w:textAlignment w:val="baseline"/>
    </w:pPr>
    <w:rPr>
      <w:rFonts w:ascii="宋体"/>
      <w:szCs w:val="20"/>
    </w:rPr>
  </w:style>
  <w:style w:type="paragraph" w:customStyle="1" w:styleId="49">
    <w:name w:val="Char Char Char Char Char Char Char Char Char1 Char"/>
    <w:basedOn w:val="1"/>
    <w:next w:val="50"/>
    <w:qFormat/>
    <w:uiPriority w:val="0"/>
    <w:pPr>
      <w:spacing w:line="360" w:lineRule="auto"/>
      <w:ind w:firstLine="200" w:firstLineChars="200"/>
    </w:pPr>
    <w:rPr>
      <w:rFonts w:hAnsi="ˎ̥" w:cs="ˎ̥"/>
      <w:spacing w:val="0"/>
      <w:sz w:val="24"/>
      <w:szCs w:val="24"/>
    </w:rPr>
  </w:style>
  <w:style w:type="paragraph" w:customStyle="1" w:styleId="50">
    <w:name w:val="Body Text First Indent1"/>
    <w:basedOn w:val="12"/>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51">
    <w:name w:val="4-正文"/>
    <w:basedOn w:val="1"/>
    <w:qFormat/>
    <w:uiPriority w:val="0"/>
    <w:pPr>
      <w:adjustRightInd w:val="0"/>
      <w:snapToGrid w:val="0"/>
      <w:ind w:firstLine="200"/>
    </w:pPr>
    <w:rPr>
      <w:rFonts w:ascii="仿宋_GB2312" w:eastAsia="仿宋_GB2312"/>
      <w:sz w:val="30"/>
      <w:szCs w:val="30"/>
    </w:rPr>
  </w:style>
  <w:style w:type="character" w:customStyle="1" w:styleId="52">
    <w:name w:val="Comment Text Char"/>
    <w:link w:val="11"/>
    <w:qFormat/>
    <w:locked/>
    <w:uiPriority w:val="0"/>
    <w:rPr>
      <w:rFonts w:ascii="Times New Roman" w:hAnsi="Times New Roman" w:eastAsia="宋体"/>
      <w:sz w:val="24"/>
    </w:rPr>
  </w:style>
  <w:style w:type="character" w:customStyle="1" w:styleId="53">
    <w:name w:val="Body Text Char"/>
    <w:link w:val="12"/>
    <w:qFormat/>
    <w:locked/>
    <w:uiPriority w:val="0"/>
    <w:rPr>
      <w:sz w:val="18"/>
    </w:rPr>
  </w:style>
  <w:style w:type="character" w:customStyle="1" w:styleId="54">
    <w:name w:val="Body Text Indent Char"/>
    <w:basedOn w:val="38"/>
    <w:link w:val="14"/>
    <w:semiHidden/>
    <w:qFormat/>
    <w:locked/>
    <w:uiPriority w:val="0"/>
    <w:rPr>
      <w:rFonts w:ascii="Times New Roman" w:hAnsi="Times New Roman" w:eastAsia="宋体" w:cs="Times New Roman"/>
      <w:sz w:val="24"/>
      <w:szCs w:val="24"/>
    </w:rPr>
  </w:style>
  <w:style w:type="character" w:customStyle="1" w:styleId="55">
    <w:name w:val="Date Char"/>
    <w:link w:val="21"/>
    <w:qFormat/>
    <w:locked/>
    <w:uiPriority w:val="0"/>
    <w:rPr>
      <w:rFonts w:ascii="Times New Roman" w:hAnsi="Times New Roman" w:eastAsia="宋体"/>
      <w:sz w:val="24"/>
    </w:rPr>
  </w:style>
  <w:style w:type="character" w:customStyle="1" w:styleId="56">
    <w:name w:val="Balloon Text Char"/>
    <w:basedOn w:val="38"/>
    <w:link w:val="23"/>
    <w:semiHidden/>
    <w:qFormat/>
    <w:locked/>
    <w:uiPriority w:val="0"/>
    <w:rPr>
      <w:rFonts w:ascii="Times New Roman" w:hAnsi="Times New Roman" w:eastAsia="宋体" w:cs="Times New Roman"/>
      <w:sz w:val="18"/>
      <w:szCs w:val="18"/>
    </w:rPr>
  </w:style>
  <w:style w:type="character" w:customStyle="1" w:styleId="57">
    <w:name w:val="Footer Char"/>
    <w:basedOn w:val="38"/>
    <w:link w:val="24"/>
    <w:qFormat/>
    <w:locked/>
    <w:uiPriority w:val="0"/>
    <w:rPr>
      <w:rFonts w:cs="Times New Roman"/>
      <w:sz w:val="18"/>
      <w:szCs w:val="18"/>
    </w:rPr>
  </w:style>
  <w:style w:type="character" w:customStyle="1" w:styleId="58">
    <w:name w:val="Header Char"/>
    <w:basedOn w:val="38"/>
    <w:link w:val="25"/>
    <w:qFormat/>
    <w:locked/>
    <w:uiPriority w:val="0"/>
    <w:rPr>
      <w:rFonts w:cs="Times New Roman"/>
      <w:sz w:val="18"/>
      <w:szCs w:val="18"/>
    </w:rPr>
  </w:style>
  <w:style w:type="character" w:customStyle="1" w:styleId="59">
    <w:name w:val="Normal (Web) Char"/>
    <w:link w:val="32"/>
    <w:qFormat/>
    <w:locked/>
    <w:uiPriority w:val="0"/>
    <w:rPr>
      <w:rFonts w:ascii="宋体" w:hAnsi="宋体" w:eastAsia="宋体"/>
      <w:sz w:val="24"/>
    </w:rPr>
  </w:style>
  <w:style w:type="character" w:customStyle="1" w:styleId="60">
    <w:name w:val="Comment Subject Char"/>
    <w:basedOn w:val="52"/>
    <w:link w:val="34"/>
    <w:semiHidden/>
    <w:qFormat/>
    <w:locked/>
    <w:uiPriority w:val="0"/>
    <w:rPr>
      <w:rFonts w:cs="Times New Roman"/>
      <w:b/>
      <w:bCs/>
      <w:kern w:val="2"/>
      <w:szCs w:val="24"/>
    </w:rPr>
  </w:style>
  <w:style w:type="paragraph" w:customStyle="1" w:styleId="61">
    <w:name w:val="SSEC 正文"/>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paragraph" w:customStyle="1" w:styleId="62">
    <w:name w:val="报告书-表体（左对齐）小五"/>
    <w:basedOn w:val="63"/>
    <w:next w:val="65"/>
    <w:qFormat/>
    <w:uiPriority w:val="0"/>
    <w:pPr>
      <w:tabs>
        <w:tab w:val="left" w:pos="2760"/>
      </w:tabs>
    </w:pPr>
    <w:rPr>
      <w:sz w:val="18"/>
      <w:szCs w:val="18"/>
      <w:lang w:val="en-US" w:eastAsia="zh-CN"/>
    </w:rPr>
  </w:style>
  <w:style w:type="paragraph" w:customStyle="1" w:styleId="63">
    <w:name w:val="报告书-表体（左对齐）"/>
    <w:basedOn w:val="64"/>
    <w:qFormat/>
    <w:uiPriority w:val="0"/>
    <w:pPr>
      <w:tabs>
        <w:tab w:val="left" w:pos="2760"/>
      </w:tabs>
      <w:textAlignment w:val="baseline"/>
    </w:pPr>
    <w:rPr>
      <w:szCs w:val="21"/>
    </w:rPr>
  </w:style>
  <w:style w:type="paragraph" w:customStyle="1" w:styleId="64">
    <w:name w:val="报告书-表体（居中）"/>
    <w:basedOn w:val="1"/>
    <w:qFormat/>
    <w:uiPriority w:val="0"/>
    <w:pPr>
      <w:tabs>
        <w:tab w:val="left" w:pos="2760"/>
      </w:tabs>
      <w:adjustRightInd w:val="0"/>
      <w:snapToGrid w:val="0"/>
      <w:spacing w:line="260" w:lineRule="exact"/>
      <w:jc w:val="center"/>
      <w:textAlignment w:val="center"/>
    </w:pPr>
    <w:rPr>
      <w:snapToGrid w:val="0"/>
      <w:kern w:val="0"/>
      <w:szCs w:val="28"/>
    </w:rPr>
  </w:style>
  <w:style w:type="paragraph" w:customStyle="1" w:styleId="65">
    <w:name w:val="表格内容"/>
    <w:basedOn w:val="66"/>
    <w:qFormat/>
    <w:uiPriority w:val="6"/>
    <w:pPr>
      <w:widowControl/>
      <w:spacing w:line="280" w:lineRule="atLeast"/>
      <w:ind w:firstLine="0" w:firstLineChars="0"/>
      <w:jc w:val="center"/>
    </w:pPr>
    <w:rPr>
      <w:rFonts w:ascii="Times New Roman" w:hAnsi="Times New Roman" w:eastAsia="宋体" w:cs="Times New Roman"/>
      <w:kern w:val="0"/>
      <w:sz w:val="21"/>
      <w:szCs w:val="21"/>
    </w:rPr>
  </w:style>
  <w:style w:type="paragraph" w:customStyle="1" w:styleId="66">
    <w:name w:val="WW-正文缩进"/>
    <w:basedOn w:val="1"/>
    <w:semiHidden/>
    <w:qFormat/>
    <w:uiPriority w:val="0"/>
    <w:pPr>
      <w:ind w:firstLine="420" w:firstLineChars="200"/>
    </w:pPr>
    <w:rPr>
      <w:kern w:val="0"/>
      <w:sz w:val="28"/>
      <w:szCs w:val="20"/>
    </w:rPr>
  </w:style>
  <w:style w:type="paragraph" w:customStyle="1" w:styleId="67">
    <w:name w:val="文本"/>
    <w:basedOn w:val="14"/>
    <w:qFormat/>
    <w:uiPriority w:val="0"/>
    <w:pPr>
      <w:adjustRightInd w:val="0"/>
      <w:snapToGrid w:val="0"/>
      <w:spacing w:line="520" w:lineRule="exact"/>
      <w:ind w:firstLine="200" w:firstLineChars="200"/>
    </w:pPr>
    <w:rPr>
      <w:rFonts w:ascii="宋体" w:eastAsia="仿宋_GB2312"/>
      <w:sz w:val="24"/>
      <w:szCs w:val="24"/>
    </w:rPr>
  </w:style>
  <w:style w:type="paragraph" w:customStyle="1" w:styleId="68">
    <w:name w:val="报告正文 + 首行缩进:  2 字符 Char"/>
    <w:basedOn w:val="1"/>
    <w:qFormat/>
    <w:uiPriority w:val="0"/>
    <w:pPr>
      <w:spacing w:line="360" w:lineRule="auto"/>
      <w:ind w:firstLine="578" w:firstLineChars="200"/>
    </w:pPr>
    <w:rPr>
      <w:rFonts w:ascii="Times New Roman" w:hAnsi="Times New Roman" w:eastAsia="宋体"/>
      <w:bCs/>
      <w:sz w:val="24"/>
    </w:rPr>
  </w:style>
  <w:style w:type="paragraph" w:customStyle="1" w:styleId="69">
    <w:name w:val="正文首行缩进 21"/>
    <w:basedOn w:val="14"/>
    <w:qFormat/>
    <w:uiPriority w:val="0"/>
    <w:pPr>
      <w:ind w:firstLine="420" w:firstLineChars="200"/>
    </w:pPr>
  </w:style>
  <w:style w:type="character" w:customStyle="1" w:styleId="70">
    <w:name w:val="表格 Char"/>
    <w:link w:val="71"/>
    <w:qFormat/>
    <w:locked/>
    <w:uiPriority w:val="0"/>
    <w:rPr>
      <w:rFonts w:ascii="宋体"/>
      <w:sz w:val="21"/>
    </w:rPr>
  </w:style>
  <w:style w:type="paragraph" w:customStyle="1" w:styleId="71">
    <w:name w:val="表格"/>
    <w:basedOn w:val="28"/>
    <w:next w:val="1"/>
    <w:link w:val="70"/>
    <w:qFormat/>
    <w:uiPriority w:val="0"/>
    <w:pPr>
      <w:adjustRightInd w:val="0"/>
      <w:snapToGrid w:val="0"/>
      <w:spacing w:beforeLines="10" w:afterLines="10" w:line="259" w:lineRule="auto"/>
      <w:jc w:val="center"/>
    </w:pPr>
    <w:rPr>
      <w:rFonts w:ascii="宋体"/>
      <w:kern w:val="0"/>
      <w:sz w:val="20"/>
      <w:szCs w:val="21"/>
    </w:rPr>
  </w:style>
  <w:style w:type="character" w:customStyle="1" w:styleId="72">
    <w:name w:val="日期 字符"/>
    <w:basedOn w:val="38"/>
    <w:semiHidden/>
    <w:qFormat/>
    <w:uiPriority w:val="0"/>
    <w:rPr>
      <w:rFonts w:ascii="Times New Roman" w:hAnsi="Times New Roman" w:eastAsia="宋体" w:cs="Times New Roman"/>
      <w:sz w:val="24"/>
      <w:szCs w:val="24"/>
    </w:rPr>
  </w:style>
  <w:style w:type="character" w:customStyle="1" w:styleId="73">
    <w:name w:val="font21"/>
    <w:qFormat/>
    <w:uiPriority w:val="0"/>
    <w:rPr>
      <w:rFonts w:hint="eastAsia" w:ascii="宋体" w:hAnsi="宋体" w:eastAsia="宋体" w:cs="宋体"/>
      <w:color w:val="000000"/>
      <w:sz w:val="18"/>
      <w:szCs w:val="18"/>
      <w:u w:val="none"/>
    </w:rPr>
  </w:style>
  <w:style w:type="character" w:customStyle="1" w:styleId="74">
    <w:name w:val="批注文字 字符1"/>
    <w:basedOn w:val="38"/>
    <w:semiHidden/>
    <w:qFormat/>
    <w:uiPriority w:val="0"/>
    <w:rPr>
      <w:rFonts w:ascii="Times New Roman" w:hAnsi="Times New Roman" w:eastAsia="宋体" w:cs="Times New Roman"/>
      <w:sz w:val="24"/>
      <w:szCs w:val="24"/>
    </w:rPr>
  </w:style>
  <w:style w:type="character" w:customStyle="1" w:styleId="75">
    <w:name w:val="普通(网站) Char"/>
    <w:qFormat/>
    <w:locked/>
    <w:uiPriority w:val="0"/>
    <w:rPr>
      <w:rFonts w:ascii="宋体" w:hAnsi="宋体" w:eastAsia="宋体"/>
      <w:sz w:val="24"/>
    </w:rPr>
  </w:style>
  <w:style w:type="character" w:customStyle="1" w:styleId="76">
    <w:name w:val="font11"/>
    <w:basedOn w:val="38"/>
    <w:qFormat/>
    <w:uiPriority w:val="0"/>
    <w:rPr>
      <w:rFonts w:hint="default" w:ascii="Times New Roman" w:hAnsi="Times New Roman" w:cs="Times New Roman"/>
      <w:color w:val="000000"/>
      <w:sz w:val="18"/>
      <w:szCs w:val="18"/>
      <w:u w:val="none"/>
    </w:rPr>
  </w:style>
  <w:style w:type="character" w:customStyle="1" w:styleId="77">
    <w:name w:val="正文文本 字符1"/>
    <w:basedOn w:val="38"/>
    <w:semiHidden/>
    <w:qFormat/>
    <w:uiPriority w:val="0"/>
    <w:rPr>
      <w:rFonts w:ascii="Times New Roman" w:hAnsi="Times New Roman" w:eastAsia="宋体" w:cs="Times New Roman"/>
      <w:sz w:val="24"/>
      <w:szCs w:val="24"/>
    </w:rPr>
  </w:style>
  <w:style w:type="paragraph" w:customStyle="1" w:styleId="78">
    <w:name w:val="正文(首行缩进)"/>
    <w:basedOn w:val="1"/>
    <w:next w:val="1"/>
    <w:qFormat/>
    <w:uiPriority w:val="0"/>
    <w:pPr>
      <w:widowControl/>
      <w:spacing w:line="360" w:lineRule="auto"/>
      <w:ind w:firstLine="540" w:firstLineChars="225"/>
      <w:jc w:val="left"/>
    </w:pPr>
    <w:rPr>
      <w:color w:val="000000"/>
      <w:kern w:val="0"/>
      <w:sz w:val="24"/>
      <w:szCs w:val="24"/>
    </w:rPr>
  </w:style>
  <w:style w:type="paragraph" w:customStyle="1" w:styleId="79">
    <w:name w:val="表、图名"/>
    <w:basedOn w:val="1"/>
    <w:qFormat/>
    <w:uiPriority w:val="0"/>
    <w:pPr>
      <w:adjustRightInd w:val="0"/>
      <w:snapToGrid w:val="0"/>
      <w:ind w:left="-6"/>
      <w:jc w:val="center"/>
    </w:pPr>
    <w:rPr>
      <w:rFonts w:ascii="黑体" w:hAnsi="宋体" w:eastAsia="黑体"/>
      <w:b/>
      <w:kern w:val="0"/>
      <w:sz w:val="24"/>
      <w:szCs w:val="24"/>
    </w:rPr>
  </w:style>
  <w:style w:type="paragraph" w:customStyle="1" w:styleId="80">
    <w:name w:val="图表标题"/>
    <w:basedOn w:val="1"/>
    <w:qFormat/>
    <w:uiPriority w:val="0"/>
    <w:pPr>
      <w:widowControl/>
      <w:spacing w:line="360" w:lineRule="auto"/>
      <w:ind w:left="-7" w:leftChars="-7" w:hanging="15" w:hangingChars="7"/>
      <w:jc w:val="center"/>
    </w:pPr>
    <w:rPr>
      <w:rFonts w:ascii="宋体" w:hAnsi="宋体"/>
      <w:b/>
      <w:spacing w:val="4"/>
    </w:rPr>
  </w:style>
  <w:style w:type="paragraph" w:customStyle="1" w:styleId="81">
    <w:name w:val="表内容       .."/>
    <w:basedOn w:val="1"/>
    <w:qFormat/>
    <w:uiPriority w:val="0"/>
    <w:pPr>
      <w:adjustRightInd w:val="0"/>
      <w:snapToGrid w:val="0"/>
      <w:spacing w:line="240" w:lineRule="exact"/>
      <w:ind w:right="-31" w:rightChars="-15"/>
      <w:jc w:val="center"/>
      <w:outlineLvl w:val="3"/>
    </w:pPr>
    <w:rPr>
      <w:sz w:val="18"/>
      <w:szCs w:val="18"/>
    </w:rPr>
  </w:style>
  <w:style w:type="paragraph" w:customStyle="1" w:styleId="82">
    <w:name w:val="00.正文格式"/>
    <w:basedOn w:val="9"/>
    <w:qFormat/>
    <w:uiPriority w:val="0"/>
    <w:pPr>
      <w:widowControl/>
      <w:spacing w:line="360" w:lineRule="auto"/>
      <w:ind w:firstLine="200"/>
      <w:jc w:val="left"/>
    </w:pPr>
    <w:rPr>
      <w:rFonts w:hAnsi="宋体"/>
      <w:color w:val="000000"/>
      <w:kern w:val="0"/>
      <w:sz w:val="24"/>
      <w:szCs w:val="24"/>
    </w:rPr>
  </w:style>
  <w:style w:type="paragraph" w:customStyle="1" w:styleId="83">
    <w:name w:val="！正文"/>
    <w:basedOn w:val="1"/>
    <w:qFormat/>
    <w:uiPriority w:val="0"/>
    <w:pPr>
      <w:spacing w:line="360" w:lineRule="auto"/>
      <w:ind w:firstLine="643" w:firstLineChars="200"/>
    </w:pPr>
    <w:rPr>
      <w:rFonts w:ascii="Times New Roman" w:hAnsi="Times New Roman" w:eastAsia="Times New Roman" w:cs="Times New Roman"/>
      <w:kern w:val="0"/>
      <w:sz w:val="24"/>
    </w:rPr>
  </w:style>
  <w:style w:type="paragraph" w:customStyle="1" w:styleId="84">
    <w:name w:val="图表名称1"/>
    <w:basedOn w:val="1"/>
    <w:qFormat/>
    <w:uiPriority w:val="0"/>
    <w:pPr>
      <w:adjustRightInd w:val="0"/>
      <w:snapToGrid w:val="0"/>
      <w:spacing w:line="520" w:lineRule="exact"/>
      <w:jc w:val="center"/>
    </w:pPr>
    <w:rPr>
      <w:rFonts w:ascii="宋体" w:hAnsi="宋体" w:cs="宋体"/>
      <w:b/>
      <w:bCs/>
      <w:kern w:val="21"/>
      <w:sz w:val="24"/>
    </w:rPr>
  </w:style>
  <w:style w:type="paragraph" w:customStyle="1" w:styleId="85">
    <w:name w:val="表头"/>
    <w:basedOn w:val="86"/>
    <w:next w:val="1"/>
    <w:qFormat/>
    <w:uiPriority w:val="0"/>
    <w:pPr>
      <w:spacing w:before="156" w:beforeLines="50"/>
      <w:ind w:firstLine="602" w:firstLineChars="250"/>
      <w:jc w:val="both"/>
    </w:pPr>
    <w:rPr>
      <w:rFonts w:ascii="黑体" w:hAnsi="黑体" w:eastAsia="黑体" w:cs="Times New Roman"/>
      <w:b/>
      <w:snapToGrid w:val="0"/>
      <w:sz w:val="24"/>
      <w:szCs w:val="24"/>
      <w:lang w:val="en-US" w:eastAsia="zh-CN" w:bidi="ar-SA"/>
    </w:rPr>
  </w:style>
  <w:style w:type="paragraph" w:customStyle="1" w:styleId="86">
    <w:name w:val="报告正文"/>
    <w:basedOn w:val="1"/>
    <w:qFormat/>
    <w:uiPriority w:val="0"/>
    <w:pPr>
      <w:snapToGrid w:val="0"/>
      <w:ind w:firstLine="200"/>
    </w:pPr>
    <w:rPr>
      <w:szCs w:val="28"/>
    </w:rPr>
  </w:style>
  <w:style w:type="paragraph" w:customStyle="1" w:styleId="87">
    <w:name w:val="报告书正文"/>
    <w:basedOn w:val="17"/>
    <w:qFormat/>
    <w:uiPriority w:val="0"/>
    <w:pPr>
      <w:widowControl/>
      <w:spacing w:line="360" w:lineRule="auto"/>
      <w:ind w:firstLine="480" w:firstLineChars="200"/>
      <w:jc w:val="both"/>
    </w:pPr>
    <w:rPr>
      <w:rFonts w:ascii="Times New Roman" w:hAnsi="Times New Roman" w:cs="Times New Roman"/>
      <w:sz w:val="24"/>
      <w:szCs w:val="21"/>
    </w:rPr>
  </w:style>
  <w:style w:type="paragraph" w:customStyle="1" w:styleId="88">
    <w:name w:val="报告表正文"/>
    <w:basedOn w:val="87"/>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8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0">
    <w:name w:val="Table Paragraph"/>
    <w:basedOn w:val="1"/>
    <w:qFormat/>
    <w:uiPriority w:val="1"/>
    <w:rPr>
      <w:rFonts w:ascii="宋体" w:hAnsi="宋体" w:eastAsia="宋体" w:cs="宋体"/>
      <w:lang w:val="zh-CN" w:eastAsia="zh-CN" w:bidi="zh-CN"/>
    </w:rPr>
  </w:style>
  <w:style w:type="paragraph" w:customStyle="1" w:styleId="91">
    <w:name w:val="ZM 表内格式"/>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paragraph" w:customStyle="1" w:styleId="92">
    <w:name w:val="STC 正文"/>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2"/>
      <w:lang w:val="en-US" w:eastAsia="zh-CN" w:bidi="ar-SA"/>
    </w:rPr>
  </w:style>
  <w:style w:type="paragraph" w:customStyle="1" w:styleId="93">
    <w:name w:val="正文-首行缩进"/>
    <w:basedOn w:val="1"/>
    <w:qFormat/>
    <w:uiPriority w:val="0"/>
    <w:pPr>
      <w:adjustRightInd w:val="0"/>
      <w:snapToGrid w:val="0"/>
      <w:spacing w:line="360" w:lineRule="auto"/>
      <w:ind w:firstLine="200" w:firstLineChars="200"/>
    </w:pPr>
    <w:rPr>
      <w:rFonts w:ascii="宋体" w:hAnsi="宋体" w:eastAsia="宋体"/>
      <w:bCs/>
      <w:szCs w:val="25"/>
    </w:rPr>
  </w:style>
  <w:style w:type="paragraph" w:customStyle="1" w:styleId="94">
    <w:name w:val="表格2"/>
    <w:qFormat/>
    <w:uiPriority w:val="0"/>
    <w:pPr>
      <w:spacing w:line="400" w:lineRule="exact"/>
      <w:jc w:val="center"/>
    </w:pPr>
    <w:rPr>
      <w:rFonts w:ascii="Times New Roman" w:hAnsi="Times New Roman" w:eastAsia="宋体" w:cs="Times New Roman"/>
      <w:sz w:val="21"/>
      <w:lang w:val="en-US" w:eastAsia="zh-CN" w:bidi="ar-SA"/>
    </w:rPr>
  </w:style>
  <w:style w:type="paragraph" w:customStyle="1" w:styleId="95">
    <w:name w:val="STC 表格"/>
    <w:basedOn w:val="1"/>
    <w:qFormat/>
    <w:uiPriority w:val="0"/>
    <w:pPr>
      <w:widowControl w:val="0"/>
      <w:adjustRightInd w:val="0"/>
      <w:snapToGrid w:val="0"/>
      <w:jc w:val="center"/>
      <w:textAlignment w:val="center"/>
    </w:pPr>
    <w:rPr>
      <w:rFonts w:cs="Times New Roman"/>
      <w:kern w:val="2"/>
      <w:szCs w:val="20"/>
    </w:rPr>
  </w:style>
  <w:style w:type="table" w:customStyle="1" w:styleId="96">
    <w:name w:val="Table Normal"/>
    <w:unhideWhenUsed/>
    <w:qFormat/>
    <w:uiPriority w:val="0"/>
    <w:tblPr>
      <w:tblCellMar>
        <w:top w:w="0" w:type="dxa"/>
        <w:left w:w="0" w:type="dxa"/>
        <w:bottom w:w="0" w:type="dxa"/>
        <w:right w:w="0" w:type="dxa"/>
      </w:tblCellMar>
    </w:tblPr>
  </w:style>
  <w:style w:type="paragraph" w:customStyle="1" w:styleId="97">
    <w:name w:val="正文格式"/>
    <w:next w:val="98"/>
    <w:qFormat/>
    <w:uiPriority w:val="0"/>
    <w:pPr>
      <w:adjustRightInd w:val="0"/>
      <w:snapToGrid w:val="0"/>
      <w:spacing w:line="360" w:lineRule="auto"/>
      <w:ind w:firstLine="560"/>
    </w:pPr>
    <w:rPr>
      <w:rFonts w:ascii="Times New Roman" w:hAnsi="Times New Roman" w:eastAsia="宋体" w:cs="Times New Roman"/>
      <w:color w:val="000000"/>
      <w:lang w:val="zh-CN" w:eastAsia="zh-CN"/>
    </w:rPr>
  </w:style>
  <w:style w:type="paragraph" w:customStyle="1" w:styleId="98">
    <w:name w:val="_Style 5"/>
    <w:basedOn w:val="1"/>
    <w:qFormat/>
    <w:uiPriority w:val="0"/>
    <w:pPr>
      <w:ind w:firstLine="420"/>
    </w:pPr>
    <w:rPr>
      <w:rFonts w:ascii="Calibri" w:hAnsi="Calibri"/>
      <w:szCs w:val="22"/>
    </w:rPr>
  </w:style>
  <w:style w:type="paragraph" w:customStyle="1" w:styleId="99">
    <w:name w:val="WPSOffice手动目录 1"/>
    <w:qFormat/>
    <w:uiPriority w:val="0"/>
    <w:pPr>
      <w:ind w:leftChars="0"/>
    </w:pPr>
    <w:rPr>
      <w:rFonts w:ascii="Times New Roman" w:hAnsi="Times New Roman" w:eastAsia="宋体" w:cs="Times New Roman"/>
      <w:sz w:val="20"/>
      <w:szCs w:val="20"/>
    </w:rPr>
  </w:style>
  <w:style w:type="paragraph" w:customStyle="1" w:styleId="100">
    <w:name w:val="wyc-四级"/>
    <w:basedOn w:val="101"/>
    <w:qFormat/>
    <w:uiPriority w:val="0"/>
    <w:pPr>
      <w:ind w:firstLine="0" w:firstLineChars="0"/>
      <w:outlineLvl w:val="3"/>
    </w:pPr>
    <w:rPr>
      <w:rFonts w:eastAsia="宋体"/>
      <w:b w:val="0"/>
      <w:sz w:val="28"/>
      <w:szCs w:val="28"/>
    </w:rPr>
  </w:style>
  <w:style w:type="paragraph" w:customStyle="1" w:styleId="101">
    <w:name w:val="wyc-正文"/>
    <w:basedOn w:val="1"/>
    <w:qFormat/>
    <w:uiPriority w:val="0"/>
    <w:rPr>
      <w:rFonts w:ascii="Times New Roman" w:hAnsi="Times New Roman"/>
      <w:b/>
      <w:szCs w:val="24"/>
    </w:rPr>
  </w:style>
  <w:style w:type="paragraph" w:customStyle="1" w:styleId="102">
    <w:name w:val="L表内容       .."/>
    <w:basedOn w:val="1"/>
    <w:qFormat/>
    <w:uiPriority w:val="0"/>
    <w:pPr>
      <w:adjustRightInd w:val="0"/>
      <w:snapToGrid w:val="0"/>
      <w:spacing w:line="280" w:lineRule="exact"/>
      <w:jc w:val="center"/>
      <w:textAlignment w:val="baseline"/>
    </w:pPr>
    <w:rPr>
      <w:szCs w:val="18"/>
    </w:rPr>
  </w:style>
  <w:style w:type="paragraph" w:customStyle="1" w:styleId="103">
    <w:name w:val="MEL正文*"/>
    <w:basedOn w:val="1"/>
    <w:qFormat/>
    <w:uiPriority w:val="0"/>
    <w:pPr>
      <w:widowControl w:val="0"/>
      <w:spacing w:line="500" w:lineRule="exact"/>
      <w:ind w:firstLine="200" w:firstLineChars="200"/>
      <w:jc w:val="both"/>
    </w:pPr>
    <w:rPr>
      <w:rFonts w:ascii="宋体" w:hAnsi="宋体"/>
    </w:rPr>
  </w:style>
  <w:style w:type="paragraph" w:customStyle="1" w:styleId="104">
    <w:name w:val="标题4"/>
    <w:basedOn w:val="1"/>
    <w:qFormat/>
    <w:uiPriority w:val="0"/>
    <w:pPr>
      <w:keepLines/>
      <w:adjustRightInd w:val="0"/>
      <w:snapToGrid w:val="0"/>
      <w:spacing w:line="360" w:lineRule="auto"/>
      <w:outlineLvl w:val="3"/>
    </w:pPr>
    <w:rPr>
      <w:rFonts w:ascii="Times New Roman" w:hAnsi="Times New Roman" w:cs="Times New Roman"/>
      <w:b/>
      <w:szCs w:val="22"/>
    </w:rPr>
  </w:style>
  <w:style w:type="paragraph" w:customStyle="1" w:styleId="105">
    <w:name w:val="LSJ正文"/>
    <w:basedOn w:val="9"/>
    <w:qFormat/>
    <w:uiPriority w:val="0"/>
    <w:pPr>
      <w:widowControl/>
      <w:spacing w:line="360" w:lineRule="auto"/>
      <w:ind w:firstLine="480"/>
      <w:jc w:val="left"/>
    </w:pPr>
    <w:rPr>
      <w:color w:val="000000"/>
      <w:kern w:val="0"/>
      <w:sz w:val="24"/>
    </w:rPr>
  </w:style>
  <w:style w:type="paragraph" w:customStyle="1" w:styleId="106">
    <w:name w:val="样式 表内容 + 行距: 固定值 28 磅"/>
    <w:basedOn w:val="107"/>
    <w:qFormat/>
    <w:uiPriority w:val="0"/>
    <w:pPr>
      <w:spacing w:line="240" w:lineRule="auto"/>
    </w:pPr>
    <w:rPr>
      <w:rFonts w:cs="宋体"/>
      <w:szCs w:val="20"/>
    </w:rPr>
  </w:style>
  <w:style w:type="paragraph" w:customStyle="1" w:styleId="107">
    <w:name w:val="表内容"/>
    <w:basedOn w:val="108"/>
    <w:qFormat/>
    <w:uiPriority w:val="0"/>
    <w:pPr>
      <w:jc w:val="center"/>
    </w:pPr>
    <w:rPr>
      <w:rFonts w:ascii="宋体" w:hAnsi="宋体" w:eastAsia="宋体"/>
      <w:kern w:val="2"/>
      <w:sz w:val="21"/>
      <w:lang w:val="en-US" w:eastAsia="zh-CN" w:bidi="ar-SA"/>
    </w:rPr>
  </w:style>
  <w:style w:type="paragraph" w:customStyle="1" w:styleId="108">
    <w:name w:val="我的表格"/>
    <w:basedOn w:val="1"/>
    <w:qFormat/>
    <w:uiPriority w:val="0"/>
    <w:pPr>
      <w:adjustRightInd w:val="0"/>
      <w:spacing w:line="280" w:lineRule="exact"/>
      <w:jc w:val="center"/>
      <w:textAlignment w:val="baseline"/>
    </w:pPr>
    <w:rPr>
      <w:rFonts w:ascii="Times New Roman" w:hAnsi="Times New Roman" w:eastAsia="宋体"/>
      <w:sz w:val="21"/>
    </w:rPr>
  </w:style>
  <w:style w:type="paragraph" w:customStyle="1" w:styleId="109">
    <w:name w:val="表内文字"/>
    <w:basedOn w:val="110"/>
    <w:qFormat/>
    <w:uiPriority w:val="0"/>
    <w:pPr>
      <w:adjustRightInd w:val="0"/>
      <w:jc w:val="center"/>
    </w:pPr>
    <w:rPr>
      <w:rFonts w:ascii="宋体" w:cs="宋体"/>
      <w:szCs w:val="24"/>
    </w:rPr>
  </w:style>
  <w:style w:type="paragraph" w:customStyle="1" w:styleId="110">
    <w:name w:val="表内"/>
    <w:basedOn w:val="15"/>
    <w:qFormat/>
    <w:uiPriority w:val="99"/>
    <w:pPr>
      <w:widowControl/>
      <w:ind w:left="0" w:leftChars="0" w:firstLine="0" w:firstLineChars="0"/>
      <w:jc w:val="center"/>
    </w:pPr>
    <w:rPr>
      <w:rFonts w:ascii="宋体"/>
      <w:bCs/>
      <w:color w:val="000000"/>
      <w:szCs w:val="21"/>
    </w:rPr>
  </w:style>
  <w:style w:type="paragraph" w:customStyle="1" w:styleId="111">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12">
    <w:name w:val="图格式"/>
    <w:basedOn w:val="67"/>
    <w:qFormat/>
    <w:uiPriority w:val="0"/>
    <w:pPr>
      <w:spacing w:line="240" w:lineRule="auto"/>
      <w:ind w:firstLine="0" w:firstLineChars="0"/>
      <w:jc w:val="center"/>
    </w:pPr>
    <w:rPr>
      <w:rFonts w:hAnsi="宋体"/>
    </w:rPr>
  </w:style>
  <w:style w:type="paragraph" w:customStyle="1" w:styleId="113">
    <w:name w:val="样式 居中"/>
    <w:basedOn w:val="1"/>
    <w:qFormat/>
    <w:uiPriority w:val="0"/>
    <w:pPr>
      <w:adjustRightInd w:val="0"/>
      <w:snapToGrid w:val="0"/>
      <w:ind w:left="-9" w:leftChars="-12" w:hanging="16"/>
      <w:jc w:val="center"/>
    </w:pPr>
    <w:rPr>
      <w:rFonts w:ascii="宋体" w:hAnsi="宋体" w:cs="宋体"/>
      <w:szCs w:val="21"/>
    </w:rPr>
  </w:style>
  <w:style w:type="paragraph" w:customStyle="1" w:styleId="114">
    <w:name w:val="2"/>
    <w:basedOn w:val="1"/>
    <w:next w:val="29"/>
    <w:qFormat/>
    <w:uiPriority w:val="0"/>
    <w:pPr>
      <w:ind w:firstLine="527" w:firstLineChars="200"/>
    </w:pPr>
    <w:rPr>
      <w:spacing w:val="5"/>
    </w:rPr>
  </w:style>
  <w:style w:type="paragraph" w:customStyle="1" w:styleId="115">
    <w:name w:val="wyc正文"/>
    <w:basedOn w:val="1"/>
    <w:qFormat/>
    <w:uiPriority w:val="0"/>
    <w:pPr>
      <w:adjustRightInd w:val="0"/>
      <w:ind w:firstLine="480"/>
    </w:pPr>
    <w:rPr>
      <w:rFonts w:ascii="Times New Roman" w:hAnsi="Times New Roman" w:eastAsia="宋体"/>
      <w:bCs/>
      <w:szCs w:val="20"/>
    </w:rPr>
  </w:style>
  <w:style w:type="paragraph" w:customStyle="1" w:styleId="116">
    <w:name w:val="YJ正文*"/>
    <w:basedOn w:val="1"/>
    <w:qFormat/>
    <w:uiPriority w:val="0"/>
    <w:pPr>
      <w:spacing w:line="500" w:lineRule="exact"/>
      <w:ind w:firstLine="200" w:firstLineChars="200"/>
    </w:pPr>
    <w:rPr>
      <w:rFonts w:ascii="宋体" w:hAnsi="宋体"/>
      <w:kern w:val="0"/>
      <w:sz w:val="24"/>
      <w:szCs w:val="24"/>
    </w:rPr>
  </w:style>
  <w:style w:type="paragraph" w:customStyle="1" w:styleId="117">
    <w:name w:val="wyc-表头"/>
    <w:basedOn w:val="1"/>
    <w:qFormat/>
    <w:uiPriority w:val="0"/>
    <w:pPr>
      <w:spacing w:line="240" w:lineRule="auto"/>
      <w:ind w:firstLine="0" w:firstLineChars="0"/>
      <w:jc w:val="center"/>
    </w:pPr>
    <w:rPr>
      <w:rFonts w:ascii="Times New Roman" w:hAnsi="Times New Roman" w:eastAsia="宋体"/>
      <w:b/>
      <w:bCs/>
      <w:color w:val="000000"/>
      <w:szCs w:val="24"/>
    </w:rPr>
  </w:style>
  <w:style w:type="paragraph" w:customStyle="1" w:styleId="118">
    <w:name w:val="wyc-表文字"/>
    <w:basedOn w:val="117"/>
    <w:qFormat/>
    <w:uiPriority w:val="0"/>
    <w:pPr>
      <w:snapToGrid w:val="0"/>
    </w:pPr>
    <w:rPr>
      <w:b w:val="0"/>
      <w:bCs w:val="0"/>
      <w:sz w:val="21"/>
      <w:szCs w:val="21"/>
    </w:rPr>
  </w:style>
  <w:style w:type="paragraph" w:customStyle="1" w:styleId="119">
    <w:name w:val="L表名"/>
    <w:basedOn w:val="1"/>
    <w:qFormat/>
    <w:uiPriority w:val="0"/>
    <w:pPr>
      <w:adjustRightInd w:val="0"/>
      <w:snapToGrid w:val="0"/>
      <w:spacing w:before="240" w:after="120"/>
      <w:jc w:val="center"/>
    </w:pPr>
    <w:rPr>
      <w:rFonts w:eastAsia="黑体"/>
      <w:snapToGrid w:val="0"/>
    </w:rPr>
  </w:style>
  <w:style w:type="character" w:customStyle="1" w:styleId="120">
    <w:name w:val="图表名 Char"/>
    <w:link w:val="121"/>
    <w:qFormat/>
    <w:uiPriority w:val="0"/>
    <w:rPr>
      <w:rFonts w:ascii="Times New Roman" w:hAnsi="Times New Roman" w:eastAsia="宋体"/>
      <w:b/>
      <w:color w:val="000000"/>
      <w:sz w:val="21"/>
      <w:lang w:val="zh-CN"/>
    </w:rPr>
  </w:style>
  <w:style w:type="paragraph" w:customStyle="1" w:styleId="121">
    <w:name w:val="图表名"/>
    <w:basedOn w:val="1"/>
    <w:next w:val="1"/>
    <w:link w:val="120"/>
    <w:qFormat/>
    <w:uiPriority w:val="0"/>
    <w:pPr>
      <w:adjustRightInd w:val="0"/>
      <w:snapToGrid w:val="0"/>
      <w:spacing w:before="25" w:beforeLines="25" w:after="25" w:afterLines="25" w:line="240" w:lineRule="auto"/>
      <w:ind w:firstLine="0" w:firstLineChars="0"/>
      <w:jc w:val="center"/>
    </w:pPr>
    <w:rPr>
      <w:rFonts w:ascii="Times New Roman" w:hAnsi="Times New Roman" w:eastAsia="宋体"/>
      <w:b/>
      <w:color w:val="000000"/>
      <w:sz w:val="21"/>
      <w:lang w:val="zh-CN"/>
    </w:rPr>
  </w:style>
  <w:style w:type="paragraph" w:customStyle="1" w:styleId="122">
    <w:name w:val="MEL表字-书"/>
    <w:basedOn w:val="1"/>
    <w:qFormat/>
    <w:uiPriority w:val="0"/>
    <w:pPr>
      <w:widowControl w:val="0"/>
      <w:spacing w:line="300" w:lineRule="exact"/>
      <w:jc w:val="center"/>
    </w:pPr>
    <w:rPr>
      <w:rFonts w:ascii="宋体" w:hAnsi="宋体"/>
      <w:sz w:val="21"/>
      <w:szCs w:val="21"/>
    </w:rPr>
  </w:style>
  <w:style w:type="paragraph" w:customStyle="1" w:styleId="123">
    <w:name w:val="C表格"/>
    <w:next w:val="124"/>
    <w:qFormat/>
    <w:uiPriority w:val="0"/>
    <w:pPr>
      <w:keepNext w:val="0"/>
      <w:keepLines w:val="0"/>
      <w:widowControl w:val="0"/>
      <w:suppressLineNumbers w:val="0"/>
      <w:spacing w:before="0" w:beforeAutospacing="0" w:after="0" w:afterAutospacing="0"/>
      <w:ind w:left="0" w:right="0"/>
      <w:jc w:val="center"/>
    </w:pPr>
    <w:rPr>
      <w:rFonts w:hint="eastAsia" w:ascii="宋体" w:hAnsi="宋体" w:eastAsia="宋体" w:cs="Times New Roman"/>
      <w:kern w:val="0"/>
      <w:sz w:val="21"/>
      <w:szCs w:val="21"/>
      <w:lang w:val="en-US" w:eastAsia="zh-CN" w:bidi="ar"/>
    </w:rPr>
  </w:style>
  <w:style w:type="paragraph" w:customStyle="1" w:styleId="124">
    <w:name w:val="A正文*"/>
    <w:qFormat/>
    <w:uiPriority w:val="0"/>
    <w:pPr>
      <w:widowControl w:val="0"/>
      <w:spacing w:line="360" w:lineRule="auto"/>
      <w:ind w:firstLine="200" w:firstLineChars="200"/>
      <w:jc w:val="both"/>
    </w:pPr>
    <w:rPr>
      <w:rFonts w:ascii="宋体" w:hAnsi="宋体" w:eastAsia="宋体" w:cs="Times New Roman"/>
      <w:kern w:val="2"/>
      <w:sz w:val="24"/>
      <w:szCs w:val="24"/>
      <w:lang w:val="en-US" w:eastAsia="zh-CN" w:bidi="ar-SA"/>
    </w:rPr>
  </w:style>
  <w:style w:type="paragraph" w:customStyle="1" w:styleId="125">
    <w:name w:val="B表头1"/>
    <w:basedOn w:val="1"/>
    <w:qFormat/>
    <w:uiPriority w:val="0"/>
    <w:pPr>
      <w:spacing w:line="360" w:lineRule="auto"/>
      <w:jc w:val="center"/>
    </w:pPr>
    <w:rPr>
      <w:rFonts w:ascii="Times New Roman" w:hAnsi="Times New Roman" w:eastAsia="宋体" w:cs="Times New Roman"/>
      <w:b/>
      <w:kern w:val="0"/>
      <w:lang w:val="zh-CN"/>
    </w:rPr>
  </w:style>
  <w:style w:type="paragraph" w:customStyle="1" w:styleId="126">
    <w:name w:val="0图表名"/>
    <w:basedOn w:val="1"/>
    <w:qFormat/>
    <w:uiPriority w:val="0"/>
    <w:pPr>
      <w:spacing w:line="300" w:lineRule="auto"/>
      <w:ind w:left="238" w:right="238"/>
      <w:jc w:val="center"/>
    </w:pPr>
    <w:rPr>
      <w:rFonts w:eastAsia="黑体"/>
      <w:sz w:val="24"/>
      <w:szCs w:val="21"/>
    </w:rPr>
  </w:style>
  <w:style w:type="paragraph" w:customStyle="1" w:styleId="127">
    <w:name w:val="0表格"/>
    <w:basedOn w:val="1"/>
    <w:qFormat/>
    <w:uiPriority w:val="0"/>
    <w:pPr>
      <w:adjustRightInd w:val="0"/>
      <w:snapToGrid w:val="0"/>
      <w:spacing w:line="240" w:lineRule="auto"/>
      <w:ind w:firstLine="0" w:firstLineChars="0"/>
      <w:jc w:val="center"/>
    </w:pPr>
    <w:rPr>
      <w:rFonts w:cs="仿宋"/>
      <w:sz w:val="21"/>
      <w:szCs w:val="18"/>
    </w:rPr>
  </w:style>
  <w:style w:type="paragraph" w:styleId="128">
    <w:name w:val="Quote"/>
    <w:basedOn w:val="1"/>
    <w:next w:val="1"/>
    <w:qFormat/>
    <w:uiPriority w:val="0"/>
    <w:pPr>
      <w:spacing w:line="240" w:lineRule="auto"/>
      <w:ind w:firstLine="0" w:firstLineChars="0"/>
      <w:jc w:val="center"/>
    </w:pPr>
    <w:rPr>
      <w:iCs/>
      <w:color w:val="000000"/>
      <w:sz w:val="21"/>
    </w:rPr>
  </w:style>
  <w:style w:type="paragraph" w:customStyle="1" w:styleId="129">
    <w:name w:val="J表格文字"/>
    <w:qFormat/>
    <w:uiPriority w:val="0"/>
    <w:pPr>
      <w:widowControl w:val="0"/>
      <w:adjustRightInd w:val="0"/>
      <w:snapToGrid w:val="0"/>
      <w:spacing w:before="20" w:line="264" w:lineRule="auto"/>
      <w:jc w:val="center"/>
    </w:pPr>
    <w:rPr>
      <w:rFonts w:ascii="Times New Roman" w:hAnsi="Times New Roman" w:eastAsia="宋体" w:cs="Times New Roman"/>
      <w:snapToGrid w:val="0"/>
      <w:sz w:val="21"/>
      <w:szCs w:val="21"/>
      <w:lang w:val="en-US" w:eastAsia="zh-CN" w:bidi="ar-SA"/>
    </w:rPr>
  </w:style>
  <w:style w:type="paragraph" w:customStyle="1" w:styleId="130">
    <w:name w:val="1 表头"/>
    <w:basedOn w:val="1"/>
    <w:autoRedefine/>
    <w:qFormat/>
    <w:uiPriority w:val="0"/>
    <w:pPr>
      <w:spacing w:line="240" w:lineRule="auto"/>
      <w:ind w:firstLine="0" w:firstLineChars="0"/>
      <w:jc w:val="center"/>
    </w:pPr>
    <w:rPr>
      <w:b/>
      <w:color w:val="000000"/>
      <w:sz w:val="21"/>
      <w:szCs w:val="21"/>
    </w:rPr>
  </w:style>
  <w:style w:type="paragraph" w:customStyle="1" w:styleId="131">
    <w:name w:val="Table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8"/>
      <w:szCs w:val="28"/>
      <w:lang w:val="en-US" w:eastAsia="en-US" w:bidi="ar-SA"/>
    </w:rPr>
  </w:style>
  <w:style w:type="paragraph" w:customStyle="1" w:styleId="132">
    <w:name w:val="表中小五"/>
    <w:basedOn w:val="1"/>
    <w:qFormat/>
    <w:uiPriority w:val="0"/>
    <w:pPr>
      <w:snapToGrid w:val="0"/>
      <w:jc w:val="center"/>
    </w:pPr>
    <w:rPr>
      <w:kern w:val="0"/>
      <w:sz w:val="18"/>
      <w:szCs w:val="20"/>
    </w:rPr>
  </w:style>
  <w:style w:type="character" w:customStyle="1" w:styleId="133">
    <w:name w:val="font12"/>
    <w:basedOn w:val="38"/>
    <w:qFormat/>
    <w:uiPriority w:val="0"/>
    <w:rPr>
      <w:rFonts w:hint="eastAsia" w:ascii="宋体" w:hAnsi="宋体" w:eastAsia="宋体" w:cs="宋体"/>
      <w:color w:val="000000"/>
      <w:sz w:val="18"/>
      <w:szCs w:val="18"/>
      <w:u w:val="none"/>
    </w:rPr>
  </w:style>
  <w:style w:type="character" w:customStyle="1" w:styleId="134">
    <w:name w:val="font41"/>
    <w:basedOn w:val="38"/>
    <w:qFormat/>
    <w:uiPriority w:val="0"/>
    <w:rPr>
      <w:rFonts w:hint="default" w:ascii="Times New Roman" w:hAnsi="Times New Roman" w:cs="Times New Roman"/>
      <w:color w:val="000000"/>
      <w:sz w:val="18"/>
      <w:szCs w:val="18"/>
      <w:u w:val="none"/>
    </w:rPr>
  </w:style>
  <w:style w:type="character" w:customStyle="1" w:styleId="135">
    <w:name w:val="font131"/>
    <w:basedOn w:val="38"/>
    <w:qFormat/>
    <w:uiPriority w:val="0"/>
    <w:rPr>
      <w:rFonts w:ascii="等线" w:hAnsi="等线" w:eastAsia="等线" w:cs="等线"/>
      <w:color w:val="000000"/>
      <w:sz w:val="18"/>
      <w:szCs w:val="18"/>
      <w:u w:val="none"/>
    </w:rPr>
  </w:style>
  <w:style w:type="paragraph" w:customStyle="1" w:styleId="136">
    <w:name w:val="表格仔"/>
    <w:basedOn w:val="1"/>
    <w:next w:val="1"/>
    <w:qFormat/>
    <w:uiPriority w:val="99"/>
    <w:pPr>
      <w:spacing w:line="240" w:lineRule="auto"/>
      <w:ind w:firstLine="0" w:firstLineChars="0"/>
      <w:jc w:val="center"/>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wmf"/><Relationship Id="rId13" Type="http://schemas.openxmlformats.org/officeDocument/2006/relationships/oleObject" Target="embeddings/oleObject2.bin"/><Relationship Id="rId12" Type="http://schemas.openxmlformats.org/officeDocument/2006/relationships/image" Target="media/image5.wmf"/><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ab2759b6-3a94-4080-85bf-e4955b91b8c0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52AC79F4</paraID>
      <start>0</start>
      <end>2</end>
      <status>unmodified</status>
      <modifiedWord/>
      <trackRevisions>false</trackRevisions>
    </reviewItem>
    <reviewItem>
      <errorID>393d0232-5b8d-4a8e-bd7f-981e50d957ba</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2C1DAC90</paraID>
      <start>0</start>
      <end>7</end>
      <status>unmodified</status>
      <modifiedWord/>
      <trackRevisions>false</trackRevisions>
    </reviewItem>
    <reviewItem>
      <errorID>ba48ceb0-99f2-471c-89c5-2c8fb13b2a2f</errorID>
      <errorWord>-</errorWord>
      <group>L1_Format</group>
      <groupName>格式问题</groupName>
      <ability>L2_HalfPunc_CN</ability>
      <abilityName>全半角问题</abilityName>
      <candidateList>
        <item>－</item>
      </candidateList>
      <explain>文本全半角错误。</explain>
      <paraID>2C1DAC90</paraID>
      <start>27</start>
      <end>28</end>
      <status>unmodified</status>
      <modifiedWord/>
      <trackRevisions>false</trackRevisions>
    </reviewItem>
    <reviewItem>
      <errorID>549d8c91-bb70-47a4-af9a-94e7ad054dc4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1791A21D</paraID>
      <start>0</start>
      <end>2</end>
      <status>unmodified</status>
      <modifiedWord/>
      <trackRevisions>false</trackRevisions>
    </reviewItem>
    <reviewItem>
      <errorID>8b2dece5-4222-4ce6-9385-349f490b9014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4109F1E1</paraID>
      <start>0</start>
      <end>2</end>
      <status>unmodified</status>
      <modifiedWord/>
      <trackRevisions>false</trackRevisions>
    </reviewItem>
    <reviewItem>
      <errorID>5d2ee141-f270-43a9-8a8d-debaaa162ead</errorID>
      <errorWord>生态红线</errorWord>
      <group>L1_Political</group>
      <groupName>政治性问题</groupName>
      <ability>L2_Unpolitical</ability>
      <abilityName>政治敏感错误</abilityName>
      <candidateList>
        <item>生态保护红线</item>
      </candidateList>
      <explain/>
      <paraID>10E3EB3C</paraID>
      <start>98</start>
      <end>102</end>
      <status>unmodified</status>
      <modifiedWord/>
      <trackRevisions>false</trackRevisions>
    </reviewItem>
    <reviewItem>
      <errorID>35104442-5e1c-4435-aa7c-38aa44befb00</errorID>
      <errorWord>万元国内生产总值能耗</errorWord>
      <group>L1_Political</group>
      <groupName>政治性问题</groupName>
      <ability>L2_Keyword</ability>
      <abilityName>固定表述</abilityName>
      <candidateList>
        <item>万元地区生产总值能耗</item>
      </candidateList>
      <explain>词汇“万元地区生产总值能耗”在特定场景下为固定表述形式，请确认此处的“万元国内生产总值能耗”是否存在不当。</explain>
      <paraID>611195B5</paraID>
      <start>18</start>
      <end>28</end>
      <status>unmodified</status>
      <modifiedWord/>
      <trackRevisions>false</trackRevisions>
    </reviewItem>
    <reviewItem>
      <errorID>16c0c813-48c7-47c8-a17e-e8781a9e369a</errorID>
      <errorWord>交有</errorWord>
      <group>L1_Word</group>
      <groupName>字词问题</groupName>
      <ability>L2_Typo</ability>
      <abilityName>字词错误</abilityName>
      <candidateList>
        <item>交由</item>
      </candidateList>
      <explain>存在发音相同字词的误用。</explain>
      <paraID>1F3E34F0</paraID>
      <start>186</start>
      <end>188</end>
      <status>unmodified</status>
      <modifiedWord/>
      <trackRevisions>false</trackRevisions>
    </reviewItem>
    <reviewItem>
      <errorID>bb7696ae-4bc5-43f7-88b8-baabb8c56e52</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52AAB093</paraID>
      <start>25</start>
      <end>35</end>
      <status>unmodified</status>
      <modifiedWord/>
      <trackRevisions>false</trackRevisions>
    </reviewItem>
    <reviewItem>
      <errorID>e48f18d3-cd71-44b7-a463-02a948926ec5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39F092EE</paraID>
      <start>0</start>
      <end>2</end>
      <status>unmodified</status>
      <modifiedWord/>
      <trackRevisions>false</trackRevisions>
    </reviewItem>
    <reviewItem>
      <errorID>6469bd77-e2b1-4cc9-9e9d-175ad7aa1202</errorID>
      <errorWord>VOCS</errorWord>
      <group>L1_English</group>
      <groupName>英文问题</groupName>
      <ability>L2_Case</ability>
      <abilityName>大小写问题</abilityName>
      <candidateList>
        <item>VOCs</item>
      </candidateList>
      <explain>疑似单词大小写错误，建议将VOCS修改为VOCs</explain>
      <paraID>45BF2186</paraID>
      <start>240</start>
      <end>244</end>
      <status>unmodified</status>
      <modifiedWord/>
      <trackRevisions>false</trackRevisions>
    </reviewItem>
    <reviewItem>
      <errorID>cdfe5f59-fc78-4496-8821-98576361f351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1630DBD</paraID>
      <start>106</start>
      <end>107</end>
      <status>unmodified</status>
      <modifiedWord/>
      <trackRevisions>false</trackRevisions>
    </reviewItem>
    <reviewItem>
      <errorID>15a3667b-f220-402c-8980-06c04bd48c4e</errorID>
      <errorWord>胶粘剂</errorWord>
      <group>L1_Word</group>
      <groupName>字词问题</groupName>
      <ability>L2_Typo</ability>
      <abilityName>字词错误</abilityName>
      <candidateList>
        <item>胶黏剂</item>
      </candidateList>
      <explain/>
      <paraID>1EBD6617</paraID>
      <start>53</start>
      <end>56</end>
      <status>unmodified</status>
      <modifiedWord/>
      <trackRevisions>false</trackRevisions>
    </reviewItem>
    <reviewItem>
      <errorID>30658b34-d14b-4328-a00d-a8f44abc8d20</errorID>
      <errorWord>程</errorWord>
      <group>L1_Word</group>
      <groupName>字词问题</groupName>
      <ability>L2_Typo</ability>
      <abilityName>字词错误</abilityName>
      <candidateList>
        <item>程中</item>
      </candidateList>
      <explain/>
      <paraID>2FAC00C2</paraID>
      <start>27</start>
      <end>28</end>
      <status>unmodified</status>
      <modifiedWord/>
      <trackRevisions>false</trackRevisions>
    </reviewItem>
    <reviewItem>
      <errorID>a93ff106-cb57-47d6-a01e-9e552c58ed67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7F704D06</paraID>
      <start>23</start>
      <end>24</end>
      <status>unmodified</status>
      <modifiedWord/>
      <trackRevisions>false</trackRevisions>
    </reviewItem>
    <reviewItem>
      <errorID>0c3f3530-8c1c-4108-bfa3-fbd7ec38d992</errorID>
      <errorWord>道路及</errorWord>
      <group>L1_Word</group>
      <groupName>字词问题</groupName>
      <ability>L2_Typo</ability>
      <abilityName>字词错误</abilityName>
      <candidateList>
        <item>道路</item>
      </candidateList>
      <explain/>
      <paraID>12ECCCA0</paraID>
      <start>48</start>
      <end>51</end>
      <status>unmodified</status>
      <modifiedWord/>
      <trackRevisions>false</trackRevisions>
    </reviewItem>
    <reviewItem>
      <errorID>2985b0a8-153f-496d-85c4-61456e1f4384</errorID>
      <errorWord>，</errorWord>
      <group>L1_Word</group>
      <groupName>字词问题</groupName>
      <ability>L2_Typo</ability>
      <abilityName>字词错误</abilityName>
      <candidateList>
        <item>，在</item>
      </candidateList>
      <explain/>
      <paraID>173E58AA</paraID>
      <start>57</start>
      <end>58</end>
      <status>unmodified</status>
      <modifiedWord/>
      <trackRevisions>false</trackRevisions>
    </reviewItem>
    <reviewItem>
      <errorID>80d6a244-a58d-44bd-9ac4-1156f7c625ed</errorID>
      <errorWord>交有</errorWord>
      <group>L1_Word</group>
      <groupName>字词问题</groupName>
      <ability>L2_Typo</ability>
      <abilityName>字词错误</abilityName>
      <candidateList>
        <item>交由</item>
      </candidateList>
      <explain>存在发音相同字词的误用。</explain>
      <paraID>5F67C7AC</paraID>
      <start>186</start>
      <end>188</end>
      <status>unmodified</status>
      <modifiedWord/>
      <trackRevisions>false</trackRevisions>
    </reviewItem>
    <reviewItem>
      <errorID>95ce282b-bdb5-484c-92f1-2080dc77ce91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99879AC</paraID>
      <start>20</start>
      <end>21</end>
      <status>unmodified</status>
      <modifiedWord/>
      <trackRevisions>false</trackRevisions>
    </reviewItem>
    <reviewItem>
      <errorID>704c452d-d4a3-4665-a039-94da2ea4da2a</errorID>
      <errorWord>交有</errorWord>
      <group>L1_Word</group>
      <groupName>字词问题</groupName>
      <ability>L2_Typo</ability>
      <abilityName>字词错误</abilityName>
      <candidateList>
        <item>交由</item>
      </candidateList>
      <explain>存在发音相同字词的误用。</explain>
      <paraID> 4657E4A</paraID>
      <start>186</start>
      <end>188</end>
      <status>unmodified</status>
      <modifiedWord/>
      <trackRevisions>false</trackRevisions>
    </reviewItem>
    <reviewItem>
      <errorID>d7236e72-257c-427f-abe9-ef3cc872a402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1A01FBA2</paraID>
      <start>16</start>
      <end>17</end>
      <status>unmodified</status>
      <modifiedWord/>
      <trackRevisions>false</trackRevisions>
    </reviewItem>
    <reviewItem>
      <errorID>920cca6a-04b7-4227-9e61-4e9610bd5800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17702432</paraID>
      <start>0</start>
      <end>2</end>
      <status>unmodified</status>
      <modifiedWord/>
      <trackRevisions>false</trackRevisions>
    </reviewItem>
    <reviewItem>
      <errorID>2ebcd4c0-a209-44e5-bf7f-51c7a9db0aa4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48520776</paraID>
      <start>0</start>
      <end>2</end>
      <status>unmodified</status>
      <modifiedWord/>
      <trackRevisions>false</trackRevisions>
    </reviewItem>
    <reviewItem>
      <errorID>57f32a02-8556-463d-9f83-9fb457b0cc29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501627EB</paraID>
      <start>23</start>
      <end>24</end>
      <status>unmodified</status>
      <modifiedWord/>
      <trackRevisions>false</trackRevisions>
    </reviewItem>
    <reviewItem>
      <errorID>1a23aea0-0d4d-41d5-8e2f-3ed96f0aeb94</errorID>
      <errorWord>山水林田湖草沙协同治理</errorWord>
      <group>L1_Political</group>
      <groupName>政治性问题</groupName>
      <ability>L2_Keyword</ability>
      <abilityName>固定表述</abilityName>
      <candidateList>
        <item>山水林田湖草沙系统治理</item>
      </candidateList>
      <explain>词汇“山水林田湖草沙系统治理”在特定场景下为固定表述形式，请确认此处的“山水林田湖草沙协同治理”是否存在不当。</explain>
      <paraID>7623D5FD</paraID>
      <start>6</start>
      <end>17</end>
      <status>unmodified</status>
      <modifiedWord/>
      <trackRevisions>false</trackRevisions>
    </reviewItem>
    <reviewItem>
      <errorID>d1ba2fdd-d5ea-4c78-9c15-10be60725182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74E85C07</paraID>
      <start>0</start>
      <end>2</end>
      <status>unmodified</status>
      <modifiedWord/>
      <trackRevisions>false</trackRevisions>
    </reviewItem>
    <reviewItem>
      <errorID>0f9c055d-eb79-4f3b-8cf1-20939b142c3b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74E85C07</paraID>
      <start>17</start>
      <end>18</end>
      <status>unmodified</status>
      <modifiedWord/>
      <trackRevisions>false</trackRevisions>
    </reviewItem>
    <reviewItem>
      <errorID>fd636045-77c4-4e55-9a5d-3bf21b574bf0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FB63E93</paraID>
      <start>0</start>
      <end>2</end>
      <status>unmodified</status>
      <modifiedWord/>
      <trackRevisions>false</trackRevisions>
    </reviewItem>
    <reviewItem>
      <errorID>acf68a23-9ec5-4fc5-8084-9da7aa6a5eb6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FB63E93</paraID>
      <start>25</start>
      <end>26</end>
      <status>unmodified</status>
      <modifiedWord/>
      <trackRevisions>false</trackRevisions>
    </reviewItem>
    <reviewItem>
      <errorID>4dfc73e1-57c1-4e74-8fba-bc2f6209bbdb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CD2CAB0</paraID>
      <start>22</start>
      <end>23</end>
      <status>unmodified</status>
      <modifiedWord/>
      <trackRevisions>false</trackRevisions>
    </reviewItem>
    <reviewItem>
      <errorID>48f5d9ef-8c86-429e-ab0c-21293d6d00af</errorID>
      <errorWord>勘察开发</errorWord>
      <group>L1_Word</group>
      <groupName>字词问题</groupName>
      <ability>L2_Typo</ability>
      <abilityName>字词错误</abilityName>
      <candidateList>
        <item>勘查开发</item>
      </candidateList>
      <explain/>
      <paraID> CD2CAB0</paraID>
      <start>41</start>
      <end>45</end>
      <status>unmodified</status>
      <modifiedWord/>
      <trackRevisions>false</trackRevisions>
    </reviewItem>
    <reviewItem>
      <errorID>beb08199-46e2-472f-ac48-14c946f069bf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D11C511</paraID>
      <start>0</start>
      <end>2</end>
      <status>unmodified</status>
      <modifiedWord/>
      <trackRevisions>false</trackRevisions>
    </reviewItem>
    <reviewItem>
      <errorID>90d5e92a-6ebe-463b-a725-ac33e6ac8a0c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D11C511</paraID>
      <start>19</start>
      <end>20</end>
      <status>unmodified</status>
      <modifiedWord/>
      <trackRevisions>false</trackRevisions>
    </reviewItem>
    <reviewItem>
      <errorID>39f1a394-6410-44aa-ba05-a509bb140665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7AEC623D</paraID>
      <start>31</start>
      <end>32</end>
      <status>unmodified</status>
      <modifiedWord/>
      <trackRevisions>false</trackRevisions>
    </reviewItem>
    <reviewItem>
      <errorID>fb365921-e794-443f-9ffc-53ab06faa0ef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7AEC623D</paraID>
      <start>95</start>
      <end>96</end>
      <status>unmodified</status>
      <modifiedWord/>
      <trackRevisions>false</trackRevisions>
    </reviewItem>
    <reviewItem>
      <errorID>be947a2a-2de8-45a3-b351-e5f965c67204</errorID>
      <errorWord>～</errorWord>
      <group>L1_Format</group>
      <groupName>格式问题</groupName>
      <ability>L2_HalfPunc_CN</ability>
      <abilityName>全半角问题</abilityName>
      <candidateList>
        <item>~</item>
      </candidateList>
      <explain>文本全半角错误。</explain>
      <paraID>1ED4A0B7</paraID>
      <start>4</start>
      <end>5</end>
      <status>unmodified</status>
      <modifiedWord/>
      <trackRevisions>false</trackRevisions>
    </reviewItem>
    <reviewItem>
      <errorID>125be94e-147e-428e-b8b8-0c6676248408</errorID>
      <errorWord>～</errorWord>
      <group>L1_Format</group>
      <groupName>格式问题</groupName>
      <ability>L2_HalfPunc_CN</ability>
      <abilityName>全半角问题</abilityName>
      <candidateList>
        <item>~</item>
      </candidateList>
      <explain>文本全半角错误。</explain>
      <paraID> 3226E88</paraID>
      <start>4</start>
      <end>5</end>
      <status>unmodified</status>
      <modifiedWord/>
      <trackRevisions>false</trackRevisions>
    </reviewItem>
    <reviewItem>
      <errorID>58fa912a-f301-482c-a3f8-17a581b9881b</errorID>
      <errorWord>～</errorWord>
      <group>L1_Format</group>
      <groupName>格式问题</groupName>
      <ability>L2_HalfPunc_CN</ability>
      <abilityName>全半角问题</abilityName>
      <candidateList>
        <item>~</item>
      </candidateList>
      <explain>文本全半角错误。</explain>
      <paraID>4DB66790</paraID>
      <start>5</start>
      <end>6</end>
      <status>unmodified</status>
      <modifiedWord/>
      <trackRevisions>false</trackRevisions>
    </reviewItem>
    <reviewItem>
      <errorID>f79c7be2-3f14-469e-9bb4-8bf7b911c4e5</errorID>
      <errorWord>KW</errorWord>
      <group>L1_Word</group>
      <groupName>字词问题</groupName>
      <ability>L2_Typo</ability>
      <abilityName>字词错误</abilityName>
      <candidateList>
        <item>kW</item>
      </candidateList>
      <explain/>
      <paraID>43816587</paraID>
      <start>9</start>
      <end>11</end>
      <status>unmodified</status>
      <modifiedWord/>
      <trackRevisions>false</trackRevisions>
    </reviewItem>
    <reviewItem>
      <errorID>1502b3c6-c28c-4753-a02c-3e9d71ab50ec</errorID>
      <errorWord>KW</errorWord>
      <group>L1_Word</group>
      <groupName>字词问题</groupName>
      <ability>L2_Typo</ability>
      <abilityName>字词错误</abilityName>
      <candidateList>
        <item>kW</item>
      </candidateList>
      <explain/>
      <paraID>36A5E2A1</paraID>
      <start>12</start>
      <end>14</end>
      <status>unmodified</status>
      <modifiedWord/>
      <trackRevisions>false</trackRevisions>
    </reviewItem>
    <reviewItem>
      <errorID>c4a5bd48-5ed5-4e0c-b447-a12e6b055418</errorID>
      <errorWord>KW</errorWord>
      <group>L1_Word</group>
      <groupName>字词问题</groupName>
      <ability>L2_Typo</ability>
      <abilityName>字词错误</abilityName>
      <candidateList>
        <item>kW</item>
      </candidateList>
      <explain/>
      <paraID>57DAA6D0</paraID>
      <start>12</start>
      <end>14</end>
      <status>unmodified</status>
      <modifiedWord/>
      <trackRevisions>false</trackRevisions>
    </reviewItem>
    <reviewItem>
      <errorID>bce9c9cf-a129-4729-a3ee-e8860040ffeb</errorID>
      <errorWord>KW</errorWord>
      <group>L1_Word</group>
      <groupName>字词问题</groupName>
      <ability>L2_Typo</ability>
      <abilityName>字词错误</abilityName>
      <candidateList>
        <item>kW</item>
      </candidateList>
      <explain/>
      <paraID>709AD1AD</paraID>
      <start>9</start>
      <end>11</end>
      <status>unmodified</status>
      <modifiedWord/>
      <trackRevisions>false</trackRevisions>
    </reviewItem>
    <reviewItem>
      <errorID>484bd566-f438-4796-abda-d0f35f4a5e05</errorID>
      <errorWord>粘稠</errorWord>
      <group>L1_Word</group>
      <groupName>字词问题</groupName>
      <ability>L2_Typo</ability>
      <abilityName>字词错误</abilityName>
      <candidateList>
        <item>黏稠</item>
      </candidateList>
      <explain>存在发音相同字词的误用。</explain>
      <paraID>3CE698D6</paraID>
      <start>142</start>
      <end>144</end>
      <status>unmodified</status>
      <modifiedWord/>
      <trackRevisions>false</trackRevisions>
    </reviewItem>
    <reviewItem>
      <errorID>265ba2f5-dc83-4a47-b5ba-96c66463e859</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72516827</paraID>
      <start>25</start>
      <end>35</end>
      <status>unmodified</status>
      <modifiedWord/>
      <trackRevisions>false</trackRevisions>
    </reviewItem>
    <reviewItem>
      <errorID>f70167ca-cdb7-42b8-985c-0edea3da93c9</errorID>
      <errorWord>塔克拉玛干荒漠</errorWord>
      <group>L1_Word</group>
      <groupName>字词问题</groupName>
      <ability>L2_Typo</ability>
      <abilityName>字词错误</abilityName>
      <candidateList>
        <item>塔克拉玛干沙漠</item>
      </candidateList>
      <explain/>
      <paraID>15D62E43</paraID>
      <start>23</start>
      <end>30</end>
      <status>unmodified</status>
      <modifiedWord/>
      <trackRevisions>false</trackRevisions>
    </reviewItem>
    <reviewItem>
      <errorID>28607aaf-b580-4112-b52f-bf38c3733076</errorID>
      <errorWord>入</errorWord>
      <group>L1_Word</group>
      <groupName>字词问题</groupName>
      <ability>L2_Typo</ability>
      <abilityName>字词错误</abilityName>
      <candidateList>
        <item>入在</item>
      </candidateList>
      <explain/>
      <paraID>577C94C8</paraID>
      <start>70</start>
      <end>71</end>
      <status>unmodified</status>
      <modifiedWord/>
      <trackRevisions>false</trackRevisions>
    </reviewItem>
    <reviewItem>
      <errorID>09fe39c8-38dd-4797-acd6-5aeb396d17cb</errorID>
      <errorWord>麻雀类</errorWord>
      <group>L1_Word</group>
      <groupName>字词问题</groupName>
      <ability>L2_Typo</ability>
      <abilityName>字词错误</abilityName>
      <candidateList>
        <item>麻雀</item>
      </candidateList>
      <explain/>
      <paraID>577C94C8</paraID>
      <start>159</start>
      <end>162</end>
      <status>unmodified</status>
      <modifiedWord/>
      <trackRevisions>false</trackRevisions>
    </reviewItem>
    <reviewItem>
      <errorID>c237f552-9c67-460d-bfd5-2c36c9a9ae34</errorID>
      <errorWord>（</errorWord>
      <group>L1_Format</group>
      <groupName>格式问题</groupName>
      <ability>L2_HalfPunc_CN</ability>
      <abilityName>全半角问题</abilityName>
      <candidateList>
        <item>(</item>
      </candidateList>
      <explain>文本全半角错误。</explain>
      <paraID>5A7C1686</paraID>
      <start>2</start>
      <end>3</end>
      <status>unmodified</status>
      <modifiedWord/>
      <trackRevisions>false</trackRevisions>
    </reviewItem>
    <reviewItem>
      <errorID>3e06d38c-a073-45b2-85f4-56cb48c78301</errorID>
      <errorWord>）</errorWord>
      <group>L1_Format</group>
      <groupName>格式问题</groupName>
      <ability>L2_HalfPunc_CN</ability>
      <abilityName>全半角问题</abilityName>
      <candidateList>
        <item>)</item>
      </candidateList>
      <explain>文本全半角错误。</explain>
      <paraID>5A7C1686</paraID>
      <start>8</start>
      <end>9</end>
      <status>unmodified</status>
      <modifiedWord/>
      <trackRevisions>false</trackRevisions>
    </reviewItem>
    <reviewItem>
      <errorID>be53ac9e-39d6-4c7e-a8c3-a2764c52530a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6ABAFF04</paraID>
      <start>0</start>
      <end>2</end>
      <status>unmodified</status>
      <modifiedWord/>
      <trackRevisions>false</trackRevisions>
    </reviewItem>
    <reviewItem>
      <errorID>cbdf64d4-77a7-4522-846c-26ca37a26502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2F6D7663</paraID>
      <start>0</start>
      <end>2</end>
      <status>unmodified</status>
      <modifiedWord/>
      <trackRevisions>false</trackRevisions>
    </reviewItem>
    <reviewItem>
      <errorID>928ea3c4-67c6-4aed-bfcc-73fdea21937e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10642DE0</paraID>
      <start>0</start>
      <end>2</end>
      <status>unmodified</status>
      <modifiedWord/>
      <trackRevisions>false</trackRevisions>
    </reviewItem>
    <reviewItem>
      <errorID>351cd116-e2cd-4b85-9470-6899f48737ac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15BCFF9E</paraID>
      <start>0</start>
      <end>2</end>
      <status>unmodified</status>
      <modifiedWord/>
      <trackRevisions>false</trackRevisions>
    </reviewItem>
    <reviewItem>
      <errorID>5ee8f370-42ca-45a6-bd1e-03a4165eb1b6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5390F80B</paraID>
      <start>0</start>
      <end>2</end>
      <status>unmodified</status>
      <modifiedWord/>
      <trackRevisions>false</trackRevisions>
    </reviewItem>
    <reviewItem>
      <errorID>456d8205-8d4b-4b1f-b0ea-cff5a9c98b97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1325764</paraID>
      <start>0</start>
      <end>2</end>
      <status>unmodified</status>
      <modifiedWord/>
      <trackRevisions>false</trackRevisions>
    </reviewItem>
    <reviewItem>
      <errorID>4c80d151-1d48-4ba7-b3fe-9ffa305a3096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4AD3E815</paraID>
      <start>0</start>
      <end>2</end>
      <status>unmodified</status>
      <modifiedWord/>
      <trackRevisions>false</trackRevisions>
    </reviewItem>
    <reviewItem>
      <errorID>79955cfd-4fa3-4a1f-8245-859aa20b8e89</errorID>
      <errorWord>)</errorWord>
      <group>L1_Format</group>
      <groupName>格式问题</groupName>
      <ability>L2_HalfPunc_CN</ability>
      <abilityName>全半角问题</abilityName>
      <candidateList>
        <item>）</item>
      </candidateList>
      <explain>文本全半角错误。</explain>
      <paraID>55839A64</paraID>
      <start>25</start>
      <end>26</end>
      <status>unmodified</status>
      <modifiedWord/>
      <trackRevisions>false</trackRevisions>
    </reviewItem>
    <reviewItem>
      <errorID>4984a2b6-2dfc-4123-b497-bd6d95a59ef6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6C953449</paraID>
      <start>0</start>
      <end>2</end>
      <status>unmodified</status>
      <modifiedWord/>
      <trackRevisions>false</trackRevisions>
    </reviewItem>
    <reviewItem>
      <errorID>7afd6388-a56e-42c3-bb41-b3fa6303bbb4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6B66809B</paraID>
      <start>0</start>
      <end>2</end>
      <status>unmodified</status>
      <modifiedWord/>
      <trackRevisions>false</trackRevisions>
    </reviewItem>
    <reviewItem>
      <errorID>4d2b4efa-4b28-49ea-b4dc-c42f46c77538</errorID>
      <errorWord>改造时</errorWord>
      <group>L1_Word</group>
      <groupName>字词问题</groupName>
      <ability>L2_Typo</ability>
      <abilityName>字词错误</abilityName>
      <candidateList>
        <item>改造</item>
      </candidateList>
      <explain/>
      <paraID>3A118427</paraID>
      <start>69</start>
      <end>72</end>
      <status>unmodified</status>
      <modifiedWord/>
      <trackRevisions>false</trackRevisions>
    </reviewItem>
    <reviewItem>
      <errorID>6ffa8666-648a-4231-ba10-d0c3f0c03ddb</errorID>
      <errorWord>（</errorWord>
      <group>L1_Punc</group>
      <groupName>标点问题</groupName>
      <ability>L2_Punc_CN</ability>
      <abilityName>标点符号问题</abilityName>
      <candidateList/>
      <explain>同一形式括号套用。</explain>
      <paraID>4F94E467</paraID>
      <start>24</start>
      <end>25</end>
      <status>unmodified</status>
      <modifiedWord/>
      <trackRevisions>false</trackRevisions>
    </reviewItem>
    <reviewItem>
      <errorID>c06feb3e-2aa8-4f95-bf48-efc201035931</errorID>
      <errorWord>）</errorWord>
      <group>L1_Punc</group>
      <groupName>标点问题</groupName>
      <ability>L2_Punc_CN</ability>
      <abilityName>标点符号问题</abilityName>
      <candidateList/>
      <explain>同一形式括号套用。</explain>
      <paraID>4F94E467</paraID>
      <start>26</start>
      <end>27</end>
      <status>unmodified</status>
      <modifiedWord/>
      <trackRevisions>false</trackRevisions>
    </reviewItem>
    <reviewItem>
      <errorID>be1eeb73-b2df-4cd6-ba13-21d1c1fffa04</errorID>
      <errorWord>)</errorWord>
      <group>L1_Format</group>
      <groupName>格式问题</groupName>
      <ability>L2_HalfPunc_CN</ability>
      <abilityName>全半角问题</abilityName>
      <candidateList>
        <item>）</item>
      </candidateList>
      <explain>文本全半角错误。</explain>
      <paraID>1F447B95</paraID>
      <start>57</start>
      <end>58</end>
      <status>unmodified</status>
      <modifiedWord/>
      <trackRevisions>false</trackRevisions>
    </reviewItem>
    <reviewItem>
      <errorID>4cbebefb-bde9-443d-86e4-2f8cfb4d6d0d</errorID>
      <errorWord>（</errorWord>
      <group>L1_Format</group>
      <groupName>格式问题</groupName>
      <ability>L2_HalfPunc_CN</ability>
      <abilityName>全半角问题</abilityName>
      <candidateList>
        <item>(</item>
      </candidateList>
      <explain>文本全半角错误。</explain>
      <paraID> E0177BB</paraID>
      <start>0</start>
      <end>1</end>
      <status>unmodified</status>
      <modifiedWord/>
      <trackRevisions>false</trackRevisions>
    </reviewItem>
    <reviewItem>
      <errorID>facc0ace-b823-4058-9101-3c6e2e778f6e</errorID>
      <errorWord>，</errorWord>
      <group>L1_Format</group>
      <groupName>格式问题</groupName>
      <ability>L2_HalfPunc_CN</ability>
      <abilityName>全半角问题</abilityName>
      <candidateList>
        <item>,</item>
      </candidateList>
      <explain>文本全半角错误。</explain>
      <paraID> E0177BB</paraID>
      <start>5</start>
      <end>6</end>
      <status>unmodified</status>
      <modifiedWord/>
      <trackRevisions>false</trackRevisions>
    </reviewItem>
    <reviewItem>
      <errorID>350321af-8aab-437a-a916-3a903aab1c4b</errorID>
      <errorWord>）</errorWord>
      <group>L1_Format</group>
      <groupName>格式问题</groupName>
      <ability>L2_HalfPunc_CN</ability>
      <abilityName>全半角问题</abilityName>
      <candidateList>
        <item>)</item>
      </candidateList>
      <explain>文本全半角错误。</explain>
      <paraID> E0177BB</paraID>
      <start>17</start>
      <end>18</end>
      <status>unmodified</status>
      <modifiedWord/>
      <trackRevisions>false</trackRevisions>
    </reviewItem>
    <reviewItem>
      <errorID>7efb7a57-1a7f-4042-ac5b-2c48eba168a3</errorID>
      <errorWord>（</errorWord>
      <group>L1_Format</group>
      <groupName>格式问题</groupName>
      <ability>L2_HalfPunc_CN</ability>
      <abilityName>全半角问题</abilityName>
      <candidateList>
        <item>(</item>
      </candidateList>
      <explain>文本全半角错误。</explain>
      <paraID>163BB1C2</paraID>
      <start>0</start>
      <end>1</end>
      <status>unmodified</status>
      <modifiedWord/>
      <trackRevisions>false</trackRevisions>
    </reviewItem>
    <reviewItem>
      <errorID>4b34c806-2c45-4245-b1fc-589a8d9a3167</errorID>
      <errorWord>，</errorWord>
      <group>L1_Format</group>
      <groupName>格式问题</groupName>
      <ability>L2_HalfPunc_CN</ability>
      <abilityName>全半角问题</abilityName>
      <candidateList>
        <item>,</item>
      </candidateList>
      <explain>文本全半角错误。</explain>
      <paraID>163BB1C2</paraID>
      <start>5</start>
      <end>6</end>
      <status>unmodified</status>
      <modifiedWord/>
      <trackRevisions>false</trackRevisions>
    </reviewItem>
    <reviewItem>
      <errorID>2d462829-91e9-4cbe-9aa6-6c609ff2bc4b</errorID>
      <errorWord>）</errorWord>
      <group>L1_Format</group>
      <groupName>格式问题</groupName>
      <ability>L2_HalfPunc_CN</ability>
      <abilityName>全半角问题</abilityName>
      <candidateList>
        <item>)</item>
      </candidateList>
      <explain>文本全半角错误。</explain>
      <paraID>163BB1C2</paraID>
      <start>17</start>
      <end>18</end>
      <status>unmodified</status>
      <modifiedWord/>
      <trackRevisions>false</trackRevisions>
    </reviewItem>
    <reviewItem>
      <errorID>60892883-0402-46f0-9217-d7dc22a91a59</errorID>
      <errorWord>（</errorWord>
      <group>L1_Format</group>
      <groupName>格式问题</groupName>
      <ability>L2_HalfPunc_CN</ability>
      <abilityName>全半角问题</abilityName>
      <candidateList>
        <item>(</item>
      </candidateList>
      <explain>文本全半角错误。</explain>
      <paraID>23FAA83E</paraID>
      <start>0</start>
      <end>1</end>
      <status>unmodified</status>
      <modifiedWord/>
      <trackRevisions>false</trackRevisions>
    </reviewItem>
    <reviewItem>
      <errorID>2cc71eae-d01d-43e2-828e-2f4b2eca91f5</errorID>
      <errorWord>，</errorWord>
      <group>L1_Format</group>
      <groupName>格式问题</groupName>
      <ability>L2_HalfPunc_CN</ability>
      <abilityName>全半角问题</abilityName>
      <candidateList>
        <item>,</item>
      </candidateList>
      <explain>文本全半角错误。</explain>
      <paraID>23FAA83E</paraID>
      <start>5</start>
      <end>6</end>
      <status>unmodified</status>
      <modifiedWord/>
      <trackRevisions>false</trackRevisions>
    </reviewItem>
    <reviewItem>
      <errorID>6623aba9-0600-464f-97d2-8f0927b4574d</errorID>
      <errorWord>）</errorWord>
      <group>L1_Format</group>
      <groupName>格式问题</groupName>
      <ability>L2_HalfPunc_CN</ability>
      <abilityName>全半角问题</abilityName>
      <candidateList>
        <item>)</item>
      </candidateList>
      <explain>文本全半角错误。</explain>
      <paraID>23FAA83E</paraID>
      <start>17</start>
      <end>18</end>
      <status>unmodified</status>
      <modifiedWord/>
      <trackRevisions>false</trackRevisions>
    </reviewItem>
    <reviewItem>
      <errorID>2464e99a-f21c-4aa7-8c29-9f8e60638dec</errorID>
      <errorWord>（</errorWord>
      <group>L1_Format</group>
      <groupName>格式问题</groupName>
      <ability>L2_HalfPunc_CN</ability>
      <abilityName>全半角问题</abilityName>
      <candidateList>
        <item>(</item>
      </candidateList>
      <explain>文本全半角错误。</explain>
      <paraID> 8BBFEAA</paraID>
      <start>0</start>
      <end>1</end>
      <status>unmodified</status>
      <modifiedWord/>
      <trackRevisions>false</trackRevisions>
    </reviewItem>
    <reviewItem>
      <errorID>d18ef7d4-5329-48ac-bdcf-e067a9595177</errorID>
      <errorWord>，</errorWord>
      <group>L1_Format</group>
      <groupName>格式问题</groupName>
      <ability>L2_HalfPunc_CN</ability>
      <abilityName>全半角问题</abilityName>
      <candidateList>
        <item>,</item>
      </candidateList>
      <explain>文本全半角错误。</explain>
      <paraID> 8BBFEAA</paraID>
      <start>5</start>
      <end>6</end>
      <status>unmodified</status>
      <modifiedWord/>
      <trackRevisions>false</trackRevisions>
    </reviewItem>
    <reviewItem>
      <errorID>516650c8-4729-47fc-b493-c13908a5e2ad</errorID>
      <errorWord>）</errorWord>
      <group>L1_Format</group>
      <groupName>格式问题</groupName>
      <ability>L2_HalfPunc_CN</ability>
      <abilityName>全半角问题</abilityName>
      <candidateList>
        <item>)</item>
      </candidateList>
      <explain>文本全半角错误。</explain>
      <paraID> 8BBFEAA</paraID>
      <start>16</start>
      <end>17</end>
      <status>unmodified</status>
      <modifiedWord/>
      <trackRevisions>false</trackRevisions>
    </reviewItem>
    <reviewItem>
      <errorID>8a6714fc-18ee-4ea8-94f4-5db4d2b59198</errorID>
      <errorWord>（</errorWord>
      <group>L1_Format</group>
      <groupName>格式问题</groupName>
      <ability>L2_HalfPunc_CN</ability>
      <abilityName>全半角问题</abilityName>
      <candidateList>
        <item>(</item>
      </candidateList>
      <explain>文本全半角错误。</explain>
      <paraID>5B3189AB</paraID>
      <start>0</start>
      <end>1</end>
      <status>unmodified</status>
      <modifiedWord/>
      <trackRevisions>false</trackRevisions>
    </reviewItem>
    <reviewItem>
      <errorID>af62a621-0a16-4a52-b06e-72ab4bca5320</errorID>
      <errorWord>，</errorWord>
      <group>L1_Format</group>
      <groupName>格式问题</groupName>
      <ability>L2_HalfPunc_CN</ability>
      <abilityName>全半角问题</abilityName>
      <candidateList>
        <item>,</item>
      </candidateList>
      <explain>文本全半角错误。</explain>
      <paraID>5B3189AB</paraID>
      <start>5</start>
      <end>6</end>
      <status>unmodified</status>
      <modifiedWord/>
      <trackRevisions>false</trackRevisions>
    </reviewItem>
    <reviewItem>
      <errorID>db9f2087-1d95-4f9b-959d-bbfc16c2a501</errorID>
      <errorWord>）</errorWord>
      <group>L1_Format</group>
      <groupName>格式问题</groupName>
      <ability>L2_HalfPunc_CN</ability>
      <abilityName>全半角问题</abilityName>
      <candidateList>
        <item>)</item>
      </candidateList>
      <explain>文本全半角错误。</explain>
      <paraID>5B3189AB</paraID>
      <start>16</start>
      <end>17</end>
      <status>unmodified</status>
      <modifiedWord/>
      <trackRevisions>false</trackRevisions>
    </reviewItem>
    <reviewItem>
      <errorID>f70b9284-4902-476f-8808-d821a5b5217f</errorID>
      <errorWord>（</errorWord>
      <group>L1_Format</group>
      <groupName>格式问题</groupName>
      <ability>L2_HalfPunc_CN</ability>
      <abilityName>全半角问题</abilityName>
      <candidateList>
        <item>(</item>
      </candidateList>
      <explain>文本全半角错误。</explain>
      <paraID>335BD447</paraID>
      <start>0</start>
      <end>1</end>
      <status>unmodified</status>
      <modifiedWord/>
      <trackRevisions>false</trackRevisions>
    </reviewItem>
    <reviewItem>
      <errorID>73a0b539-1c62-4839-a678-77771193ebbe</errorID>
      <errorWord>，</errorWord>
      <group>L1_Format</group>
      <groupName>格式问题</groupName>
      <ability>L2_HalfPunc_CN</ability>
      <abilityName>全半角问题</abilityName>
      <candidateList>
        <item>,</item>
      </candidateList>
      <explain>文本全半角错误。</explain>
      <paraID>335BD447</paraID>
      <start>5</start>
      <end>6</end>
      <status>unmodified</status>
      <modifiedWord/>
      <trackRevisions>false</trackRevisions>
    </reviewItem>
    <reviewItem>
      <errorID>2914cb77-9680-4d25-9364-a0e4ea888e6f</errorID>
      <errorWord>）</errorWord>
      <group>L1_Format</group>
      <groupName>格式问题</groupName>
      <ability>L2_HalfPunc_CN</ability>
      <abilityName>全半角问题</abilityName>
      <candidateList>
        <item>)</item>
      </candidateList>
      <explain>文本全半角错误。</explain>
      <paraID>335BD447</paraID>
      <start>16</start>
      <end>17</end>
      <status>unmodified</status>
      <modifiedWord/>
      <trackRevisions>false</trackRevisions>
    </reviewItem>
    <reviewItem>
      <errorID>3d5504c5-5f90-4e32-9129-f59cb394d44a</errorID>
      <errorWord>-</errorWord>
      <group>L1_Format</group>
      <groupName>格式问题</groupName>
      <ability>L2_HalfPunc_CN</ability>
      <abilityName>全半角问题</abilityName>
      <candidateList>
        <item>－</item>
      </candidateList>
      <explain>文本全半角错误。</explain>
      <paraID>392A70E8</paraID>
      <start>103</start>
      <end>104</end>
      <status>unmodified</status>
      <modifiedWord/>
      <trackRevisions>false</trackRevisions>
    </reviewItem>
    <reviewItem>
      <errorID>4d973fb3-2f31-4d3b-ab39-dd30ce27938d</errorID>
      <errorWord>-</errorWord>
      <group>L1_Format</group>
      <groupName>格式问题</groupName>
      <ability>L2_HalfPunc_CN</ability>
      <abilityName>全半角问题</abilityName>
      <candidateList>
        <item>－</item>
      </candidateList>
      <explain>文本全半角错误。</explain>
      <paraID>392A70E8</paraID>
      <start>104</start>
      <end>105</end>
      <status>unmodified</status>
      <modifiedWord/>
      <trackRevisions>false</trackRevisions>
    </reviewItem>
    <reviewItem>
      <errorID>3837670b-bb4e-4cb9-b9b6-db495e021570</errorID>
      <errorWord>详实</errorWord>
      <group>L1_Word</group>
      <groupName>字词问题</groupName>
      <ability>L2_Typo</ability>
      <abilityName>字词错误</abilityName>
      <candidateList>
        <item>翔实</item>
      </candidateList>
      <explain>存在发音相同字词的误用。</explain>
      <paraID>4B927142</paraID>
      <start>42</start>
      <end>44</end>
      <status>unmodified</status>
      <modifiedWord/>
      <trackRevisions>false</trackRevisions>
    </reviewItem>
    <reviewItem>
      <errorID>b2499524-e85f-47e6-baa0-b8cbb5c61270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1D63C632</paraID>
      <start>0</start>
      <end>2</end>
      <status>unmodified</status>
      <modifiedWord/>
      <trackRevisions>false</trackRevisions>
    </reviewItem>
    <reviewItem>
      <errorID>518ab1ee-00c3-4d8f-b640-336f6276f78c</errorID>
      <errorWord>泄露</errorWord>
      <group>L1_Word</group>
      <groupName>字词问题</groupName>
      <ability>L2_Typo</ability>
      <abilityName>字词错误</abilityName>
      <candidateList>
        <item>泄漏</item>
      </candidateList>
      <explain/>
      <paraID>13CC803B</paraID>
      <start>210</start>
      <end>212</end>
      <status>unmodified</status>
      <modifiedWord/>
      <trackRevisions>false</trackRevisions>
    </reviewItem>
    <reviewItem>
      <errorID>47a7cb07-ad99-4e31-8cf1-7e650ef0e4f0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59860381</paraID>
      <start>0</start>
      <end>2</end>
      <status>unmodified</status>
      <modifiedWord/>
      <trackRevisions>false</trackRevisions>
    </reviewItem>
    <reviewItem>
      <errorID>8edf82c8-e810-450e-a206-06b8342c21ce</errorID>
      <errorWord>粘附</errorWord>
      <group>L1_Word</group>
      <groupName>字词问题</groupName>
      <ability>L2_Alias</ability>
      <abilityName>也作/曾用词</abilityName>
      <candidateList>
        <item>黏附</item>
      </candidateList>
      <explain>词汇[粘附]为不规范表述或旧称，其规范书面表述为[黏附]。</explain>
      <paraID>79035280</paraID>
      <start>12</start>
      <end>14</end>
      <status>unmodified</status>
      <modifiedWord/>
      <trackRevisions>false</trackRevisions>
    </reviewItem>
    <reviewItem>
      <errorID>7b7e2dcc-0788-490e-81dc-162b6884abbf</errorID>
      <errorWord>提高</errorWord>
      <group>L1_Grammar</group>
      <groupName>语法问题</groupName>
      <ability>L2_Grammar</ability>
      <abilityName>语法错误</abilityName>
      <candidateList>
        <item>增强</item>
      </candidateList>
      <explain>“提高～意识”搭配不当，建议修改为“增强～意识”。</explain>
      <paraID>6E0531EC</paraID>
      <start>0</start>
      <end>2</end>
      <status>unmodified</status>
      <modifiedWord/>
      <trackRevisions>false</trackRevisions>
    </reviewItem>
    <reviewItem>
      <errorID>9c5e259f-51d9-4c88-8863-4f52eb8be39e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71782FDB</paraID>
      <start>0</start>
      <end>2</end>
      <status>unmodified</status>
      <modifiedWord/>
      <trackRevisions>false</trackRevisions>
    </reviewItem>
    <reviewItem>
      <errorID>2fa8fb20-4b83-4c19-b15f-2e61ff554d7c</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C09A8CF</paraID>
      <start>52</start>
      <end>55</end>
      <status>unmodified</status>
      <modifiedWord/>
      <trackRevisions>false</trackRevisions>
    </reviewItem>
    <reviewItem>
      <errorID>00f4cb10-ff1e-4670-ac79-3a94a2f61604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4C10AAA1</paraID>
      <start>71</start>
      <end>74</end>
      <status>unmodified</status>
      <modifiedWord/>
      <trackRevisions>false</trackRevisions>
    </reviewItem>
    <reviewItem>
      <errorID>50bf348d-dbe9-4d3b-a6aa-79ed6410ee9c</errorID>
      <errorWord>：</errorWord>
      <group>L1_Format</group>
      <groupName>格式问题</groupName>
      <ability>L2_HalfPunc_CN</ability>
      <abilityName>全半角问题</abilityName>
      <candidateList>
        <item>:</item>
      </candidateList>
      <explain>文本全半角错误。</explain>
      <paraID>7C053740</paraID>
      <start>9</start>
      <end>10</end>
      <status>unmodified</status>
      <modifiedWord/>
      <trackRevisions>false</trackRevisions>
    </reviewItem>
    <reviewItem>
      <errorID>168c8088-1e7a-4190-b5fb-c49eef4e70f0</errorID>
      <errorWord>交由有</errorWord>
      <group>L1_Word</group>
      <groupName>字词问题</groupName>
      <ability>L2_Typo</ability>
      <abilityName>字词错误</abilityName>
      <candidateList>
        <item>交由</item>
      </candidateList>
      <explain/>
      <paraID>5B8A7CFF</paraID>
      <start>97</start>
      <end>100</end>
      <status>unmodified</status>
      <modifiedWord/>
      <trackRevisions>false</trackRevisions>
    </reviewItem>
    <reviewItem>
      <errorID>6ee16ac3-afc0-4551-af31-9d2be0cbf891</errorID>
      <errorWord>提高</errorWord>
      <group>L1_Grammar</group>
      <groupName>语法问题</groupName>
      <ability>L2_Grammar</ability>
      <abilityName>语法错误</abilityName>
      <candidateList>
        <item>增强</item>
      </candidateList>
      <explain>“提高～意识”搭配不当，建议修改为“增强～意识”。</explain>
      <paraID>2962E181</paraID>
      <start>74</start>
      <end>76</end>
      <status>unmodified</status>
      <modifiedWord/>
      <trackRevisions>false</trackRevisions>
    </reviewItem>
    <reviewItem>
      <errorID>50a1ab83-6095-484c-a9d3-697cd122c3ce</errorID>
      <errorWord>交有</errorWord>
      <group>L1_Word</group>
      <groupName>字词问题</groupName>
      <ability>L2_Typo</ability>
      <abilityName>字词错误</abilityName>
      <candidateList>
        <item>交由</item>
      </candidateList>
      <explain/>
      <paraID>63B32FD3</paraID>
      <start>48</start>
      <end>50</end>
      <status>unmodified</status>
      <modifiedWord/>
      <trackRevisions>false</trackRevisions>
    </reviewItem>
    <reviewItem>
      <errorID>4b6f999a-2c12-4c7f-9fdf-92db24d994e3</errorID>
      <errorWord>交有</errorWord>
      <group>L1_Word</group>
      <groupName>字词问题</groupName>
      <ability>L2_Typo</ability>
      <abilityName>字词错误</abilityName>
      <candidateList>
        <item>交由</item>
      </candidateList>
      <explain/>
      <paraID>56C72B46</paraID>
      <start>55</start>
      <end>57</end>
      <status>unmodified</status>
      <modifiedWord/>
      <trackRevisions>false</trackRevisions>
    </reviewItem>
    <reviewItem>
      <errorID>1f042b7d-4240-496c-990f-ae698e558c1f</errorID>
      <errorWord>属</errorWord>
      <group>L1_Word</group>
      <groupName>字词问题</groupName>
      <ability>L2_Typo</ability>
      <abilityName>字词错误</abilityName>
      <candidateList>
        <item>属于</item>
      </candidateList>
      <explain/>
      <paraID>19CC110A</paraID>
      <start>128</start>
      <end>130</end>
      <status>modified</status>
      <modifiedWord>属于</modifiedWord>
      <trackRevisions>false</trackRevisions>
    </reviewItem>
    <reviewItem>
      <errorID>4e23d525-3c1b-4e40-aa9b-1946871bda49</errorID>
      <errorWord>须</errorWord>
      <group>L1_Word</group>
      <groupName>字词问题</groupName>
      <ability>L2_Typo</ability>
      <abilityName>字词错误</abilityName>
      <candidateList>
        <item>需</item>
      </candidateList>
      <explain>存在发音相同字词的误用。</explain>
      <paraID>1D2C1EBA</paraID>
      <start>11</start>
      <end>12</end>
      <status>unmodified</status>
      <modifiedWord/>
      <trackRevisions>false</trackRevisions>
    </reviewItem>
    <reviewItem>
      <errorID>e3f3c0a1-3969-43c3-80ba-8ceba1bf1380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6C5B55E</paraID>
      <start>42</start>
      <end>43</end>
      <status>unmodified</status>
      <modifiedWord/>
      <trackRevisions>false</trackRevisions>
    </reviewItem>
    <reviewItem>
      <errorID>d202ee55-bb55-4431-ab6d-cdeb44e93ca2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270448AE</paraID>
      <start>22</start>
      <end>23</end>
      <status>unmodified</status>
      <modifiedWord/>
      <trackRevisions>false</trackRevisions>
    </reviewItem>
    <reviewItem>
      <errorID>d12890b2-9da4-4d26-941d-c976098132e2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270448AE</paraID>
      <start>61</start>
      <end>62</end>
      <status>unmodified</status>
      <modifiedWord/>
      <trackRevisions>false</trackRevisions>
    </reviewItem>
    <reviewItem>
      <errorID>7bef368f-9a6d-4186-bce9-d233f804f61d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7BA03A83</paraID>
      <start>26</start>
      <end>27</end>
      <status>unmodified</status>
      <modifiedWord/>
      <trackRevisions>false</trackRevisions>
    </reviewItem>
    <reviewItem>
      <errorID>1d70b9ce-eee4-4c5c-ac03-3160a6d75e09</errorID>
      <errorWord>繁琐</errorWord>
      <group>L1_Word</group>
      <groupName>字词问题</groupName>
      <ability>L2_Typo</ability>
      <abilityName>字词错误</abilityName>
      <candidateList>
        <item>烦琐</item>
      </candidateList>
      <explain/>
      <paraID>46498E20</paraID>
      <start>48</start>
      <end>50</end>
      <status>unmodified</status>
      <modifiedWord/>
      <trackRevisions>false</trackRevisions>
    </reviewItem>
    <reviewItem>
      <errorID>973311b8-4255-4c06-970b-3ff86ba33422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2ADDFCBB</paraID>
      <start>14</start>
      <end>15</end>
      <status>unmodified</status>
      <modifiedWord/>
      <trackRevisions>false</trackRevisions>
    </reviewItem>
    <reviewItem>
      <errorID>7366b7d2-f8e0-46d2-a5b1-30991860c573</errorID>
      <errorWord>对于</errorWord>
      <group>L1_Word</group>
      <groupName>字词问题</groupName>
      <ability>L2_Typo</ability>
      <abilityName>字词错误</abilityName>
      <candidateList>
        <item>对</item>
      </candidateList>
      <explain/>
      <paraID> 4D2329E</paraID>
      <start>20</start>
      <end>22</end>
      <status>unmodified</status>
      <modifiedWord/>
      <trackRevisions>false</trackRevisions>
    </reviewItem>
    <reviewItem>
      <errorID>d290903f-d6d1-4227-a0bf-cab6d87a49ef</errorID>
      <errorWord>》</errorWord>
      <group>L1_Word</group>
      <groupName>字词问题</groupName>
      <ability>L2_Typo</ability>
      <abilityName>字词错误</abilityName>
      <candidateList>
        <item>》和</item>
      </candidateList>
      <explain/>
      <paraID> 4D2329E</paraID>
      <start>64</start>
      <end>65</end>
      <status>unmodified</status>
      <modifiedWord/>
      <trackRevisions>false</trackRevisions>
    </reviewItem>
    <reviewItem>
      <errorID>2b278101-3f44-4b50-a3a8-293e3e86e0f8</errorID>
      <errorWord>)</errorWord>
      <group>L1_Format</group>
      <groupName>格式问题</groupName>
      <ability>L2_HalfPunc_CN</ability>
      <abilityName>全半角问题</abilityName>
      <candidateList>
        <item>）</item>
      </candidateList>
      <explain>文本全半角错误。</explain>
      <paraID> C885778</paraID>
      <start>27</start>
      <end>28</end>
      <status>unmodified</status>
      <modifiedWord/>
      <trackRevisions>false</trackRevisions>
    </reviewItem>
    <reviewItem>
      <errorID>1a846aae-db4d-48f8-8688-a90b2b99a281</errorID>
      <errorWord>生态红线</errorWord>
      <group>L1_Political</group>
      <groupName>政治性问题</groupName>
      <ability>L2_Unpolitical</ability>
      <abilityName>政治敏感错误</abilityName>
      <candidateList>
        <item>生态保护红线</item>
      </candidateList>
      <explain/>
      <paraID>20F67E80</paraID>
      <start>19</start>
      <end>25</end>
      <status>modified</status>
      <modifiedWord>生态保护红线</modifiedWord>
      <trackRevisions>false</trackRevisions>
    </reviewItem>
    <reviewItem>
      <errorID>ae31008c-0fc9-4f25-b8b6-f8866b63d3e8</errorID>
      <errorWord>；</errorWord>
      <group>L1_Word</group>
      <groupName>字词问题</groupName>
      <ability>L2_Typo</ability>
      <abilityName>字词错误</abilityName>
      <candidateList>
        <item>；在</item>
      </candidateList>
      <explain/>
      <paraID>20F67E80</paraID>
      <start>221</start>
      <end>223</end>
      <status>modified</status>
      <modifiedWord>；在</modifiedWord>
      <trackRevisions>false</trackRevisions>
    </reviewItem>
    <reviewItem>
      <errorID>f454349b-5448-4750-bb54-0829eb868612</errorID>
      <errorWord>；</errorWord>
      <group>L1_Word</group>
      <groupName>字词问题</groupName>
      <ability>L2_Typo</ability>
      <abilityName>字词错误</abilityName>
      <candidateList>
        <item>；在</item>
      </candidateList>
      <explain/>
      <paraID>20F67E80</paraID>
      <start>321</start>
      <end>323</end>
      <status>modified</status>
      <modifiedWord>；在</modifiedWord>
      <trackRevisions>false</trackRevisions>
    </reviewItem>
    <reviewItem>
      <errorID>e9ca4659-c137-4392-afeb-e907829fe378</errorID>
      <errorWord>措施下</errorWord>
      <group>L1_Word</group>
      <groupName>字词问题</groupName>
      <ability>L2_Typo</ability>
      <abilityName>字词错误</abilityName>
      <candidateList>
        <item>措施</item>
      </candidateList>
      <explain/>
      <paraID>20F67E80</paraID>
      <start>341</start>
      <end>344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11c85f-3428-4535-8666-81be4115e81d}">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92</Pages>
  <Words>23760</Words>
  <Characters>24988</Characters>
  <Lines>9</Lines>
  <Paragraphs>2</Paragraphs>
  <TotalTime>0</TotalTime>
  <ScaleCrop>false</ScaleCrop>
  <LinksUpToDate>false</LinksUpToDate>
  <CharactersWithSpaces>25131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学会珍惜</cp:lastModifiedBy>
  <cp:lastPrinted>2021-07-30T07:53:00Z</cp:lastPrinted>
  <dcterms:modified xsi:type="dcterms:W3CDTF">2026-10-09T05:31:26Z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11535323_btnclosed</vt:lpwstr>
  </property>
  <property fmtid="{D5CDD505-2E9C-101B-9397-08002B2CF9AE}" pid="4" name="ICV">
    <vt:lpwstr>10E3B54BFA8F4FF29927EED9BD86705E_13</vt:lpwstr>
  </property>
  <property fmtid="{D5CDD505-2E9C-101B-9397-08002B2CF9AE}" pid="5" name="KSOTemplateDocerSaveRecord">
    <vt:lpwstr>eyJoZGlkIjoiNDU2MDM5YmZmYjM1YWVjZWY0NTc1OGZjZWFhZDc5Y2QiLCJ1c2VySWQiOiI1Mjc0MDY4NTEifQ==</vt:lpwstr>
  </property>
</Properties>
</file>