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仿宋_GB2312" w:eastAsia="仿宋_GB2312" w:cs="仿宋_GB2312"/>
          <w:sz w:val="36"/>
          <w:szCs w:val="36"/>
        </w:rPr>
      </w:pPr>
      <w:bookmarkStart w:id="0" w:name="_Hlk57883707"/>
    </w:p>
    <w:p>
      <w:pPr>
        <w:rPr>
          <w:rFonts w:ascii="仿宋_GB2312" w:hAnsi="仿宋_GB2312" w:eastAsia="仿宋_GB2312" w:cs="仿宋_GB2312"/>
          <w:sz w:val="36"/>
          <w:szCs w:val="36"/>
        </w:rPr>
      </w:pPr>
    </w:p>
    <w:p>
      <w:pPr>
        <w:rPr>
          <w:rFonts w:ascii="仿宋_GB2312" w:hAnsi="仿宋_GB2312" w:eastAsia="仿宋_GB2312" w:cs="仿宋_GB2312"/>
          <w:sz w:val="36"/>
          <w:szCs w:val="36"/>
        </w:rPr>
      </w:pPr>
    </w:p>
    <w:p>
      <w:pPr>
        <w:rPr>
          <w:rFonts w:ascii="仿宋_GB2312" w:hAnsi="仿宋_GB2312" w:eastAsia="仿宋_GB2312" w:cs="仿宋_GB2312"/>
          <w:sz w:val="36"/>
          <w:szCs w:val="36"/>
        </w:rPr>
      </w:pPr>
    </w:p>
    <w:p>
      <w:pPr>
        <w:rPr>
          <w:rFonts w:hint="eastAsia" w:ascii="仿宋_GB2312" w:hAnsi="仿宋_GB2312" w:eastAsia="仿宋_GB2312" w:cs="仿宋_GB2312"/>
          <w:sz w:val="36"/>
          <w:szCs w:val="36"/>
        </w:rPr>
      </w:pPr>
    </w:p>
    <w:p>
      <w:pPr>
        <w:adjustRightInd w:val="0"/>
        <w:snapToGrid w:val="0"/>
        <w:jc w:val="center"/>
        <w:outlineLvl w:val="0"/>
        <w:rPr>
          <w:rFonts w:hint="eastAsia" w:ascii="方正小标宋_GBK" w:hAnsi="Times New Roman" w:eastAsia="方正小标宋_GBK" w:cs="Times New Roman"/>
          <w:bCs/>
          <w:sz w:val="60"/>
          <w:szCs w:val="60"/>
        </w:rPr>
      </w:pPr>
      <w:r>
        <w:rPr>
          <w:rFonts w:hint="eastAsia" w:ascii="方正小标宋_GBK" w:hAnsi="Times New Roman" w:eastAsia="方正小标宋_GBK" w:cs="Times New Roman"/>
          <w:bCs/>
          <w:sz w:val="60"/>
          <w:szCs w:val="60"/>
        </w:rPr>
        <w:t>建设项目</w:t>
      </w:r>
      <w:r>
        <w:rPr>
          <w:rFonts w:hint="eastAsia" w:ascii="方正小标宋_GBK" w:eastAsia="方正小标宋_GBK" w:cs="Times New Roman"/>
          <w:bCs/>
          <w:sz w:val="60"/>
          <w:szCs w:val="60"/>
          <w:lang w:val="en-US" w:eastAsia="zh-CN"/>
        </w:rPr>
        <w:t>生态</w:t>
      </w:r>
      <w:r>
        <w:rPr>
          <w:rFonts w:hint="eastAsia" w:ascii="方正小标宋_GBK" w:hAnsi="Times New Roman" w:eastAsia="方正小标宋_GBK" w:cs="Times New Roman"/>
          <w:bCs/>
          <w:sz w:val="60"/>
          <w:szCs w:val="60"/>
        </w:rPr>
        <w:t>环境影响报告表</w:t>
      </w:r>
    </w:p>
    <w:p>
      <w:pPr>
        <w:adjustRightInd w:val="0"/>
        <w:snapToGrid w:val="0"/>
        <w:spacing w:before="192" w:beforeLines="80"/>
        <w:jc w:val="center"/>
        <w:rPr>
          <w:rFonts w:hint="eastAsia" w:ascii="楷体_GB2312" w:hAnsi="Times New Roman" w:eastAsia="楷体_GB2312" w:cs="Times New Roman"/>
          <w:bCs/>
          <w:sz w:val="48"/>
          <w:szCs w:val="48"/>
        </w:rPr>
      </w:pPr>
      <w:r>
        <w:rPr>
          <w:rFonts w:hint="eastAsia" w:ascii="楷体_GB2312" w:hAnsi="Times New Roman" w:eastAsia="楷体_GB2312" w:cs="Times New Roman"/>
          <w:bCs/>
          <w:sz w:val="48"/>
          <w:szCs w:val="48"/>
        </w:rPr>
        <w:t>（</w:t>
      </w:r>
      <w:r>
        <w:rPr>
          <w:rFonts w:hint="eastAsia" w:ascii="楷体_GB2312" w:hAnsi="Times New Roman" w:eastAsia="楷体_GB2312" w:cs="Times New Roman"/>
          <w:bCs/>
          <w:sz w:val="48"/>
          <w:szCs w:val="48"/>
          <w:lang w:val="en-US" w:eastAsia="zh-CN"/>
        </w:rPr>
        <w:t>生态</w:t>
      </w:r>
      <w:r>
        <w:rPr>
          <w:rFonts w:hint="eastAsia" w:ascii="楷体_GB2312" w:hAnsi="Times New Roman" w:eastAsia="楷体_GB2312" w:cs="Times New Roman"/>
          <w:bCs/>
          <w:sz w:val="48"/>
          <w:szCs w:val="48"/>
        </w:rPr>
        <w:t>影响类）</w:t>
      </w:r>
    </w:p>
    <w:p>
      <w:pPr>
        <w:adjustRightInd w:val="0"/>
        <w:snapToGrid w:val="0"/>
        <w:spacing w:line="288" w:lineRule="auto"/>
        <w:jc w:val="center"/>
        <w:outlineLvl w:val="0"/>
        <w:rPr>
          <w:rFonts w:ascii="华文仿宋" w:hAnsi="华文仿宋" w:eastAsia="华文仿宋" w:cs="华文仿宋"/>
          <w:color w:val="000000"/>
          <w:kern w:val="44"/>
          <w:sz w:val="44"/>
          <w:szCs w:val="44"/>
        </w:rPr>
      </w:pPr>
    </w:p>
    <w:p>
      <w:pPr>
        <w:jc w:val="center"/>
        <w:rPr>
          <w:rFonts w:ascii="Times New Roman" w:hAnsi="Times New Roman" w:eastAsia="仿宋" w:cs="Times New Roman"/>
          <w:sz w:val="52"/>
          <w:szCs w:val="52"/>
        </w:rPr>
      </w:pPr>
    </w:p>
    <w:p>
      <w:pPr>
        <w:ind w:firstLine="1040"/>
        <w:rPr>
          <w:rFonts w:ascii="Times New Roman" w:hAnsi="Times New Roman" w:eastAsia="仿宋" w:cs="Times New Roman"/>
          <w:sz w:val="44"/>
          <w:szCs w:val="44"/>
        </w:rPr>
      </w:pPr>
    </w:p>
    <w:p>
      <w:pPr>
        <w:ind w:firstLine="1040"/>
        <w:rPr>
          <w:rFonts w:ascii="Times New Roman" w:hAnsi="Times New Roman" w:eastAsia="仿宋" w:cs="Times New Roman"/>
          <w:sz w:val="44"/>
          <w:szCs w:val="44"/>
        </w:rPr>
      </w:pPr>
    </w:p>
    <w:p>
      <w:pPr>
        <w:ind w:firstLine="1040"/>
        <w:rPr>
          <w:rFonts w:ascii="Times New Roman" w:hAnsi="Times New Roman" w:eastAsia="仿宋" w:cs="Times New Roman"/>
          <w:sz w:val="44"/>
          <w:szCs w:val="44"/>
        </w:rPr>
      </w:pPr>
    </w:p>
    <w:p>
      <w:pPr>
        <w:ind w:firstLine="1040"/>
        <w:rPr>
          <w:rFonts w:ascii="Times New Roman" w:hAnsi="Times New Roman" w:eastAsia="仿宋" w:cs="Times New Roman"/>
          <w:sz w:val="44"/>
          <w:szCs w:val="44"/>
        </w:rPr>
      </w:pPr>
    </w:p>
    <w:p>
      <w:pPr>
        <w:adjustRightInd w:val="0"/>
        <w:snapToGrid w:val="0"/>
        <w:spacing w:line="288" w:lineRule="auto"/>
        <w:jc w:val="both"/>
        <w:rPr>
          <w:rFonts w:hint="eastAsia" w:ascii="仿宋_GB2312" w:hAnsi="Times New Roman" w:eastAsia="仿宋_GB2312" w:cs="Times New Roman"/>
          <w:sz w:val="36"/>
          <w:szCs w:val="36"/>
        </w:rPr>
      </w:pPr>
      <w:bookmarkStart w:id="1" w:name="_Hlk57884087"/>
    </w:p>
    <w:p>
      <w:pPr>
        <w:adjustRightInd w:val="0"/>
        <w:snapToGrid w:val="0"/>
        <w:spacing w:line="288" w:lineRule="auto"/>
        <w:jc w:val="both"/>
        <w:rPr>
          <w:rFonts w:hint="eastAsia" w:ascii="仿宋_GB2312" w:hAnsi="Times New Roman" w:eastAsia="仿宋_GB2312" w:cs="Times New Roman"/>
          <w:sz w:val="36"/>
          <w:szCs w:val="36"/>
        </w:rPr>
      </w:pPr>
    </w:p>
    <w:p>
      <w:pPr>
        <w:adjustRightInd w:val="0"/>
        <w:snapToGrid w:val="0"/>
        <w:spacing w:line="288" w:lineRule="auto"/>
        <w:jc w:val="both"/>
        <w:rPr>
          <w:rFonts w:hint="default" w:ascii="仿宋_GB2312" w:hAnsi="Times New Roman" w:eastAsia="仿宋_GB2312" w:cs="Times New Roman"/>
          <w:sz w:val="36"/>
          <w:szCs w:val="36"/>
          <w:u w:val="single"/>
          <w:lang w:val="en-US" w:eastAsia="zh-CN"/>
        </w:rPr>
      </w:pPr>
      <w:r>
        <w:rPr>
          <w:rFonts w:hint="eastAsia" w:ascii="仿宋_GB2312" w:hAnsi="Times New Roman" w:eastAsia="仿宋_GB2312" w:cs="Times New Roman"/>
          <w:sz w:val="36"/>
          <w:szCs w:val="36"/>
        </w:rPr>
        <w:t>项目名称：</w:t>
      </w:r>
      <w:r>
        <w:rPr>
          <w:rFonts w:hint="eastAsia" w:ascii="仿宋_GB2312" w:eastAsia="仿宋_GB2312" w:cs="Times New Roman"/>
          <w:sz w:val="36"/>
          <w:szCs w:val="36"/>
          <w:u w:val="single"/>
          <w:lang w:val="en-US" w:eastAsia="zh-CN"/>
        </w:rPr>
        <w:t xml:space="preserve">新疆和硕县绰汗哈尔肯铜多金属矿勘探     </w:t>
      </w:r>
    </w:p>
    <w:p>
      <w:pPr>
        <w:adjustRightInd w:val="0"/>
        <w:snapToGrid w:val="0"/>
        <w:spacing w:line="288" w:lineRule="auto"/>
        <w:jc w:val="both"/>
        <w:rPr>
          <w:rFonts w:hint="default" w:ascii="仿宋_GB2312" w:hAnsi="Times New Roman" w:eastAsia="仿宋_GB2312" w:cs="Times New Roman"/>
          <w:sz w:val="36"/>
          <w:szCs w:val="36"/>
          <w:u w:val="single"/>
          <w:lang w:val="en-US" w:eastAsia="zh-CN"/>
        </w:rPr>
      </w:pPr>
      <w:r>
        <w:rPr>
          <w:rFonts w:hint="eastAsia" w:ascii="仿宋_GB2312" w:hAnsi="Times New Roman" w:eastAsia="仿宋_GB2312" w:cs="Times New Roman"/>
          <w:sz w:val="36"/>
          <w:szCs w:val="36"/>
        </w:rPr>
        <w:t>建设单位（盖章）：</w:t>
      </w:r>
      <w:r>
        <w:rPr>
          <w:rFonts w:hint="eastAsia" w:ascii="仿宋_GB2312" w:eastAsia="仿宋_GB2312" w:cs="Times New Roman"/>
          <w:sz w:val="36"/>
          <w:szCs w:val="36"/>
          <w:u w:val="single"/>
          <w:lang w:val="en-US" w:eastAsia="zh-CN"/>
        </w:rPr>
        <w:t>北京天承盛西矿业技术开发有限公司</w:t>
      </w:r>
    </w:p>
    <w:p>
      <w:pPr>
        <w:adjustRightInd w:val="0"/>
        <w:snapToGrid w:val="0"/>
        <w:spacing w:line="288" w:lineRule="auto"/>
        <w:ind w:firstLine="720" w:firstLineChars="200"/>
        <w:rPr>
          <w:rFonts w:hint="default" w:ascii="仿宋_GB2312" w:hAnsi="Times New Roman" w:eastAsia="仿宋_GB2312" w:cs="Times New Roman"/>
          <w:sz w:val="36"/>
          <w:szCs w:val="36"/>
          <w:u w:val="single"/>
          <w:lang w:val="en-US" w:eastAsia="zh-CN"/>
        </w:rPr>
      </w:pPr>
      <w:r>
        <w:rPr>
          <w:rFonts w:hint="eastAsia" w:ascii="仿宋_GB2312" w:hAnsi="Times New Roman" w:eastAsia="仿宋_GB2312" w:cs="Times New Roman"/>
          <w:sz w:val="36"/>
          <w:szCs w:val="36"/>
        </w:rPr>
        <w:t>编制日期：</w:t>
      </w:r>
      <w:r>
        <w:rPr>
          <w:rFonts w:hint="eastAsia" w:ascii="仿宋_GB2312" w:hAnsi="Times New Roman" w:eastAsia="仿宋_GB2312" w:cs="Times New Roman"/>
          <w:sz w:val="36"/>
          <w:szCs w:val="36"/>
          <w:u w:val="single"/>
          <w:lang w:val="en-US" w:eastAsia="zh-CN"/>
        </w:rPr>
        <w:t xml:space="preserve">           2026年</w:t>
      </w:r>
      <w:r>
        <w:rPr>
          <w:rFonts w:hint="eastAsia" w:ascii="仿宋_GB2312" w:eastAsia="仿宋_GB2312" w:cs="Times New Roman"/>
          <w:sz w:val="36"/>
          <w:szCs w:val="36"/>
          <w:u w:val="single"/>
          <w:lang w:val="en-US" w:eastAsia="zh-CN"/>
        </w:rPr>
        <w:t>10</w:t>
      </w:r>
      <w:r>
        <w:rPr>
          <w:rFonts w:hint="eastAsia" w:ascii="仿宋_GB2312" w:hAnsi="Times New Roman" w:eastAsia="仿宋_GB2312" w:cs="Times New Roman"/>
          <w:sz w:val="36"/>
          <w:szCs w:val="36"/>
          <w:u w:val="single"/>
          <w:lang w:val="en-US" w:eastAsia="zh-CN"/>
        </w:rPr>
        <w:t>月</w:t>
      </w:r>
      <w:r>
        <w:rPr>
          <w:rFonts w:ascii="仿宋_GB2312" w:hAnsi="Times New Roman" w:eastAsia="仿宋_GB2312" w:cs="Times New Roman"/>
          <w:sz w:val="36"/>
          <w:szCs w:val="36"/>
          <w:u w:val="single"/>
        </w:rPr>
        <w:t xml:space="preserve">   </w:t>
      </w:r>
      <w:r>
        <w:rPr>
          <w:rFonts w:hint="eastAsia" w:ascii="仿宋_GB2312" w:hAnsi="Times New Roman" w:eastAsia="仿宋_GB2312" w:cs="Times New Roman"/>
          <w:sz w:val="36"/>
          <w:szCs w:val="36"/>
          <w:u w:val="single"/>
          <w:lang w:val="en-US" w:eastAsia="zh-CN"/>
        </w:rPr>
        <w:t xml:space="preserve"> </w:t>
      </w:r>
      <w:r>
        <w:rPr>
          <w:rFonts w:ascii="仿宋_GB2312" w:hAnsi="Times New Roman" w:eastAsia="仿宋_GB2312" w:cs="Times New Roman"/>
          <w:sz w:val="36"/>
          <w:szCs w:val="36"/>
          <w:u w:val="single"/>
        </w:rPr>
        <w:t xml:space="preserve">   </w:t>
      </w:r>
      <w:r>
        <w:rPr>
          <w:rFonts w:hint="eastAsia" w:ascii="仿宋_GB2312" w:hAnsi="Times New Roman" w:eastAsia="仿宋_GB2312" w:cs="Times New Roman"/>
          <w:sz w:val="36"/>
          <w:szCs w:val="36"/>
          <w:u w:val="single"/>
          <w:lang w:val="en-US" w:eastAsia="zh-CN"/>
        </w:rPr>
        <w:t xml:space="preserve">  </w:t>
      </w:r>
      <w:r>
        <w:rPr>
          <w:rFonts w:hint="eastAsia" w:ascii="仿宋_GB2312" w:eastAsia="仿宋_GB2312" w:cs="Times New Roman"/>
          <w:sz w:val="36"/>
          <w:szCs w:val="36"/>
          <w:u w:val="single"/>
          <w:lang w:val="en-US" w:eastAsia="zh-CN"/>
        </w:rPr>
        <w:t xml:space="preserve">   </w:t>
      </w:r>
      <w:r>
        <w:rPr>
          <w:rFonts w:hint="eastAsia" w:ascii="仿宋_GB2312" w:hAnsi="Times New Roman" w:eastAsia="仿宋_GB2312" w:cs="Times New Roman"/>
          <w:sz w:val="36"/>
          <w:szCs w:val="36"/>
          <w:u w:val="single"/>
          <w:lang w:val="en-US" w:eastAsia="zh-CN"/>
        </w:rPr>
        <w:t xml:space="preserve">  </w:t>
      </w:r>
    </w:p>
    <w:p>
      <w:pPr>
        <w:adjustRightInd w:val="0"/>
        <w:snapToGrid w:val="0"/>
        <w:spacing w:line="288" w:lineRule="auto"/>
        <w:ind w:firstLine="1040"/>
        <w:rPr>
          <w:rFonts w:ascii="仿宋_GB2312" w:hAnsi="Times New Roman" w:eastAsia="仿宋_GB2312" w:cs="Times New Roman"/>
          <w:sz w:val="36"/>
          <w:szCs w:val="36"/>
          <w:u w:val="single"/>
        </w:rPr>
      </w:pPr>
    </w:p>
    <w:p>
      <w:pPr>
        <w:adjustRightInd w:val="0"/>
        <w:snapToGrid w:val="0"/>
        <w:spacing w:line="288" w:lineRule="auto"/>
        <w:ind w:firstLine="1040"/>
        <w:rPr>
          <w:rFonts w:ascii="仿宋_GB2312" w:hAnsi="Times New Roman" w:eastAsia="仿宋_GB2312" w:cs="Times New Roman"/>
          <w:sz w:val="36"/>
          <w:szCs w:val="36"/>
        </w:rPr>
      </w:pPr>
    </w:p>
    <w:p>
      <w:pPr>
        <w:adjustRightInd w:val="0"/>
        <w:snapToGrid w:val="0"/>
        <w:spacing w:line="288" w:lineRule="auto"/>
        <w:ind w:firstLine="1040"/>
        <w:rPr>
          <w:rFonts w:ascii="仿宋_GB2312" w:hAnsi="Times New Roman" w:eastAsia="仿宋_GB2312" w:cs="Times New Roman"/>
          <w:sz w:val="36"/>
          <w:szCs w:val="36"/>
        </w:rPr>
      </w:pPr>
    </w:p>
    <w:p>
      <w:pPr>
        <w:adjustRightInd w:val="0"/>
        <w:snapToGrid w:val="0"/>
        <w:spacing w:line="288" w:lineRule="auto"/>
        <w:ind w:firstLine="1040"/>
        <w:rPr>
          <w:rFonts w:hint="eastAsia" w:ascii="仿宋_GB2312" w:hAnsi="Times New Roman" w:eastAsia="仿宋_GB2312" w:cs="Times New Roman"/>
          <w:sz w:val="36"/>
          <w:szCs w:val="36"/>
        </w:rPr>
      </w:pPr>
    </w:p>
    <w:bookmarkEnd w:id="1"/>
    <w:p>
      <w:pPr>
        <w:adjustRightInd w:val="0"/>
        <w:snapToGrid w:val="0"/>
        <w:spacing w:line="288" w:lineRule="auto"/>
        <w:jc w:val="center"/>
        <w:rPr>
          <w:rFonts w:hint="eastAsia" w:ascii="楷体_GB2312" w:hAnsi="Times New Roman" w:eastAsia="楷体_GB2312" w:cs="Times New Roman"/>
          <w:sz w:val="36"/>
          <w:szCs w:val="36"/>
        </w:rPr>
      </w:pPr>
      <w:r>
        <w:rPr>
          <w:rFonts w:hint="eastAsia" w:ascii="楷体_GB2312" w:hAnsi="Times New Roman" w:eastAsia="楷体_GB2312" w:cs="Times New Roman"/>
          <w:sz w:val="36"/>
          <w:szCs w:val="36"/>
        </w:rPr>
        <w:t>中华人民共和国生态环境部制</w:t>
      </w:r>
    </w:p>
    <w:p>
      <w:pPr>
        <w:adjustRightInd w:val="0"/>
        <w:snapToGrid w:val="0"/>
        <w:spacing w:line="288" w:lineRule="auto"/>
        <w:ind w:firstLine="1040"/>
        <w:rPr>
          <w:rFonts w:ascii="仿宋_GB2312" w:eastAsia="仿宋_GB2312"/>
          <w:sz w:val="36"/>
          <w:szCs w:val="36"/>
        </w:rPr>
        <w:sectPr>
          <w:footerReference r:id="rId3" w:type="default"/>
          <w:footerReference r:id="rId4" w:type="even"/>
          <w:pgSz w:w="11906" w:h="16838"/>
          <w:pgMar w:top="1701" w:right="1531" w:bottom="1701" w:left="1531" w:header="851" w:footer="1077" w:gutter="0"/>
          <w:pgNumType w:fmt="decimal" w:start="3"/>
          <w:cols w:space="720" w:num="1"/>
          <w:docGrid w:linePitch="312" w:charSpace="0"/>
        </w:sectPr>
      </w:pPr>
    </w:p>
    <w:p>
      <w:pPr>
        <w:rPr>
          <w:rFonts w:ascii="仿宋_GB2312" w:hAnsi="仿宋_GB2312" w:eastAsia="仿宋_GB2312" w:cs="仿宋_GB2312"/>
          <w:sz w:val="36"/>
          <w:szCs w:val="36"/>
        </w:rPr>
      </w:pPr>
    </w:p>
    <w:bookmarkEnd w:id="0"/>
    <w:p>
      <w:pPr>
        <w:adjustRightInd w:val="0"/>
        <w:snapToGrid w:val="0"/>
        <w:spacing w:line="288" w:lineRule="auto"/>
        <w:rPr>
          <w:rFonts w:ascii="仿宋_GB2312" w:eastAsia="仿宋_GB2312"/>
          <w:sz w:val="36"/>
          <w:szCs w:val="36"/>
        </w:rPr>
        <w:sectPr>
          <w:headerReference r:id="rId5" w:type="default"/>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start="21"/>
          <w:cols w:space="720" w:num="1"/>
          <w:docGrid w:linePitch="312" w:charSpace="0"/>
        </w:sectPr>
      </w:pPr>
    </w:p>
    <w:p>
      <w:pPr>
        <w:pStyle w:val="21"/>
        <w:keepNext w:val="0"/>
        <w:keepLines w:val="0"/>
        <w:pageBreakBefore w:val="0"/>
        <w:widowControl/>
        <w:kinsoku/>
        <w:wordWrap/>
        <w:overflowPunct/>
        <w:topLinePunct w:val="0"/>
        <w:autoSpaceDE/>
        <w:autoSpaceDN/>
        <w:bidi w:val="0"/>
        <w:adjustRightInd/>
        <w:snapToGrid/>
        <w:spacing w:before="313" w:beforeLines="100" w:beforeAutospacing="0" w:after="313" w:afterLines="100" w:afterAutospacing="0"/>
        <w:jc w:val="center"/>
        <w:textAlignment w:val="auto"/>
        <w:outlineLvl w:val="0"/>
        <w:rPr>
          <w:rFonts w:ascii="黑体" w:hAnsi="黑体" w:eastAsia="黑体"/>
          <w:snapToGrid w:val="0"/>
          <w:sz w:val="30"/>
          <w:szCs w:val="30"/>
        </w:rPr>
      </w:pPr>
      <w:r>
        <w:rPr>
          <w:rFonts w:hint="eastAsia" w:ascii="黑体" w:hAnsi="黑体" w:eastAsia="黑体"/>
          <w:snapToGrid w:val="0"/>
          <w:sz w:val="30"/>
          <w:szCs w:val="30"/>
        </w:rPr>
        <w:t>一、建设项目基本情况</w:t>
      </w:r>
    </w:p>
    <w:tbl>
      <w:tblPr>
        <w:tblStyle w:val="25"/>
        <w:tblW w:w="9039" w:type="dxa"/>
        <w:tblInd w:w="1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634"/>
        <w:gridCol w:w="2512"/>
        <w:gridCol w:w="2310"/>
        <w:gridCol w:w="25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88" w:hRule="atLeast"/>
        </w:trPr>
        <w:tc>
          <w:tcPr>
            <w:tcW w:w="1634"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rPr>
            </w:pPr>
            <w:r>
              <w:rPr>
                <w:rFonts w:hint="eastAsia"/>
              </w:rPr>
              <w:t>建设项目名称</w:t>
            </w:r>
          </w:p>
        </w:tc>
        <w:tc>
          <w:tcPr>
            <w:tcW w:w="7405" w:type="dxa"/>
            <w:gridSpan w:val="3"/>
            <w:noWrap w:val="0"/>
            <w:vAlign w:val="center"/>
          </w:tcPr>
          <w:p>
            <w:pPr>
              <w:pStyle w:val="58"/>
              <w:keepNext w:val="0"/>
              <w:keepLines w:val="0"/>
              <w:suppressLineNumbers w:val="0"/>
              <w:bidi w:val="0"/>
              <w:spacing w:before="0" w:beforeAutospacing="0" w:after="0" w:afterAutospacing="0"/>
              <w:ind w:left="0" w:right="0"/>
              <w:rPr>
                <w:rFonts w:hint="default"/>
                <w:lang w:val="en-US"/>
              </w:rPr>
            </w:pPr>
            <w:r>
              <w:rPr>
                <w:rFonts w:hint="eastAsia"/>
                <w:lang w:val="en-US" w:eastAsia="zh-CN"/>
              </w:rPr>
              <w:t>新疆和硕县绰汗哈尔肯铜多金属矿勘探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1" w:hRule="atLeast"/>
        </w:trPr>
        <w:tc>
          <w:tcPr>
            <w:tcW w:w="1634"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rPr>
            </w:pPr>
            <w:r>
              <w:rPr>
                <w:rFonts w:hint="eastAsia"/>
              </w:rPr>
              <w:t>项目代码</w:t>
            </w:r>
          </w:p>
        </w:tc>
        <w:tc>
          <w:tcPr>
            <w:tcW w:w="7405" w:type="dxa"/>
            <w:gridSpan w:val="3"/>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3" w:hRule="atLeast"/>
        </w:trPr>
        <w:tc>
          <w:tcPr>
            <w:tcW w:w="1634"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rPr>
            </w:pPr>
            <w:r>
              <w:rPr>
                <w:rFonts w:hint="eastAsia"/>
              </w:rPr>
              <w:t>建设单位联系人</w:t>
            </w:r>
          </w:p>
        </w:tc>
        <w:tc>
          <w:tcPr>
            <w:tcW w:w="2512" w:type="dxa"/>
            <w:noWrap w:val="0"/>
            <w:vAlign w:val="center"/>
          </w:tcPr>
          <w:p>
            <w:pPr>
              <w:pStyle w:val="58"/>
              <w:keepNext w:val="0"/>
              <w:keepLines w:val="0"/>
              <w:suppressLineNumbers w:val="0"/>
              <w:bidi w:val="0"/>
              <w:spacing w:before="0" w:beforeAutospacing="0" w:after="0" w:afterAutospacing="0"/>
              <w:ind w:left="0" w:right="0"/>
              <w:rPr>
                <w:rFonts w:hint="default"/>
                <w:highlight w:val="none"/>
                <w:lang w:val="en-US" w:eastAsia="zh-CN"/>
              </w:rPr>
            </w:pPr>
          </w:p>
        </w:tc>
        <w:tc>
          <w:tcPr>
            <w:tcW w:w="2310" w:type="dxa"/>
            <w:noWrap w:val="0"/>
            <w:vAlign w:val="center"/>
          </w:tcPr>
          <w:p>
            <w:pPr>
              <w:pStyle w:val="58"/>
              <w:keepNext w:val="0"/>
              <w:keepLines w:val="0"/>
              <w:suppressLineNumbers w:val="0"/>
              <w:bidi w:val="0"/>
              <w:spacing w:before="0" w:beforeAutospacing="0" w:after="0" w:afterAutospacing="0"/>
              <w:ind w:left="0" w:right="0"/>
              <w:rPr>
                <w:rFonts w:hint="default"/>
                <w:highlight w:val="none"/>
              </w:rPr>
            </w:pPr>
            <w:r>
              <w:rPr>
                <w:rFonts w:hint="eastAsia"/>
                <w:highlight w:val="none"/>
              </w:rPr>
              <w:t>联系方式</w:t>
            </w:r>
          </w:p>
        </w:tc>
        <w:tc>
          <w:tcPr>
            <w:tcW w:w="2583" w:type="dxa"/>
            <w:noWrap w:val="0"/>
            <w:vAlign w:val="center"/>
          </w:tcPr>
          <w:p>
            <w:pPr>
              <w:pStyle w:val="58"/>
              <w:keepNext w:val="0"/>
              <w:keepLines w:val="0"/>
              <w:suppressLineNumbers w:val="0"/>
              <w:bidi w:val="0"/>
              <w:spacing w:before="0" w:beforeAutospacing="0" w:after="0" w:afterAutospacing="0"/>
              <w:ind w:left="0" w:right="0"/>
              <w:rPr>
                <w:rFonts w:hint="default" w:eastAsia="宋体"/>
                <w:highlight w:val="none"/>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73" w:hRule="atLeast"/>
        </w:trPr>
        <w:tc>
          <w:tcPr>
            <w:tcW w:w="1634"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rPr>
            </w:pPr>
            <w:r>
              <w:rPr>
                <w:rFonts w:hint="eastAsia"/>
              </w:rPr>
              <w:t>建设地点</w:t>
            </w:r>
          </w:p>
        </w:tc>
        <w:tc>
          <w:tcPr>
            <w:tcW w:w="7405" w:type="dxa"/>
            <w:gridSpan w:val="3"/>
            <w:noWrap w:val="0"/>
            <w:vAlign w:val="center"/>
          </w:tcPr>
          <w:p>
            <w:pPr>
              <w:pStyle w:val="58"/>
              <w:keepNext w:val="0"/>
              <w:keepLines w:val="0"/>
              <w:suppressLineNumbers w:val="0"/>
              <w:bidi w:val="0"/>
              <w:spacing w:before="0" w:beforeAutospacing="0" w:after="0" w:afterAutospacing="0"/>
              <w:ind w:left="0" w:right="0"/>
              <w:rPr>
                <w:rFonts w:hint="default"/>
                <w:b/>
                <w:bCs/>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66" w:hRule="atLeast"/>
        </w:trPr>
        <w:tc>
          <w:tcPr>
            <w:tcW w:w="1634"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rPr>
            </w:pPr>
            <w:r>
              <w:rPr>
                <w:rFonts w:hint="eastAsia"/>
              </w:rPr>
              <w:t>地理坐标</w:t>
            </w:r>
          </w:p>
        </w:tc>
        <w:tc>
          <w:tcPr>
            <w:tcW w:w="7405" w:type="dxa"/>
            <w:gridSpan w:val="3"/>
            <w:noWrap w:val="0"/>
            <w:vAlign w:val="center"/>
          </w:tcPr>
          <w:p>
            <w:pPr>
              <w:pStyle w:val="58"/>
              <w:keepNext w:val="0"/>
              <w:keepLines w:val="0"/>
              <w:suppressLineNumbers w:val="0"/>
              <w:bidi w:val="0"/>
              <w:spacing w:before="0" w:beforeAutospacing="0" w:after="0" w:afterAutospacing="0"/>
              <w:ind w:left="0" w:right="0"/>
              <w:jc w:val="center"/>
              <w:rPr>
                <w:rFonts w:hint="default" w:ascii="Times New Roman" w:hAnsi="Times New Roman" w:cs="Times New Roman"/>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1634"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color w:val="auto"/>
              </w:rPr>
            </w:pPr>
            <w:r>
              <w:rPr>
                <w:rFonts w:hint="eastAsia"/>
                <w:color w:val="auto"/>
              </w:rPr>
              <w:t>建设项目</w:t>
            </w:r>
          </w:p>
          <w:p>
            <w:pPr>
              <w:pStyle w:val="58"/>
              <w:keepNext w:val="0"/>
              <w:keepLines w:val="0"/>
              <w:suppressLineNumbers w:val="0"/>
              <w:bidi w:val="0"/>
              <w:spacing w:before="0" w:beforeAutospacing="0" w:after="0" w:afterAutospacing="0"/>
              <w:ind w:left="0" w:right="0"/>
              <w:rPr>
                <w:rFonts w:hint="default"/>
                <w:color w:val="auto"/>
              </w:rPr>
            </w:pPr>
            <w:r>
              <w:rPr>
                <w:rFonts w:hint="eastAsia"/>
                <w:color w:val="auto"/>
              </w:rPr>
              <w:t>行业类别</w:t>
            </w:r>
          </w:p>
        </w:tc>
        <w:tc>
          <w:tcPr>
            <w:tcW w:w="2512" w:type="dxa"/>
            <w:noWrap w:val="0"/>
            <w:vAlign w:val="center"/>
          </w:tcPr>
          <w:p>
            <w:pPr>
              <w:pStyle w:val="58"/>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四十六、专业技术服务业-99 陆地矿产资源地质勘查（含油气资源勘探）；二氧化碳地质封存-全部</w:t>
            </w:r>
          </w:p>
        </w:tc>
        <w:tc>
          <w:tcPr>
            <w:tcW w:w="2310" w:type="dxa"/>
            <w:noWrap w:val="0"/>
            <w:vAlign w:val="center"/>
          </w:tcPr>
          <w:p>
            <w:pPr>
              <w:pStyle w:val="58"/>
              <w:keepNext w:val="0"/>
              <w:keepLines w:val="0"/>
              <w:suppressLineNumbers w:val="0"/>
              <w:bidi w:val="0"/>
              <w:spacing w:before="0" w:beforeAutospacing="0" w:after="0" w:afterAutospacing="0"/>
              <w:ind w:left="0" w:right="0"/>
              <w:rPr>
                <w:rFonts w:hint="default"/>
                <w:color w:val="auto"/>
              </w:rPr>
            </w:pPr>
            <w:r>
              <w:rPr>
                <w:rFonts w:hint="eastAsia"/>
                <w:color w:val="auto"/>
              </w:rPr>
              <w:t>用地（用海）面积（</w:t>
            </w:r>
            <w:r>
              <w:rPr>
                <w:rFonts w:hint="default"/>
                <w:color w:val="auto"/>
              </w:rPr>
              <w:t>m</w:t>
            </w:r>
            <w:r>
              <w:rPr>
                <w:rFonts w:hint="default"/>
                <w:color w:val="auto"/>
                <w:vertAlign w:val="superscript"/>
              </w:rPr>
              <w:t>2</w:t>
            </w:r>
            <w:r>
              <w:rPr>
                <w:rFonts w:hint="eastAsia"/>
                <w:color w:val="auto"/>
              </w:rPr>
              <w:t>）</w:t>
            </w:r>
            <w:r>
              <w:rPr>
                <w:rFonts w:hint="default"/>
                <w:color w:val="auto"/>
              </w:rPr>
              <w:t>/</w:t>
            </w:r>
            <w:r>
              <w:rPr>
                <w:rFonts w:hint="eastAsia"/>
                <w:color w:val="auto"/>
              </w:rPr>
              <w:t>长度（</w:t>
            </w:r>
            <w:r>
              <w:rPr>
                <w:rFonts w:hint="default"/>
                <w:color w:val="auto"/>
              </w:rPr>
              <w:t>km</w:t>
            </w:r>
            <w:r>
              <w:rPr>
                <w:rFonts w:hint="eastAsia"/>
                <w:color w:val="auto"/>
              </w:rPr>
              <w:t>）</w:t>
            </w:r>
          </w:p>
        </w:tc>
        <w:tc>
          <w:tcPr>
            <w:tcW w:w="2583" w:type="dxa"/>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临时占地面积为660m</w:t>
            </w:r>
            <w:r>
              <w:rPr>
                <w:rFonts w:hint="eastAsia"/>
                <w:color w:val="auto"/>
                <w:highlight w:val="none"/>
                <w:vertAlign w:val="superscript"/>
                <w:lang w:val="en-US" w:eastAsia="zh-CN"/>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1634"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rPr>
              <w:t>建设性质</w:t>
            </w:r>
          </w:p>
        </w:tc>
        <w:tc>
          <w:tcPr>
            <w:tcW w:w="2512" w:type="dxa"/>
            <w:noWrap w:val="0"/>
            <w:vAlign w:val="center"/>
          </w:tcPr>
          <w:p>
            <w:pPr>
              <w:keepNext w:val="0"/>
              <w:keepLines w:val="0"/>
              <w:suppressLineNumbers w:val="0"/>
              <w:adjustRightInd w:val="0"/>
              <w:snapToGrid w:val="0"/>
              <w:spacing w:before="0" w:beforeAutospacing="0" w:after="0" w:afterAutospacing="0"/>
              <w:ind w:left="0" w:right="0"/>
              <w:jc w:val="left"/>
              <w:rPr>
                <w:rFonts w:hint="default"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新建（迁建）</w:t>
            </w:r>
          </w:p>
          <w:p>
            <w:pPr>
              <w:keepNext w:val="0"/>
              <w:keepLines w:val="0"/>
              <w:suppressLineNumbers w:val="0"/>
              <w:adjustRightInd w:val="0"/>
              <w:snapToGrid w:val="0"/>
              <w:spacing w:before="0" w:beforeAutospacing="0" w:after="0" w:afterAutospacing="0"/>
              <w:ind w:left="0" w:right="0"/>
              <w:jc w:val="left"/>
              <w:rPr>
                <w:rFonts w:hint="default" w:ascii="宋体" w:hAnsi="宋体" w:cs="宋体"/>
                <w:color w:val="auto"/>
                <w:szCs w:val="21"/>
                <w:highlight w:val="none"/>
              </w:rPr>
            </w:pPr>
            <w:r>
              <w:rPr>
                <w:rFonts w:hint="eastAsia" w:ascii="宋体" w:hAnsi="宋体" w:cs="宋体"/>
                <w:color w:val="auto"/>
                <w:szCs w:val="21"/>
                <w:highlight w:val="none"/>
              </w:rPr>
              <w:t>□改建</w:t>
            </w:r>
          </w:p>
          <w:p>
            <w:pPr>
              <w:keepNext w:val="0"/>
              <w:keepLines w:val="0"/>
              <w:suppressLineNumbers w:val="0"/>
              <w:adjustRightInd w:val="0"/>
              <w:snapToGrid w:val="0"/>
              <w:spacing w:before="0" w:beforeAutospacing="0" w:after="0" w:afterAutospacing="0"/>
              <w:ind w:left="0" w:right="0"/>
              <w:jc w:val="left"/>
              <w:rPr>
                <w:rFonts w:hint="default" w:ascii="宋体" w:hAnsi="宋体" w:cs="宋体"/>
                <w:color w:val="auto"/>
                <w:szCs w:val="21"/>
                <w:highlight w:val="none"/>
              </w:rPr>
            </w:pPr>
            <w:r>
              <w:rPr>
                <w:rFonts w:hint="eastAsia" w:ascii="宋体" w:hAnsi="宋体" w:cs="宋体"/>
                <w:color w:val="auto"/>
                <w:szCs w:val="21"/>
                <w:highlight w:val="none"/>
              </w:rPr>
              <w:t>□扩建</w:t>
            </w:r>
          </w:p>
          <w:p>
            <w:pPr>
              <w:keepNext w:val="0"/>
              <w:keepLines w:val="0"/>
              <w:suppressLineNumbers w:val="0"/>
              <w:adjustRightInd w:val="0"/>
              <w:snapToGrid w:val="0"/>
              <w:spacing w:before="0" w:beforeAutospacing="0" w:after="0" w:afterAutospacing="0"/>
              <w:ind w:left="0" w:right="0"/>
              <w:jc w:val="left"/>
              <w:rPr>
                <w:rFonts w:hint="default" w:ascii="宋体" w:hAnsi="宋体" w:cs="宋体"/>
                <w:color w:val="auto"/>
                <w:szCs w:val="21"/>
                <w:highlight w:val="none"/>
              </w:rPr>
            </w:pPr>
            <w:r>
              <w:rPr>
                <w:rFonts w:hint="eastAsia" w:ascii="宋体" w:hAnsi="宋体" w:cs="宋体"/>
                <w:color w:val="auto"/>
                <w:szCs w:val="21"/>
                <w:highlight w:val="none"/>
              </w:rPr>
              <w:t>□技术改造</w:t>
            </w:r>
          </w:p>
        </w:tc>
        <w:tc>
          <w:tcPr>
            <w:tcW w:w="2310"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cs="宋体"/>
                <w:color w:val="auto"/>
                <w:szCs w:val="21"/>
                <w:lang w:val="en-US" w:eastAsia="zh-CN"/>
              </w:rPr>
            </w:pPr>
            <w:r>
              <w:rPr>
                <w:rFonts w:hint="eastAsia" w:ascii="宋体" w:hAnsi="宋体" w:cs="宋体"/>
                <w:color w:val="auto"/>
                <w:szCs w:val="21"/>
              </w:rPr>
              <w:t>建设项目</w:t>
            </w:r>
            <w:r>
              <w:rPr>
                <w:rFonts w:hint="eastAsia" w:ascii="宋体" w:hAnsi="宋体" w:cs="宋体"/>
                <w:color w:val="auto"/>
                <w:szCs w:val="21"/>
                <w:lang w:val="en-US" w:eastAsia="zh-CN"/>
              </w:rPr>
              <w:t xml:space="preserve">   </w:t>
            </w:r>
          </w:p>
          <w:p>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szCs w:val="21"/>
              </w:rPr>
            </w:pPr>
            <w:r>
              <w:rPr>
                <w:rFonts w:hint="eastAsia" w:ascii="宋体" w:hAnsi="宋体" w:cs="宋体"/>
                <w:color w:val="auto"/>
                <w:szCs w:val="21"/>
              </w:rPr>
              <w:t>申报情形</w:t>
            </w:r>
          </w:p>
        </w:tc>
        <w:tc>
          <w:tcPr>
            <w:tcW w:w="2583" w:type="dxa"/>
            <w:noWrap w:val="0"/>
            <w:vAlign w:val="center"/>
          </w:tcPr>
          <w:p>
            <w:pPr>
              <w:keepNext w:val="0"/>
              <w:keepLines w:val="0"/>
              <w:suppressLineNumbers w:val="0"/>
              <w:adjustRightInd w:val="0"/>
              <w:snapToGrid w:val="0"/>
              <w:spacing w:before="0" w:beforeAutospacing="0" w:after="0" w:afterAutospacing="0"/>
              <w:ind w:left="0" w:right="0"/>
              <w:jc w:val="left"/>
              <w:rPr>
                <w:rFonts w:hint="default" w:ascii="宋体" w:hAns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rPr>
              <w:t>首次申报项目</w:t>
            </w:r>
          </w:p>
          <w:p>
            <w:pPr>
              <w:keepNext w:val="0"/>
              <w:keepLines w:val="0"/>
              <w:suppressLineNumbers w:val="0"/>
              <w:adjustRightInd w:val="0"/>
              <w:snapToGrid w:val="0"/>
              <w:spacing w:before="0" w:beforeAutospacing="0" w:after="0" w:afterAutospacing="0"/>
              <w:ind w:left="0" w:right="0"/>
              <w:jc w:val="left"/>
              <w:rPr>
                <w:rFonts w:hint="default" w:ascii="宋体" w:hAnsi="宋体" w:cs="宋体"/>
                <w:color w:val="auto"/>
                <w:szCs w:val="21"/>
              </w:rPr>
            </w:pPr>
            <w:r>
              <w:rPr>
                <w:rFonts w:hint="eastAsia" w:ascii="宋体" w:hAnsi="宋体" w:cs="宋体"/>
                <w:color w:val="auto"/>
                <w:szCs w:val="21"/>
              </w:rPr>
              <w:t>□不予批准后再次申报项目</w:t>
            </w:r>
          </w:p>
          <w:p>
            <w:pPr>
              <w:keepNext w:val="0"/>
              <w:keepLines w:val="0"/>
              <w:suppressLineNumbers w:val="0"/>
              <w:adjustRightInd w:val="0"/>
              <w:snapToGrid w:val="0"/>
              <w:spacing w:before="0" w:beforeAutospacing="0" w:after="0" w:afterAutospacing="0"/>
              <w:ind w:left="0" w:right="0"/>
              <w:jc w:val="left"/>
              <w:rPr>
                <w:rFonts w:hint="default" w:ascii="宋体" w:hAnsi="宋体" w:cs="宋体"/>
                <w:color w:val="auto"/>
                <w:szCs w:val="21"/>
              </w:rPr>
            </w:pPr>
            <w:r>
              <w:rPr>
                <w:rFonts w:hint="eastAsia" w:ascii="宋体" w:hAnsi="宋体" w:cs="宋体"/>
                <w:color w:val="auto"/>
                <w:szCs w:val="21"/>
              </w:rPr>
              <w:t>□超五年重新审核项目</w:t>
            </w:r>
          </w:p>
          <w:p>
            <w:pPr>
              <w:keepNext w:val="0"/>
              <w:keepLines w:val="0"/>
              <w:suppressLineNumbers w:val="0"/>
              <w:adjustRightInd w:val="0"/>
              <w:snapToGrid w:val="0"/>
              <w:spacing w:before="0" w:beforeAutospacing="0" w:after="0" w:afterAutospacing="0"/>
              <w:ind w:left="0" w:right="0"/>
              <w:rPr>
                <w:rFonts w:hint="default" w:ascii="宋体" w:hAnsi="宋体" w:cs="宋体"/>
                <w:color w:val="auto"/>
                <w:szCs w:val="21"/>
              </w:rPr>
            </w:pPr>
            <w:r>
              <w:rPr>
                <w:rFonts w:hint="eastAsia" w:ascii="宋体" w:hAnsi="宋体" w:cs="宋体"/>
                <w:color w:val="auto"/>
                <w:szCs w:val="21"/>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1634"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color w:val="auto"/>
              </w:rPr>
            </w:pPr>
            <w:r>
              <w:rPr>
                <w:rFonts w:hint="eastAsia"/>
                <w:color w:val="auto"/>
              </w:rPr>
              <w:t>项目审批（核准</w:t>
            </w:r>
            <w:r>
              <w:rPr>
                <w:rFonts w:hint="default"/>
                <w:color w:val="auto"/>
              </w:rPr>
              <w:t>/</w:t>
            </w:r>
          </w:p>
          <w:p>
            <w:pPr>
              <w:pStyle w:val="58"/>
              <w:keepNext w:val="0"/>
              <w:keepLines w:val="0"/>
              <w:suppressLineNumbers w:val="0"/>
              <w:bidi w:val="0"/>
              <w:spacing w:before="0" w:beforeAutospacing="0" w:after="0" w:afterAutospacing="0"/>
              <w:ind w:left="0" w:right="0"/>
              <w:rPr>
                <w:rFonts w:hint="default"/>
                <w:color w:val="auto"/>
              </w:rPr>
            </w:pPr>
            <w:r>
              <w:rPr>
                <w:rFonts w:hint="eastAsia"/>
                <w:color w:val="auto"/>
              </w:rPr>
              <w:t>备案）部门（选填）</w:t>
            </w:r>
          </w:p>
        </w:tc>
        <w:tc>
          <w:tcPr>
            <w:tcW w:w="2512" w:type="dxa"/>
            <w:noWrap w:val="0"/>
            <w:vAlign w:val="center"/>
          </w:tcPr>
          <w:p>
            <w:pPr>
              <w:pStyle w:val="58"/>
              <w:keepNext w:val="0"/>
              <w:keepLines w:val="0"/>
              <w:suppressLineNumbers w:val="0"/>
              <w:bidi w:val="0"/>
              <w:spacing w:before="0" w:beforeAutospacing="0" w:after="0" w:afterAutospacing="0"/>
              <w:ind w:left="0" w:right="0"/>
              <w:rPr>
                <w:rFonts w:hint="default"/>
                <w:color w:val="auto"/>
              </w:rPr>
            </w:pPr>
            <w:r>
              <w:rPr>
                <w:rFonts w:hint="eastAsia"/>
                <w:color w:val="auto"/>
                <w:lang w:val="en-US" w:eastAsia="zh-CN"/>
              </w:rPr>
              <w:t>/</w:t>
            </w:r>
          </w:p>
        </w:tc>
        <w:tc>
          <w:tcPr>
            <w:tcW w:w="2310" w:type="dxa"/>
            <w:noWrap w:val="0"/>
            <w:vAlign w:val="center"/>
          </w:tcPr>
          <w:p>
            <w:pPr>
              <w:pStyle w:val="58"/>
              <w:keepNext w:val="0"/>
              <w:keepLines w:val="0"/>
              <w:suppressLineNumbers w:val="0"/>
              <w:bidi w:val="0"/>
              <w:spacing w:before="0" w:beforeAutospacing="0" w:after="0" w:afterAutospacing="0"/>
              <w:ind w:left="0" w:right="0"/>
              <w:rPr>
                <w:rFonts w:hint="default"/>
                <w:color w:val="auto"/>
              </w:rPr>
            </w:pPr>
            <w:r>
              <w:rPr>
                <w:rFonts w:hint="eastAsia"/>
                <w:color w:val="auto"/>
              </w:rPr>
              <w:t>项目审批（核准</w:t>
            </w:r>
            <w:r>
              <w:rPr>
                <w:rFonts w:hint="default"/>
                <w:color w:val="auto"/>
              </w:rPr>
              <w:t>/</w:t>
            </w:r>
          </w:p>
          <w:p>
            <w:pPr>
              <w:pStyle w:val="58"/>
              <w:keepNext w:val="0"/>
              <w:keepLines w:val="0"/>
              <w:suppressLineNumbers w:val="0"/>
              <w:bidi w:val="0"/>
              <w:spacing w:before="0" w:beforeAutospacing="0" w:after="0" w:afterAutospacing="0"/>
              <w:ind w:left="0" w:right="0"/>
              <w:rPr>
                <w:rFonts w:hint="default"/>
                <w:color w:val="auto"/>
              </w:rPr>
            </w:pPr>
            <w:r>
              <w:rPr>
                <w:rFonts w:hint="eastAsia"/>
                <w:color w:val="auto"/>
              </w:rPr>
              <w:t>备案）文号（选填）</w:t>
            </w:r>
          </w:p>
        </w:tc>
        <w:tc>
          <w:tcPr>
            <w:tcW w:w="2583" w:type="dxa"/>
            <w:noWrap w:val="0"/>
            <w:vAlign w:val="center"/>
          </w:tcPr>
          <w:p>
            <w:pPr>
              <w:pStyle w:val="58"/>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6" w:hRule="atLeast"/>
        </w:trPr>
        <w:tc>
          <w:tcPr>
            <w:tcW w:w="1634"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rPr>
              <w:t>总投资（万元）</w:t>
            </w:r>
          </w:p>
        </w:tc>
        <w:tc>
          <w:tcPr>
            <w:tcW w:w="2512" w:type="dxa"/>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388.74</w:t>
            </w:r>
          </w:p>
        </w:tc>
        <w:tc>
          <w:tcPr>
            <w:tcW w:w="2310"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rPr>
              <w:t>环保投资（万元）</w:t>
            </w:r>
          </w:p>
        </w:tc>
        <w:tc>
          <w:tcPr>
            <w:tcW w:w="2583" w:type="dxa"/>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15.7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66" w:hRule="atLeast"/>
        </w:trPr>
        <w:tc>
          <w:tcPr>
            <w:tcW w:w="1634"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rPr>
              <w:t>环保投资占比（</w:t>
            </w:r>
            <w:r>
              <w:rPr>
                <w:rFonts w:hint="default"/>
                <w:color w:val="auto"/>
                <w:highlight w:val="none"/>
              </w:rPr>
              <w:t>%</w:t>
            </w:r>
            <w:r>
              <w:rPr>
                <w:rFonts w:hint="eastAsia"/>
                <w:color w:val="auto"/>
                <w:highlight w:val="none"/>
              </w:rPr>
              <w:t>）</w:t>
            </w:r>
          </w:p>
        </w:tc>
        <w:tc>
          <w:tcPr>
            <w:tcW w:w="2512" w:type="dxa"/>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4.04</w:t>
            </w:r>
          </w:p>
        </w:tc>
        <w:tc>
          <w:tcPr>
            <w:tcW w:w="2310"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rPr>
              <w:t>施工工期</w:t>
            </w:r>
          </w:p>
        </w:tc>
        <w:tc>
          <w:tcPr>
            <w:tcW w:w="2583" w:type="dxa"/>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6天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84" w:hRule="atLeast"/>
        </w:trPr>
        <w:tc>
          <w:tcPr>
            <w:tcW w:w="1634"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rPr>
            </w:pPr>
            <w:r>
              <w:rPr>
                <w:rFonts w:hint="eastAsia"/>
              </w:rPr>
              <w:t>是否开工建设</w:t>
            </w:r>
          </w:p>
        </w:tc>
        <w:tc>
          <w:tcPr>
            <w:tcW w:w="7405" w:type="dxa"/>
            <w:gridSpan w:val="3"/>
            <w:noWrap w:val="0"/>
            <w:vAlign w:val="center"/>
          </w:tcPr>
          <w:p>
            <w:pPr>
              <w:keepNext w:val="0"/>
              <w:keepLines w:val="0"/>
              <w:suppressLineNumbers w:val="0"/>
              <w:adjustRightInd w:val="0"/>
              <w:snapToGrid w:val="0"/>
              <w:spacing w:before="0" w:beforeAutospacing="0" w:after="0" w:afterAutospacing="0"/>
              <w:ind w:left="0" w:right="0" w:firstLine="105"/>
              <w:jc w:val="left"/>
              <w:rPr>
                <w:rFonts w:hint="default" w:ascii="宋体" w:hAnsi="宋体" w:cs="宋体"/>
                <w:szCs w:val="21"/>
              </w:rPr>
            </w:pPr>
            <w:r>
              <w:rPr>
                <w:rFonts w:hint="eastAsia" w:ascii="宋体" w:hAnsi="宋体" w:cs="宋体"/>
                <w:szCs w:val="21"/>
                <w:lang w:eastAsia="zh-CN"/>
              </w:rPr>
              <w:t>☑</w:t>
            </w:r>
            <w:r>
              <w:rPr>
                <w:rFonts w:hint="eastAsia" w:ascii="宋体" w:hAnsi="宋体" w:cs="宋体"/>
                <w:szCs w:val="21"/>
              </w:rPr>
              <w:t>否</w:t>
            </w:r>
          </w:p>
          <w:p>
            <w:pPr>
              <w:keepNext w:val="0"/>
              <w:keepLines w:val="0"/>
              <w:suppressLineNumbers w:val="0"/>
              <w:adjustRightInd w:val="0"/>
              <w:snapToGrid w:val="0"/>
              <w:spacing w:before="0" w:beforeAutospacing="0" w:after="0" w:afterAutospacing="0"/>
              <w:ind w:left="0" w:right="0" w:firstLine="92"/>
              <w:jc w:val="left"/>
              <w:rPr>
                <w:rFonts w:hint="default" w:ascii="宋体" w:hAnsi="宋体" w:cs="宋体"/>
                <w:szCs w:val="21"/>
              </w:rPr>
            </w:pPr>
            <w:r>
              <w:rPr>
                <w:rFonts w:hint="eastAsia" w:ascii="宋体" w:hAnsi="宋体" w:cs="宋体"/>
                <w:szCs w:val="21"/>
                <w:lang w:eastAsia="zh-CN"/>
              </w:rPr>
              <w:t>□</w:t>
            </w:r>
            <w:r>
              <w:rPr>
                <w:rFonts w:hint="eastAsia" w:ascii="宋体" w:hAnsi="宋体" w:cs="宋体"/>
                <w:szCs w:val="21"/>
              </w:rPr>
              <w:t>是：</w:t>
            </w:r>
            <w:r>
              <w:rPr>
                <w:rFonts w:hint="default" w:ascii="宋体" w:hAnsi="宋体" w:cs="宋体"/>
                <w:szCs w:val="21"/>
                <w:u w:val="single"/>
              </w:rPr>
              <w:t xml:space="preserve"> </w:t>
            </w:r>
            <w:r>
              <w:rPr>
                <w:rFonts w:hint="eastAsia" w:ascii="宋体" w:hAnsi="宋体" w:cs="宋体"/>
                <w:szCs w:val="21"/>
                <w:u w:val="single"/>
              </w:rPr>
              <w:t xml:space="preserve">                     </w:t>
            </w:r>
            <w:r>
              <w:rPr>
                <w:rFonts w:hint="default" w:ascii="宋体" w:hAnsi="宋体" w:cs="宋体"/>
                <w:szCs w:val="21"/>
                <w:u w:val="single"/>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55" w:hRule="atLeast"/>
        </w:trPr>
        <w:tc>
          <w:tcPr>
            <w:tcW w:w="1634"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rPr>
            </w:pPr>
            <w:r>
              <w:rPr>
                <w:rFonts w:hint="eastAsia"/>
              </w:rPr>
              <w:t>专项评价设置情况</w:t>
            </w:r>
          </w:p>
        </w:tc>
        <w:tc>
          <w:tcPr>
            <w:tcW w:w="7405" w:type="dxa"/>
            <w:gridSpan w:val="3"/>
            <w:noWrap w:val="0"/>
            <w:tcMar>
              <w:top w:w="16" w:type="dxa"/>
              <w:left w:w="16" w:type="dxa"/>
              <w:right w:w="16" w:type="dxa"/>
            </w:tcMar>
            <w:vAlign w:val="center"/>
          </w:tcPr>
          <w:p>
            <w:pPr>
              <w:pStyle w:val="54"/>
              <w:keepNext w:val="0"/>
              <w:keepLines w:val="0"/>
              <w:suppressLineNumbers w:val="0"/>
              <w:bidi w:val="0"/>
              <w:spacing w:before="0" w:beforeAutospacing="0" w:after="0" w:afterAutospacing="0"/>
              <w:ind w:left="0" w:right="0"/>
              <w:rPr>
                <w:rFonts w:hint="eastAsia" w:ascii="宋体" w:hAnsi="宋体" w:eastAsia="宋体" w:cs="宋体"/>
                <w:kern w:val="0"/>
                <w:szCs w:val="21"/>
                <w:lang w:val="en-US" w:eastAsia="zh-CN"/>
              </w:rPr>
            </w:pPr>
            <w:r>
              <w:rPr>
                <w:rFonts w:hint="eastAsia"/>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07" w:hRule="atLeast"/>
        </w:trPr>
        <w:tc>
          <w:tcPr>
            <w:tcW w:w="1634"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rPr>
            </w:pPr>
            <w:r>
              <w:rPr>
                <w:rFonts w:hint="eastAsia"/>
              </w:rPr>
              <w:t>规划情况</w:t>
            </w:r>
          </w:p>
        </w:tc>
        <w:tc>
          <w:tcPr>
            <w:tcW w:w="7405" w:type="dxa"/>
            <w:gridSpan w:val="3"/>
            <w:noWrap w:val="0"/>
            <w:tcMar>
              <w:top w:w="16" w:type="dxa"/>
              <w:left w:w="16" w:type="dxa"/>
              <w:right w:w="16" w:type="dxa"/>
            </w:tcMar>
            <w:vAlign w:val="center"/>
          </w:tcPr>
          <w:p>
            <w:pPr>
              <w:pStyle w:val="67"/>
              <w:keepNext w:val="0"/>
              <w:keepLines w:val="0"/>
              <w:suppressLineNumbers w:val="0"/>
              <w:spacing w:before="0" w:beforeAutospacing="0" w:after="0" w:afterAutospacing="0"/>
              <w:ind w:left="0" w:right="0"/>
              <w:rPr>
                <w:rFonts w:hint="eastAsia" w:eastAsia="宋体"/>
                <w:lang w:eastAsia="zh-CN"/>
              </w:rPr>
            </w:pPr>
            <w:r>
              <w:rPr>
                <w:rFonts w:hint="eastAsia"/>
              </w:rPr>
              <w:t>规划名称：《新疆维吾尔自治区矿产资源总体规划（2021</w:t>
            </w:r>
            <w:r>
              <w:rPr>
                <w:rFonts w:hint="eastAsia"/>
                <w:lang w:val="en-US" w:eastAsia="zh-CN"/>
              </w:rPr>
              <w:t>—</w:t>
            </w:r>
            <w:r>
              <w:rPr>
                <w:rFonts w:hint="eastAsia"/>
              </w:rPr>
              <w:t>2025年）》</w:t>
            </w:r>
            <w:r>
              <w:rPr>
                <w:rFonts w:hint="eastAsia"/>
                <w:lang w:eastAsia="zh-CN"/>
              </w:rPr>
              <w:t>；</w:t>
            </w:r>
          </w:p>
          <w:p>
            <w:pPr>
              <w:pStyle w:val="67"/>
              <w:keepNext w:val="0"/>
              <w:keepLines w:val="0"/>
              <w:suppressLineNumbers w:val="0"/>
              <w:spacing w:before="0" w:beforeAutospacing="0" w:after="0" w:afterAutospacing="0"/>
              <w:ind w:left="0" w:right="0"/>
              <w:rPr>
                <w:rFonts w:hint="eastAsia" w:eastAsia="宋体"/>
                <w:lang w:eastAsia="zh-CN"/>
              </w:rPr>
            </w:pPr>
            <w:r>
              <w:rPr>
                <w:rFonts w:hint="eastAsia"/>
              </w:rPr>
              <w:t>审批机关：自然资源部</w:t>
            </w:r>
            <w:r>
              <w:rPr>
                <w:rFonts w:hint="eastAsia"/>
                <w:lang w:eastAsia="zh-CN"/>
              </w:rPr>
              <w:t>；</w:t>
            </w:r>
          </w:p>
          <w:p>
            <w:pPr>
              <w:pStyle w:val="67"/>
              <w:keepNext w:val="0"/>
              <w:keepLines w:val="0"/>
              <w:suppressLineNumbers w:val="0"/>
              <w:spacing w:before="0" w:beforeAutospacing="0" w:after="0" w:afterAutospacing="0"/>
              <w:ind w:left="0" w:right="0"/>
              <w:rPr>
                <w:rFonts w:hint="eastAsia"/>
              </w:rPr>
            </w:pPr>
            <w:r>
              <w:rPr>
                <w:rFonts w:hint="eastAsia"/>
              </w:rPr>
              <w:t>审批文件名称及文号：《关于〈新疆维吾尔自治区矿产资源总体规划（2021</w:t>
            </w:r>
            <w:r>
              <w:rPr>
                <w:rFonts w:hint="eastAsia"/>
                <w:lang w:eastAsia="zh-CN"/>
              </w:rPr>
              <w:t>—</w:t>
            </w:r>
            <w:r>
              <w:rPr>
                <w:rFonts w:hint="eastAsia"/>
              </w:rPr>
              <w:t>2025年）〉的审查意见》</w:t>
            </w:r>
            <w:r>
              <w:rPr>
                <w:rFonts w:hint="eastAsia"/>
                <w:lang w:eastAsia="zh-CN"/>
              </w:rPr>
              <w:t>（</w:t>
            </w:r>
            <w:r>
              <w:rPr>
                <w:rFonts w:hint="eastAsia"/>
              </w:rPr>
              <w:t>自然资函〔2022〕1092号</w:t>
            </w:r>
            <w:r>
              <w:rPr>
                <w:rFonts w:hint="eastAsia"/>
                <w:lang w:eastAsia="zh-CN"/>
              </w:rPr>
              <w:t>）；</w:t>
            </w:r>
          </w:p>
          <w:p>
            <w:pPr>
              <w:pStyle w:val="67"/>
              <w:keepNext w:val="0"/>
              <w:keepLines w:val="0"/>
              <w:suppressLineNumbers w:val="0"/>
              <w:spacing w:before="0" w:beforeAutospacing="0" w:after="0" w:afterAutospacing="0"/>
              <w:ind w:left="0" w:right="0"/>
              <w:rPr>
                <w:rFonts w:hint="eastAsia" w:eastAsia="宋体"/>
                <w:lang w:eastAsia="zh-CN"/>
              </w:rPr>
            </w:pPr>
            <w:r>
              <w:rPr>
                <w:rFonts w:hint="eastAsia"/>
              </w:rPr>
              <w:t>规划名称：《巴音郭楞蒙古自治州矿产资源总体规划（2021</w:t>
            </w:r>
            <w:r>
              <w:rPr>
                <w:rFonts w:hint="eastAsia"/>
                <w:lang w:eastAsia="zh-CN"/>
              </w:rPr>
              <w:t>—</w:t>
            </w:r>
            <w:r>
              <w:rPr>
                <w:rFonts w:hint="eastAsia"/>
              </w:rPr>
              <w:t>2025年）》</w:t>
            </w:r>
            <w:r>
              <w:rPr>
                <w:rFonts w:hint="eastAsia"/>
                <w:lang w:eastAsia="zh-CN"/>
              </w:rPr>
              <w:t>；</w:t>
            </w:r>
          </w:p>
          <w:p>
            <w:pPr>
              <w:pStyle w:val="67"/>
              <w:keepNext w:val="0"/>
              <w:keepLines w:val="0"/>
              <w:suppressLineNumbers w:val="0"/>
              <w:spacing w:before="0" w:beforeAutospacing="0" w:after="0" w:afterAutospacing="0"/>
              <w:ind w:left="0" w:right="0"/>
              <w:rPr>
                <w:rFonts w:hint="default" w:ascii="Times New Roman" w:hAnsi="Times New Roman" w:cs="Times New Roman"/>
                <w:highlight w:val="none"/>
                <w:lang w:val="en-US" w:eastAsia="zh-CN"/>
              </w:rPr>
            </w:pPr>
            <w:r>
              <w:rPr>
                <w:rFonts w:hint="eastAsia"/>
              </w:rPr>
              <w:t>审批机关：巴州人民政府</w:t>
            </w:r>
            <w:r>
              <w:rPr>
                <w:rFonts w:hint="eastAsia"/>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50" w:hRule="atLeast"/>
        </w:trPr>
        <w:tc>
          <w:tcPr>
            <w:tcW w:w="1634" w:type="dxa"/>
            <w:noWrap w:val="0"/>
            <w:tcMar>
              <w:top w:w="16" w:type="dxa"/>
              <w:left w:w="16" w:type="dxa"/>
              <w:right w:w="16" w:type="dxa"/>
            </w:tcMar>
            <w:vAlign w:val="center"/>
          </w:tcPr>
          <w:p>
            <w:pPr>
              <w:pStyle w:val="58"/>
              <w:keepNext w:val="0"/>
              <w:keepLines w:val="0"/>
              <w:suppressLineNumbers w:val="0"/>
              <w:bidi w:val="0"/>
              <w:spacing w:before="0" w:beforeAutospacing="0" w:after="0" w:afterAutospacing="0"/>
              <w:ind w:left="0" w:right="0"/>
              <w:rPr>
                <w:rFonts w:hint="default"/>
              </w:rPr>
            </w:pPr>
            <w:r>
              <w:rPr>
                <w:rFonts w:hint="eastAsia"/>
              </w:rPr>
              <w:t>规划环境影响</w:t>
            </w:r>
          </w:p>
          <w:p>
            <w:pPr>
              <w:pStyle w:val="58"/>
              <w:keepNext w:val="0"/>
              <w:keepLines w:val="0"/>
              <w:suppressLineNumbers w:val="0"/>
              <w:bidi w:val="0"/>
              <w:spacing w:before="0" w:beforeAutospacing="0" w:after="0" w:afterAutospacing="0"/>
              <w:ind w:left="0" w:right="0"/>
              <w:rPr>
                <w:rFonts w:hint="default"/>
              </w:rPr>
            </w:pPr>
            <w:r>
              <w:rPr>
                <w:rFonts w:hint="eastAsia"/>
              </w:rPr>
              <w:t>评价情况</w:t>
            </w:r>
          </w:p>
        </w:tc>
        <w:tc>
          <w:tcPr>
            <w:tcW w:w="7405" w:type="dxa"/>
            <w:gridSpan w:val="3"/>
            <w:noWrap w:val="0"/>
            <w:tcMar>
              <w:top w:w="16" w:type="dxa"/>
              <w:left w:w="16" w:type="dxa"/>
              <w:right w:w="16" w:type="dxa"/>
            </w:tcMar>
            <w:vAlign w:val="center"/>
          </w:tcPr>
          <w:p>
            <w:pPr>
              <w:pStyle w:val="67"/>
              <w:keepNext w:val="0"/>
              <w:keepLines w:val="0"/>
              <w:suppressLineNumbers w:val="0"/>
              <w:spacing w:before="0" w:beforeAutospacing="0" w:after="0" w:afterAutospacing="0"/>
              <w:ind w:left="0" w:right="0"/>
              <w:jc w:val="left"/>
              <w:rPr>
                <w:rFonts w:hint="eastAsia" w:eastAsia="宋体"/>
                <w:lang w:eastAsia="zh-CN"/>
              </w:rPr>
            </w:pPr>
            <w:r>
              <w:rPr>
                <w:rFonts w:hint="eastAsia"/>
              </w:rPr>
              <w:t>规划环评文件名称：《新疆维吾尔自治区矿产资源总体规划（2021</w:t>
            </w:r>
            <w:r>
              <w:rPr>
                <w:rFonts w:hint="eastAsia"/>
                <w:lang w:eastAsia="zh-CN"/>
              </w:rPr>
              <w:t>—</w:t>
            </w:r>
            <w:r>
              <w:rPr>
                <w:rFonts w:hint="eastAsia"/>
              </w:rPr>
              <w:t>2025年）环境影响报告书》</w:t>
            </w:r>
            <w:r>
              <w:rPr>
                <w:rFonts w:hint="eastAsia"/>
                <w:lang w:eastAsia="zh-CN"/>
              </w:rPr>
              <w:t>；</w:t>
            </w:r>
          </w:p>
          <w:p>
            <w:pPr>
              <w:pStyle w:val="67"/>
              <w:keepNext w:val="0"/>
              <w:keepLines w:val="0"/>
              <w:suppressLineNumbers w:val="0"/>
              <w:spacing w:before="0" w:beforeAutospacing="0" w:after="0" w:afterAutospacing="0"/>
              <w:ind w:left="0" w:right="0"/>
              <w:jc w:val="left"/>
              <w:rPr>
                <w:rFonts w:hint="eastAsia" w:eastAsia="宋体"/>
                <w:lang w:eastAsia="zh-CN"/>
              </w:rPr>
            </w:pPr>
            <w:r>
              <w:rPr>
                <w:rFonts w:hint="eastAsia"/>
              </w:rPr>
              <w:t>审查机关：生态环境部</w:t>
            </w:r>
            <w:r>
              <w:rPr>
                <w:rFonts w:hint="eastAsia"/>
                <w:lang w:eastAsia="zh-CN"/>
              </w:rPr>
              <w:t>；</w:t>
            </w:r>
          </w:p>
          <w:p>
            <w:pPr>
              <w:pStyle w:val="58"/>
              <w:keepNext w:val="0"/>
              <w:keepLines w:val="0"/>
              <w:suppressLineNumbers w:val="0"/>
              <w:bidi w:val="0"/>
              <w:spacing w:before="0" w:beforeAutospacing="0" w:after="0" w:afterAutospacing="0"/>
              <w:ind w:left="0" w:right="0"/>
              <w:jc w:val="left"/>
              <w:rPr>
                <w:rFonts w:hint="default" w:ascii="Times New Roman" w:hAnsi="Times New Roman" w:cs="Times New Roman"/>
                <w:lang w:eastAsia="zh-CN"/>
              </w:rPr>
            </w:pPr>
            <w:r>
              <w:rPr>
                <w:rFonts w:hint="eastAsia"/>
              </w:rPr>
              <w:t>审查文件名称及文号：《关于〈新疆维吾尔自治区矿产资源总体规划（2021—2025年）环境影响报告书〉的审查意见》</w:t>
            </w:r>
            <w:r>
              <w:rPr>
                <w:rFonts w:hint="eastAsia"/>
                <w:lang w:eastAsia="zh-CN"/>
              </w:rPr>
              <w:t>（</w:t>
            </w:r>
            <w:r>
              <w:rPr>
                <w:rFonts w:hint="eastAsia"/>
              </w:rPr>
              <w:t>环审〔2022〕124号</w:t>
            </w:r>
            <w:r>
              <w:rPr>
                <w:rFonts w:hint="eastAsia"/>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861" w:hRule="atLeast"/>
        </w:trPr>
        <w:tc>
          <w:tcPr>
            <w:tcW w:w="1634" w:type="dxa"/>
            <w:noWrap w:val="0"/>
            <w:tcMar>
              <w:top w:w="16" w:type="dxa"/>
              <w:left w:w="16" w:type="dxa"/>
              <w:right w:w="16" w:type="dxa"/>
            </w:tcMar>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规划及</w:t>
            </w:r>
            <w:r>
              <w:rPr>
                <w:rFonts w:hint="eastAsia" w:ascii="宋体" w:hAnsi="宋体" w:cs="宋体"/>
                <w:szCs w:val="21"/>
              </w:rPr>
              <w:t>规划环境影响评价</w:t>
            </w:r>
            <w:r>
              <w:rPr>
                <w:rFonts w:hint="eastAsia" w:ascii="宋体" w:hAnsi="宋体" w:cs="宋体"/>
                <w:kern w:val="0"/>
                <w:szCs w:val="21"/>
              </w:rPr>
              <w:t>符合性分析</w:t>
            </w:r>
          </w:p>
        </w:tc>
        <w:tc>
          <w:tcPr>
            <w:tcW w:w="7405" w:type="dxa"/>
            <w:gridSpan w:val="3"/>
            <w:noWrap w:val="0"/>
            <w:tcMar>
              <w:top w:w="16" w:type="dxa"/>
              <w:left w:w="16" w:type="dxa"/>
              <w:right w:w="16" w:type="dxa"/>
            </w:tcMar>
            <w:vAlign w:val="center"/>
          </w:tcPr>
          <w:p>
            <w:pPr>
              <w:pStyle w:val="52"/>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表1-1</w:t>
            </w:r>
            <w:r>
              <w:rPr>
                <w:rFonts w:hint="eastAsia"/>
                <w:lang w:val="en-US" w:eastAsia="zh-CN"/>
              </w:rPr>
              <w:t xml:space="preserve">    本</w:t>
            </w:r>
            <w:r>
              <w:rPr>
                <w:rFonts w:hint="default"/>
                <w:lang w:val="en-US" w:eastAsia="zh-CN"/>
              </w:rPr>
              <w:t>项目与《新疆维吾尔自治区矿产资源总体规划（2021—2025年）》相符性分析</w:t>
            </w:r>
          </w:p>
          <w:tbl>
            <w:tblPr>
              <w:tblStyle w:val="26"/>
              <w:tblW w:w="49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3"/>
              <w:gridCol w:w="2708"/>
              <w:gridCol w:w="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654"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规划内容</w:t>
                  </w:r>
                </w:p>
              </w:tc>
              <w:tc>
                <w:tcPr>
                  <w:tcW w:w="1874"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本项目情况</w:t>
                  </w:r>
                </w:p>
              </w:tc>
              <w:tc>
                <w:tcPr>
                  <w:tcW w:w="471"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是否符合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2" w:hRule="atLeast"/>
                <w:jc w:val="center"/>
              </w:trPr>
              <w:tc>
                <w:tcPr>
                  <w:tcW w:w="2654"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both"/>
                    <w:textAlignment w:val="auto"/>
                    <w:rPr>
                      <w:rFonts w:hint="default"/>
                      <w:lang w:eastAsia="zh-CN"/>
                    </w:rPr>
                  </w:pPr>
                  <w:r>
                    <w:rPr>
                      <w:rFonts w:hint="default"/>
                      <w:lang w:val="en-US" w:eastAsia="zh-CN"/>
                    </w:rPr>
                    <w:t>落实国家能源资源安全战略，结合新疆实际，合理确定重点、限制、禁止勘查开采矿种</w:t>
                  </w:r>
                  <w:r>
                    <w:rPr>
                      <w:rFonts w:hint="eastAsia"/>
                      <w:lang w:val="en-US" w:eastAsia="zh-CN"/>
                    </w:rPr>
                    <w:t>。</w:t>
                  </w:r>
                  <w:r>
                    <w:rPr>
                      <w:rFonts w:hint="default"/>
                      <w:lang w:val="en-US" w:eastAsia="zh-CN"/>
                    </w:rPr>
                    <w:t>重点勘查开采矿种：石油、天然气、页岩气、煤层气、煤、地热等能源矿产，铁、铬、锰、铜、镍、钴、铅锌、金、锂、铍、钒、钛等金属矿产，以及钾盐、萤石、硅质原料等非金属矿产。限制开采矿种：砖瓦用粘土等矿产，严格控制钨、稀土等特定保护性开采矿产。</w:t>
                  </w:r>
                  <w:r>
                    <w:rPr>
                      <w:rFonts w:hint="eastAsia"/>
                      <w:lang w:val="en-US" w:eastAsia="zh-CN"/>
                    </w:rPr>
                    <w:t>“</w:t>
                  </w:r>
                  <w:r>
                    <w:rPr>
                      <w:rFonts w:hint="default"/>
                      <w:lang w:val="en-US" w:eastAsia="zh-CN"/>
                    </w:rPr>
                    <w:t>限粘</w:t>
                  </w:r>
                  <w:r>
                    <w:rPr>
                      <w:rFonts w:hint="eastAsia"/>
                      <w:lang w:val="en-US" w:eastAsia="zh-CN"/>
                    </w:rPr>
                    <w:t>”</w:t>
                  </w:r>
                  <w:r>
                    <w:rPr>
                      <w:rFonts w:hint="default"/>
                      <w:lang w:val="en-US" w:eastAsia="zh-CN"/>
                    </w:rPr>
                    <w:t>县市禁止新设砖瓦用粘土采矿权。限制开采矿种，除严格矿业权人准入条件外，应论证资源供需形势，对开采总量进行调控，同时严格资源环境承载力论证，保护环境。合理控制国家规定实行保护性开采的特定矿种开采强度。禁止开采矿种：禁止开采砷和放射性等有毒有害物质超过规定标准的煤炭项目，砂铁、汞、可耕地砖瓦用粘土等矿产。除和田地区外其他地区禁止新设砂金开采项目，严格砂金开发项目环境影响评价。</w:t>
                  </w:r>
                </w:p>
              </w:tc>
              <w:tc>
                <w:tcPr>
                  <w:tcW w:w="1874"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both"/>
                    <w:textAlignment w:val="auto"/>
                    <w:rPr>
                      <w:rFonts w:hint="default"/>
                      <w:lang w:eastAsia="zh-CN"/>
                    </w:rPr>
                  </w:pPr>
                  <w:r>
                    <w:rPr>
                      <w:rFonts w:hint="default"/>
                    </w:rPr>
                    <w:t>本</w:t>
                  </w:r>
                  <w:r>
                    <w:rPr>
                      <w:rFonts w:hint="default"/>
                      <w:color w:val="auto"/>
                    </w:rPr>
                    <w:t>次地质</w:t>
                  </w:r>
                  <w:r>
                    <w:rPr>
                      <w:rFonts w:hint="eastAsia"/>
                      <w:color w:val="auto"/>
                      <w:lang w:val="en-US" w:eastAsia="zh-CN"/>
                    </w:rPr>
                    <w:t>勘探</w:t>
                  </w:r>
                  <w:r>
                    <w:rPr>
                      <w:rFonts w:hint="default"/>
                      <w:color w:val="auto"/>
                    </w:rPr>
                    <w:t>工作主要针对</w:t>
                  </w:r>
                  <w:r>
                    <w:rPr>
                      <w:rFonts w:hint="eastAsia"/>
                      <w:i w:val="0"/>
                      <w:iCs w:val="0"/>
                      <w:color w:val="auto"/>
                      <w:highlight w:val="none"/>
                      <w:lang w:val="en-US" w:eastAsia="zh-CN"/>
                    </w:rPr>
                    <w:t>铜多金属矿</w:t>
                  </w:r>
                  <w:r>
                    <w:rPr>
                      <w:rFonts w:hint="default"/>
                      <w:color w:val="auto"/>
                    </w:rPr>
                    <w:t>进行勘</w:t>
                  </w:r>
                  <w:r>
                    <w:rPr>
                      <w:rFonts w:hint="eastAsia"/>
                      <w:color w:val="auto"/>
                      <w:lang w:val="en-US" w:eastAsia="zh-CN"/>
                    </w:rPr>
                    <w:t>查</w:t>
                  </w:r>
                  <w:r>
                    <w:rPr>
                      <w:rFonts w:hint="default"/>
                      <w:color w:val="auto"/>
                    </w:rPr>
                    <w:t>，</w:t>
                  </w:r>
                  <w:r>
                    <w:rPr>
                      <w:rFonts w:hint="eastAsia"/>
                      <w:color w:val="auto"/>
                      <w:lang w:val="en-US" w:eastAsia="zh-CN"/>
                    </w:rPr>
                    <w:t>属于重点勘查开采矿种，不属于限制和禁止开采矿种</w:t>
                  </w:r>
                  <w:r>
                    <w:rPr>
                      <w:rFonts w:hint="default"/>
                      <w:color w:val="auto"/>
                      <w:lang w:eastAsia="zh-CN"/>
                    </w:rPr>
                    <w:t>，</w:t>
                  </w:r>
                  <w:r>
                    <w:rPr>
                      <w:rFonts w:hint="default"/>
                      <w:color w:val="auto"/>
                    </w:rPr>
                    <w:t>符合</w:t>
                  </w:r>
                  <w:r>
                    <w:rPr>
                      <w:rFonts w:hint="eastAsia"/>
                      <w:color w:val="auto"/>
                      <w:lang w:eastAsia="zh-CN"/>
                    </w:rPr>
                    <w:t>《</w:t>
                  </w:r>
                  <w:r>
                    <w:rPr>
                      <w:rFonts w:hint="default"/>
                      <w:color w:val="auto"/>
                    </w:rPr>
                    <w:t>新疆维吾尔自治区矿产资源总体规划（2021</w:t>
                  </w:r>
                  <w:r>
                    <w:rPr>
                      <w:rFonts w:hint="eastAsia"/>
                      <w:color w:val="auto"/>
                      <w:lang w:eastAsia="zh-CN"/>
                    </w:rPr>
                    <w:t>—</w:t>
                  </w:r>
                  <w:r>
                    <w:rPr>
                      <w:rFonts w:hint="default"/>
                      <w:color w:val="auto"/>
                    </w:rPr>
                    <w:t>2025年）</w:t>
                  </w:r>
                  <w:r>
                    <w:rPr>
                      <w:rFonts w:hint="eastAsia"/>
                      <w:color w:val="auto"/>
                      <w:lang w:eastAsia="zh-CN"/>
                    </w:rPr>
                    <w:t>》</w:t>
                  </w:r>
                  <w:r>
                    <w:rPr>
                      <w:rFonts w:hint="eastAsia"/>
                      <w:color w:val="auto"/>
                      <w:lang w:val="en-US" w:eastAsia="zh-CN"/>
                    </w:rPr>
                    <w:t>中的规</w:t>
                  </w:r>
                  <w:r>
                    <w:rPr>
                      <w:rFonts w:hint="eastAsia"/>
                      <w:lang w:val="en-US" w:eastAsia="zh-CN"/>
                    </w:rPr>
                    <w:t>划要求</w:t>
                  </w:r>
                  <w:r>
                    <w:rPr>
                      <w:rFonts w:hint="default"/>
                    </w:rPr>
                    <w:t>。</w:t>
                  </w:r>
                </w:p>
              </w:tc>
              <w:tc>
                <w:tcPr>
                  <w:tcW w:w="471"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符合</w:t>
                  </w:r>
                </w:p>
              </w:tc>
            </w:tr>
          </w:tbl>
          <w:p>
            <w:pPr>
              <w:pStyle w:val="52"/>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表1-</w:t>
            </w:r>
            <w:r>
              <w:rPr>
                <w:rFonts w:hint="eastAsia"/>
                <w:lang w:val="en-US" w:eastAsia="zh-CN"/>
              </w:rPr>
              <w:t>2    本</w:t>
            </w:r>
            <w:r>
              <w:rPr>
                <w:rFonts w:hint="default"/>
                <w:lang w:val="en-US" w:eastAsia="zh-CN"/>
              </w:rPr>
              <w:t>项目与《巴音郭楞蒙古自治州矿产资源总体规划（2021</w:t>
            </w:r>
            <w:r>
              <w:rPr>
                <w:rFonts w:hint="eastAsia"/>
                <w:lang w:val="en-US" w:eastAsia="zh-CN"/>
              </w:rPr>
              <w:t>—</w:t>
            </w:r>
            <w:r>
              <w:rPr>
                <w:rFonts w:hint="default"/>
                <w:lang w:val="en-US" w:eastAsia="zh-CN"/>
              </w:rPr>
              <w:t>2025年）》相符性分析</w:t>
            </w:r>
          </w:p>
          <w:tbl>
            <w:tblPr>
              <w:tblStyle w:val="26"/>
              <w:tblW w:w="49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48"/>
              <w:gridCol w:w="2707"/>
              <w:gridCol w:w="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2658"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规划内容</w:t>
                  </w:r>
                </w:p>
              </w:tc>
              <w:tc>
                <w:tcPr>
                  <w:tcW w:w="1870"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本项目情况</w:t>
                  </w:r>
                </w:p>
              </w:tc>
              <w:tc>
                <w:tcPr>
                  <w:tcW w:w="470"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是否符合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58"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both"/>
                    <w:textAlignment w:val="auto"/>
                    <w:rPr>
                      <w:rFonts w:hint="default"/>
                      <w:lang w:val="en-US" w:eastAsia="zh-CN"/>
                    </w:rPr>
                  </w:pPr>
                  <w:r>
                    <w:rPr>
                      <w:rFonts w:hint="eastAsia"/>
                      <w:lang w:val="en-US" w:eastAsia="zh-CN"/>
                    </w:rPr>
                    <w:t>矿区生态保护修复：坚持尊重自然、顺应自然、保护自然，坚持节约优先、保护优先、自然恢复为主，把生态地质环境保护放在优先位置，推进矿产资源绿色勘查开发，最大限度减少对地质环境的破坏。</w:t>
                  </w:r>
                </w:p>
              </w:tc>
              <w:tc>
                <w:tcPr>
                  <w:tcW w:w="1870"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both"/>
                    <w:textAlignment w:val="auto"/>
                    <w:rPr>
                      <w:rFonts w:hint="default" w:eastAsia="宋体"/>
                      <w:lang w:val="en-US" w:eastAsia="zh-CN"/>
                    </w:rPr>
                  </w:pPr>
                  <w:r>
                    <w:rPr>
                      <w:rFonts w:hint="default"/>
                      <w:lang w:val="en-US" w:eastAsia="zh-CN"/>
                    </w:rPr>
                    <w:t>本次地质</w:t>
                  </w:r>
                  <w:r>
                    <w:rPr>
                      <w:rFonts w:hint="eastAsia"/>
                      <w:lang w:val="en-US" w:eastAsia="zh-CN"/>
                    </w:rPr>
                    <w:t>勘探</w:t>
                  </w:r>
                  <w:r>
                    <w:rPr>
                      <w:rFonts w:hint="default"/>
                      <w:lang w:val="en-US" w:eastAsia="zh-CN"/>
                    </w:rPr>
                    <w:t>工作</w:t>
                  </w:r>
                  <w:r>
                    <w:rPr>
                      <w:rFonts w:hint="eastAsia"/>
                      <w:lang w:val="en-US" w:eastAsia="zh-CN"/>
                    </w:rPr>
                    <w:t>严格管控施工各环节。在满足地质勘查目的前提下，实现对地质环境的破坏最小化。项目施工时，剥离表土临时堆放，待项目结束后进行表土回填及植被恢复，尽可能地恢复施工迹地原有使用功能。</w:t>
                  </w:r>
                </w:p>
              </w:tc>
              <w:tc>
                <w:tcPr>
                  <w:tcW w:w="470"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58"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both"/>
                    <w:textAlignment w:val="auto"/>
                    <w:rPr>
                      <w:rFonts w:hint="default" w:eastAsia="宋体"/>
                      <w:lang w:val="en-US" w:eastAsia="zh-CN"/>
                    </w:rPr>
                  </w:pPr>
                  <w:r>
                    <w:rPr>
                      <w:rFonts w:hint="eastAsia"/>
                      <w:lang w:val="en-US" w:eastAsia="zh-CN"/>
                    </w:rPr>
                    <w:t>勘查项目要严格按照《绿色地质勘查工作规范》要求，将绿色勘查理念贯穿于地质勘查项目设计、实施、验收全过程，利用先进成熟的绿色勘查新理论、新方法、新技术、新工艺开展地质勘查。大力推广遥感、物探、浅钻(以钻代槽)等绿色勘查技术，鼓励采用组合式、便捷式钻探设备，减少使用对植被破坏较大的槽探、坑探、井探等勘查手段，减轻勘查活动对生态环境的扰动。总结绿色勘查实施成效及经验，形成可复制、能推广的绿色勘查新模式、新机制、新制度；积极申报绿色勘查示范项目，促进地质勘查和生态保护协调发展。</w:t>
                  </w:r>
                </w:p>
              </w:tc>
              <w:tc>
                <w:tcPr>
                  <w:tcW w:w="1870"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both"/>
                    <w:textAlignment w:val="auto"/>
                    <w:rPr>
                      <w:rFonts w:hint="default"/>
                    </w:rPr>
                  </w:pPr>
                  <w:r>
                    <w:rPr>
                      <w:rFonts w:hint="default" w:ascii="Times New Roman" w:hAnsi="Times New Roman" w:eastAsia="宋体" w:cs="Times New Roman"/>
                      <w:sz w:val="21"/>
                      <w:szCs w:val="21"/>
                      <w:highlight w:val="none"/>
                      <w:lang w:val="zh-CN" w:eastAsia="zh-CN"/>
                    </w:rPr>
                    <w:t>本项目按照《绿色地质勘查工作规范》要求，</w:t>
                  </w:r>
                  <w:r>
                    <w:rPr>
                      <w:rFonts w:hint="default" w:ascii="Times New Roman" w:hAnsi="Times New Roman" w:eastAsia="宋体" w:cs="Times New Roman"/>
                      <w:sz w:val="21"/>
                      <w:szCs w:val="21"/>
                      <w:highlight w:val="none"/>
                    </w:rPr>
                    <w:t>采用地质</w:t>
                  </w:r>
                  <w:r>
                    <w:rPr>
                      <w:rFonts w:hint="eastAsia" w:cs="Times New Roman"/>
                      <w:sz w:val="21"/>
                      <w:szCs w:val="21"/>
                      <w:highlight w:val="none"/>
                      <w:lang w:val="en-US" w:eastAsia="zh-CN"/>
                    </w:rPr>
                    <w:t>测量、</w:t>
                  </w:r>
                  <w:r>
                    <w:rPr>
                      <w:rFonts w:hint="default" w:ascii="Times New Roman" w:hAnsi="Times New Roman" w:eastAsia="宋体" w:cs="Times New Roman"/>
                      <w:sz w:val="21"/>
                      <w:szCs w:val="21"/>
                      <w:highlight w:val="none"/>
                    </w:rPr>
                    <w:t>槽探</w:t>
                  </w:r>
                  <w:r>
                    <w:rPr>
                      <w:rFonts w:hint="eastAsia" w:cs="Times New Roman"/>
                      <w:sz w:val="21"/>
                      <w:szCs w:val="21"/>
                      <w:highlight w:val="none"/>
                      <w:lang w:eastAsia="zh-CN"/>
                    </w:rPr>
                    <w:t>、</w:t>
                  </w:r>
                  <w:r>
                    <w:rPr>
                      <w:rFonts w:hint="eastAsia" w:cs="Times New Roman"/>
                      <w:sz w:val="21"/>
                      <w:szCs w:val="21"/>
                      <w:highlight w:val="none"/>
                      <w:lang w:val="en-US" w:eastAsia="zh-CN"/>
                    </w:rPr>
                    <w:t>钻探</w:t>
                  </w:r>
                  <w:r>
                    <w:rPr>
                      <w:rFonts w:hint="default" w:ascii="Times New Roman" w:hAnsi="Times New Roman" w:eastAsia="宋体" w:cs="Times New Roman"/>
                      <w:sz w:val="21"/>
                      <w:szCs w:val="21"/>
                      <w:highlight w:val="none"/>
                    </w:rPr>
                    <w:t>等工作手段开展详查评价。通过运用高效、环保的方法、技术、设备等，在地质勘查各方面和全过程中减少或控制对生态环境的影响</w:t>
                  </w:r>
                  <w:r>
                    <w:rPr>
                      <w:rFonts w:hint="eastAsia" w:cs="Times New Roman"/>
                      <w:sz w:val="21"/>
                      <w:szCs w:val="21"/>
                      <w:highlight w:val="none"/>
                      <w:lang w:eastAsia="zh-CN"/>
                    </w:rPr>
                    <w:t>，</w:t>
                  </w:r>
                  <w:r>
                    <w:rPr>
                      <w:rFonts w:hint="default" w:ascii="Times New Roman" w:hAnsi="Times New Roman" w:eastAsia="宋体" w:cs="Times New Roman"/>
                      <w:sz w:val="21"/>
                      <w:szCs w:val="21"/>
                      <w:highlight w:val="none"/>
                      <w:lang w:val="zh-CN" w:eastAsia="zh-CN"/>
                    </w:rPr>
                    <w:t>开展绿色勘查，及时对开挖工程进行回填，最大限度减少人为破坏，减轻勘查活动对生态环境的扰动</w:t>
                  </w:r>
                  <w:r>
                    <w:rPr>
                      <w:rFonts w:hint="eastAsia" w:cs="Times New Roman"/>
                      <w:sz w:val="21"/>
                      <w:szCs w:val="21"/>
                      <w:highlight w:val="none"/>
                      <w:lang w:val="zh-CN" w:eastAsia="zh-CN"/>
                    </w:rPr>
                    <w:t>。</w:t>
                  </w:r>
                </w:p>
              </w:tc>
              <w:tc>
                <w:tcPr>
                  <w:tcW w:w="470"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lang w:eastAsia="zh-CN"/>
                    </w:rPr>
                    <w:t>符合</w:t>
                  </w:r>
                </w:p>
              </w:tc>
            </w:tr>
          </w:tbl>
          <w:p>
            <w:pPr>
              <w:pStyle w:val="52"/>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表1-</w:t>
            </w:r>
            <w:r>
              <w:rPr>
                <w:rFonts w:hint="eastAsia"/>
                <w:lang w:val="en-US" w:eastAsia="zh-CN"/>
              </w:rPr>
              <w:t xml:space="preserve">3 </w:t>
            </w:r>
            <w:r>
              <w:rPr>
                <w:rFonts w:hint="default"/>
                <w:lang w:val="en-US" w:eastAsia="zh-CN"/>
              </w:rPr>
              <w:t xml:space="preserve"> </w:t>
            </w:r>
            <w:r>
              <w:rPr>
                <w:rFonts w:hint="eastAsia"/>
                <w:lang w:val="en-US" w:eastAsia="zh-CN"/>
              </w:rPr>
              <w:t xml:space="preserve"> </w:t>
            </w:r>
            <w:r>
              <w:rPr>
                <w:rFonts w:hint="default"/>
                <w:lang w:val="en-US" w:eastAsia="zh-CN"/>
              </w:rPr>
              <w:t xml:space="preserve"> 项目与《新疆维吾尔自治区矿产资源总体规划（2021—2025年）环境影响报告书》及审查意见的符合性分析内容</w:t>
            </w:r>
          </w:p>
          <w:tbl>
            <w:tblPr>
              <w:tblStyle w:val="26"/>
              <w:tblW w:w="48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8"/>
              <w:gridCol w:w="2584"/>
              <w:gridCol w:w="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727"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规划内容</w:t>
                  </w:r>
                </w:p>
              </w:tc>
              <w:tc>
                <w:tcPr>
                  <w:tcW w:w="1798"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本项目情况</w:t>
                  </w:r>
                </w:p>
              </w:tc>
              <w:tc>
                <w:tcPr>
                  <w:tcW w:w="473"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是否符合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727"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both"/>
                    <w:textAlignment w:val="auto"/>
                    <w:rPr>
                      <w:rFonts w:hint="default"/>
                      <w:lang w:eastAsia="zh-CN"/>
                    </w:rPr>
                  </w:pPr>
                  <w:r>
                    <w:rPr>
                      <w:rFonts w:hint="default"/>
                      <w:lang w:eastAsia="zh-CN"/>
                    </w:rPr>
                    <w:t>红线作为保障和维护区域生态安全的底线，应进一步优化矿业权设置和空间布局，依法依规对生态空间实施严格保护。与生态保护红线存在空间重叠的6个能源资源基地、24个国家规划矿区22个重点勘查区、32个重点开采区等，后续设置矿业权时，应进一步优化布局，确保满足生态保护红线管控要求。与大气环境优先保护区(自然保护区、森林公园、世界遗产地等)存在空间重叠的90个勘查规划区块、25个开采规划区块，以及与水环境优先保护区存在空间重叠的462个勘查规划区块、153个开采规划区块和与农用地优先保护区存在空间重叠的28个勘查规划区块、8个开采规划区块等，后续设置矿业权时，应进一步优化布局、强化管控措施，确保满足生态环境分区管控及相关环境保护要求</w:t>
                  </w:r>
                  <w:r>
                    <w:rPr>
                      <w:rFonts w:hint="eastAsia"/>
                      <w:lang w:eastAsia="zh-CN"/>
                    </w:rPr>
                    <w:t>。</w:t>
                  </w:r>
                </w:p>
              </w:tc>
              <w:tc>
                <w:tcPr>
                  <w:tcW w:w="1798"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both"/>
                    <w:textAlignment w:val="auto"/>
                    <w:rPr>
                      <w:rFonts w:hint="default"/>
                      <w:lang w:eastAsia="zh-CN"/>
                    </w:rPr>
                  </w:pPr>
                  <w:r>
                    <w:rPr>
                      <w:rFonts w:hint="default"/>
                    </w:rPr>
                    <w:t>本项目不</w:t>
                  </w:r>
                  <w:r>
                    <w:rPr>
                      <w:rFonts w:hint="eastAsia"/>
                      <w:lang w:val="en-US" w:eastAsia="zh-CN"/>
                    </w:rPr>
                    <w:t>存在与</w:t>
                  </w:r>
                  <w:r>
                    <w:rPr>
                      <w:rFonts w:hint="default"/>
                      <w:lang w:eastAsia="zh-CN"/>
                    </w:rPr>
                    <w:t>自然保护区、森林公园、世界遗产地等</w:t>
                  </w:r>
                  <w:r>
                    <w:rPr>
                      <w:rFonts w:hint="eastAsia"/>
                      <w:lang w:val="en-US" w:eastAsia="zh-CN"/>
                    </w:rPr>
                    <w:t>空间重叠</w:t>
                  </w:r>
                  <w:r>
                    <w:rPr>
                      <w:rFonts w:hint="default"/>
                    </w:rPr>
                    <w:t>，项目区</w:t>
                  </w:r>
                  <w:r>
                    <w:rPr>
                      <w:rFonts w:hint="eastAsia"/>
                      <w:lang w:val="en-US" w:eastAsia="zh-CN"/>
                    </w:rPr>
                    <w:t>不涉及</w:t>
                  </w:r>
                  <w:r>
                    <w:rPr>
                      <w:rFonts w:hint="default"/>
                    </w:rPr>
                    <w:t>生态保护红线</w:t>
                  </w:r>
                  <w:r>
                    <w:rPr>
                      <w:rFonts w:hint="eastAsia"/>
                      <w:lang w:eastAsia="zh-CN"/>
                    </w:rPr>
                    <w:t>，</w:t>
                  </w:r>
                  <w:r>
                    <w:rPr>
                      <w:rFonts w:hint="eastAsia"/>
                      <w:lang w:val="en-US" w:eastAsia="zh-CN"/>
                    </w:rPr>
                    <w:t>符合相关</w:t>
                  </w:r>
                  <w:r>
                    <w:rPr>
                      <w:rFonts w:hint="default"/>
                    </w:rPr>
                    <w:t>要求。</w:t>
                  </w:r>
                </w:p>
              </w:tc>
              <w:tc>
                <w:tcPr>
                  <w:tcW w:w="473"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jc w:val="center"/>
              </w:trPr>
              <w:tc>
                <w:tcPr>
                  <w:tcW w:w="2727"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both"/>
                    <w:textAlignment w:val="auto"/>
                    <w:rPr>
                      <w:rFonts w:hint="default"/>
                      <w:lang w:eastAsia="zh-CN"/>
                    </w:rPr>
                  </w:pPr>
                  <w:r>
                    <w:rPr>
                      <w:rFonts w:hint="default"/>
                      <w:lang w:eastAsia="zh-CN"/>
                    </w:rPr>
                    <w:t>结合生态保护、饮用水水源保护区及水环境功能区水质保护及改善要求、土壤污染防治目标等，推进重点矿区建立生态、地表水、地下水、土壤等环境要素的长期监测监控体系，明确责任主体、强化资金保障，其中，在用尾矿库100%安装在线监测装置</w:t>
                  </w:r>
                  <w:r>
                    <w:rPr>
                      <w:rFonts w:hint="eastAsia"/>
                      <w:lang w:eastAsia="zh-CN"/>
                    </w:rPr>
                    <w:t>；</w:t>
                  </w:r>
                  <w:r>
                    <w:rPr>
                      <w:rFonts w:hint="default"/>
                      <w:lang w:eastAsia="zh-CN"/>
                    </w:rPr>
                    <w:t>组织开展主要矿种集中开采区域生态修复效果评估，并根据监测和评估结果增加和优化必要的保护措施。针对地表水环境及土壤环境累积影响、地下水环境质量下降、生态退化等情形，建立预警机制。</w:t>
                  </w:r>
                </w:p>
              </w:tc>
              <w:tc>
                <w:tcPr>
                  <w:tcW w:w="1798"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both"/>
                    <w:textAlignment w:val="auto"/>
                    <w:rPr>
                      <w:rFonts w:hint="eastAsia"/>
                      <w:lang w:val="en-US" w:eastAsia="zh-CN"/>
                    </w:rPr>
                  </w:pPr>
                  <w:r>
                    <w:rPr>
                      <w:rFonts w:hint="eastAsia"/>
                      <w:lang w:val="en-US" w:eastAsia="zh-CN"/>
                    </w:rPr>
                    <w:t>本项目产生的生活污水经一体化污水处理设施处理后用于洒水绿化，不外排</w:t>
                  </w:r>
                  <w:r>
                    <w:rPr>
                      <w:rFonts w:hint="eastAsia"/>
                      <w:lang w:eastAsia="zh-CN"/>
                    </w:rPr>
                    <w:t>。</w:t>
                  </w:r>
                  <w:r>
                    <w:rPr>
                      <w:rFonts w:hint="eastAsia"/>
                      <w:lang w:val="en-US" w:eastAsia="zh-CN"/>
                    </w:rPr>
                    <w:t>钻井设备冲洗水经沉淀池处理后用于洒水降尘，不外排；泥浆废水经泥浆沉淀池处理后全部回用于泥浆配制、不外排，不与地表水体发生水力关系。不会影响区域水环境质量。</w:t>
                  </w:r>
                </w:p>
              </w:tc>
              <w:tc>
                <w:tcPr>
                  <w:tcW w:w="473"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918" w:type="dxa"/>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both"/>
                    <w:textAlignment w:val="auto"/>
                    <w:rPr>
                      <w:rFonts w:hint="default"/>
                      <w:lang w:eastAsia="zh-CN"/>
                    </w:rPr>
                  </w:pPr>
                  <w:r>
                    <w:rPr>
                      <w:rFonts w:hint="eastAsia"/>
                      <w:lang w:val="en-US" w:eastAsia="zh-CN"/>
                    </w:rPr>
                    <w:t>审查意见中指出：严格环境准入，保护区域生态功能。按照新疆维吾尔自治区生态环境分区管控方案、生态环境保护规划等新要求，与大气环境优先保护区、水环境优先保护区、农用地优先保护区等存在空间重叠的现有矿业权、勘查规划区块、开采规划区块，应严格执行相应管控要求，控制勘查、开采活动范围和强度，严格执行绿色勘查、开采及矿山环境生态保护修复相关要求，确保生态系统结构和主要功能不受破坏。严格控制涉及生物多样性保护优先区域、国家重点生态功能区、国家重要生态功能区、水源涵养区、水土流失重点防治区等区域矿产资源开发活动，并采取相应保护措施，防止加剧对重点生态功能区的不良环境影响。</w:t>
                  </w:r>
                </w:p>
              </w:tc>
              <w:tc>
                <w:tcPr>
                  <w:tcW w:w="2584" w:type="dxa"/>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both"/>
                    <w:textAlignment w:val="auto"/>
                    <w:rPr>
                      <w:rFonts w:hint="eastAsia"/>
                      <w:lang w:val="en-US" w:eastAsia="zh-CN"/>
                    </w:rPr>
                  </w:pPr>
                  <w:r>
                    <w:rPr>
                      <w:rFonts w:hint="eastAsia"/>
                      <w:lang w:val="en-US" w:eastAsia="zh-CN"/>
                    </w:rPr>
                    <w:t>本项目已取得所在区域的探矿权，证号：DT6500002008103010017262。项目不涉及生物多样性保护优先区域、国家重点生态功能区、国家重要生态功能区、水源涵养区、水土流失重点防治区等区域。符合审查意见相关要求。</w:t>
                  </w:r>
                </w:p>
              </w:tc>
              <w:tc>
                <w:tcPr>
                  <w:tcW w:w="473" w:type="pct"/>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bl>
          <w:p>
            <w:pPr>
              <w:pStyle w:val="56"/>
              <w:keepNext w:val="0"/>
              <w:keepLines w:val="0"/>
              <w:suppressLineNumbers w:val="0"/>
              <w:bidi w:val="0"/>
              <w:spacing w:before="0" w:beforeAutospacing="0" w:after="0" w:afterAutospacing="0"/>
              <w:ind w:left="0" w:right="0"/>
              <w:jc w:val="center"/>
              <w:rPr>
                <w:rFonts w:hint="default"/>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70" w:hRule="atLeast"/>
        </w:trPr>
        <w:tc>
          <w:tcPr>
            <w:tcW w:w="1634" w:type="dxa"/>
            <w:noWrap w:val="0"/>
            <w:tcMar>
              <w:top w:w="16" w:type="dxa"/>
              <w:left w:w="16" w:type="dxa"/>
              <w:right w:w="16" w:type="dxa"/>
            </w:tcMar>
            <w:vAlign w:val="center"/>
          </w:tcPr>
          <w:p>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cs="宋体"/>
                <w:kern w:val="0"/>
                <w:szCs w:val="21"/>
              </w:rPr>
            </w:pPr>
            <w:bookmarkStart w:id="2" w:name="_Hlk56690880"/>
            <w:r>
              <w:rPr>
                <w:rFonts w:hint="eastAsia" w:ascii="宋体" w:hAnsi="宋体" w:cs="宋体"/>
                <w:kern w:val="0"/>
                <w:szCs w:val="21"/>
              </w:rPr>
              <w:t>其他符合性分析</w:t>
            </w:r>
            <w:bookmarkEnd w:id="2"/>
          </w:p>
        </w:tc>
        <w:tc>
          <w:tcPr>
            <w:tcW w:w="7405" w:type="dxa"/>
            <w:gridSpan w:val="3"/>
            <w:noWrap w:val="0"/>
            <w:tcMar>
              <w:top w:w="16" w:type="dxa"/>
              <w:left w:w="16" w:type="dxa"/>
              <w:right w:w="16" w:type="dxa"/>
            </w:tcMar>
            <w:vAlign w:val="center"/>
          </w:tcPr>
          <w:p>
            <w:pPr>
              <w:pStyle w:val="50"/>
              <w:keepNext w:val="0"/>
              <w:keepLines w:val="0"/>
              <w:suppressLineNumbers w:val="0"/>
              <w:bidi w:val="0"/>
              <w:spacing w:before="0" w:beforeAutospacing="0" w:after="0" w:afterAutospacing="0"/>
              <w:ind w:left="0" w:right="0" w:firstLine="0" w:firstLineChars="0"/>
              <w:rPr>
                <w:rFonts w:hint="eastAsia" w:ascii="Times New Roman" w:hAnsi="Times New Roman"/>
                <w:lang w:val="en-US" w:eastAsia="zh-CN"/>
              </w:rPr>
            </w:pPr>
            <w:r>
              <w:rPr>
                <w:rFonts w:hint="eastAsia" w:ascii="Times New Roman" w:hAnsi="Times New Roman"/>
                <w:lang w:val="en-US" w:eastAsia="zh-CN"/>
              </w:rPr>
              <w:t>1.产业政策符合性分析</w:t>
            </w:r>
          </w:p>
          <w:p>
            <w:pPr>
              <w:pStyle w:val="65"/>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本项目属于陆地矿产资源地质勘查项目，已取得所在</w:t>
            </w:r>
            <w:r>
              <w:rPr>
                <w:rFonts w:hint="default"/>
                <w:lang w:val="en-US" w:eastAsia="zh-CN"/>
              </w:rPr>
              <w:t>区域的探矿权，证号：</w:t>
            </w:r>
            <w:r>
              <w:rPr>
                <w:rFonts w:hint="eastAsia"/>
                <w:lang w:val="en-US" w:eastAsia="zh-CN"/>
              </w:rPr>
              <w:t>D</w:t>
            </w:r>
            <w:r>
              <w:rPr>
                <w:rFonts w:hint="eastAsia"/>
                <w:highlight w:val="none"/>
                <w:lang w:val="en-US" w:eastAsia="zh-CN"/>
              </w:rPr>
              <w:t>T6500002008103010017262</w:t>
            </w:r>
            <w:r>
              <w:rPr>
                <w:rFonts w:hint="eastAsia"/>
                <w:lang w:val="en-US" w:eastAsia="zh-CN"/>
              </w:rPr>
              <w:t>。根据《产业结构调整指导目录（2024年本）》，不属于鼓励类、限制类及淘汰类，为允许类，符合《产业结构调整指导目录（2024年本）》要求。本项目为陆地矿产资源地质勘查项目，不在《新疆维吾尔自治区28个国家重点生态功能区县（市）产业准入负面清单（试行）》产业准入负面清单的禁止类和限制类中。综上所述，本项目符合产业政策。</w:t>
            </w:r>
          </w:p>
          <w:p>
            <w:pPr>
              <w:pStyle w:val="50"/>
              <w:keepNext w:val="0"/>
              <w:keepLines w:val="0"/>
              <w:suppressLineNumbers w:val="0"/>
              <w:bidi w:val="0"/>
              <w:spacing w:before="0" w:beforeAutospacing="0" w:after="0" w:afterAutospacing="0"/>
              <w:ind w:left="0" w:right="0"/>
              <w:rPr>
                <w:rFonts w:hint="default"/>
              </w:rPr>
            </w:pPr>
            <w:r>
              <w:rPr>
                <w:rFonts w:hint="eastAsia"/>
                <w:lang w:val="en-US" w:eastAsia="zh-CN"/>
              </w:rPr>
              <w:t>2.</w:t>
            </w:r>
            <w:r>
              <w:rPr>
                <w:rFonts w:hint="eastAsia"/>
                <w:lang w:eastAsia="zh-CN"/>
              </w:rPr>
              <w:t>“</w:t>
            </w:r>
            <w:r>
              <w:rPr>
                <w:rFonts w:hint="eastAsia"/>
                <w:lang w:val="en-US" w:eastAsia="zh-CN"/>
              </w:rPr>
              <w:t>生态环境分区管控</w:t>
            </w:r>
            <w:r>
              <w:rPr>
                <w:rFonts w:hint="eastAsia"/>
                <w:lang w:eastAsia="zh-CN"/>
              </w:rPr>
              <w:t>”</w:t>
            </w:r>
            <w:r>
              <w:rPr>
                <w:rFonts w:hint="eastAsia"/>
                <w:lang w:val="en-US" w:eastAsia="zh-CN"/>
              </w:rPr>
              <w:t>要求</w:t>
            </w:r>
            <w:r>
              <w:rPr>
                <w:rFonts w:hint="default"/>
              </w:rPr>
              <w:t>符合性分析</w:t>
            </w:r>
          </w:p>
          <w:p>
            <w:pPr>
              <w:pStyle w:val="50"/>
              <w:keepNext w:val="0"/>
              <w:keepLines w:val="0"/>
              <w:suppressLineNumbers w:val="0"/>
              <w:bidi w:val="0"/>
              <w:spacing w:before="0" w:beforeAutospacing="0" w:after="0" w:afterAutospacing="0"/>
              <w:ind w:left="0" w:right="0"/>
              <w:rPr>
                <w:rFonts w:hint="default"/>
                <w:lang w:eastAsia="zh-CN"/>
              </w:rPr>
            </w:pPr>
            <w:r>
              <w:rPr>
                <w:rFonts w:hint="eastAsia"/>
                <w:lang w:val="en-US" w:eastAsia="zh-CN"/>
              </w:rPr>
              <w:t>2.1</w:t>
            </w:r>
            <w:r>
              <w:rPr>
                <w:rFonts w:hint="default"/>
                <w:lang w:val="en-US" w:eastAsia="zh-CN"/>
              </w:rPr>
              <w:t>《关于印发〈新疆维吾尔自治区生态环境分区管控动态更新成果〉的通知》（新环环评发〔2024〕157号）符合性分析</w:t>
            </w:r>
          </w:p>
          <w:p>
            <w:pPr>
              <w:pStyle w:val="65"/>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项目与《关于印发〈新疆维吾尔自治区生态环境分区管控动态更新成果〉的通知》（新环环评发〔2024〕157号）符合性分析详见下表。</w:t>
            </w:r>
          </w:p>
          <w:p>
            <w:pPr>
              <w:pStyle w:val="52"/>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表1-4    本项目</w:t>
            </w:r>
            <w:r>
              <w:rPr>
                <w:rFonts w:hint="default"/>
                <w:lang w:val="en-US" w:eastAsia="zh-CN"/>
              </w:rPr>
              <w:t>与《关于印发〈新疆维吾尔自治区生态环境分区管控动态更新成果〉的通知》（新环环评发〔2024〕157号）</w:t>
            </w:r>
            <w:r>
              <w:rPr>
                <w:rFonts w:hint="eastAsia"/>
                <w:lang w:val="en-US" w:eastAsia="zh-CN"/>
              </w:rPr>
              <w:t>符合性分析</w:t>
            </w:r>
          </w:p>
          <w:tbl>
            <w:tblPr>
              <w:tblStyle w:val="26"/>
              <w:tblW w:w="49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693"/>
              <w:gridCol w:w="2582"/>
              <w:gridCol w:w="2712"/>
              <w:gridCol w:w="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6" w:type="pct"/>
                  <w:gridSpan w:val="2"/>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管控要求</w:t>
                  </w:r>
                </w:p>
              </w:tc>
              <w:tc>
                <w:tcPr>
                  <w:tcW w:w="1778" w:type="pct"/>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环境管理政策有关要求</w:t>
                  </w:r>
                </w:p>
              </w:tc>
              <w:tc>
                <w:tcPr>
                  <w:tcW w:w="1868" w:type="pct"/>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本项目情况</w:t>
                  </w:r>
                </w:p>
              </w:tc>
              <w:tc>
                <w:tcPr>
                  <w:tcW w:w="476" w:type="pct"/>
                  <w:noWrap w:val="0"/>
                  <w:vAlign w:val="center"/>
                </w:tcPr>
                <w:p>
                  <w:pPr>
                    <w:pStyle w:val="54"/>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restart"/>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A1</w:t>
                  </w:r>
                  <w:r>
                    <w:rPr>
                      <w:rFonts w:hint="eastAsia"/>
                      <w:lang w:val="en-US" w:eastAsia="zh-CN"/>
                    </w:rPr>
                    <w:t>空间布局约束</w:t>
                  </w:r>
                </w:p>
              </w:tc>
              <w:tc>
                <w:tcPr>
                  <w:tcW w:w="477" w:type="pct"/>
                  <w:vMerge w:val="restart"/>
                  <w:noWrap w:val="0"/>
                  <w:vAlign w:val="center"/>
                </w:tcPr>
                <w:p>
                  <w:pPr>
                    <w:pStyle w:val="54"/>
                    <w:keepNext w:val="0"/>
                    <w:keepLines w:val="0"/>
                    <w:suppressLineNumbers w:val="0"/>
                    <w:bidi w:val="0"/>
                    <w:spacing w:before="0" w:beforeAutospacing="0" w:after="0" w:afterAutospacing="0"/>
                    <w:ind w:left="0" w:right="0"/>
                    <w:rPr>
                      <w:rFonts w:hint="eastAsia"/>
                    </w:rPr>
                  </w:pPr>
                  <w:r>
                    <w:rPr>
                      <w:rFonts w:hint="default"/>
                      <w:lang w:val="en-US" w:eastAsia="zh-CN"/>
                    </w:rPr>
                    <w:t>A1.1禁止开发建设的活动</w:t>
                  </w:r>
                </w:p>
              </w:tc>
              <w:tc>
                <w:tcPr>
                  <w:tcW w:w="1778" w:type="pct"/>
                  <w:noWrap w:val="0"/>
                  <w:vAlign w:val="center"/>
                </w:tcPr>
                <w:p>
                  <w:pPr>
                    <w:pStyle w:val="54"/>
                    <w:keepNext w:val="0"/>
                    <w:keepLines w:val="0"/>
                    <w:suppressLineNumbers w:val="0"/>
                    <w:bidi w:val="0"/>
                    <w:spacing w:before="0" w:beforeAutospacing="0" w:after="0" w:afterAutospacing="0"/>
                    <w:ind w:left="0" w:right="0"/>
                    <w:jc w:val="both"/>
                    <w:rPr>
                      <w:rFonts w:hint="default"/>
                      <w:lang w:val="en-US" w:eastAsia="zh-CN"/>
                    </w:rPr>
                  </w:pPr>
                  <w:r>
                    <w:rPr>
                      <w:rFonts w:hint="default"/>
                      <w:lang w:val="en-US" w:eastAsia="zh-CN"/>
                    </w:rPr>
                    <w:t>〔A1.1-1〕禁止新建、扩建《产业结构调整指导目录</w:t>
                  </w:r>
                  <w:r>
                    <w:rPr>
                      <w:rFonts w:hint="eastAsia"/>
                      <w:lang w:val="en-US" w:eastAsia="zh-CN"/>
                    </w:rPr>
                    <w:t>（</w:t>
                  </w:r>
                  <w:r>
                    <w:rPr>
                      <w:rFonts w:hint="default"/>
                      <w:lang w:val="en-US" w:eastAsia="zh-CN"/>
                    </w:rPr>
                    <w:t>2024年本</w:t>
                  </w:r>
                  <w:r>
                    <w:rPr>
                      <w:rFonts w:hint="eastAsia"/>
                      <w:lang w:val="en-US" w:eastAsia="zh-CN"/>
                    </w:rPr>
                    <w:t>）</w:t>
                  </w:r>
                  <w:r>
                    <w:rPr>
                      <w:rFonts w:hint="default"/>
                      <w:lang w:val="en-US" w:eastAsia="zh-CN"/>
                    </w:rPr>
                    <w:t>》中淘汰类项目。禁止引入《市场准入负面清单</w:t>
                  </w:r>
                  <w:r>
                    <w:rPr>
                      <w:rFonts w:hint="eastAsia"/>
                      <w:lang w:val="en-US" w:eastAsia="zh-CN"/>
                    </w:rPr>
                    <w:t>（</w:t>
                  </w:r>
                  <w:r>
                    <w:rPr>
                      <w:rFonts w:hint="default"/>
                      <w:lang w:val="en-US" w:eastAsia="zh-CN"/>
                    </w:rPr>
                    <w:t>2022年版</w:t>
                  </w:r>
                  <w:r>
                    <w:rPr>
                      <w:rFonts w:hint="eastAsia"/>
                      <w:lang w:val="en-US" w:eastAsia="zh-CN"/>
                    </w:rPr>
                    <w:t>）》</w:t>
                  </w:r>
                  <w:r>
                    <w:rPr>
                      <w:rFonts w:hint="default"/>
                      <w:lang w:val="en-US" w:eastAsia="zh-CN"/>
                    </w:rPr>
                    <w:t>禁止准入类事项。</w:t>
                  </w:r>
                </w:p>
              </w:tc>
              <w:tc>
                <w:tcPr>
                  <w:tcW w:w="1868" w:type="pct"/>
                  <w:noWrap w:val="0"/>
                  <w:vAlign w:val="center"/>
                </w:tcPr>
                <w:p>
                  <w:pPr>
                    <w:pStyle w:val="54"/>
                    <w:keepNext w:val="0"/>
                    <w:keepLines w:val="0"/>
                    <w:suppressLineNumbers w:val="0"/>
                    <w:bidi w:val="0"/>
                    <w:spacing w:before="0" w:beforeAutospacing="0" w:after="0" w:afterAutospacing="0"/>
                    <w:ind w:left="0" w:right="0"/>
                    <w:jc w:val="both"/>
                    <w:rPr>
                      <w:rFonts w:hint="default"/>
                      <w:lang w:val="en-US" w:eastAsia="zh-CN"/>
                    </w:rPr>
                  </w:pPr>
                  <w:r>
                    <w:rPr>
                      <w:rFonts w:hint="eastAsia"/>
                      <w:lang w:val="en-US" w:eastAsia="zh-CN"/>
                    </w:rPr>
                    <w:t>本项目不属于</w:t>
                  </w:r>
                  <w:r>
                    <w:rPr>
                      <w:rFonts w:hint="default"/>
                    </w:rPr>
                    <w:t>《产业结构调整指导目录</w:t>
                  </w:r>
                  <w:r>
                    <w:rPr>
                      <w:rFonts w:hint="eastAsia"/>
                      <w:lang w:eastAsia="zh-CN"/>
                    </w:rPr>
                    <w:t>（</w:t>
                  </w:r>
                  <w:r>
                    <w:rPr>
                      <w:rFonts w:hint="default"/>
                    </w:rPr>
                    <w:t>2024年本</w:t>
                  </w:r>
                  <w:r>
                    <w:rPr>
                      <w:rFonts w:hint="eastAsia"/>
                      <w:lang w:eastAsia="zh-CN"/>
                    </w:rPr>
                    <w:t>）</w:t>
                  </w:r>
                  <w:r>
                    <w:rPr>
                      <w:rFonts w:hint="default"/>
                    </w:rPr>
                    <w:t>》中鼓励类、限制类和淘汰类，属于允许类；</w:t>
                  </w:r>
                  <w:r>
                    <w:rPr>
                      <w:rFonts w:hint="eastAsia"/>
                      <w:lang w:val="en-US" w:eastAsia="zh-CN"/>
                    </w:rPr>
                    <w:t>本项目也不属于</w:t>
                  </w:r>
                  <w:r>
                    <w:rPr>
                      <w:rFonts w:hint="default"/>
                      <w:lang w:val="en-US" w:eastAsia="zh-CN"/>
                    </w:rPr>
                    <w:t>《市场准入负面清单</w:t>
                  </w:r>
                  <w:r>
                    <w:rPr>
                      <w:rFonts w:hint="eastAsia"/>
                      <w:lang w:val="en-US" w:eastAsia="zh-CN"/>
                    </w:rPr>
                    <w:t>（</w:t>
                  </w:r>
                  <w:r>
                    <w:rPr>
                      <w:rFonts w:hint="default"/>
                      <w:lang w:val="en-US" w:eastAsia="zh-CN"/>
                    </w:rPr>
                    <w:t>202</w:t>
                  </w:r>
                  <w:r>
                    <w:rPr>
                      <w:rFonts w:hint="eastAsia"/>
                      <w:lang w:val="en-US" w:eastAsia="zh-CN"/>
                    </w:rPr>
                    <w:t>5</w:t>
                  </w:r>
                  <w:r>
                    <w:rPr>
                      <w:rFonts w:hint="default"/>
                      <w:lang w:val="en-US" w:eastAsia="zh-CN"/>
                    </w:rPr>
                    <w:t>年版</w:t>
                  </w:r>
                  <w:r>
                    <w:rPr>
                      <w:rFonts w:hint="eastAsia"/>
                      <w:lang w:val="en-US" w:eastAsia="zh-CN"/>
                    </w:rPr>
                    <w:t>）》的项目。</w:t>
                  </w:r>
                  <w:r>
                    <w:rPr>
                      <w:rFonts w:hint="default"/>
                    </w:rPr>
                    <w:t>符合国家产业政策</w:t>
                  </w:r>
                  <w:r>
                    <w:rPr>
                      <w:rFonts w:hint="eastAsia"/>
                      <w:lang w:eastAsia="zh-CN"/>
                    </w:rPr>
                    <w:t>。</w:t>
                  </w:r>
                </w:p>
              </w:tc>
              <w:tc>
                <w:tcPr>
                  <w:tcW w:w="476" w:type="pct"/>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p>
              </w:tc>
              <w:tc>
                <w:tcPr>
                  <w:tcW w:w="477" w:type="pct"/>
                  <w:vMerge w:val="continue"/>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p>
              </w:tc>
              <w:tc>
                <w:tcPr>
                  <w:tcW w:w="1778" w:type="pct"/>
                  <w:noWrap w:val="0"/>
                  <w:vAlign w:val="center"/>
                </w:tcPr>
                <w:p>
                  <w:pPr>
                    <w:pStyle w:val="54"/>
                    <w:keepNext w:val="0"/>
                    <w:keepLines w:val="0"/>
                    <w:suppressLineNumbers w:val="0"/>
                    <w:bidi w:val="0"/>
                    <w:spacing w:before="0" w:beforeAutospacing="0" w:after="0" w:afterAutospacing="0"/>
                    <w:ind w:left="0" w:right="0"/>
                    <w:jc w:val="both"/>
                    <w:rPr>
                      <w:rFonts w:hint="default"/>
                      <w:lang w:val="en-US" w:eastAsia="zh-CN"/>
                    </w:rPr>
                  </w:pPr>
                  <w:r>
                    <w:rPr>
                      <w:rFonts w:hint="default"/>
                      <w:lang w:val="en-US" w:eastAsia="zh-CN"/>
                    </w:rPr>
                    <w:t>〔A1.1-</w:t>
                  </w:r>
                  <w:r>
                    <w:rPr>
                      <w:rFonts w:hint="eastAsia"/>
                      <w:lang w:val="en-US" w:eastAsia="zh-CN"/>
                    </w:rPr>
                    <w:t>4</w:t>
                  </w:r>
                  <w:r>
                    <w:rPr>
                      <w:rFonts w:hint="default"/>
                      <w:lang w:val="en-US" w:eastAsia="zh-CN"/>
                    </w:rPr>
                    <w:t>〕</w:t>
                  </w:r>
                  <w:r>
                    <w:rPr>
                      <w:rFonts w:hint="eastAsia"/>
                      <w:lang w:val="en-US" w:eastAsia="zh-CN"/>
                    </w:rPr>
                    <w:t>禁止在水源涵养区、地下水源、饮用水源、自然保护区、风景名胜区、森林公园、重要湿地及人群密集区等生态敏感区域内进行煤炭、石油、天然气开发。</w:t>
                  </w:r>
                </w:p>
              </w:tc>
              <w:tc>
                <w:tcPr>
                  <w:tcW w:w="1868" w:type="pct"/>
                  <w:noWrap w:val="0"/>
                  <w:vAlign w:val="center"/>
                </w:tcPr>
                <w:p>
                  <w:pPr>
                    <w:pStyle w:val="54"/>
                    <w:keepNext w:val="0"/>
                    <w:keepLines w:val="0"/>
                    <w:suppressLineNumbers w:val="0"/>
                    <w:bidi w:val="0"/>
                    <w:spacing w:before="0" w:beforeAutospacing="0" w:after="0" w:afterAutospacing="0"/>
                    <w:ind w:left="0" w:right="0"/>
                    <w:jc w:val="both"/>
                    <w:rPr>
                      <w:rFonts w:hint="default"/>
                      <w:lang w:val="en-US" w:eastAsia="zh-CN"/>
                    </w:rPr>
                  </w:pPr>
                  <w:r>
                    <w:rPr>
                      <w:rFonts w:hint="eastAsia"/>
                      <w:lang w:val="en-US" w:eastAsia="zh-CN"/>
                    </w:rPr>
                    <w:t>本项目位于新疆维吾尔自治区巴音郭楞蒙古自治州和硕县城东北17°方向，直线距离39千米处，不涉及水源涵养区、地下水源、饮用水源、自然保护区、风景名胜区、森林公园、重要湿地及人群密集区等生态敏感区域。本项目勘探以铜多金属矿为主攻矿种。符合相关要求。</w:t>
                  </w:r>
                </w:p>
              </w:tc>
              <w:tc>
                <w:tcPr>
                  <w:tcW w:w="476" w:type="pct"/>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9" w:type="pct"/>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A2污染物排放管控</w:t>
                  </w:r>
                </w:p>
              </w:tc>
              <w:tc>
                <w:tcPr>
                  <w:tcW w:w="477" w:type="pct"/>
                  <w:noWrap w:val="0"/>
                  <w:vAlign w:val="center"/>
                </w:tcPr>
                <w:p>
                  <w:pPr>
                    <w:pStyle w:val="54"/>
                    <w:keepNext w:val="0"/>
                    <w:keepLines w:val="0"/>
                    <w:suppressLineNumbers w:val="0"/>
                    <w:bidi w:val="0"/>
                    <w:spacing w:before="0" w:beforeAutospacing="0" w:after="0" w:afterAutospacing="0"/>
                    <w:ind w:left="0" w:right="0"/>
                    <w:rPr>
                      <w:rFonts w:hint="eastAsia"/>
                    </w:rPr>
                  </w:pPr>
                  <w:r>
                    <w:rPr>
                      <w:rFonts w:hint="default"/>
                      <w:lang w:val="en-US" w:eastAsia="zh-CN"/>
                    </w:rPr>
                    <w:t>A2</w:t>
                  </w:r>
                  <w:r>
                    <w:rPr>
                      <w:rFonts w:hint="eastAsia"/>
                      <w:lang w:val="en-US" w:eastAsia="zh-CN"/>
                    </w:rPr>
                    <w:t>.2污染控制措施要求</w:t>
                  </w:r>
                </w:p>
              </w:tc>
              <w:tc>
                <w:tcPr>
                  <w:tcW w:w="1778" w:type="pct"/>
                  <w:noWrap w:val="0"/>
                  <w:vAlign w:val="center"/>
                </w:tcPr>
                <w:p>
                  <w:pPr>
                    <w:pStyle w:val="54"/>
                    <w:keepNext w:val="0"/>
                    <w:keepLines w:val="0"/>
                    <w:suppressLineNumbers w:val="0"/>
                    <w:bidi w:val="0"/>
                    <w:spacing w:before="0" w:beforeAutospacing="0" w:after="0" w:afterAutospacing="0"/>
                    <w:ind w:left="0" w:right="0"/>
                    <w:jc w:val="both"/>
                    <w:rPr>
                      <w:rFonts w:hint="default"/>
                      <w:lang w:val="en-US" w:eastAsia="zh-CN"/>
                    </w:rPr>
                  </w:pPr>
                  <w:r>
                    <w:rPr>
                      <w:rFonts w:hint="default"/>
                      <w:lang w:val="en-US" w:eastAsia="zh-CN"/>
                    </w:rPr>
                    <w:t>〔A</w:t>
                  </w:r>
                  <w:r>
                    <w:rPr>
                      <w:rFonts w:hint="eastAsia"/>
                      <w:lang w:val="en-US" w:eastAsia="zh-CN"/>
                    </w:rPr>
                    <w:t>2</w:t>
                  </w:r>
                  <w:r>
                    <w:rPr>
                      <w:rFonts w:hint="default"/>
                      <w:lang w:val="en-US" w:eastAsia="zh-CN"/>
                    </w:rPr>
                    <w:t>.</w:t>
                  </w:r>
                  <w:r>
                    <w:rPr>
                      <w:rFonts w:hint="eastAsia"/>
                      <w:lang w:val="en-US" w:eastAsia="zh-CN"/>
                    </w:rPr>
                    <w:t>2</w:t>
                  </w:r>
                  <w:r>
                    <w:rPr>
                      <w:rFonts w:hint="default"/>
                      <w:lang w:val="en-US" w:eastAsia="zh-CN"/>
                    </w:rPr>
                    <w:t>-4〕</w:t>
                  </w:r>
                  <w:r>
                    <w:rPr>
                      <w:rFonts w:hint="eastAsia"/>
                      <w:lang w:val="en-US" w:eastAsia="zh-CN"/>
                    </w:rPr>
                    <w:t>强化用水定额管理。推进地下水超采综合治理。开展河湖生态流量（水量）确定工作，强化生态用水保障。</w:t>
                  </w:r>
                </w:p>
              </w:tc>
              <w:tc>
                <w:tcPr>
                  <w:tcW w:w="1868" w:type="pct"/>
                  <w:noWrap w:val="0"/>
                  <w:vAlign w:val="center"/>
                </w:tcPr>
                <w:p>
                  <w:pPr>
                    <w:pStyle w:val="54"/>
                    <w:keepNext w:val="0"/>
                    <w:keepLines w:val="0"/>
                    <w:suppressLineNumbers w:val="0"/>
                    <w:bidi w:val="0"/>
                    <w:spacing w:before="0" w:beforeAutospacing="0" w:after="0" w:afterAutospacing="0"/>
                    <w:ind w:left="0" w:right="0"/>
                    <w:jc w:val="both"/>
                    <w:rPr>
                      <w:rFonts w:hint="default"/>
                      <w:lang w:val="en-US" w:eastAsia="zh-CN"/>
                    </w:rPr>
                  </w:pPr>
                  <w:r>
                    <w:rPr>
                      <w:rFonts w:hint="default"/>
                      <w:lang w:val="en-US" w:eastAsia="zh-CN"/>
                    </w:rPr>
                    <w:t>项目用水定期从附近</w:t>
                  </w:r>
                  <w:r>
                    <w:rPr>
                      <w:rFonts w:hint="eastAsia"/>
                      <w:lang w:val="en-US" w:eastAsia="zh-CN"/>
                    </w:rPr>
                    <w:t>乡镇</w:t>
                  </w:r>
                  <w:r>
                    <w:rPr>
                      <w:rFonts w:hint="default"/>
                      <w:lang w:val="en-US" w:eastAsia="zh-CN"/>
                    </w:rPr>
                    <w:t>拉运。项目采用较为先进的地质勘查技术，勘探过程中水耗不超过国家要求。产生的生活污水排入一体化污水处理设施处理达标后，用于洒水绿化，不外排；钻井设备冲洗水经沉淀池处理后</w:t>
                  </w:r>
                  <w:r>
                    <w:rPr>
                      <w:rFonts w:hint="eastAsia"/>
                      <w:lang w:val="en-US" w:eastAsia="zh-CN"/>
                    </w:rPr>
                    <w:t>用于洒水降尘，不外排</w:t>
                  </w:r>
                  <w:r>
                    <w:rPr>
                      <w:rFonts w:hint="default"/>
                      <w:lang w:val="en-US" w:eastAsia="zh-CN"/>
                    </w:rPr>
                    <w:t>；泥浆废水经泥浆沉淀池处理后全部回用于泥浆配制，不外排，不与地表水体发生水力关系，不会影响区域水环境质量。</w:t>
                  </w:r>
                  <w:r>
                    <w:rPr>
                      <w:rFonts w:hint="eastAsia"/>
                      <w:lang w:val="en-US" w:eastAsia="zh-CN"/>
                    </w:rPr>
                    <w:t>符合相关要求</w:t>
                  </w:r>
                  <w:r>
                    <w:rPr>
                      <w:rFonts w:hint="default"/>
                      <w:lang w:val="en-US" w:eastAsia="zh-CN"/>
                    </w:rPr>
                    <w:t>。</w:t>
                  </w:r>
                </w:p>
              </w:tc>
              <w:tc>
                <w:tcPr>
                  <w:tcW w:w="476" w:type="pct"/>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A3环境风险防控</w:t>
                  </w:r>
                </w:p>
              </w:tc>
              <w:tc>
                <w:tcPr>
                  <w:tcW w:w="477" w:type="pct"/>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A3.2联防联控要求</w:t>
                  </w:r>
                </w:p>
              </w:tc>
              <w:tc>
                <w:tcPr>
                  <w:tcW w:w="1778" w:type="pct"/>
                  <w:noWrap w:val="0"/>
                  <w:vAlign w:val="center"/>
                </w:tcPr>
                <w:p>
                  <w:pPr>
                    <w:pStyle w:val="54"/>
                    <w:keepNext w:val="0"/>
                    <w:keepLines w:val="0"/>
                    <w:suppressLineNumbers w:val="0"/>
                    <w:bidi w:val="0"/>
                    <w:spacing w:before="0" w:beforeAutospacing="0" w:after="0" w:afterAutospacing="0"/>
                    <w:ind w:left="0" w:right="0"/>
                    <w:jc w:val="both"/>
                    <w:rPr>
                      <w:rFonts w:hint="default"/>
                      <w:lang w:val="en-US" w:eastAsia="zh-CN"/>
                    </w:rPr>
                  </w:pPr>
                  <w:r>
                    <w:rPr>
                      <w:rFonts w:hint="default"/>
                      <w:lang w:val="en-US" w:eastAsia="zh-CN"/>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1868" w:type="pct"/>
                  <w:noWrap w:val="0"/>
                  <w:vAlign w:val="center"/>
                </w:tcPr>
                <w:p>
                  <w:pPr>
                    <w:pStyle w:val="54"/>
                    <w:keepNext w:val="0"/>
                    <w:keepLines w:val="0"/>
                    <w:suppressLineNumbers w:val="0"/>
                    <w:bidi w:val="0"/>
                    <w:spacing w:before="0" w:beforeAutospacing="0" w:after="0" w:afterAutospacing="0"/>
                    <w:ind w:left="0" w:right="0"/>
                    <w:jc w:val="both"/>
                    <w:rPr>
                      <w:rFonts w:hint="default"/>
                      <w:lang w:val="en-US" w:eastAsia="zh-CN"/>
                    </w:rPr>
                  </w:pPr>
                  <w:r>
                    <w:rPr>
                      <w:rFonts w:hint="eastAsia"/>
                      <w:lang w:val="en-US" w:eastAsia="zh-CN"/>
                    </w:rPr>
                    <w:t>本项目建立环境突发事件应急管理领导机构、完善环境突发应急预案体系、配备完善应急物资等手段来加强环境风险防控，加强应急物资储备及应急物资信息化建设，增强实战能力。</w:t>
                  </w:r>
                </w:p>
              </w:tc>
              <w:tc>
                <w:tcPr>
                  <w:tcW w:w="476" w:type="pct"/>
                  <w:noWrap w:val="0"/>
                  <w:vAlign w:val="center"/>
                </w:tcPr>
                <w:p>
                  <w:pPr>
                    <w:pStyle w:val="54"/>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shd w:val="clear" w:color="auto" w:fill="auto"/>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A4资源利用要求</w:t>
                  </w:r>
                </w:p>
              </w:tc>
              <w:tc>
                <w:tcPr>
                  <w:tcW w:w="477" w:type="pct"/>
                  <w:shd w:val="clear" w:color="auto" w:fill="auto"/>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A4.5资源综合利用</w:t>
                  </w:r>
                </w:p>
              </w:tc>
              <w:tc>
                <w:tcPr>
                  <w:tcW w:w="1778" w:type="pct"/>
                  <w:noWrap w:val="0"/>
                  <w:vAlign w:val="center"/>
                </w:tcPr>
                <w:p>
                  <w:pPr>
                    <w:pStyle w:val="54"/>
                    <w:keepNext w:val="0"/>
                    <w:keepLines w:val="0"/>
                    <w:suppressLineNumbers w:val="0"/>
                    <w:bidi w:val="0"/>
                    <w:spacing w:before="0" w:beforeAutospacing="0" w:after="0" w:afterAutospacing="0"/>
                    <w:ind w:left="0" w:right="0"/>
                    <w:jc w:val="both"/>
                    <w:rPr>
                      <w:rFonts w:hint="default"/>
                      <w:lang w:val="en-US" w:eastAsia="zh-CN"/>
                    </w:rPr>
                  </w:pPr>
                  <w:r>
                    <w:rPr>
                      <w:rFonts w:hint="default"/>
                      <w:lang w:val="en-US" w:eastAsia="zh-CN"/>
                    </w:rPr>
                    <w:t>〔A</w:t>
                  </w:r>
                  <w:r>
                    <w:rPr>
                      <w:rFonts w:hint="eastAsia"/>
                      <w:lang w:val="en-US" w:eastAsia="zh-CN"/>
                    </w:rPr>
                    <w:t>4</w:t>
                  </w:r>
                  <w:r>
                    <w:rPr>
                      <w:rFonts w:hint="default"/>
                      <w:lang w:val="en-US" w:eastAsia="zh-CN"/>
                    </w:rPr>
                    <w:t>.</w:t>
                  </w:r>
                  <w:r>
                    <w:rPr>
                      <w:rFonts w:hint="eastAsia"/>
                      <w:lang w:val="en-US" w:eastAsia="zh-CN"/>
                    </w:rPr>
                    <w:t>5</w:t>
                  </w:r>
                  <w:r>
                    <w:rPr>
                      <w:rFonts w:hint="default"/>
                      <w:lang w:val="en-US" w:eastAsia="zh-CN"/>
                    </w:rPr>
                    <w:t>-</w:t>
                  </w:r>
                  <w:r>
                    <w:rPr>
                      <w:rFonts w:hint="eastAsia"/>
                      <w:lang w:val="en-US" w:eastAsia="zh-CN"/>
                    </w:rPr>
                    <w:t>3</w:t>
                  </w:r>
                  <w:r>
                    <w:rPr>
                      <w:rFonts w:hint="default"/>
                      <w:lang w:val="en-US" w:eastAsia="zh-CN"/>
                    </w:rPr>
                    <w:t>〕</w:t>
                  </w:r>
                  <w:r>
                    <w:rPr>
                      <w:rFonts w:hint="eastAsia"/>
                      <w:lang w:val="en-US" w:eastAsia="zh-CN"/>
                    </w:rPr>
                    <w:t>结合工业领域减污降碳要求，加快探索钢铁、有色、化工、建材等重点行业工业固体废物减量化路径，全面推行清洁生产。全面推进绿色矿山、“无废”矿区建设，推广尾矿等大宗工业固体废物环境友好型井下充填回填，减少尾矿库贮存量。推动大宗工业固体废物在提取有价组分、生产建材、筑路、生态修复、土壤治理等领域的规模化利用。</w:t>
                  </w:r>
                </w:p>
              </w:tc>
              <w:tc>
                <w:tcPr>
                  <w:tcW w:w="1868" w:type="pct"/>
                  <w:noWrap w:val="0"/>
                  <w:vAlign w:val="center"/>
                </w:tcPr>
                <w:p>
                  <w:pPr>
                    <w:pStyle w:val="54"/>
                    <w:keepNext w:val="0"/>
                    <w:keepLines w:val="0"/>
                    <w:suppressLineNumbers w:val="0"/>
                    <w:bidi w:val="0"/>
                    <w:spacing w:before="0" w:beforeAutospacing="0" w:after="0" w:afterAutospacing="0"/>
                    <w:ind w:left="0" w:right="0"/>
                    <w:jc w:val="both"/>
                    <w:rPr>
                      <w:rFonts w:hint="default"/>
                      <w:lang w:val="en-US" w:eastAsia="zh-CN"/>
                    </w:rPr>
                  </w:pPr>
                  <w:r>
                    <w:rPr>
                      <w:rFonts w:hint="eastAsia"/>
                      <w:lang w:val="en-US" w:eastAsia="zh-CN"/>
                    </w:rPr>
                    <w:t>本项目槽探产生的土石方就近堆存并覆盖彩布条，在勘探期结束后全部回填至开挖地，钻探岩心交至单位统一保管，岩屑回填于封孔，泥浆固化后拉运至一般固废处置单位统一处理，沉淀池沉渣就地掩埋；生活营地内设置一定数量的垃圾桶，用于临时存放生活垃圾，统一收集后送至和硕县环境卫生服务中心，符合相关要求。</w:t>
                  </w:r>
                </w:p>
              </w:tc>
              <w:tc>
                <w:tcPr>
                  <w:tcW w:w="476" w:type="pct"/>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符合</w:t>
                  </w:r>
                </w:p>
              </w:tc>
            </w:tr>
          </w:tbl>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2.2《巴音郭楞蒙古自治州“三线一单”生态环境分区管控动态更新成果（2023年）》（巴政办发〔2024〕32号）符合性分析</w:t>
            </w:r>
          </w:p>
          <w:p>
            <w:pPr>
              <w:pStyle w:val="65"/>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本工程建设地点位于新疆维吾尔自治区巴音郭楞蒙古自治州和硕县</w:t>
            </w:r>
            <w:r>
              <w:rPr>
                <w:rFonts w:hint="eastAsia"/>
                <w:lang w:eastAsia="zh-CN"/>
              </w:rPr>
              <w:t>，</w:t>
            </w:r>
            <w:r>
              <w:rPr>
                <w:rFonts w:hint="eastAsia"/>
                <w:lang w:val="en-US" w:eastAsia="zh-CN"/>
              </w:rPr>
              <w:t>根据《巴音郭楞蒙古自治州“三线一单”生态环境分区管控动态更新成果（2023年）》（巴政办发〔2024〕32号）可知，本项目涉及优先保护单元和重点管控单元，环境管控单元管控要求详见下表。</w:t>
            </w:r>
          </w:p>
          <w:p>
            <w:pPr>
              <w:pStyle w:val="52"/>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表1-5    本项目与《巴音郭楞蒙古自治州“三线一单”生态环境分区管控动态更新成果（2023年）》（巴政办发〔2024〕32号）符合性分析</w:t>
            </w:r>
          </w:p>
          <w:tbl>
            <w:tblPr>
              <w:tblStyle w:val="26"/>
              <w:tblW w:w="7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735"/>
              <w:gridCol w:w="2497"/>
              <w:gridCol w:w="2701"/>
              <w:gridCol w:w="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2" w:type="dxa"/>
                  <w:gridSpan w:val="2"/>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环境管控单元编码</w:t>
                  </w:r>
                </w:p>
              </w:tc>
              <w:tc>
                <w:tcPr>
                  <w:tcW w:w="2497" w:type="dxa"/>
                  <w:shd w:val="clear" w:color="auto" w:fill="auto"/>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default"/>
                      <w:lang w:val="en-US" w:eastAsia="zh-CN"/>
                    </w:rPr>
                    <w:t>ZH652828</w:t>
                  </w:r>
                  <w:r>
                    <w:rPr>
                      <w:rFonts w:hint="eastAsia"/>
                      <w:lang w:val="en-US" w:eastAsia="zh-CN"/>
                    </w:rPr>
                    <w:t>1</w:t>
                  </w:r>
                  <w:r>
                    <w:rPr>
                      <w:rFonts w:hint="default"/>
                      <w:lang w:val="en-US" w:eastAsia="zh-CN"/>
                    </w:rPr>
                    <w:t>000</w:t>
                  </w:r>
                  <w:r>
                    <w:rPr>
                      <w:rFonts w:hint="eastAsia"/>
                      <w:lang w:val="en-US" w:eastAsia="zh-CN"/>
                    </w:rPr>
                    <w:t>7</w:t>
                  </w:r>
                </w:p>
              </w:tc>
              <w:tc>
                <w:tcPr>
                  <w:tcW w:w="2701" w:type="dxa"/>
                  <w:vMerge w:val="restart"/>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本工程情况</w:t>
                  </w:r>
                </w:p>
              </w:tc>
              <w:tc>
                <w:tcPr>
                  <w:tcW w:w="690" w:type="dxa"/>
                  <w:vMerge w:val="restar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相符性分析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2" w:type="dxa"/>
                  <w:gridSpan w:val="2"/>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环境管控单元名称</w:t>
                  </w:r>
                </w:p>
              </w:tc>
              <w:tc>
                <w:tcPr>
                  <w:tcW w:w="2497" w:type="dxa"/>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eastAsia="宋体"/>
                      <w:lang w:val="en-US" w:eastAsia="zh-CN"/>
                    </w:rPr>
                  </w:pPr>
                  <w:r>
                    <w:rPr>
                      <w:rFonts w:hint="eastAsia"/>
                      <w:lang w:val="en-US" w:eastAsia="zh-CN"/>
                    </w:rPr>
                    <w:t>和硕县</w:t>
                  </w:r>
                  <w:r>
                    <w:rPr>
                      <w:rFonts w:hint="eastAsia"/>
                    </w:rPr>
                    <w:t>一般</w:t>
                  </w:r>
                  <w:r>
                    <w:rPr>
                      <w:rFonts w:hint="eastAsia"/>
                      <w:lang w:val="en-US" w:eastAsia="zh-CN"/>
                    </w:rPr>
                    <w:t>生态空间</w:t>
                  </w:r>
                </w:p>
              </w:tc>
              <w:tc>
                <w:tcPr>
                  <w:tcW w:w="2701" w:type="dxa"/>
                  <w:vMerge w:val="continue"/>
                  <w:noWrap w:val="0"/>
                  <w:vAlign w:val="center"/>
                </w:tcPr>
                <w:p>
                  <w:pPr>
                    <w:pStyle w:val="58"/>
                    <w:keepNext w:val="0"/>
                    <w:keepLines w:val="0"/>
                    <w:suppressLineNumbers w:val="0"/>
                    <w:bidi w:val="0"/>
                    <w:spacing w:before="0" w:beforeAutospacing="0" w:after="0" w:afterAutospacing="0"/>
                    <w:ind w:left="0" w:right="0"/>
                    <w:rPr>
                      <w:rFonts w:hint="default"/>
                    </w:rPr>
                  </w:pPr>
                </w:p>
              </w:tc>
              <w:tc>
                <w:tcPr>
                  <w:tcW w:w="690" w:type="dxa"/>
                  <w:vMerge w:val="continue"/>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2" w:type="dxa"/>
                  <w:gridSpan w:val="2"/>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rPr>
                    <w:t>环境管控单元类别</w:t>
                  </w:r>
                </w:p>
              </w:tc>
              <w:tc>
                <w:tcPr>
                  <w:tcW w:w="2497" w:type="dxa"/>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优先保护单元</w:t>
                  </w:r>
                </w:p>
              </w:tc>
              <w:tc>
                <w:tcPr>
                  <w:tcW w:w="2701" w:type="dxa"/>
                  <w:vMerge w:val="continue"/>
                  <w:noWrap w:val="0"/>
                  <w:vAlign w:val="center"/>
                </w:tcPr>
                <w:p>
                  <w:pPr>
                    <w:pStyle w:val="58"/>
                    <w:keepNext w:val="0"/>
                    <w:keepLines w:val="0"/>
                    <w:suppressLineNumbers w:val="0"/>
                    <w:bidi w:val="0"/>
                    <w:spacing w:before="0" w:beforeAutospacing="0" w:after="0" w:afterAutospacing="0"/>
                    <w:ind w:left="0" w:right="0"/>
                    <w:rPr>
                      <w:rFonts w:hint="default"/>
                    </w:rPr>
                  </w:pPr>
                </w:p>
              </w:tc>
              <w:tc>
                <w:tcPr>
                  <w:tcW w:w="690" w:type="dxa"/>
                  <w:vMerge w:val="continue"/>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dxa"/>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管控要求</w:t>
                  </w:r>
                </w:p>
              </w:tc>
              <w:tc>
                <w:tcPr>
                  <w:tcW w:w="735" w:type="dxa"/>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空间布局约束</w:t>
                  </w:r>
                </w:p>
              </w:tc>
              <w:tc>
                <w:tcPr>
                  <w:tcW w:w="2497" w:type="dxa"/>
                  <w:noWrap w:val="0"/>
                  <w:vAlign w:val="center"/>
                </w:tcPr>
                <w:p>
                  <w:pPr>
                    <w:pStyle w:val="58"/>
                    <w:keepNext w:val="0"/>
                    <w:keepLines w:val="0"/>
                    <w:suppressLineNumbers w:val="0"/>
                    <w:bidi w:val="0"/>
                    <w:spacing w:before="0" w:beforeAutospacing="0" w:after="0" w:afterAutospacing="0"/>
                    <w:ind w:left="0" w:right="0"/>
                    <w:jc w:val="both"/>
                    <w:rPr>
                      <w:rFonts w:hint="default"/>
                    </w:rPr>
                  </w:pPr>
                  <w:r>
                    <w:rPr>
                      <w:rFonts w:hint="default"/>
                      <w:lang w:val="en-US" w:eastAsia="zh-CN"/>
                    </w:rPr>
                    <w:t>1.</w:t>
                  </w:r>
                  <w:r>
                    <w:rPr>
                      <w:rFonts w:hint="eastAsia"/>
                      <w:lang w:val="en-US" w:eastAsia="zh-CN"/>
                    </w:rPr>
                    <w:t>执行总体管控要求。</w:t>
                  </w:r>
                </w:p>
                <w:p>
                  <w:pPr>
                    <w:pStyle w:val="58"/>
                    <w:keepNext w:val="0"/>
                    <w:keepLines w:val="0"/>
                    <w:suppressLineNumbers w:val="0"/>
                    <w:bidi w:val="0"/>
                    <w:spacing w:before="0" w:beforeAutospacing="0" w:after="0" w:afterAutospacing="0"/>
                    <w:ind w:left="0" w:right="0"/>
                    <w:jc w:val="both"/>
                    <w:rPr>
                      <w:rFonts w:hint="eastAsia"/>
                      <w:lang w:val="en-US" w:eastAsia="zh-CN"/>
                    </w:rPr>
                  </w:pPr>
                  <w:r>
                    <w:rPr>
                      <w:rFonts w:hint="eastAsia"/>
                      <w:lang w:val="en-US" w:eastAsia="zh-CN"/>
                    </w:rPr>
                    <w:t>2.严格执行主体功能区划，明确不同功能区的环境准入条件和污染物排放标准；限制开发区，坚持保护优先，严格限制高污染项目，允许已列入规划的矿产项目、现有矿山企业，景区旅游开发项目以及水库、机场、公路、工业园区等项目合理开发。科学制定并严格实施县域规划，形成有利于污染物处理及扩散的区域空间格局。</w:t>
                  </w:r>
                </w:p>
              </w:tc>
              <w:tc>
                <w:tcPr>
                  <w:tcW w:w="2701" w:type="dxa"/>
                  <w:noWrap w:val="0"/>
                  <w:vAlign w:val="center"/>
                </w:tcPr>
                <w:p>
                  <w:pPr>
                    <w:pStyle w:val="58"/>
                    <w:keepNext w:val="0"/>
                    <w:keepLines w:val="0"/>
                    <w:suppressLineNumbers w:val="0"/>
                    <w:bidi w:val="0"/>
                    <w:spacing w:before="0" w:beforeAutospacing="0" w:after="0" w:afterAutospacing="0"/>
                    <w:ind w:left="0" w:right="0"/>
                    <w:jc w:val="both"/>
                    <w:rPr>
                      <w:rFonts w:hint="default"/>
                    </w:rPr>
                  </w:pPr>
                  <w:r>
                    <w:rPr>
                      <w:rFonts w:hint="default"/>
                    </w:rPr>
                    <w:t>本探矿项目严格落实区域准入总体管控及主体功能区划相关要求，项目为矿产勘查类项目，不属于政策严控的高污染项目；项目按规定落实各项环保措施，污染物排放执行对应排放标准，契合县域空间布局管控思路，符合准入清单各项要求。</w:t>
                  </w:r>
                </w:p>
              </w:tc>
              <w:tc>
                <w:tcPr>
                  <w:tcW w:w="690" w:type="dxa"/>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2" w:type="dxa"/>
                  <w:gridSpan w:val="2"/>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kern w:val="2"/>
                      <w:sz w:val="21"/>
                      <w:szCs w:val="21"/>
                      <w:lang w:val="en-US" w:eastAsia="zh-CN" w:bidi="ar-SA"/>
                    </w:rPr>
                  </w:pPr>
                  <w:r>
                    <w:rPr>
                      <w:rFonts w:hint="default"/>
                      <w:lang w:val="en-US" w:eastAsia="zh-CN"/>
                    </w:rPr>
                    <w:t>环境管控单元编码</w:t>
                  </w:r>
                </w:p>
              </w:tc>
              <w:tc>
                <w:tcPr>
                  <w:tcW w:w="2497" w:type="dxa"/>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eastAsia" w:ascii="Times New Roman" w:hAnsi="Times New Roman" w:eastAsia="宋体" w:cs="Times New Roman"/>
                      <w:kern w:val="2"/>
                      <w:sz w:val="21"/>
                      <w:szCs w:val="21"/>
                      <w:lang w:val="en-US" w:eastAsia="zh-CN" w:bidi="ar-SA"/>
                    </w:rPr>
                  </w:pPr>
                  <w:r>
                    <w:rPr>
                      <w:rFonts w:hint="default"/>
                      <w:lang w:val="en-US" w:eastAsia="zh-CN"/>
                    </w:rPr>
                    <w:t>ZH65282820001</w:t>
                  </w:r>
                </w:p>
              </w:tc>
              <w:tc>
                <w:tcPr>
                  <w:tcW w:w="2701" w:type="dxa"/>
                  <w:vMerge w:val="restart"/>
                  <w:noWrap w:val="0"/>
                  <w:vAlign w:val="center"/>
                </w:tcPr>
                <w:p>
                  <w:pPr>
                    <w:pStyle w:val="58"/>
                    <w:keepNext w:val="0"/>
                    <w:keepLines w:val="0"/>
                    <w:suppressLineNumbers w:val="0"/>
                    <w:bidi w:val="0"/>
                    <w:spacing w:before="0" w:beforeAutospacing="0" w:after="0" w:afterAutospacing="0"/>
                    <w:ind w:left="0" w:right="0"/>
                    <w:jc w:val="center"/>
                    <w:rPr>
                      <w:rFonts w:hint="default"/>
                    </w:rPr>
                  </w:pPr>
                  <w:r>
                    <w:rPr>
                      <w:rFonts w:hint="eastAsia"/>
                      <w:lang w:val="en-US" w:eastAsia="zh-CN"/>
                    </w:rPr>
                    <w:t>本工程情况</w:t>
                  </w:r>
                </w:p>
              </w:tc>
              <w:tc>
                <w:tcPr>
                  <w:tcW w:w="690" w:type="dxa"/>
                  <w:vMerge w:val="restart"/>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相符性分析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2" w:type="dxa"/>
                  <w:gridSpan w:val="2"/>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kern w:val="2"/>
                      <w:sz w:val="21"/>
                      <w:szCs w:val="21"/>
                      <w:lang w:val="en-US" w:eastAsia="zh-CN" w:bidi="ar-SA"/>
                    </w:rPr>
                  </w:pPr>
                  <w:r>
                    <w:rPr>
                      <w:rFonts w:hint="eastAsia"/>
                      <w:lang w:val="en-US" w:eastAsia="zh-CN"/>
                    </w:rPr>
                    <w:t>环境管控单元名称</w:t>
                  </w:r>
                </w:p>
              </w:tc>
              <w:tc>
                <w:tcPr>
                  <w:tcW w:w="2497" w:type="dxa"/>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jc w:val="both"/>
                    <w:rPr>
                      <w:rFonts w:hint="eastAsia" w:ascii="Times New Roman" w:hAnsi="Times New Roman" w:eastAsia="宋体" w:cs="Times New Roman"/>
                      <w:kern w:val="2"/>
                      <w:sz w:val="21"/>
                      <w:szCs w:val="21"/>
                      <w:lang w:val="en-US" w:eastAsia="zh-CN" w:bidi="ar-SA"/>
                    </w:rPr>
                  </w:pPr>
                  <w:r>
                    <w:rPr>
                      <w:rFonts w:hint="eastAsia"/>
                      <w:lang w:val="en-US" w:eastAsia="zh-CN"/>
                    </w:rPr>
                    <w:t>和硕县大气布局敏感区</w:t>
                  </w:r>
                </w:p>
              </w:tc>
              <w:tc>
                <w:tcPr>
                  <w:tcW w:w="2701" w:type="dxa"/>
                  <w:vMerge w:val="continue"/>
                  <w:noWrap w:val="0"/>
                  <w:vAlign w:val="center"/>
                </w:tcPr>
                <w:p>
                  <w:pPr>
                    <w:pStyle w:val="58"/>
                    <w:keepNext w:val="0"/>
                    <w:keepLines w:val="0"/>
                    <w:suppressLineNumbers w:val="0"/>
                    <w:bidi w:val="0"/>
                    <w:spacing w:before="0" w:beforeAutospacing="0" w:after="0" w:afterAutospacing="0"/>
                    <w:ind w:left="0" w:right="0"/>
                    <w:jc w:val="both"/>
                    <w:rPr>
                      <w:rFonts w:hint="default"/>
                    </w:rPr>
                  </w:pPr>
                </w:p>
              </w:tc>
              <w:tc>
                <w:tcPr>
                  <w:tcW w:w="690" w:type="dxa"/>
                  <w:vMerge w:val="continue"/>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2" w:type="dxa"/>
                  <w:gridSpan w:val="2"/>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kern w:val="2"/>
                      <w:sz w:val="21"/>
                      <w:szCs w:val="21"/>
                      <w:lang w:val="en-US" w:eastAsia="zh-CN" w:bidi="ar-SA"/>
                    </w:rPr>
                  </w:pPr>
                  <w:r>
                    <w:rPr>
                      <w:rFonts w:hint="default"/>
                    </w:rPr>
                    <w:t>环境管控单元类别</w:t>
                  </w:r>
                </w:p>
              </w:tc>
              <w:tc>
                <w:tcPr>
                  <w:tcW w:w="2497" w:type="dxa"/>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eastAsia" w:ascii="Times New Roman" w:hAnsi="Times New Roman" w:eastAsia="宋体" w:cs="Times New Roman"/>
                      <w:kern w:val="2"/>
                      <w:sz w:val="21"/>
                      <w:szCs w:val="21"/>
                      <w:lang w:val="en-US" w:eastAsia="zh-CN" w:bidi="ar-SA"/>
                    </w:rPr>
                  </w:pPr>
                  <w:r>
                    <w:rPr>
                      <w:rFonts w:hint="eastAsia"/>
                      <w:lang w:val="en-US" w:eastAsia="zh-CN"/>
                    </w:rPr>
                    <w:t>重点管控单元</w:t>
                  </w:r>
                </w:p>
              </w:tc>
              <w:tc>
                <w:tcPr>
                  <w:tcW w:w="2701" w:type="dxa"/>
                  <w:vMerge w:val="continue"/>
                  <w:noWrap w:val="0"/>
                  <w:vAlign w:val="center"/>
                </w:tcPr>
                <w:p>
                  <w:pPr>
                    <w:pStyle w:val="58"/>
                    <w:keepNext w:val="0"/>
                    <w:keepLines w:val="0"/>
                    <w:suppressLineNumbers w:val="0"/>
                    <w:bidi w:val="0"/>
                    <w:spacing w:before="0" w:beforeAutospacing="0" w:after="0" w:afterAutospacing="0"/>
                    <w:ind w:left="0" w:right="0"/>
                    <w:jc w:val="both"/>
                    <w:rPr>
                      <w:rFonts w:hint="default"/>
                    </w:rPr>
                  </w:pPr>
                </w:p>
              </w:tc>
              <w:tc>
                <w:tcPr>
                  <w:tcW w:w="690" w:type="dxa"/>
                  <w:vMerge w:val="continue"/>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dxa"/>
                  <w:vMerge w:val="restar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管控要求</w:t>
                  </w:r>
                </w:p>
              </w:tc>
              <w:tc>
                <w:tcPr>
                  <w:tcW w:w="735" w:type="dxa"/>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空间布局约束</w:t>
                  </w:r>
                </w:p>
              </w:tc>
              <w:tc>
                <w:tcPr>
                  <w:tcW w:w="2497" w:type="dxa"/>
                  <w:noWrap w:val="0"/>
                  <w:vAlign w:val="center"/>
                </w:tcPr>
                <w:p>
                  <w:pPr>
                    <w:pStyle w:val="58"/>
                    <w:keepNext w:val="0"/>
                    <w:keepLines w:val="0"/>
                    <w:suppressLineNumbers w:val="0"/>
                    <w:bidi w:val="0"/>
                    <w:spacing w:before="0" w:beforeAutospacing="0" w:after="0" w:afterAutospacing="0"/>
                    <w:ind w:left="0" w:right="0"/>
                    <w:jc w:val="both"/>
                    <w:rPr>
                      <w:rFonts w:hint="eastAsia"/>
                      <w:lang w:val="en-US" w:eastAsia="zh-CN"/>
                    </w:rPr>
                  </w:pPr>
                  <w:r>
                    <w:rPr>
                      <w:rFonts w:hint="eastAsia"/>
                      <w:lang w:val="en-US" w:eastAsia="zh-CN"/>
                    </w:rPr>
                    <w:t>1.严格建设项目节能环保准入，涉及大气污染物排放的，执行国家大气污染物排放限值，待地方大气污染物排放标准出台后一并执行。</w:t>
                  </w:r>
                </w:p>
                <w:p>
                  <w:pPr>
                    <w:pStyle w:val="58"/>
                    <w:keepNext w:val="0"/>
                    <w:keepLines w:val="0"/>
                    <w:suppressLineNumbers w:val="0"/>
                    <w:bidi w:val="0"/>
                    <w:spacing w:before="0" w:beforeAutospacing="0" w:after="0" w:afterAutospacing="0"/>
                    <w:ind w:left="0" w:right="0"/>
                    <w:jc w:val="both"/>
                    <w:rPr>
                      <w:rFonts w:hint="eastAsia"/>
                      <w:lang w:val="en-US" w:eastAsia="zh-CN"/>
                    </w:rPr>
                  </w:pPr>
                  <w:r>
                    <w:rPr>
                      <w:rFonts w:hint="eastAsia"/>
                      <w:lang w:val="en-US" w:eastAsia="zh-CN"/>
                    </w:rPr>
                    <w:t>2.禁止引进国家和自治区明令禁止或淘汰的产业及工艺、园区规划的项目；引进符合国家产业政策和清洁生产要求的、采用先进生产工艺和设备的、自动化程度高的、具有可靠先进的污染治理技术的生产项目。</w:t>
                  </w:r>
                </w:p>
              </w:tc>
              <w:tc>
                <w:tcPr>
                  <w:tcW w:w="2701" w:type="dxa"/>
                  <w:noWrap w:val="0"/>
                  <w:vAlign w:val="center"/>
                </w:tcPr>
                <w:p>
                  <w:pPr>
                    <w:pStyle w:val="58"/>
                    <w:keepNext w:val="0"/>
                    <w:keepLines w:val="0"/>
                    <w:suppressLineNumbers w:val="0"/>
                    <w:bidi w:val="0"/>
                    <w:spacing w:before="0" w:beforeAutospacing="0" w:after="0" w:afterAutospacing="0"/>
                    <w:ind w:left="0" w:right="0"/>
                    <w:jc w:val="both"/>
                    <w:rPr>
                      <w:rFonts w:hint="eastAsia"/>
                      <w:lang w:eastAsia="zh-CN"/>
                    </w:rPr>
                  </w:pPr>
                  <w:r>
                    <w:rPr>
                      <w:rFonts w:hint="eastAsia"/>
                      <w:lang w:val="en-US" w:eastAsia="zh-CN"/>
                    </w:rPr>
                    <w:t>本项目为勘查项目，勘查过程中产生的粉尘执行</w:t>
                  </w:r>
                  <w:r>
                    <w:rPr>
                      <w:rFonts w:hint="default"/>
                    </w:rPr>
                    <w:t>《大气污染物综合排放标准》（GB16297-1996）无组织排放限值</w:t>
                  </w:r>
                  <w:r>
                    <w:rPr>
                      <w:rFonts w:hint="eastAsia"/>
                      <w:lang w:eastAsia="zh-CN"/>
                    </w:rPr>
                    <w:t>。</w:t>
                  </w:r>
                </w:p>
                <w:p>
                  <w:pPr>
                    <w:pStyle w:val="58"/>
                    <w:keepNext w:val="0"/>
                    <w:keepLines w:val="0"/>
                    <w:suppressLineNumbers w:val="0"/>
                    <w:bidi w:val="0"/>
                    <w:spacing w:before="0" w:beforeAutospacing="0" w:after="0" w:afterAutospacing="0"/>
                    <w:ind w:left="0" w:right="0"/>
                    <w:jc w:val="both"/>
                    <w:rPr>
                      <w:rFonts w:hint="default"/>
                      <w:lang w:val="en-US" w:eastAsia="zh-CN"/>
                    </w:rPr>
                  </w:pPr>
                  <w:r>
                    <w:rPr>
                      <w:rFonts w:hint="eastAsia"/>
                      <w:lang w:val="en-US" w:eastAsia="zh-CN"/>
                    </w:rPr>
                    <w:t>本项目为陆地矿产资源地质勘查项目，不涉及国家和自治区明令禁止或淘汰的产业及工艺。</w:t>
                  </w:r>
                </w:p>
              </w:tc>
              <w:tc>
                <w:tcPr>
                  <w:tcW w:w="690" w:type="dxa"/>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dxa"/>
                  <w:vMerge w:val="continue"/>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p>
              </w:tc>
              <w:tc>
                <w:tcPr>
                  <w:tcW w:w="735" w:type="dxa"/>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污染物排放管控</w:t>
                  </w:r>
                </w:p>
              </w:tc>
              <w:tc>
                <w:tcPr>
                  <w:tcW w:w="2497" w:type="dxa"/>
                  <w:noWrap w:val="0"/>
                  <w:vAlign w:val="center"/>
                </w:tcPr>
                <w:p>
                  <w:pPr>
                    <w:pStyle w:val="58"/>
                    <w:keepNext w:val="0"/>
                    <w:keepLines w:val="0"/>
                    <w:suppressLineNumbers w:val="0"/>
                    <w:bidi w:val="0"/>
                    <w:spacing w:before="0" w:beforeAutospacing="0" w:after="0" w:afterAutospacing="0"/>
                    <w:ind w:left="0" w:right="0"/>
                    <w:jc w:val="both"/>
                    <w:rPr>
                      <w:rFonts w:hint="eastAsia"/>
                      <w:lang w:val="en-US" w:eastAsia="zh-CN"/>
                    </w:rPr>
                  </w:pPr>
                  <w:r>
                    <w:rPr>
                      <w:rFonts w:hint="eastAsia"/>
                      <w:lang w:val="en-US" w:eastAsia="zh-CN"/>
                    </w:rPr>
                    <w:t>1.执行环境空气质量二级标准。</w:t>
                  </w:r>
                </w:p>
                <w:p>
                  <w:pPr>
                    <w:pStyle w:val="58"/>
                    <w:keepNext w:val="0"/>
                    <w:keepLines w:val="0"/>
                    <w:suppressLineNumbers w:val="0"/>
                    <w:bidi w:val="0"/>
                    <w:spacing w:before="0" w:beforeAutospacing="0" w:after="0" w:afterAutospacing="0"/>
                    <w:ind w:left="0" w:right="0"/>
                    <w:jc w:val="both"/>
                    <w:rPr>
                      <w:rFonts w:hint="eastAsia"/>
                      <w:lang w:val="en-US" w:eastAsia="zh-CN"/>
                    </w:rPr>
                  </w:pPr>
                  <w:r>
                    <w:rPr>
                      <w:rFonts w:hint="eastAsia"/>
                      <w:lang w:val="en-US" w:eastAsia="zh-CN"/>
                    </w:rPr>
                    <w:t>2.严格实施污染物总量控制和排污许可证制度，严格落实大气主要污染物排放总量控制，实现区域污染物减排目标。加强环境监管工作，严格执行建设项目环境保护“三同时”制度，所有新建项目必须实现污染物达标排放才能允许生产，从源头上控制污染物的排放。</w:t>
                  </w:r>
                </w:p>
                <w:p>
                  <w:pPr>
                    <w:pStyle w:val="58"/>
                    <w:keepNext w:val="0"/>
                    <w:keepLines w:val="0"/>
                    <w:suppressLineNumbers w:val="0"/>
                    <w:bidi w:val="0"/>
                    <w:spacing w:before="0" w:beforeAutospacing="0" w:after="0" w:afterAutospacing="0"/>
                    <w:ind w:left="0" w:right="0"/>
                    <w:jc w:val="both"/>
                    <w:rPr>
                      <w:rFonts w:hint="eastAsia"/>
                      <w:lang w:val="en-US" w:eastAsia="zh-CN"/>
                    </w:rPr>
                  </w:pPr>
                  <w:r>
                    <w:rPr>
                      <w:rFonts w:hint="eastAsia"/>
                      <w:lang w:val="en-US" w:eastAsia="zh-CN"/>
                    </w:rPr>
                    <w:t>3.协同控制温室气体排放。按照国家统一要求，逐步开展对温室气体排放源的监测和监管。</w:t>
                  </w:r>
                </w:p>
              </w:tc>
              <w:tc>
                <w:tcPr>
                  <w:tcW w:w="2701" w:type="dxa"/>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both"/>
                    <w:textAlignment w:val="auto"/>
                    <w:rPr>
                      <w:rFonts w:hint="default"/>
                    </w:rPr>
                  </w:pPr>
                  <w:r>
                    <w:rPr>
                      <w:rFonts w:hint="default"/>
                    </w:rPr>
                    <w:t>项目所在区域环境空气功能区划为二类区，执行《环境空气质量标准》（GB3095-20</w:t>
                  </w:r>
                  <w:r>
                    <w:rPr>
                      <w:rFonts w:hint="eastAsia"/>
                      <w:lang w:val="en-US" w:eastAsia="zh-CN"/>
                    </w:rPr>
                    <w:t>26</w:t>
                  </w:r>
                  <w:r>
                    <w:rPr>
                      <w:rFonts w:hint="default"/>
                    </w:rPr>
                    <w:t>）二级标准。通过采用符合国标排放标准的施工机械、洒水抑尘、物料篷布覆盖等措施，确保颗粒物浓度满足《大气污染物综合排放标准》（GB16297-1996）无组织排放限值，区域环境空气质量不受明显影响，可稳定达到二级标准要求。</w:t>
                  </w:r>
                </w:p>
              </w:tc>
              <w:tc>
                <w:tcPr>
                  <w:tcW w:w="690" w:type="dxa"/>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dxa"/>
                  <w:vMerge w:val="continue"/>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p>
              </w:tc>
              <w:tc>
                <w:tcPr>
                  <w:tcW w:w="735" w:type="dxa"/>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环境风险防控</w:t>
                  </w:r>
                </w:p>
              </w:tc>
              <w:tc>
                <w:tcPr>
                  <w:tcW w:w="2497" w:type="dxa"/>
                  <w:noWrap w:val="0"/>
                  <w:vAlign w:val="center"/>
                </w:tcPr>
                <w:p>
                  <w:pPr>
                    <w:pStyle w:val="58"/>
                    <w:keepNext w:val="0"/>
                    <w:keepLines w:val="0"/>
                    <w:suppressLineNumbers w:val="0"/>
                    <w:bidi w:val="0"/>
                    <w:spacing w:before="0" w:beforeAutospacing="0" w:after="0" w:afterAutospacing="0"/>
                    <w:ind w:left="0" w:right="0"/>
                    <w:jc w:val="both"/>
                    <w:rPr>
                      <w:rFonts w:hint="eastAsia"/>
                      <w:lang w:val="en-US" w:eastAsia="zh-CN"/>
                    </w:rPr>
                  </w:pPr>
                  <w:r>
                    <w:rPr>
                      <w:rFonts w:hint="eastAsia"/>
                      <w:lang w:val="en-US" w:eastAsia="zh-CN"/>
                    </w:rPr>
                    <w:t>合理规划居住区与工业功能区，在居住区和工业区、工业企业之间设置防护绿化隔离带。</w:t>
                  </w:r>
                </w:p>
              </w:tc>
              <w:tc>
                <w:tcPr>
                  <w:tcW w:w="2701" w:type="dxa"/>
                  <w:noWrap w:val="0"/>
                  <w:vAlign w:val="center"/>
                </w:tcPr>
                <w:p>
                  <w:pPr>
                    <w:pStyle w:val="58"/>
                    <w:keepNext w:val="0"/>
                    <w:keepLines w:val="0"/>
                    <w:suppressLineNumbers w:val="0"/>
                    <w:bidi w:val="0"/>
                    <w:spacing w:before="0" w:beforeAutospacing="0" w:after="0" w:afterAutospacing="0"/>
                    <w:ind w:left="0" w:right="0"/>
                    <w:jc w:val="center"/>
                    <w:rPr>
                      <w:rFonts w:hint="default" w:eastAsia="宋体"/>
                      <w:lang w:val="en-US" w:eastAsia="zh-CN"/>
                    </w:rPr>
                  </w:pPr>
                  <w:r>
                    <w:rPr>
                      <w:rFonts w:hint="eastAsia"/>
                      <w:lang w:val="en-US" w:eastAsia="zh-CN"/>
                    </w:rPr>
                    <w:t>不适用上述要求。</w:t>
                  </w:r>
                </w:p>
              </w:tc>
              <w:tc>
                <w:tcPr>
                  <w:tcW w:w="690" w:type="dxa"/>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dxa"/>
                  <w:vMerge w:val="continue"/>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p>
              </w:tc>
              <w:tc>
                <w:tcPr>
                  <w:tcW w:w="735" w:type="dxa"/>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资源利用效率</w:t>
                  </w:r>
                </w:p>
              </w:tc>
              <w:tc>
                <w:tcPr>
                  <w:tcW w:w="2497" w:type="dxa"/>
                  <w:noWrap w:val="0"/>
                  <w:vAlign w:val="center"/>
                </w:tcPr>
                <w:p>
                  <w:pPr>
                    <w:pStyle w:val="58"/>
                    <w:keepNext w:val="0"/>
                    <w:keepLines w:val="0"/>
                    <w:suppressLineNumbers w:val="0"/>
                    <w:bidi w:val="0"/>
                    <w:spacing w:before="0" w:beforeAutospacing="0" w:after="0" w:afterAutospacing="0"/>
                    <w:ind w:left="0" w:right="0"/>
                    <w:jc w:val="both"/>
                    <w:rPr>
                      <w:rFonts w:hint="eastAsia"/>
                      <w:lang w:val="en-US" w:eastAsia="zh-CN"/>
                    </w:rPr>
                  </w:pPr>
                  <w:r>
                    <w:rPr>
                      <w:rFonts w:hint="eastAsia"/>
                      <w:lang w:val="en-US" w:eastAsia="zh-CN"/>
                    </w:rPr>
                    <w:t>大力发展循环经济，推广高效绿色适用技术，降低污染物排放强度。</w:t>
                  </w:r>
                </w:p>
              </w:tc>
              <w:tc>
                <w:tcPr>
                  <w:tcW w:w="2701" w:type="dxa"/>
                  <w:noWrap w:val="0"/>
                  <w:vAlign w:val="center"/>
                </w:tcPr>
                <w:p>
                  <w:pPr>
                    <w:pStyle w:val="58"/>
                    <w:keepNext w:val="0"/>
                    <w:keepLines w:val="0"/>
                    <w:suppressLineNumbers w:val="0"/>
                    <w:bidi w:val="0"/>
                    <w:spacing w:before="0" w:beforeAutospacing="0" w:after="0" w:afterAutospacing="0"/>
                    <w:ind w:left="0" w:right="0"/>
                    <w:jc w:val="both"/>
                    <w:rPr>
                      <w:rFonts w:hint="default" w:eastAsia="宋体"/>
                      <w:lang w:val="en-US" w:eastAsia="zh-CN"/>
                    </w:rPr>
                  </w:pPr>
                  <w:r>
                    <w:rPr>
                      <w:rFonts w:hint="eastAsia"/>
                      <w:lang w:val="en-US" w:eastAsia="zh-CN"/>
                    </w:rPr>
                    <w:t>本项目属于绿色勘查类探矿项目，全过程严格落实《绿色地质勘查工作规范》。</w:t>
                  </w:r>
                </w:p>
              </w:tc>
              <w:tc>
                <w:tcPr>
                  <w:tcW w:w="690" w:type="dxa"/>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bl>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3.</w:t>
            </w:r>
            <w:r>
              <w:rPr>
                <w:rFonts w:hint="default"/>
                <w:lang w:val="en-US" w:eastAsia="zh-CN"/>
              </w:rPr>
              <w:t>环境管理政策</w:t>
            </w:r>
            <w:r>
              <w:rPr>
                <w:rFonts w:hint="eastAsia"/>
                <w:lang w:val="en-US" w:eastAsia="zh-CN"/>
              </w:rPr>
              <w:t>、环境保护规划</w:t>
            </w:r>
            <w:r>
              <w:rPr>
                <w:rFonts w:hint="default"/>
                <w:lang w:val="en-US" w:eastAsia="zh-CN"/>
              </w:rPr>
              <w:t>相符性分析</w:t>
            </w:r>
          </w:p>
          <w:p>
            <w:pPr>
              <w:pStyle w:val="48"/>
              <w:keepNext w:val="0"/>
              <w:keepLines w:val="0"/>
              <w:suppressLineNumbers w:val="0"/>
              <w:bidi w:val="0"/>
              <w:spacing w:before="0" w:beforeAutospacing="0" w:after="0" w:afterAutospacing="0"/>
              <w:ind w:left="0" w:right="0"/>
              <w:rPr>
                <w:rFonts w:hint="default"/>
              </w:rPr>
            </w:pPr>
            <w:r>
              <w:rPr>
                <w:rFonts w:hint="eastAsia"/>
                <w:lang w:eastAsia="zh-CN"/>
              </w:rPr>
              <w:t>（</w:t>
            </w:r>
            <w:r>
              <w:rPr>
                <w:rFonts w:hint="eastAsia"/>
                <w:lang w:val="en-US" w:eastAsia="zh-CN"/>
              </w:rPr>
              <w:t>1</w:t>
            </w:r>
            <w:r>
              <w:rPr>
                <w:rFonts w:hint="eastAsia"/>
                <w:lang w:eastAsia="zh-CN"/>
              </w:rPr>
              <w:t>）</w:t>
            </w:r>
            <w:r>
              <w:rPr>
                <w:rFonts w:hint="default"/>
              </w:rPr>
              <w:t>《新疆维吾尔自治区重点行业生态环境准入条件（2024年）》符合性分析</w:t>
            </w:r>
          </w:p>
          <w:p>
            <w:pPr>
              <w:pStyle w:val="4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jc w:val="both"/>
              <w:textAlignment w:val="auto"/>
              <w:rPr>
                <w:rFonts w:hint="default"/>
              </w:rPr>
            </w:pPr>
            <w:r>
              <w:rPr>
                <w:rFonts w:hint="default"/>
              </w:rPr>
              <w:t>根据《新疆维吾尔自治区重点行业生态环境准入条件（2024年）》</w:t>
            </w:r>
            <w:r>
              <w:rPr>
                <w:rFonts w:hint="eastAsia"/>
                <w:lang w:eastAsia="zh-CN"/>
              </w:rPr>
              <w:t>；</w:t>
            </w:r>
            <w:r>
              <w:rPr>
                <w:rFonts w:hint="default"/>
                <w:lang w:eastAsia="zh-CN"/>
              </w:rPr>
              <w:t>禁止在自然保护区、世界自然遗产地、风景名胜区、自然公园（森林公园、地质公园、湿地公园、沙漠公园等）、重要湿地、饮用水水源保护区等依法划定禁止开发建设的环境敏感区及其它法律法规规章禁止的区域进行污染环境的任何开发活动。</w:t>
            </w:r>
          </w:p>
          <w:p>
            <w:pPr>
              <w:pStyle w:val="48"/>
              <w:keepNext w:val="0"/>
              <w:keepLines w:val="0"/>
              <w:suppressLineNumbers w:val="0"/>
              <w:bidi w:val="0"/>
              <w:spacing w:before="0" w:beforeAutospacing="0" w:after="0" w:afterAutospacing="0"/>
              <w:ind w:left="0" w:right="0"/>
              <w:rPr>
                <w:rFonts w:hint="eastAsia" w:eastAsia="宋体"/>
                <w:lang w:eastAsia="zh-CN"/>
              </w:rPr>
            </w:pPr>
            <w:r>
              <w:rPr>
                <w:rFonts w:hint="default"/>
              </w:rPr>
              <w:t>根据现场勘查，</w:t>
            </w:r>
            <w:r>
              <w:rPr>
                <w:rFonts w:hint="default"/>
                <w:lang w:eastAsia="zh-CN"/>
              </w:rPr>
              <w:t>勘探</w:t>
            </w:r>
            <w:r>
              <w:rPr>
                <w:rFonts w:hint="default"/>
              </w:rPr>
              <w:t>区</w:t>
            </w:r>
            <w:r>
              <w:rPr>
                <w:rFonts w:hint="default"/>
                <w:lang w:eastAsia="zh-CN"/>
              </w:rPr>
              <w:t>不涉及自然保护区、世界自然遗产地、风景名胜区、森林公园、地质公园、重要湿地、饮用水水源保护区等重点保护区域，</w:t>
            </w:r>
            <w:r>
              <w:rPr>
                <w:rFonts w:hint="default"/>
              </w:rPr>
              <w:t>因此本项目选址符合《新疆维吾尔自治区重点行业生态环境准入条件（2024年）》的相关要求</w:t>
            </w:r>
            <w:r>
              <w:rPr>
                <w:rFonts w:hint="eastAsia"/>
                <w:lang w:eastAsia="zh-CN"/>
              </w:rPr>
              <w:t>。</w:t>
            </w:r>
          </w:p>
          <w:p>
            <w:pPr>
              <w:pStyle w:val="48"/>
              <w:keepNext w:val="0"/>
              <w:keepLines w:val="0"/>
              <w:numPr>
                <w:ilvl w:val="0"/>
                <w:numId w:val="0"/>
              </w:numPr>
              <w:suppressLineNumbers w:val="0"/>
              <w:bidi w:val="0"/>
              <w:spacing w:before="0" w:beforeAutospacing="0" w:after="0" w:afterAutospacing="0"/>
              <w:ind w:left="0" w:right="0" w:firstLine="480" w:firstLineChars="200"/>
              <w:rPr>
                <w:rFonts w:hint="default"/>
              </w:rPr>
            </w:pPr>
            <w:r>
              <w:rPr>
                <w:rFonts w:hint="default" w:ascii="Times New Roman" w:hAnsi="Times New Roman" w:eastAsia="宋体" w:cs="宋体"/>
                <w:kern w:val="0"/>
                <w:sz w:val="24"/>
                <w:szCs w:val="24"/>
                <w:lang w:val="en-US" w:eastAsia="zh-CN" w:bidi="ar-SA"/>
              </w:rPr>
              <w:t>（2）</w:t>
            </w:r>
            <w:r>
              <w:rPr>
                <w:rFonts w:hint="eastAsia"/>
              </w:rPr>
              <w:t>《新疆生态环境保护“十四五”规划》符合性分析</w:t>
            </w:r>
          </w:p>
          <w:p>
            <w:pPr>
              <w:pStyle w:val="48"/>
              <w:keepNext w:val="0"/>
              <w:keepLines w:val="0"/>
              <w:suppressLineNumbers w:val="0"/>
              <w:bidi w:val="0"/>
              <w:spacing w:before="0" w:beforeAutospacing="0" w:after="0" w:afterAutospacing="0"/>
              <w:ind w:left="0" w:right="0"/>
              <w:rPr>
                <w:rFonts w:hint="eastAsia"/>
                <w:lang w:eastAsia="zh-CN"/>
              </w:rPr>
            </w:pPr>
            <w:r>
              <w:rPr>
                <w:rFonts w:hint="eastAsia"/>
                <w:lang w:eastAsia="zh-CN"/>
              </w:rPr>
              <w:t>健全国土空间开发保护制度。完善国土空间规划体系，划定并严格落实“三区三线”，明晰生态、农业、城镇三类空间及生态保护红线、永久基本农田、城镇开发边界三条控制线，持续优化城市化地区、农产品产区、生态功能区布局。合理确定新增建设用地规模，严格控制建设项目土地使用标准，提高资源利用效率。强化国土空间用途管制，对国土空间分级分类实施管控，推动形成优势互补、绿色低碳、高质量发展的区域经济布局。严格落实国家绿色产业指导目录标准，依法依规把好土地审批供应关，加强建设用地准入监管。全面推进绿色矿山建设，规范绿色矿山第三方评估，推广矿产资源节约与综合利用先进技术。</w:t>
            </w:r>
          </w:p>
          <w:p>
            <w:pPr>
              <w:pStyle w:val="48"/>
              <w:keepNext w:val="0"/>
              <w:keepLines w:val="0"/>
              <w:suppressLineNumbers w:val="0"/>
              <w:bidi w:val="0"/>
              <w:spacing w:before="0" w:beforeAutospacing="0" w:after="0" w:afterAutospacing="0"/>
              <w:ind w:left="0" w:right="0"/>
              <w:jc w:val="both"/>
              <w:rPr>
                <w:rFonts w:hint="eastAsia"/>
                <w:lang w:eastAsia="zh-CN"/>
              </w:rPr>
            </w:pPr>
            <w:r>
              <w:rPr>
                <w:rFonts w:hint="eastAsia"/>
                <w:lang w:eastAsia="zh-CN"/>
              </w:rPr>
              <w:t>本项目为陆地矿产资源地质勘查项目，</w:t>
            </w:r>
            <w:r>
              <w:rPr>
                <w:rFonts w:hint="eastAsia"/>
                <w:lang w:val="en-US" w:eastAsia="zh-CN"/>
              </w:rPr>
              <w:t>已取得所在</w:t>
            </w:r>
            <w:r>
              <w:rPr>
                <w:rFonts w:hint="default"/>
                <w:lang w:val="en-US" w:eastAsia="zh-CN"/>
              </w:rPr>
              <w:t>区域的探矿权，证号：</w:t>
            </w:r>
            <w:r>
              <w:rPr>
                <w:rFonts w:hint="eastAsia"/>
                <w:lang w:val="en-US" w:eastAsia="zh-CN"/>
              </w:rPr>
              <w:t>D</w:t>
            </w:r>
            <w:r>
              <w:rPr>
                <w:rFonts w:hint="eastAsia"/>
                <w:highlight w:val="none"/>
                <w:lang w:val="en-US" w:eastAsia="zh-CN"/>
              </w:rPr>
              <w:t>T6500002008103010017262</w:t>
            </w:r>
            <w:r>
              <w:rPr>
                <w:rFonts w:hint="eastAsia"/>
                <w:lang w:eastAsia="zh-CN"/>
              </w:rPr>
              <w:t>。在探矿权范围内开展勘探活动，项目用地不在生态保护红线内，</w:t>
            </w:r>
            <w:r>
              <w:rPr>
                <w:rFonts w:hint="eastAsia"/>
                <w:lang w:val="en-US" w:eastAsia="zh-CN"/>
              </w:rPr>
              <w:t>项目</w:t>
            </w:r>
            <w:r>
              <w:rPr>
                <w:rFonts w:hint="eastAsia"/>
                <w:lang w:eastAsia="zh-CN"/>
              </w:rPr>
              <w:t>占地均为临时占地，待勘探工程结束后，恢复原有地形地貌。符合《新疆生态环境保护“十四五”规划》的要求。</w:t>
            </w:r>
          </w:p>
          <w:p>
            <w:pPr>
              <w:pStyle w:val="48"/>
              <w:keepNext w:val="0"/>
              <w:keepLines w:val="0"/>
              <w:suppressLineNumbers w:val="0"/>
              <w:bidi w:val="0"/>
              <w:spacing w:before="0" w:beforeAutospacing="0" w:after="0" w:afterAutospacing="0"/>
              <w:ind w:left="0" w:right="0"/>
              <w:rPr>
                <w:rFonts w:hint="eastAsia"/>
                <w:lang w:eastAsia="zh-CN"/>
              </w:rPr>
            </w:pPr>
            <w:r>
              <w:rPr>
                <w:rFonts w:hint="eastAsia"/>
                <w:lang w:eastAsia="zh-CN"/>
              </w:rPr>
              <w:t>（</w:t>
            </w:r>
            <w:r>
              <w:rPr>
                <w:rFonts w:hint="eastAsia"/>
                <w:lang w:val="en-US" w:eastAsia="zh-CN"/>
              </w:rPr>
              <w:t>3</w:t>
            </w:r>
            <w:r>
              <w:rPr>
                <w:rFonts w:hint="eastAsia"/>
                <w:lang w:eastAsia="zh-CN"/>
              </w:rPr>
              <w:t>）《矿山生态环境保护与污染防治技术政策》符合性分析</w:t>
            </w:r>
          </w:p>
          <w:p>
            <w:pPr>
              <w:pStyle w:val="48"/>
              <w:keepNext w:val="0"/>
              <w:keepLines w:val="0"/>
              <w:suppressLineNumbers w:val="0"/>
              <w:bidi w:val="0"/>
              <w:spacing w:before="0" w:beforeAutospacing="0" w:after="0" w:afterAutospacing="0"/>
              <w:ind w:left="0" w:right="0"/>
              <w:rPr>
                <w:rFonts w:hint="eastAsia"/>
                <w:lang w:eastAsia="zh-CN"/>
              </w:rPr>
            </w:pPr>
            <w:r>
              <w:rPr>
                <w:rFonts w:hint="eastAsia"/>
                <w:lang w:eastAsia="zh-CN"/>
              </w:rPr>
              <w:t>根据《矿山生态环境保护与污染防治技术政策》，矿产资源的开发应贯彻“污染防治与生态环境保护并重，生态环境保护与生态环境建设并举；以及预防为主、防治结合、过程控制、综合治理”的指导方针。矿产资源的开发应推行循环经济的“污染物减量、资源再利用和循环利用”的技术原则。</w:t>
            </w:r>
          </w:p>
          <w:p>
            <w:pPr>
              <w:pStyle w:val="48"/>
              <w:keepNext w:val="0"/>
              <w:keepLines w:val="0"/>
              <w:suppressLineNumbers w:val="0"/>
              <w:bidi w:val="0"/>
              <w:spacing w:before="0" w:beforeAutospacing="0" w:after="0" w:afterAutospacing="0"/>
              <w:ind w:left="0" w:right="0"/>
              <w:rPr>
                <w:rFonts w:hint="eastAsia"/>
                <w:lang w:eastAsia="zh-CN"/>
              </w:rPr>
            </w:pPr>
            <w:r>
              <w:rPr>
                <w:rFonts w:hint="eastAsia"/>
                <w:lang w:eastAsia="zh-CN"/>
              </w:rPr>
              <w:t>本项目属于矿产资源勘查项目，</w:t>
            </w:r>
            <w:r>
              <w:rPr>
                <w:rFonts w:hint="eastAsia"/>
                <w:highlight w:val="none"/>
                <w:lang w:val="en-US" w:eastAsia="zh-CN"/>
              </w:rPr>
              <w:t>槽探</w:t>
            </w:r>
            <w:r>
              <w:rPr>
                <w:rFonts w:hint="eastAsia"/>
                <w:highlight w:val="none"/>
                <w:lang w:eastAsia="zh-CN"/>
              </w:rPr>
              <w:t>开挖过程中同步采集勘探样品并外运留存，开挖土方临时堆置于探槽一侧，采用</w:t>
            </w:r>
            <w:r>
              <w:rPr>
                <w:rFonts w:hint="eastAsia"/>
                <w:highlight w:val="none"/>
                <w:lang w:val="en-US" w:eastAsia="zh-CN"/>
              </w:rPr>
              <w:t>彩布条</w:t>
            </w:r>
            <w:r>
              <w:rPr>
                <w:rFonts w:hint="eastAsia"/>
                <w:highlight w:val="none"/>
                <w:lang w:eastAsia="zh-CN"/>
              </w:rPr>
              <w:t>苫盖防护；</w:t>
            </w:r>
            <w:r>
              <w:rPr>
                <w:rFonts w:hint="eastAsia"/>
                <w:lang w:val="en-US" w:eastAsia="zh-CN"/>
              </w:rPr>
              <w:t>钻探结束后岩心交至单位统一保管，岩屑用于回填；泥浆固化后送至一般固废处置单位统一处理，沉淀池沉渣就地掩埋。</w:t>
            </w:r>
            <w:r>
              <w:rPr>
                <w:rFonts w:hint="eastAsia"/>
                <w:highlight w:val="none"/>
                <w:lang w:eastAsia="zh-CN"/>
              </w:rPr>
              <w:t>无弃土产生，可有效防治水土流失，</w:t>
            </w:r>
            <w:r>
              <w:rPr>
                <w:rFonts w:hint="eastAsia"/>
                <w:lang w:eastAsia="zh-CN"/>
              </w:rPr>
              <w:t>对周边环境影响较小。符合《矿山生态环境保护与污染防治技术政策》的要求。</w:t>
            </w:r>
          </w:p>
          <w:p>
            <w:pPr>
              <w:pStyle w:val="48"/>
              <w:keepNext w:val="0"/>
              <w:keepLines w:val="0"/>
              <w:suppressLineNumbers w:val="0"/>
              <w:bidi w:val="0"/>
              <w:spacing w:before="0" w:beforeAutospacing="0" w:after="0" w:afterAutospacing="0"/>
              <w:ind w:left="0" w:right="0"/>
              <w:rPr>
                <w:rFonts w:hint="eastAsia"/>
                <w:lang w:eastAsia="zh-CN"/>
              </w:rPr>
            </w:pPr>
            <w:r>
              <w:rPr>
                <w:rFonts w:hint="eastAsia"/>
                <w:lang w:eastAsia="zh-CN"/>
              </w:rPr>
              <w:t>（</w:t>
            </w:r>
            <w:r>
              <w:rPr>
                <w:rFonts w:hint="eastAsia"/>
                <w:lang w:val="en-US" w:eastAsia="zh-CN"/>
              </w:rPr>
              <w:t>4</w:t>
            </w:r>
            <w:r>
              <w:rPr>
                <w:rFonts w:hint="eastAsia"/>
                <w:lang w:eastAsia="zh-CN"/>
              </w:rPr>
              <w:t>）自然资源部、国家林草局《关于〈在新一轮找矿突破战略行动中全面实施绿色勘查〉的通知》符合性分析</w:t>
            </w:r>
          </w:p>
          <w:p>
            <w:pPr>
              <w:pStyle w:val="48"/>
              <w:keepNext w:val="0"/>
              <w:keepLines w:val="0"/>
              <w:suppressLineNumbers w:val="0"/>
              <w:bidi w:val="0"/>
              <w:spacing w:before="0" w:beforeAutospacing="0" w:after="0" w:afterAutospacing="0"/>
              <w:ind w:left="0" w:right="0"/>
              <w:rPr>
                <w:rFonts w:hint="eastAsia"/>
                <w:lang w:eastAsia="zh-CN"/>
              </w:rPr>
            </w:pPr>
            <w:r>
              <w:rPr>
                <w:rFonts w:hint="eastAsia"/>
                <w:lang w:val="en-US" w:eastAsia="zh-CN"/>
              </w:rPr>
              <w:t>①</w:t>
            </w:r>
            <w:r>
              <w:rPr>
                <w:rFonts w:hint="eastAsia"/>
                <w:lang w:eastAsia="zh-CN"/>
              </w:rPr>
              <w:t>地质勘查全行业要深入学习贯彻习近平生态文明思想，牢固树立和践行“绿水青山就是金山银山”的理念，全面实施绿色勘查，严格执行绿色勘查有关标准规范，全面提升绿色勘查技术方法、装备水平，高质量完成新一轮找矿突破战略行动目标。</w:t>
            </w:r>
          </w:p>
          <w:p>
            <w:pPr>
              <w:pStyle w:val="48"/>
              <w:keepNext w:val="0"/>
              <w:keepLines w:val="0"/>
              <w:suppressLineNumbers w:val="0"/>
              <w:bidi w:val="0"/>
              <w:spacing w:before="0" w:beforeAutospacing="0" w:after="0" w:afterAutospacing="0"/>
              <w:ind w:left="0" w:right="0"/>
              <w:rPr>
                <w:rFonts w:hint="eastAsia"/>
                <w:lang w:eastAsia="zh-CN"/>
              </w:rPr>
            </w:pPr>
            <w:r>
              <w:rPr>
                <w:rFonts w:hint="eastAsia"/>
                <w:lang w:val="en-US" w:eastAsia="zh-CN"/>
              </w:rPr>
              <w:t>②</w:t>
            </w:r>
            <w:r>
              <w:rPr>
                <w:rFonts w:hint="eastAsia"/>
                <w:lang w:eastAsia="zh-CN"/>
              </w:rPr>
              <w:t>新出让的探矿权，要将矿业权人绿色勘查义务在合同中载明，并在勘查实施方案评审中，对绿色勘查措施进行严格把关，促进矿业权人落实绿色勘查各项规定和要求。</w:t>
            </w:r>
          </w:p>
          <w:p>
            <w:pPr>
              <w:pStyle w:val="48"/>
              <w:keepNext w:val="0"/>
              <w:keepLines w:val="0"/>
              <w:suppressLineNumbers w:val="0"/>
              <w:bidi w:val="0"/>
              <w:spacing w:before="0" w:beforeAutospacing="0" w:after="0" w:afterAutospacing="0"/>
              <w:ind w:left="0" w:right="0"/>
              <w:rPr>
                <w:rFonts w:hint="eastAsia"/>
                <w:lang w:eastAsia="zh-CN"/>
              </w:rPr>
            </w:pPr>
            <w:r>
              <w:rPr>
                <w:rFonts w:hint="eastAsia"/>
                <w:lang w:val="en-US" w:eastAsia="zh-CN"/>
              </w:rPr>
              <w:t>③</w:t>
            </w:r>
            <w:r>
              <w:rPr>
                <w:rFonts w:hint="eastAsia"/>
                <w:lang w:eastAsia="zh-CN"/>
              </w:rPr>
              <w:t>地勘单位和矿山企业要在新一轮找矿突破战略行动有关地质勘查项目实施中，优先采用遥感、物探、化探等对环境影响小的地质勘查方法，必要的坑探、槽探、钻探、硐探要符合绿色勘查有关标准规范。在森林、草原、湿地地区尽可能减少使用坑探、槽探，鼓励使用以钻代槽、一基多孔等探矿手段。</w:t>
            </w:r>
          </w:p>
          <w:p>
            <w:pPr>
              <w:pStyle w:val="48"/>
              <w:keepNext w:val="0"/>
              <w:keepLines w:val="0"/>
              <w:suppressLineNumbers w:val="0"/>
              <w:bidi w:val="0"/>
              <w:spacing w:before="0" w:beforeAutospacing="0" w:after="0" w:afterAutospacing="0"/>
              <w:ind w:left="0" w:right="0"/>
              <w:rPr>
                <w:rFonts w:hint="eastAsia"/>
                <w:lang w:eastAsia="zh-CN"/>
              </w:rPr>
            </w:pPr>
            <w:r>
              <w:rPr>
                <w:rFonts w:hint="eastAsia"/>
                <w:lang w:val="en-US" w:eastAsia="zh-CN"/>
              </w:rPr>
              <w:t>④</w:t>
            </w:r>
            <w:r>
              <w:rPr>
                <w:rFonts w:hint="eastAsia"/>
                <w:lang w:eastAsia="zh-CN"/>
              </w:rPr>
              <w:t>各地要严格落实好生态环境保护有关规定和要求，勘查工作结束后，项目承担单位要及时撤除各项设施，严格按照废弃物清理有关国家标准清理施工现场各种废物、垃圾等，严格按照绿色勘查有关标准规范和勘查实施方案要求处理施工产生的坑、沟等，严格按照森林、草原、湿地、防沙治沙有关法律法规和标准规范在规定时间内做好复绿、复植等。</w:t>
            </w:r>
          </w:p>
          <w:p>
            <w:pPr>
              <w:pStyle w:val="4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本项目施工布置及施工遵循“从已知到未知，由表及里，由浅入深，由稀到密”原则。前期充分收集已有地质资料，运用地理信息系统（GIS）、遥感（RS）等技术，进行综合分析和研究，优化勘查工作布局，减少不必要的勘查活动对环境的影响。采用槽探、钻探等工作手段开展详查评价。通过运用高效、环保的方法、技术、设备等，在地质勘查各方面和全过程中减少或控制对生态环境的影响。在勘查结束后按照相关要求撤除各项设施，清理施工现场各种废物、垃圾，及时对开挖工程进行回填，开展植被恢复工作，最大限度减少人为破坏，践行“绿水青山就是金山银山”的理念，实现绿色勘查。符合绿色勘查要求。</w:t>
            </w:r>
          </w:p>
          <w:p>
            <w:pPr>
              <w:pStyle w:val="48"/>
              <w:keepNext w:val="0"/>
              <w:keepLines w:val="0"/>
              <w:suppressLineNumbers w:val="0"/>
              <w:bidi w:val="0"/>
              <w:spacing w:before="0" w:beforeAutospacing="0" w:after="0" w:afterAutospacing="0"/>
              <w:ind w:left="0" w:right="0"/>
              <w:rPr>
                <w:rFonts w:hint="eastAsia"/>
                <w:lang w:eastAsia="zh-CN"/>
              </w:rPr>
            </w:pPr>
            <w:r>
              <w:rPr>
                <w:rFonts w:hint="eastAsia"/>
                <w:lang w:eastAsia="zh-CN"/>
              </w:rPr>
              <w:t>（</w:t>
            </w:r>
            <w:r>
              <w:rPr>
                <w:rFonts w:hint="eastAsia"/>
                <w:lang w:val="en-US" w:eastAsia="zh-CN"/>
              </w:rPr>
              <w:t>5</w:t>
            </w:r>
            <w:r>
              <w:rPr>
                <w:rFonts w:hint="eastAsia"/>
                <w:lang w:eastAsia="zh-CN"/>
              </w:rPr>
              <w:t>）《巴音郭楞蒙古自治州生态环境“十四五”规划》符合性分析</w:t>
            </w:r>
          </w:p>
          <w:p>
            <w:pPr>
              <w:pStyle w:val="48"/>
              <w:keepNext w:val="0"/>
              <w:keepLines w:val="0"/>
              <w:suppressLineNumbers w:val="0"/>
              <w:bidi w:val="0"/>
              <w:spacing w:before="0" w:beforeAutospacing="0" w:after="0" w:afterAutospacing="0"/>
              <w:ind w:left="0" w:right="0"/>
              <w:rPr>
                <w:rFonts w:hint="eastAsia"/>
                <w:lang w:eastAsia="zh-CN"/>
              </w:rPr>
            </w:pPr>
            <w:r>
              <w:rPr>
                <w:rFonts w:hint="eastAsia"/>
                <w:lang w:eastAsia="zh-CN"/>
              </w:rPr>
              <w:t>严格执行能源、矿产资源开发自治区人民政府“一支笔”审批制度、环境保护“一票否决”制度，守住生态保护红线、环境质量底线和自然资源利用上线。本项目已依法取得探矿权，在探矿权属范围内开展勘探活动，项目用地不在生态保护红线内，符合《巴音郭楞蒙古自治州生态环境“十四五”规划》的要求。</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（6）《新疆维吾尔自治区2025年空气质量持续改善行动实施方案》（新政办发〔2024〕58号）符合性分析。</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推进矿山生态环境综合整治。根据安全生产、水土保持、生态环境等要求，新建矿山按照绿色矿山标准规划、设计、建设和运行管理，鼓励同步建设铁路专用线或采用其他清洁运输方式；推进生产矿山绿色矿山建设，依法关闭限期整改仍不达标矿山。沙化土地范围内矿产资源开发建设项目加强防沙治沙工作。</w:t>
            </w:r>
          </w:p>
          <w:p>
            <w:pPr>
              <w:pStyle w:val="48"/>
              <w:keepNext w:val="0"/>
              <w:keepLines w:val="0"/>
              <w:suppressLineNumbers w:val="0"/>
              <w:bidi w:val="0"/>
              <w:spacing w:before="0" w:beforeAutospacing="0" w:after="0" w:afterAutospacing="0"/>
              <w:ind w:left="0" w:right="0"/>
              <w:rPr>
                <w:rFonts w:hint="eastAsia"/>
                <w:highlight w:val="none"/>
                <w:lang w:val="en-US" w:eastAsia="zh-CN"/>
              </w:rPr>
            </w:pPr>
            <w:r>
              <w:rPr>
                <w:rFonts w:hint="eastAsia"/>
                <w:lang w:val="en-US" w:eastAsia="zh-CN"/>
              </w:rPr>
              <w:t>本项目属于矿产资源勘查项目，不涉及矿产资源的开采，勘探区采用了边开挖、边回填、边复垦的勘探方式，</w:t>
            </w:r>
            <w:r>
              <w:rPr>
                <w:rFonts w:hint="eastAsia"/>
                <w:highlight w:val="none"/>
                <w:lang w:val="en-US" w:eastAsia="zh-CN"/>
              </w:rPr>
              <w:t>项目区属于非沙化土地，在勘查过程中加强防沙治沙工作，防止从非沙化土地转变为沙化土地。</w:t>
            </w:r>
          </w:p>
          <w:p>
            <w:pPr>
              <w:pStyle w:val="48"/>
              <w:keepNext w:val="0"/>
              <w:keepLines w:val="0"/>
              <w:numPr>
                <w:ilvl w:val="0"/>
                <w:numId w:val="0"/>
              </w:numPr>
              <w:suppressLineNumbers w:val="0"/>
              <w:bidi w:val="0"/>
              <w:spacing w:before="0" w:beforeAutospacing="0" w:after="0" w:afterAutospacing="0"/>
              <w:ind w:left="0" w:leftChars="0" w:right="0" w:rightChars="0" w:firstLine="480" w:firstLineChars="200"/>
              <w:rPr>
                <w:rFonts w:hint="eastAsia"/>
                <w:lang w:val="en-US" w:eastAsia="zh-CN"/>
              </w:rPr>
            </w:pPr>
            <w:r>
              <w:rPr>
                <w:rFonts w:hint="eastAsia" w:ascii="Times New Roman" w:hAnsi="Times New Roman" w:eastAsia="宋体" w:cs="宋体"/>
                <w:kern w:val="0"/>
                <w:sz w:val="24"/>
                <w:szCs w:val="24"/>
                <w:lang w:val="en-US" w:eastAsia="zh-CN" w:bidi="ar-SA"/>
              </w:rPr>
              <w:t>（</w:t>
            </w:r>
            <w:r>
              <w:rPr>
                <w:rFonts w:hint="eastAsia" w:cs="宋体"/>
                <w:kern w:val="0"/>
                <w:sz w:val="24"/>
                <w:szCs w:val="24"/>
                <w:lang w:val="en-US" w:eastAsia="zh-CN" w:bidi="ar-SA"/>
              </w:rPr>
              <w:t>7</w:t>
            </w:r>
            <w:r>
              <w:rPr>
                <w:rFonts w:hint="eastAsia" w:ascii="Times New Roman" w:hAnsi="Times New Roman" w:eastAsia="宋体" w:cs="宋体"/>
                <w:kern w:val="0"/>
                <w:sz w:val="24"/>
                <w:szCs w:val="24"/>
                <w:lang w:val="en-US" w:eastAsia="zh-CN" w:bidi="ar-SA"/>
              </w:rPr>
              <w:t>）</w:t>
            </w:r>
            <w:r>
              <w:rPr>
                <w:rFonts w:hint="eastAsia"/>
                <w:lang w:val="en-US" w:eastAsia="zh-CN"/>
              </w:rPr>
              <w:t>《绿色地质勘查工作规范》（DZ/T0374-2021）符合性分析</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地质勘查工作前，应对工作人员进行绿色勘查培训，强化生态环境保护意识，掌握绿色勘查要求，地质调查工作实施中应保留绿色勘查相关记录。新修道路、驻地及探矿工程场地平整施工。绿色勘查工作质量检查应与项目工作质量检查同步开展，发现问题及时整改。地质勘查工作施工后，应按照地质勘查设计中绿色勘查内容要求，开展环境修复工作。地质勘察单位应对其开展勘查工作受影响的区域生态环境修复负责。</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本项目在勘查工作前对工作人员进行绿色勘查培训，在勘查过程中加强监督管理，提高勘查水平，本着谁施工、谁恢复、谁治理的原则。勘查完成后，对所破坏的环境进行恢复治理，符合绿色地质勘查工作规范。</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（8）《新疆维吾尔自治区国民经济和社会发展第十五个五年规划纲要》的符合性分析</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加强矿产资源勘查。实施新一轮找矿突破战略行动，围绕阿尔泰、东—西准噶尔、东—西—西南天山、昆仑—阿尔金等重点成矿区带，开展重要矿产资源调查评价和勘探开发。尽快形成一批战略性矿产和优势矿产勘查后备区、战略接续区，新发现一批找矿靶区和矿产地。持续整治“圈而不探”行为，加快矿产资源“探转采”步伐。完善多元化地质勘查投入模式，推动国有资本、鼓励社会资本加大勘查投入。</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本项目位于新疆维吾尔自治区巴音郭楞蒙古自治州和硕县城东北17°方向，直线距离39千米处，属东—西—西南天山带，主要勘查矿种为铜多金属矿，属于重点勘察矿种，采用有效的地质勘查手段，大致查明区内基础地质特征；大致查明区内成矿地质条件及控矿因素，初步查明矿体的数量、规模、形态、产状、分布规律、空间位置等，推断矿体连续性；初步查明矿石特征；初步了解矿床开采技术条件；初步评价共生、伴生矿产；开展概略研究，确定是否具有进一步详查的价值，并提出可供详查的范围，估算推断资源量，符合规划纲要要求。</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（9）《巴音郭楞蒙古自治州国民经济和社会发展第十四个五年规划和二〇三五年远景目标纲要》的符合性分析</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巴州“十四五”规划提出深入实施新一轮找矿突破行动，依托区域西天山成矿带资源禀赋，加大优势矿产勘查力度，持续夯实矿产资源储备，构建“探、采、选”一体化绿色矿业产业链，推动矿产资源集约、绿色开发。</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本项目位于新疆维吾尔自治区巴音郭楞蒙古自治州和硕县城东北17°方向，直线距离39千米处，属于区域重点铜矿勘查区块，开展矿产资源勘查，项目全过程落实绿色勘查及生态修复要求，契合自治州推进绿色矿业发展、保障矿产资源安全的发展导向。</w:t>
            </w:r>
          </w:p>
          <w:p>
            <w:pPr>
              <w:pStyle w:val="48"/>
              <w:keepNext w:val="0"/>
              <w:keepLines w:val="0"/>
              <w:suppressLineNumbers w:val="0"/>
              <w:bidi w:val="0"/>
              <w:spacing w:before="0" w:beforeAutospacing="0" w:after="0" w:afterAutospacing="0"/>
              <w:ind w:left="0" w:right="0"/>
              <w:rPr>
                <w:rFonts w:hint="eastAsia"/>
                <w:lang w:val="en-US" w:eastAsia="zh-CN"/>
              </w:rPr>
            </w:pPr>
          </w:p>
          <w:p>
            <w:pPr>
              <w:pStyle w:val="48"/>
              <w:keepNext w:val="0"/>
              <w:keepLines w:val="0"/>
              <w:suppressLineNumbers w:val="0"/>
              <w:bidi w:val="0"/>
              <w:spacing w:before="0" w:beforeAutospacing="0" w:after="0" w:afterAutospacing="0"/>
              <w:ind w:left="0" w:right="0"/>
              <w:rPr>
                <w:rFonts w:hint="eastAsia"/>
                <w:lang w:val="en-US" w:eastAsia="zh-CN"/>
              </w:rPr>
            </w:pPr>
          </w:p>
          <w:p>
            <w:pPr>
              <w:pStyle w:val="48"/>
              <w:keepNext w:val="0"/>
              <w:keepLines w:val="0"/>
              <w:suppressLineNumbers w:val="0"/>
              <w:bidi w:val="0"/>
              <w:spacing w:before="0" w:beforeAutospacing="0" w:after="0" w:afterAutospacing="0"/>
              <w:ind w:left="0" w:right="0"/>
              <w:rPr>
                <w:rFonts w:hint="eastAsia"/>
                <w:lang w:val="en-US" w:eastAsia="zh-CN"/>
              </w:rPr>
            </w:pPr>
          </w:p>
          <w:p>
            <w:pPr>
              <w:pStyle w:val="48"/>
              <w:keepNext w:val="0"/>
              <w:keepLines w:val="0"/>
              <w:suppressLineNumbers w:val="0"/>
              <w:bidi w:val="0"/>
              <w:spacing w:before="0" w:beforeAutospacing="0" w:after="0" w:afterAutospacing="0"/>
              <w:ind w:left="0" w:right="0"/>
              <w:rPr>
                <w:rFonts w:hint="eastAsia"/>
                <w:lang w:val="en-US" w:eastAsia="zh-CN"/>
              </w:rPr>
            </w:pPr>
          </w:p>
          <w:p>
            <w:pPr>
              <w:pStyle w:val="48"/>
              <w:keepNext w:val="0"/>
              <w:keepLines w:val="0"/>
              <w:suppressLineNumbers w:val="0"/>
              <w:bidi w:val="0"/>
              <w:spacing w:before="0" w:beforeAutospacing="0" w:after="0" w:afterAutospacing="0"/>
              <w:ind w:left="0" w:right="0"/>
              <w:rPr>
                <w:rFonts w:hint="eastAsia"/>
                <w:lang w:val="en-US" w:eastAsia="zh-CN"/>
              </w:rPr>
            </w:pPr>
          </w:p>
          <w:p>
            <w:pPr>
              <w:pStyle w:val="48"/>
              <w:keepNext w:val="0"/>
              <w:keepLines w:val="0"/>
              <w:suppressLineNumbers w:val="0"/>
              <w:bidi w:val="0"/>
              <w:spacing w:before="0" w:beforeAutospacing="0" w:after="0" w:afterAutospacing="0"/>
              <w:ind w:left="0" w:right="0"/>
              <w:rPr>
                <w:rFonts w:hint="eastAsia"/>
                <w:lang w:val="en-US" w:eastAsia="zh-CN"/>
              </w:rPr>
            </w:pPr>
          </w:p>
          <w:p>
            <w:pPr>
              <w:pStyle w:val="48"/>
              <w:keepNext w:val="0"/>
              <w:keepLines w:val="0"/>
              <w:suppressLineNumbers w:val="0"/>
              <w:bidi w:val="0"/>
              <w:spacing w:before="0" w:beforeAutospacing="0" w:after="0" w:afterAutospacing="0"/>
              <w:ind w:left="0" w:right="0"/>
              <w:rPr>
                <w:rFonts w:hint="eastAsia"/>
                <w:lang w:val="en-US" w:eastAsia="zh-CN"/>
              </w:rPr>
            </w:pPr>
          </w:p>
          <w:p>
            <w:pPr>
              <w:pStyle w:val="48"/>
              <w:keepNext w:val="0"/>
              <w:keepLines w:val="0"/>
              <w:suppressLineNumbers w:val="0"/>
              <w:bidi w:val="0"/>
              <w:spacing w:before="0" w:beforeAutospacing="0" w:after="0" w:afterAutospacing="0"/>
              <w:ind w:left="0" w:right="0"/>
              <w:rPr>
                <w:rFonts w:hint="eastAsia"/>
                <w:lang w:val="en-US" w:eastAsia="zh-CN"/>
              </w:rPr>
            </w:pPr>
          </w:p>
          <w:p>
            <w:pPr>
              <w:pStyle w:val="48"/>
              <w:keepNext w:val="0"/>
              <w:keepLines w:val="0"/>
              <w:suppressLineNumbers w:val="0"/>
              <w:bidi w:val="0"/>
              <w:spacing w:before="0" w:beforeAutospacing="0" w:after="0" w:afterAutospacing="0"/>
              <w:ind w:left="0" w:right="0"/>
              <w:rPr>
                <w:rFonts w:hint="eastAsia"/>
                <w:lang w:val="en-US" w:eastAsia="zh-CN"/>
              </w:rPr>
            </w:pPr>
          </w:p>
          <w:p>
            <w:pPr>
              <w:pStyle w:val="48"/>
              <w:keepNext w:val="0"/>
              <w:keepLines w:val="0"/>
              <w:suppressLineNumbers w:val="0"/>
              <w:bidi w:val="0"/>
              <w:spacing w:before="0" w:beforeAutospacing="0" w:after="0" w:afterAutospacing="0"/>
              <w:ind w:left="0" w:right="0"/>
              <w:rPr>
                <w:rFonts w:hint="eastAsia"/>
                <w:lang w:val="en-US" w:eastAsia="zh-CN"/>
              </w:rPr>
            </w:pPr>
          </w:p>
          <w:p>
            <w:pPr>
              <w:pStyle w:val="48"/>
              <w:keepNext w:val="0"/>
              <w:keepLines w:val="0"/>
              <w:suppressLineNumbers w:val="0"/>
              <w:bidi w:val="0"/>
              <w:spacing w:before="0" w:beforeAutospacing="0" w:after="0" w:afterAutospacing="0"/>
              <w:ind w:left="0" w:right="0"/>
              <w:rPr>
                <w:rFonts w:hint="eastAsia"/>
                <w:lang w:val="en-US" w:eastAsia="zh-CN"/>
              </w:rPr>
            </w:pPr>
          </w:p>
          <w:p>
            <w:pPr>
              <w:pStyle w:val="48"/>
              <w:keepNext w:val="0"/>
              <w:keepLines w:val="0"/>
              <w:suppressLineNumbers w:val="0"/>
              <w:bidi w:val="0"/>
              <w:spacing w:before="0" w:beforeAutospacing="0" w:after="0" w:afterAutospacing="0"/>
              <w:ind w:left="0" w:right="0"/>
              <w:rPr>
                <w:rFonts w:hint="eastAsia"/>
                <w:lang w:val="en-US" w:eastAsia="zh-CN"/>
              </w:rPr>
            </w:pPr>
          </w:p>
          <w:p>
            <w:pPr>
              <w:pStyle w:val="48"/>
              <w:keepNext w:val="0"/>
              <w:keepLines w:val="0"/>
              <w:suppressLineNumbers w:val="0"/>
              <w:bidi w:val="0"/>
              <w:spacing w:before="0" w:beforeAutospacing="0" w:after="0" w:afterAutospacing="0"/>
              <w:ind w:left="0" w:right="0"/>
              <w:rPr>
                <w:rFonts w:hint="eastAsia"/>
                <w:lang w:val="en-US" w:eastAsia="zh-CN"/>
              </w:rPr>
            </w:pPr>
          </w:p>
          <w:p>
            <w:pPr>
              <w:pStyle w:val="48"/>
              <w:keepNext w:val="0"/>
              <w:keepLines w:val="0"/>
              <w:suppressLineNumbers w:val="0"/>
              <w:bidi w:val="0"/>
              <w:spacing w:before="0" w:beforeAutospacing="0" w:after="0" w:afterAutospacing="0"/>
              <w:ind w:left="0" w:leftChars="0" w:right="0" w:firstLine="0" w:firstLineChars="0"/>
              <w:rPr>
                <w:rFonts w:hint="default"/>
                <w:lang w:val="en-US" w:eastAsia="zh-CN"/>
              </w:rPr>
            </w:pPr>
          </w:p>
        </w:tc>
      </w:tr>
    </w:tbl>
    <w:p>
      <w:pPr>
        <w:spacing w:line="360" w:lineRule="auto"/>
        <w:outlineLvl w:val="0"/>
        <w:rPr>
          <w:rFonts w:eastAsia="黑体"/>
          <w:sz w:val="30"/>
        </w:rPr>
        <w:sectPr>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pPr>
        <w:pStyle w:val="21"/>
        <w:keepNext w:val="0"/>
        <w:keepLines w:val="0"/>
        <w:pageBreakBefore w:val="0"/>
        <w:widowControl/>
        <w:kinsoku/>
        <w:wordWrap/>
        <w:overflowPunct/>
        <w:topLinePunct w:val="0"/>
        <w:autoSpaceDE/>
        <w:autoSpaceDN/>
        <w:bidi w:val="0"/>
        <w:adjustRightInd/>
        <w:snapToGrid/>
        <w:spacing w:before="313" w:beforeLines="100" w:beforeAutospacing="0" w:after="313" w:afterLines="100" w:afterAutospacing="0"/>
        <w:jc w:val="center"/>
        <w:textAlignment w:val="auto"/>
        <w:outlineLvl w:val="0"/>
        <w:rPr>
          <w:rFonts w:ascii="黑体" w:hAnsi="黑体" w:eastAsia="黑体"/>
          <w:snapToGrid w:val="0"/>
          <w:sz w:val="30"/>
          <w:szCs w:val="30"/>
        </w:rPr>
      </w:pPr>
      <w:r>
        <w:rPr>
          <w:rFonts w:hint="eastAsia" w:ascii="黑体" w:hAnsi="黑体" w:eastAsia="黑体"/>
          <w:snapToGrid w:val="0"/>
          <w:sz w:val="30"/>
          <w:szCs w:val="30"/>
        </w:rPr>
        <w:t>二、建设内容</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0"/>
        <w:gridCol w:w="78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地理位置</w:t>
            </w:r>
          </w:p>
        </w:tc>
        <w:tc>
          <w:tcPr>
            <w:tcW w:w="7812" w:type="dxa"/>
            <w:noWrap w:val="0"/>
            <w:vAlign w:val="center"/>
          </w:tcPr>
          <w:p>
            <w:pPr>
              <w:pStyle w:val="4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jc w:val="both"/>
              <w:textAlignment w:val="auto"/>
              <w:rPr>
                <w:rFonts w:hint="default" w:eastAsia="宋体"/>
                <w:lang w:val="en-US" w:eastAsia="zh-CN"/>
              </w:rPr>
            </w:pPr>
            <w:r>
              <w:rPr>
                <w:rFonts w:hint="default" w:ascii="Times New Roman" w:hAnsi="Times New Roman" w:cs="Times New Roman"/>
                <w:lang w:val="en-US" w:eastAsia="zh-CN"/>
              </w:rPr>
              <w:t>本项目位于</w:t>
            </w:r>
            <w:r>
              <w:rPr>
                <w:rFonts w:hint="eastAsia" w:cs="Times New Roman"/>
                <w:lang w:val="en-US" w:eastAsia="zh-CN"/>
              </w:rPr>
              <w:t>新疆维吾尔自治区巴音郭楞蒙古自治州和硕县城东北17°方向，直线距离39千米处</w:t>
            </w:r>
            <w:r>
              <w:rPr>
                <w:rFonts w:hint="default" w:ascii="Times New Roman" w:hAnsi="Times New Roman" w:cs="Times New Roman"/>
              </w:rPr>
              <w:t>，</w:t>
            </w:r>
            <w:r>
              <w:rPr>
                <w:rFonts w:hint="eastAsia" w:cs="Times New Roman"/>
                <w:lang w:val="en-US" w:eastAsia="zh-CN"/>
              </w:rPr>
              <w:t>本项目</w:t>
            </w:r>
            <w:r>
              <w:rPr>
                <w:rFonts w:hint="default" w:ascii="Times New Roman" w:hAnsi="Times New Roman" w:cs="Times New Roman"/>
              </w:rPr>
              <w:t>工作区面积</w:t>
            </w:r>
            <w:r>
              <w:rPr>
                <w:rFonts w:hint="eastAsia" w:cs="Times New Roman"/>
                <w:lang w:val="en-US" w:eastAsia="zh-CN"/>
              </w:rPr>
              <w:t>15.048平方公里</w:t>
            </w:r>
            <w:r>
              <w:rPr>
                <w:rFonts w:hint="eastAsia"/>
              </w:rPr>
              <w:t>。行政区划</w:t>
            </w:r>
            <w:r>
              <w:rPr>
                <w:rFonts w:hint="eastAsia"/>
                <w:lang w:eastAsia="zh-CN"/>
              </w:rPr>
              <w:t>隶属</w:t>
            </w:r>
            <w:r>
              <w:rPr>
                <w:rFonts w:hint="eastAsia"/>
                <w:lang w:val="en-US" w:eastAsia="zh-CN"/>
              </w:rPr>
              <w:t>和硕县</w:t>
            </w:r>
            <w:r>
              <w:rPr>
                <w:rFonts w:hint="eastAsia"/>
              </w:rPr>
              <w:t>管辖。</w:t>
            </w:r>
            <w:r>
              <w:rPr>
                <w:rFonts w:hint="eastAsia"/>
                <w:lang w:val="en-US" w:eastAsia="zh-CN"/>
              </w:rPr>
              <w:t>项目拐点坐标见表2-1，项目地理位置详见附图。</w:t>
            </w:r>
          </w:p>
          <w:p>
            <w:pPr>
              <w:pStyle w:val="52"/>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表2-1    勘探</w:t>
            </w:r>
            <w:r>
              <w:rPr>
                <w:rFonts w:hint="eastAsia"/>
              </w:rPr>
              <w:t>区范围拐点坐标表</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2141"/>
              <w:gridCol w:w="2516"/>
              <w:gridCol w:w="2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vMerge w:val="restar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r>
                    <w:rPr>
                      <w:rFonts w:hint="default" w:ascii="Times New Roman" w:hAnsi="Times New Roman" w:cs="Times New Roman"/>
                    </w:rPr>
                    <w:t>点号</w:t>
                  </w:r>
                </w:p>
              </w:tc>
              <w:tc>
                <w:tcPr>
                  <w:tcW w:w="3070" w:type="pct"/>
                  <w:gridSpan w:val="2"/>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eastAsia="zh-CN"/>
                    </w:rPr>
                  </w:pPr>
                  <w:r>
                    <w:rPr>
                      <w:rFonts w:hint="default" w:ascii="Times New Roman" w:hAnsi="Times New Roman" w:cs="Times New Roman"/>
                    </w:rPr>
                    <w:t>CGCS</w:t>
                  </w:r>
                  <w:r>
                    <w:rPr>
                      <w:rFonts w:hint="eastAsia" w:cs="Times New Roman"/>
                      <w:lang w:val="en-US" w:eastAsia="zh-CN"/>
                    </w:rPr>
                    <w:t>2000</w:t>
                  </w:r>
                  <w:r>
                    <w:rPr>
                      <w:rFonts w:hint="default" w:ascii="Times New Roman" w:hAnsi="Times New Roman" w:cs="Times New Roman"/>
                    </w:rPr>
                    <w:t>坐标系</w:t>
                  </w:r>
                </w:p>
              </w:tc>
              <w:tc>
                <w:tcPr>
                  <w:tcW w:w="1420" w:type="pct"/>
                  <w:vMerge w:val="restar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r>
                    <w:rPr>
                      <w:rFonts w:hint="default" w:ascii="Times New Roman" w:hAnsi="Times New Roman" w:cs="Times New Roma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c>
                <w:tcPr>
                  <w:tcW w:w="1411"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r>
                    <w:rPr>
                      <w:rFonts w:hint="default" w:ascii="Times New Roman" w:hAnsi="Times New Roman" w:cs="Times New Roman"/>
                    </w:rPr>
                    <w:t>经度</w:t>
                  </w:r>
                </w:p>
              </w:tc>
              <w:tc>
                <w:tcPr>
                  <w:tcW w:w="165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r>
                    <w:rPr>
                      <w:rFonts w:hint="default" w:ascii="Times New Roman" w:hAnsi="Times New Roman" w:cs="Times New Roman"/>
                    </w:rPr>
                    <w:t>纬度</w:t>
                  </w:r>
                </w:p>
              </w:tc>
              <w:tc>
                <w:tcPr>
                  <w:tcW w:w="1420"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lang w:eastAsia="zh-CN"/>
                    </w:rPr>
                  </w:pPr>
                  <w:r>
                    <w:rPr>
                      <w:rFonts w:hint="default" w:ascii="Times New Roman" w:hAnsi="Times New Roman" w:cs="Times New Roman"/>
                      <w:lang w:val="en-US" w:eastAsia="zh-CN"/>
                    </w:rPr>
                    <w:t>1</w:t>
                  </w:r>
                </w:p>
              </w:tc>
              <w:tc>
                <w:tcPr>
                  <w:tcW w:w="1411" w:type="pct"/>
                  <w:tcBorders>
                    <w:tl2br w:val="nil"/>
                    <w:tr2bl w:val="nil"/>
                  </w:tcBorders>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lang w:val="en-US" w:eastAsia="zh-CN"/>
                    </w:rPr>
                  </w:pPr>
                </w:p>
              </w:tc>
              <w:tc>
                <w:tcPr>
                  <w:tcW w:w="1658" w:type="pct"/>
                  <w:tcBorders>
                    <w:tl2br w:val="nil"/>
                    <w:tr2bl w:val="nil"/>
                  </w:tcBorders>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lang w:val="en-US" w:eastAsia="zh-CN"/>
                    </w:rPr>
                  </w:pPr>
                </w:p>
              </w:tc>
              <w:tc>
                <w:tcPr>
                  <w:tcW w:w="1420" w:type="pct"/>
                  <w:vMerge w:val="restart"/>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r>
                    <w:rPr>
                      <w:rFonts w:hint="default" w:ascii="Times New Roman" w:hAnsi="Times New Roman" w:cs="Times New Roman"/>
                    </w:rPr>
                    <w:t>共由</w:t>
                  </w:r>
                  <w:r>
                    <w:rPr>
                      <w:rFonts w:hint="eastAsia" w:cs="Times New Roman"/>
                      <w:lang w:val="en-US" w:eastAsia="zh-CN"/>
                    </w:rPr>
                    <w:t>14</w:t>
                  </w:r>
                  <w:r>
                    <w:rPr>
                      <w:rFonts w:hint="default" w:ascii="Times New Roman" w:hAnsi="Times New Roman" w:cs="Times New Roman"/>
                    </w:rPr>
                    <w:t>个拐点圈连，面积</w:t>
                  </w:r>
                  <w:r>
                    <w:rPr>
                      <w:rFonts w:hint="eastAsia" w:cs="Times New Roman"/>
                      <w:lang w:val="en-US" w:eastAsia="zh-CN"/>
                    </w:rPr>
                    <w:t>15.048平方公里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50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lang w:eastAsia="zh-CN"/>
                    </w:rPr>
                  </w:pPr>
                  <w:r>
                    <w:rPr>
                      <w:rFonts w:hint="default" w:ascii="Times New Roman" w:hAnsi="Times New Roman" w:cs="Times New Roman"/>
                      <w:lang w:val="en-US" w:eastAsia="zh-CN"/>
                    </w:rPr>
                    <w:t>2</w:t>
                  </w:r>
                </w:p>
              </w:tc>
              <w:tc>
                <w:tcPr>
                  <w:tcW w:w="1411" w:type="pct"/>
                  <w:tcBorders>
                    <w:tl2br w:val="nil"/>
                    <w:tr2bl w:val="nil"/>
                  </w:tcBorders>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lang w:val="en-US" w:eastAsia="zh-CN"/>
                    </w:rPr>
                  </w:pPr>
                </w:p>
              </w:tc>
              <w:tc>
                <w:tcPr>
                  <w:tcW w:w="1658" w:type="pct"/>
                  <w:tcBorders>
                    <w:tl2br w:val="nil"/>
                    <w:tr2bl w:val="nil"/>
                  </w:tcBorders>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lang w:val="en-US" w:eastAsia="zh-CN"/>
                    </w:rPr>
                  </w:pPr>
                </w:p>
              </w:tc>
              <w:tc>
                <w:tcPr>
                  <w:tcW w:w="1420"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lang w:val="en-US" w:eastAsia="zh-CN"/>
                    </w:rPr>
                  </w:pPr>
                  <w:r>
                    <w:rPr>
                      <w:rFonts w:hint="default" w:ascii="Times New Roman" w:hAnsi="Times New Roman" w:cs="Times New Roman"/>
                      <w:lang w:val="en-US" w:eastAsia="zh-CN"/>
                    </w:rPr>
                    <w:t>3</w:t>
                  </w:r>
                </w:p>
              </w:tc>
              <w:tc>
                <w:tcPr>
                  <w:tcW w:w="1411" w:type="pct"/>
                  <w:tcBorders>
                    <w:tl2br w:val="nil"/>
                    <w:tr2bl w:val="nil"/>
                  </w:tcBorders>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lang w:val="en-US" w:eastAsia="zh-CN"/>
                    </w:rPr>
                  </w:pPr>
                </w:p>
              </w:tc>
              <w:tc>
                <w:tcPr>
                  <w:tcW w:w="1658" w:type="pct"/>
                  <w:tcBorders>
                    <w:tl2br w:val="nil"/>
                    <w:tr2bl w:val="nil"/>
                  </w:tcBorders>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lang w:val="en-US" w:eastAsia="zh-CN"/>
                    </w:rPr>
                  </w:pPr>
                </w:p>
              </w:tc>
              <w:tc>
                <w:tcPr>
                  <w:tcW w:w="1420"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lang w:val="en-US" w:eastAsia="zh-CN"/>
                    </w:rPr>
                  </w:pPr>
                  <w:r>
                    <w:rPr>
                      <w:rFonts w:hint="default" w:ascii="Times New Roman" w:hAnsi="Times New Roman" w:cs="Times New Roman"/>
                      <w:lang w:val="en-US" w:eastAsia="zh-CN"/>
                    </w:rPr>
                    <w:t>4</w:t>
                  </w:r>
                </w:p>
              </w:tc>
              <w:tc>
                <w:tcPr>
                  <w:tcW w:w="1411"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4"/>
                      <w:lang w:val="en-US" w:eastAsia="zh-CN" w:bidi="ar-SA"/>
                    </w:rPr>
                  </w:pPr>
                </w:p>
              </w:tc>
              <w:tc>
                <w:tcPr>
                  <w:tcW w:w="1658"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4"/>
                      <w:lang w:val="en-US" w:eastAsia="zh-CN" w:bidi="ar-SA"/>
                    </w:rPr>
                  </w:pPr>
                </w:p>
              </w:tc>
              <w:tc>
                <w:tcPr>
                  <w:tcW w:w="1420"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eastAsia" w:cs="Times New Roman"/>
                      <w:lang w:val="en-US" w:eastAsia="zh-CN"/>
                    </w:rPr>
                    <w:t>5</w:t>
                  </w:r>
                </w:p>
              </w:tc>
              <w:tc>
                <w:tcPr>
                  <w:tcW w:w="1411"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658"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420"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eastAsia" w:cs="Times New Roman"/>
                      <w:lang w:val="en-US" w:eastAsia="zh-CN"/>
                    </w:rPr>
                    <w:t>6</w:t>
                  </w:r>
                </w:p>
              </w:tc>
              <w:tc>
                <w:tcPr>
                  <w:tcW w:w="1411"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658"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420"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eastAsia" w:cs="Times New Roman"/>
                      <w:lang w:val="en-US" w:eastAsia="zh-CN"/>
                    </w:rPr>
                    <w:t>7</w:t>
                  </w:r>
                </w:p>
              </w:tc>
              <w:tc>
                <w:tcPr>
                  <w:tcW w:w="1411"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658"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420"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eastAsia" w:cs="Times New Roman"/>
                      <w:lang w:val="en-US" w:eastAsia="zh-CN"/>
                    </w:rPr>
                    <w:t>8</w:t>
                  </w:r>
                </w:p>
              </w:tc>
              <w:tc>
                <w:tcPr>
                  <w:tcW w:w="1411"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658"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420"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eastAsia" w:cs="Times New Roman"/>
                      <w:lang w:val="en-US" w:eastAsia="zh-CN"/>
                    </w:rPr>
                    <w:t>9</w:t>
                  </w:r>
                </w:p>
              </w:tc>
              <w:tc>
                <w:tcPr>
                  <w:tcW w:w="1411"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658"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420"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eastAsia" w:cs="Times New Roman"/>
                      <w:lang w:val="en-US" w:eastAsia="zh-CN"/>
                    </w:rPr>
                    <w:t>10</w:t>
                  </w:r>
                </w:p>
              </w:tc>
              <w:tc>
                <w:tcPr>
                  <w:tcW w:w="1411"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658"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420"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eastAsia" w:cs="Times New Roman"/>
                      <w:lang w:val="en-US" w:eastAsia="zh-CN"/>
                    </w:rPr>
                    <w:t>11</w:t>
                  </w:r>
                </w:p>
              </w:tc>
              <w:tc>
                <w:tcPr>
                  <w:tcW w:w="1411"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658"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420"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eastAsia" w:cs="Times New Roman"/>
                      <w:lang w:val="en-US" w:eastAsia="zh-CN"/>
                    </w:rPr>
                    <w:t>12</w:t>
                  </w:r>
                </w:p>
              </w:tc>
              <w:tc>
                <w:tcPr>
                  <w:tcW w:w="1411"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658"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420"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cs="Times New Roman"/>
                      <w:lang w:val="en-US" w:eastAsia="zh-CN"/>
                    </w:rPr>
                  </w:pPr>
                  <w:r>
                    <w:rPr>
                      <w:rFonts w:hint="eastAsia" w:cs="Times New Roman"/>
                      <w:lang w:val="en-US" w:eastAsia="zh-CN"/>
                    </w:rPr>
                    <w:t>13</w:t>
                  </w:r>
                </w:p>
              </w:tc>
              <w:tc>
                <w:tcPr>
                  <w:tcW w:w="1411"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658"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420"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8" w:type="pct"/>
                  <w:tcBorders>
                    <w:tl2br w:val="nil"/>
                    <w:tr2bl w:val="nil"/>
                  </w:tcBorders>
                  <w:noWrap/>
                  <w:vAlign w:val="center"/>
                </w:tcPr>
                <w:p>
                  <w:pPr>
                    <w:pStyle w:val="58"/>
                    <w:keepNext w:val="0"/>
                    <w:keepLines w:val="0"/>
                    <w:suppressLineNumbers w:val="0"/>
                    <w:bidi w:val="0"/>
                    <w:spacing w:before="0" w:beforeAutospacing="0" w:after="0" w:afterAutospacing="0"/>
                    <w:ind w:left="0" w:right="0"/>
                    <w:rPr>
                      <w:rFonts w:hint="default" w:cs="Times New Roman"/>
                      <w:lang w:val="en-US" w:eastAsia="zh-CN"/>
                    </w:rPr>
                  </w:pPr>
                  <w:r>
                    <w:rPr>
                      <w:rFonts w:hint="eastAsia" w:cs="Times New Roman"/>
                      <w:lang w:val="en-US" w:eastAsia="zh-CN"/>
                    </w:rPr>
                    <w:t>14</w:t>
                  </w:r>
                </w:p>
              </w:tc>
              <w:tc>
                <w:tcPr>
                  <w:tcW w:w="1411"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658" w:type="pct"/>
                  <w:tcBorders>
                    <w:tl2br w:val="nil"/>
                    <w:tr2bl w:val="nil"/>
                  </w:tcBorders>
                  <w:shd w:val="clear" w:color="auto" w:fill="auto"/>
                  <w:noWrap/>
                  <w:vAlign w:val="top"/>
                </w:tcPr>
                <w:p>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1420" w:type="pct"/>
                  <w:vMerge w:val="continue"/>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rPr>
                  </w:pPr>
                </w:p>
              </w:tc>
            </w:tr>
          </w:tbl>
          <w:p>
            <w:pPr>
              <w:pStyle w:val="48"/>
              <w:keepNext w:val="0"/>
              <w:keepLines w:val="0"/>
              <w:suppressLineNumbers w:val="0"/>
              <w:bidi w:val="0"/>
              <w:spacing w:before="0" w:beforeAutospacing="0" w:after="0" w:afterAutospacing="0"/>
              <w:ind w:left="0" w:right="0"/>
              <w:rPr>
                <w:rFonts w:hint="default" w:eastAsia="宋体"/>
                <w:lang w:val="en-US" w:eastAsia="zh-CN"/>
              </w:rPr>
            </w:pPr>
            <w:r>
              <w:rPr>
                <w:rFonts w:hint="default" w:eastAsia="宋体"/>
                <w:lang w:val="en-US" w:eastAsia="zh-CN"/>
              </w:rPr>
              <w:t>工作区对外交通条件较为便利，吐和高速（G3012）</w:t>
            </w:r>
            <w:r>
              <w:rPr>
                <w:rFonts w:hint="eastAsia"/>
                <w:lang w:val="en-US" w:eastAsia="zh-CN"/>
              </w:rPr>
              <w:t>北行40km土路即可到达项目区，</w:t>
            </w:r>
            <w:r>
              <w:rPr>
                <w:rFonts w:hint="default" w:eastAsia="宋体"/>
                <w:lang w:val="en-US" w:eastAsia="zh-CN"/>
              </w:rPr>
              <w:t>区域交通通达性良好，无需新建简易施工道路。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项目组成及规模</w:t>
            </w:r>
          </w:p>
        </w:tc>
        <w:tc>
          <w:tcPr>
            <w:tcW w:w="7812" w:type="dxa"/>
            <w:noWrap w:val="0"/>
            <w:vAlign w:val="center"/>
          </w:tcPr>
          <w:p>
            <w:pPr>
              <w:pStyle w:val="50"/>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1.项目基本情况</w:t>
            </w:r>
          </w:p>
          <w:p>
            <w:pPr>
              <w:pStyle w:val="48"/>
              <w:keepNext w:val="0"/>
              <w:keepLines w:val="0"/>
              <w:suppressLineNumbers w:val="0"/>
              <w:bidi w:val="0"/>
              <w:spacing w:before="0" w:beforeAutospacing="0" w:after="0" w:afterAutospacing="0"/>
              <w:ind w:left="0" w:right="0"/>
              <w:jc w:val="left"/>
              <w:rPr>
                <w:rFonts w:hint="default" w:eastAsia="宋体"/>
                <w:highlight w:val="green"/>
                <w:lang w:val="en-US" w:eastAsia="zh-CN"/>
              </w:rPr>
            </w:pPr>
            <w:r>
              <w:rPr>
                <w:rFonts w:hint="eastAsia"/>
                <w:lang w:val="en-US" w:eastAsia="zh-CN"/>
              </w:rPr>
              <w:t>北京天承盛西矿业技术开发有限公司于</w:t>
            </w:r>
            <w:r>
              <w:rPr>
                <w:rFonts w:hint="eastAsia"/>
                <w:highlight w:val="none"/>
                <w:lang w:val="en-US" w:eastAsia="zh-CN"/>
              </w:rPr>
              <w:t>2026年4月7日取得“</w:t>
            </w:r>
            <w:r>
              <w:rPr>
                <w:rFonts w:hint="eastAsia"/>
                <w:highlight w:val="none"/>
                <w:lang w:eastAsia="zh-CN"/>
              </w:rPr>
              <w:t>新疆和硕县绰汗哈尔肯铜多金属矿勘探</w:t>
            </w:r>
            <w:r>
              <w:rPr>
                <w:rFonts w:hint="eastAsia"/>
                <w:highlight w:val="none"/>
                <w:lang w:val="en-US" w:eastAsia="zh-CN"/>
              </w:rPr>
              <w:t>”</w:t>
            </w:r>
            <w:r>
              <w:rPr>
                <w:rFonts w:hint="default"/>
                <w:highlight w:val="none"/>
              </w:rPr>
              <w:t>探矿权</w:t>
            </w:r>
            <w:r>
              <w:rPr>
                <w:rFonts w:hint="eastAsia"/>
                <w:highlight w:val="none"/>
                <w:lang w:val="en-US" w:eastAsia="zh-CN"/>
              </w:rPr>
              <w:t>。</w:t>
            </w:r>
          </w:p>
          <w:p>
            <w:pPr>
              <w:pStyle w:val="4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textAlignment w:val="auto"/>
              <w:rPr>
                <w:rFonts w:hint="eastAsia"/>
                <w:lang w:val="en-US" w:eastAsia="zh-CN"/>
              </w:rPr>
            </w:pPr>
            <w:r>
              <w:rPr>
                <w:rFonts w:hint="eastAsia"/>
                <w:lang w:val="en-US" w:eastAsia="zh-CN"/>
              </w:rPr>
              <w:t>项目名称：新疆和硕县绰汗哈尔肯铜多金属矿勘探；</w:t>
            </w:r>
          </w:p>
          <w:p>
            <w:pPr>
              <w:pStyle w:val="48"/>
              <w:keepNext w:val="0"/>
              <w:keepLines w:val="0"/>
              <w:suppressLineNumbers w:val="0"/>
              <w:bidi w:val="0"/>
              <w:spacing w:before="0" w:beforeAutospacing="0" w:after="0" w:afterAutospacing="0"/>
              <w:ind w:left="0" w:right="0"/>
              <w:rPr>
                <w:rFonts w:hint="eastAsia"/>
                <w:lang w:val="en-US" w:eastAsia="zh-CN"/>
              </w:rPr>
            </w:pPr>
            <w:r>
              <w:rPr>
                <w:rFonts w:hint="default"/>
                <w:lang w:val="en-US" w:eastAsia="zh-CN"/>
              </w:rPr>
              <w:t>探矿权人：</w:t>
            </w:r>
            <w:r>
              <w:rPr>
                <w:rFonts w:hint="eastAsia"/>
                <w:lang w:val="en-US" w:eastAsia="zh-CN"/>
              </w:rPr>
              <w:t>北京天承盛西矿业技术开发有限公司；</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地理位置：新疆维吾尔自治区巴音郭楞蒙古自治州</w:t>
            </w:r>
            <w:r>
              <w:rPr>
                <w:rFonts w:hint="eastAsia"/>
                <w:lang w:val="en-US" w:eastAsia="zh-CN"/>
              </w:rPr>
              <w:t>和硕县；</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勘查面积：</w:t>
            </w:r>
            <w:r>
              <w:rPr>
                <w:rFonts w:hint="eastAsia"/>
                <w:lang w:val="en-US" w:eastAsia="zh-CN"/>
              </w:rPr>
              <w:t>15.048平方公里；</w:t>
            </w:r>
          </w:p>
          <w:p>
            <w:pPr>
              <w:pStyle w:val="4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textAlignment w:val="auto"/>
              <w:rPr>
                <w:rFonts w:hint="default"/>
                <w:color w:val="auto"/>
                <w:lang w:val="en-US" w:eastAsia="zh-CN"/>
              </w:rPr>
            </w:pPr>
            <w:r>
              <w:rPr>
                <w:rFonts w:hint="eastAsia"/>
                <w:lang w:val="en-US" w:eastAsia="zh-CN"/>
              </w:rPr>
              <w:t>北京天承盛西矿业技术开发有限公司</w:t>
            </w:r>
            <w:r>
              <w:rPr>
                <w:rFonts w:hint="eastAsia"/>
                <w:highlight w:val="none"/>
                <w:lang w:val="en-US" w:eastAsia="zh-CN"/>
              </w:rPr>
              <w:t>法定代表人为杜武平，</w:t>
            </w:r>
            <w:r>
              <w:rPr>
                <w:rFonts w:hint="eastAsia"/>
                <w:color w:val="auto"/>
                <w:highlight w:val="none"/>
                <w:lang w:val="en-US" w:eastAsia="zh-CN"/>
              </w:rPr>
              <w:t>统一社会信用代码：911101056684154412。</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2.项目主要建设内容</w:t>
            </w:r>
          </w:p>
          <w:p>
            <w:pPr>
              <w:pStyle w:val="65"/>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根据本项目目的任务，以及工作区内实际情况，拟采用地形测量、槽探、钻探、样品采集等手段来开展勘查工作。本次选择1:1万地质草测、1:1万水工环地质调查、1:2000地化剖面测量、1:25000化探测量、槽探、钻探、采样等探矿工程手段对该矿进行勘查评价工作。</w:t>
            </w:r>
          </w:p>
          <w:p>
            <w:pPr>
              <w:pStyle w:val="65"/>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本项目主要建设内容详见下表。</w:t>
            </w:r>
          </w:p>
          <w:p>
            <w:pPr>
              <w:pStyle w:val="52"/>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表2-2    主要建设内容一览表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235"/>
              <w:gridCol w:w="1271"/>
              <w:gridCol w:w="977"/>
              <w:gridCol w:w="1799"/>
              <w:gridCol w:w="1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65" w:type="pct"/>
                  <w:gridSpan w:val="2"/>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类别</w:t>
                  </w:r>
                </w:p>
              </w:tc>
              <w:tc>
                <w:tcPr>
                  <w:tcW w:w="1482" w:type="pct"/>
                  <w:gridSpan w:val="2"/>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建设内容</w:t>
                  </w:r>
                </w:p>
              </w:tc>
              <w:tc>
                <w:tcPr>
                  <w:tcW w:w="1186"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计量单位</w:t>
                  </w:r>
                </w:p>
              </w:tc>
              <w:tc>
                <w:tcPr>
                  <w:tcW w:w="1066"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涉及总工作量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451" w:type="pct"/>
                  <w:vMerge w:val="restar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主体工程</w:t>
                  </w:r>
                </w:p>
              </w:tc>
              <w:tc>
                <w:tcPr>
                  <w:tcW w:w="814" w:type="pct"/>
                  <w:vMerge w:val="restar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地质测量</w:t>
                  </w:r>
                </w:p>
              </w:tc>
              <w:tc>
                <w:tcPr>
                  <w:tcW w:w="1482" w:type="pct"/>
                  <w:gridSpan w:val="2"/>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lang w:val="en-US" w:eastAsia="zh-CN"/>
                    </w:rPr>
                    <w:t>1:1万地质草测</w:t>
                  </w:r>
                </w:p>
              </w:tc>
              <w:tc>
                <w:tcPr>
                  <w:tcW w:w="1186"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平方千米</w:t>
                  </w:r>
                </w:p>
              </w:tc>
              <w:tc>
                <w:tcPr>
                  <w:tcW w:w="1066"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15.048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1482" w:type="pct"/>
                  <w:gridSpan w:val="2"/>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lang w:val="en-US" w:eastAsia="zh-CN"/>
                    </w:rPr>
                    <w:t>1:1万水工环地质调查</w:t>
                  </w:r>
                </w:p>
              </w:tc>
              <w:tc>
                <w:tcPr>
                  <w:tcW w:w="1186" w:type="pct"/>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平方千米</w:t>
                  </w:r>
                </w:p>
              </w:tc>
              <w:tc>
                <w:tcPr>
                  <w:tcW w:w="1066" w:type="pct"/>
                  <w:noWrap w:val="0"/>
                  <w:vAlign w:val="center"/>
                </w:tcPr>
                <w:p>
                  <w:pPr>
                    <w:pStyle w:val="58"/>
                    <w:keepNext w:val="0"/>
                    <w:keepLines w:val="0"/>
                    <w:suppressLineNumbers w:val="0"/>
                    <w:bidi w:val="0"/>
                    <w:spacing w:before="0" w:beforeAutospacing="0" w:after="0" w:afterAutospacing="0"/>
                    <w:ind w:left="0" w:leftChars="0" w:right="0" w:rightChars="0"/>
                    <w:rPr>
                      <w:rFonts w:hint="default"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15.048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1482" w:type="pct"/>
                  <w:gridSpan w:val="2"/>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lang w:val="en-US" w:eastAsia="zh-CN"/>
                    </w:rPr>
                    <w:t>1:2000地化剖面测量</w:t>
                  </w:r>
                </w:p>
              </w:tc>
              <w:tc>
                <w:tcPr>
                  <w:tcW w:w="1186"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平方</w:t>
                  </w:r>
                  <w:r>
                    <w:rPr>
                      <w:rFonts w:hint="default" w:ascii="Times New Roman" w:hAnsi="Times New Roman" w:cs="Times New Roman" w:eastAsiaTheme="minorEastAsia"/>
                      <w:color w:val="auto"/>
                      <w:sz w:val="21"/>
                      <w:szCs w:val="21"/>
                      <w:lang w:val="en-US" w:eastAsia="zh-CN"/>
                    </w:rPr>
                    <w:t>千米</w:t>
                  </w:r>
                </w:p>
              </w:tc>
              <w:tc>
                <w:tcPr>
                  <w:tcW w:w="1066" w:type="pct"/>
                  <w:noWrap w:val="0"/>
                  <w:vAlign w:val="center"/>
                </w:tcPr>
                <w:p>
                  <w:pPr>
                    <w:pStyle w:val="58"/>
                    <w:keepNext w:val="0"/>
                    <w:keepLines w:val="0"/>
                    <w:suppressLineNumbers w:val="0"/>
                    <w:bidi w:val="0"/>
                    <w:spacing w:before="0" w:beforeAutospacing="0" w:after="0" w:afterAutospacing="0"/>
                    <w:ind w:left="0" w:right="0"/>
                    <w:rPr>
                      <w:rFonts w:hint="default"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1482" w:type="pct"/>
                  <w:gridSpan w:val="2"/>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lang w:val="en-US" w:eastAsia="zh-CN"/>
                    </w:rPr>
                    <w:t>1:25000化探测量</w:t>
                  </w:r>
                </w:p>
              </w:tc>
              <w:tc>
                <w:tcPr>
                  <w:tcW w:w="1186"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平方千米</w:t>
                  </w:r>
                </w:p>
              </w:tc>
              <w:tc>
                <w:tcPr>
                  <w:tcW w:w="1066" w:type="pct"/>
                  <w:noWrap w:val="0"/>
                  <w:vAlign w:val="center"/>
                </w:tcPr>
                <w:p>
                  <w:pPr>
                    <w:pStyle w:val="58"/>
                    <w:keepNext w:val="0"/>
                    <w:keepLines w:val="0"/>
                    <w:suppressLineNumbers w:val="0"/>
                    <w:bidi w:val="0"/>
                    <w:spacing w:before="0" w:beforeAutospacing="0" w:after="0" w:afterAutospacing="0"/>
                    <w:ind w:left="0" w:right="0"/>
                    <w:rPr>
                      <w:rFonts w:hint="default"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restar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eastAsia="zh-CN"/>
                    </w:rPr>
                    <w:t>探矿工程</w:t>
                  </w:r>
                </w:p>
              </w:tc>
              <w:tc>
                <w:tcPr>
                  <w:tcW w:w="1482" w:type="pct"/>
                  <w:gridSpan w:val="2"/>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槽探</w:t>
                  </w:r>
                </w:p>
              </w:tc>
              <w:tc>
                <w:tcPr>
                  <w:tcW w:w="1186"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立方</w:t>
                  </w:r>
                  <w:r>
                    <w:rPr>
                      <w:rFonts w:hint="default" w:ascii="Times New Roman" w:hAnsi="Times New Roman" w:cs="Times New Roman" w:eastAsiaTheme="minorEastAsia"/>
                      <w:color w:val="auto"/>
                      <w:sz w:val="21"/>
                      <w:szCs w:val="21"/>
                      <w:lang w:val="en-US" w:eastAsia="zh-CN"/>
                    </w:rPr>
                    <w:t>米</w:t>
                  </w:r>
                </w:p>
              </w:tc>
              <w:tc>
                <w:tcPr>
                  <w:tcW w:w="1066"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1482" w:type="pct"/>
                  <w:gridSpan w:val="2"/>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rPr>
                  </w:pPr>
                  <w:r>
                    <w:rPr>
                      <w:rFonts w:hint="eastAsia" w:cs="Times New Roman" w:eastAsiaTheme="minorEastAsia"/>
                      <w:color w:val="auto"/>
                      <w:sz w:val="21"/>
                      <w:szCs w:val="21"/>
                      <w:lang w:val="en-US" w:eastAsia="zh-CN"/>
                    </w:rPr>
                    <w:t>钻探</w:t>
                  </w:r>
                </w:p>
              </w:tc>
              <w:tc>
                <w:tcPr>
                  <w:tcW w:w="1186"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米</w:t>
                  </w:r>
                </w:p>
              </w:tc>
              <w:tc>
                <w:tcPr>
                  <w:tcW w:w="1066"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restart"/>
                  <w:tcBorders>
                    <w:top w:val="single" w:color="000000"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采样与分析</w:t>
                  </w:r>
                </w:p>
              </w:tc>
              <w:tc>
                <w:tcPr>
                  <w:tcW w:w="1482" w:type="pct"/>
                  <w:gridSpan w:val="2"/>
                  <w:tcBorders>
                    <w:top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16" w:lineRule="auto"/>
                    <w:ind w:left="0" w:right="0"/>
                    <w:jc w:val="center"/>
                    <w:textAlignment w:val="center"/>
                    <w:outlineLvl w:val="9"/>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bidi="ar"/>
                    </w:rPr>
                    <w:t>基本分析样</w:t>
                  </w:r>
                </w:p>
              </w:tc>
              <w:tc>
                <w:tcPr>
                  <w:tcW w:w="1186"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sz w:val="21"/>
                      <w:szCs w:val="21"/>
                      <w:highlight w:val="none"/>
                      <w:lang w:val="en-US" w:eastAsia="zh-CN"/>
                    </w:rPr>
                    <w:t>件</w:t>
                  </w:r>
                </w:p>
              </w:tc>
              <w:tc>
                <w:tcPr>
                  <w:tcW w:w="1066" w:type="pct"/>
                  <w:noWrap w:val="0"/>
                  <w:vAlign w:val="center"/>
                </w:tcPr>
                <w:p>
                  <w:pPr>
                    <w:pStyle w:val="58"/>
                    <w:keepNext w:val="0"/>
                    <w:keepLines w:val="0"/>
                    <w:suppressLineNumbers w:val="0"/>
                    <w:bidi w:val="0"/>
                    <w:spacing w:before="0" w:beforeAutospacing="0" w:after="0" w:afterAutospacing="0"/>
                    <w:ind w:left="0" w:right="0"/>
                    <w:rPr>
                      <w:rFonts w:hint="default"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1482" w:type="pct"/>
                  <w:gridSpan w:val="2"/>
                  <w:tcBorders>
                    <w:top w:val="single" w:color="000000" w:sz="4" w:space="0"/>
                  </w:tcBorders>
                  <w:shd w:val="clear" w:color="auto" w:fill="auto"/>
                  <w:noWrap w:val="0"/>
                  <w:vAlign w:val="center"/>
                </w:tcPr>
                <w:p>
                  <w:pPr>
                    <w:keepNext w:val="0"/>
                    <w:keepLines w:val="0"/>
                    <w:widowControl/>
                    <w:suppressLineNumbers w:val="0"/>
                    <w:adjustRightInd w:val="0"/>
                    <w:snapToGrid w:val="0"/>
                    <w:spacing w:before="0" w:beforeAutospacing="0" w:after="0" w:afterAutospacing="0"/>
                    <w:ind w:left="0" w:right="0"/>
                    <w:jc w:val="center"/>
                    <w:rPr>
                      <w:rFonts w:hint="eastAsia" w:cs="Times New Roman" w:eastAsiaTheme="minorEastAsia"/>
                      <w:color w:val="auto"/>
                      <w:kern w:val="0"/>
                      <w:sz w:val="21"/>
                      <w:szCs w:val="21"/>
                      <w:highlight w:val="none"/>
                      <w:lang w:val="en-US" w:eastAsia="zh-CN" w:bidi="ar"/>
                    </w:rPr>
                  </w:pPr>
                  <w:r>
                    <w:rPr>
                      <w:rFonts w:hint="eastAsia" w:cs="Times New Roman"/>
                      <w:color w:val="auto"/>
                      <w:sz w:val="21"/>
                      <w:szCs w:val="21"/>
                      <w:lang w:val="en-US" w:eastAsia="zh-CN"/>
                    </w:rPr>
                    <w:t>组合分析样</w:t>
                  </w:r>
                </w:p>
              </w:tc>
              <w:tc>
                <w:tcPr>
                  <w:tcW w:w="1186" w:type="pct"/>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件</w:t>
                  </w:r>
                </w:p>
              </w:tc>
              <w:tc>
                <w:tcPr>
                  <w:tcW w:w="1066"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451" w:type="pct"/>
                  <w:vMerge w:val="restar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临时工程</w:t>
                  </w:r>
                </w:p>
              </w:tc>
              <w:tc>
                <w:tcPr>
                  <w:tcW w:w="814"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生活营地</w:t>
                  </w:r>
                </w:p>
              </w:tc>
              <w:tc>
                <w:tcPr>
                  <w:tcW w:w="3734" w:type="pct"/>
                  <w:gridSpan w:val="4"/>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lang w:val="en-US" w:eastAsia="zh-CN"/>
                    </w:rPr>
                    <w:t>设置一个生活营地，占地</w:t>
                  </w:r>
                  <w:r>
                    <w:rPr>
                      <w:rFonts w:hint="eastAsia" w:cs="Times New Roman" w:eastAsiaTheme="minorEastAsia"/>
                      <w:color w:val="auto"/>
                      <w:sz w:val="21"/>
                      <w:szCs w:val="21"/>
                      <w:highlight w:val="none"/>
                      <w:lang w:val="en-US" w:eastAsia="zh-CN"/>
                    </w:rPr>
                    <w:t>100</w:t>
                  </w:r>
                  <w:r>
                    <w:rPr>
                      <w:rFonts w:hint="default" w:ascii="Times New Roman" w:hAnsi="Times New Roman" w:cs="Times New Roman" w:eastAsiaTheme="minorEastAsia"/>
                      <w:color w:val="auto"/>
                      <w:sz w:val="21"/>
                      <w:szCs w:val="21"/>
                      <w:highlight w:val="none"/>
                      <w:lang w:val="en-US" w:eastAsia="zh-CN"/>
                    </w:rPr>
                    <w:t>m</w:t>
                  </w:r>
                  <w:r>
                    <w:rPr>
                      <w:rFonts w:hint="default" w:ascii="Times New Roman" w:hAnsi="Times New Roman" w:cs="Times New Roman" w:eastAsiaTheme="minorEastAsia"/>
                      <w:color w:val="auto"/>
                      <w:sz w:val="21"/>
                      <w:szCs w:val="21"/>
                      <w:highlight w:val="none"/>
                      <w:vertAlign w:val="superscript"/>
                      <w:lang w:val="en-US" w:eastAsia="zh-CN"/>
                    </w:rPr>
                    <w:t>2</w:t>
                  </w:r>
                  <w:r>
                    <w:rPr>
                      <w:rFonts w:hint="default" w:ascii="Times New Roman" w:hAnsi="Times New Roman" w:cs="Times New Roman" w:eastAsiaTheme="minorEastAsia"/>
                      <w:color w:val="auto"/>
                      <w:sz w:val="21"/>
                      <w:szCs w:val="21"/>
                      <w:highlight w:val="none"/>
                      <w:vertAlign w:val="baseline"/>
                      <w:lang w:val="en-US" w:eastAsia="zh-CN"/>
                    </w:rPr>
                    <w:t>，待勘探工作完成后，拆除生活营地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eastAsia="zh-CN"/>
                    </w:rPr>
                    <w:t>施工道路</w:t>
                  </w:r>
                </w:p>
              </w:tc>
              <w:tc>
                <w:tcPr>
                  <w:tcW w:w="3734" w:type="pct"/>
                  <w:gridSpan w:val="4"/>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eastAsia" w:cs="Times New Roman"/>
                      <w:lang w:val="en-US" w:eastAsia="zh-CN"/>
                    </w:rPr>
                    <w:t>勘查区域交通较为便利，无需新修临时道路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临时堆场</w:t>
                  </w:r>
                </w:p>
              </w:tc>
              <w:tc>
                <w:tcPr>
                  <w:tcW w:w="3734" w:type="pct"/>
                  <w:gridSpan w:val="4"/>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eastAsia="zh-CN"/>
                    </w:rPr>
                    <w:t>槽探</w:t>
                  </w:r>
                  <w:r>
                    <w:rPr>
                      <w:rFonts w:hint="eastAsia" w:cs="Times New Roman" w:eastAsiaTheme="minorEastAsia"/>
                      <w:color w:val="auto"/>
                      <w:sz w:val="21"/>
                      <w:szCs w:val="21"/>
                      <w:lang w:val="en-US" w:eastAsia="zh-CN"/>
                    </w:rPr>
                    <w:t>一侧</w:t>
                  </w:r>
                  <w:r>
                    <w:rPr>
                      <w:rFonts w:hint="default" w:ascii="Times New Roman" w:hAnsi="Times New Roman" w:cs="Times New Roman" w:eastAsiaTheme="minorEastAsia"/>
                      <w:color w:val="auto"/>
                      <w:sz w:val="21"/>
                      <w:szCs w:val="21"/>
                      <w:lang w:val="en-US" w:eastAsia="zh-CN"/>
                    </w:rPr>
                    <w:t>设置</w:t>
                  </w:r>
                  <w:r>
                    <w:rPr>
                      <w:rFonts w:hint="eastAsia" w:cs="Times New Roman" w:eastAsiaTheme="minorEastAsia"/>
                      <w:color w:val="auto"/>
                      <w:sz w:val="21"/>
                      <w:szCs w:val="21"/>
                      <w:lang w:val="en-US" w:eastAsia="zh-CN"/>
                    </w:rPr>
                    <w:t>300</w:t>
                  </w:r>
                  <w:r>
                    <w:rPr>
                      <w:rFonts w:hint="default" w:ascii="Times New Roman" w:hAnsi="Times New Roman" w:cs="Times New Roman" w:eastAsiaTheme="minorEastAsia"/>
                      <w:color w:val="auto"/>
                      <w:sz w:val="21"/>
                      <w:szCs w:val="21"/>
                      <w:lang w:val="en-US" w:eastAsia="zh-CN"/>
                    </w:rPr>
                    <w:t>m</w:t>
                  </w:r>
                  <w:r>
                    <w:rPr>
                      <w:rFonts w:hint="default" w:ascii="Times New Roman" w:hAnsi="Times New Roman" w:cs="Times New Roman" w:eastAsiaTheme="minorEastAsia"/>
                      <w:color w:val="auto"/>
                      <w:sz w:val="21"/>
                      <w:szCs w:val="21"/>
                      <w:vertAlign w:val="superscript"/>
                      <w:lang w:val="en-US" w:eastAsia="zh-CN"/>
                    </w:rPr>
                    <w:t>2</w:t>
                  </w:r>
                  <w:r>
                    <w:rPr>
                      <w:rFonts w:hint="default" w:ascii="Times New Roman" w:hAnsi="Times New Roman" w:cs="Times New Roman" w:eastAsiaTheme="minorEastAsia"/>
                      <w:color w:val="auto"/>
                      <w:sz w:val="21"/>
                      <w:szCs w:val="21"/>
                      <w:lang w:val="en-US" w:eastAsia="zh-CN"/>
                    </w:rPr>
                    <w:t>临时堆场</w:t>
                  </w:r>
                  <w:r>
                    <w:rPr>
                      <w:rFonts w:hint="eastAsia" w:cs="Times New Roman" w:eastAsiaTheme="minorEastAsia"/>
                      <w:color w:val="auto"/>
                      <w:sz w:val="21"/>
                      <w:szCs w:val="21"/>
                      <w:lang w:val="en-US" w:eastAsia="zh-CN"/>
                    </w:rPr>
                    <w:t>，堆放槽探施工产生的土石方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柴油贮存点</w:t>
                  </w:r>
                </w:p>
              </w:tc>
              <w:tc>
                <w:tcPr>
                  <w:tcW w:w="3734" w:type="pct"/>
                  <w:gridSpan w:val="4"/>
                  <w:noWrap w:val="0"/>
                  <w:vAlign w:val="center"/>
                </w:tcPr>
                <w:p>
                  <w:pPr>
                    <w:pStyle w:val="58"/>
                    <w:keepNext w:val="0"/>
                    <w:keepLines w:val="0"/>
                    <w:suppressLineNumbers w:val="0"/>
                    <w:bidi w:val="0"/>
                    <w:spacing w:before="0" w:beforeAutospacing="0" w:after="0" w:afterAutospacing="0"/>
                    <w:ind w:left="0" w:right="0"/>
                    <w:rPr>
                      <w:rFonts w:hint="default" w:eastAsia="宋体" w:cs="Times New Roman"/>
                      <w:color w:val="auto"/>
                      <w:sz w:val="21"/>
                      <w:szCs w:val="21"/>
                      <w:highlight w:val="none"/>
                      <w:lang w:val="en-US" w:eastAsia="zh-CN"/>
                    </w:rPr>
                  </w:pPr>
                  <w:r>
                    <w:rPr>
                      <w:rFonts w:hint="default" w:eastAsia="宋体" w:cs="Times New Roman"/>
                      <w:color w:val="auto"/>
                      <w:sz w:val="21"/>
                      <w:szCs w:val="21"/>
                      <w:highlight w:val="none"/>
                      <w:lang w:val="en-US" w:eastAsia="zh-CN"/>
                    </w:rPr>
                    <w:t>在生活营地内设置一处10m</w:t>
                  </w:r>
                  <w:r>
                    <w:rPr>
                      <w:rFonts w:hint="default" w:eastAsia="宋体" w:cs="Times New Roman"/>
                      <w:color w:val="auto"/>
                      <w:sz w:val="21"/>
                      <w:szCs w:val="21"/>
                      <w:highlight w:val="none"/>
                      <w:vertAlign w:val="superscript"/>
                      <w:lang w:val="en-US" w:eastAsia="zh-CN"/>
                    </w:rPr>
                    <w:t>2</w:t>
                  </w:r>
                  <w:r>
                    <w:rPr>
                      <w:rFonts w:hint="default" w:eastAsia="宋体" w:cs="Times New Roman"/>
                      <w:color w:val="auto"/>
                      <w:sz w:val="21"/>
                      <w:szCs w:val="21"/>
                      <w:highlight w:val="none"/>
                      <w:lang w:val="en-US" w:eastAsia="zh-CN"/>
                    </w:rPr>
                    <w:t>的柴油贮存点，采用防渗柴油桶盛装并置于防渗托盘上，贮存点做好防日晒、防雨淋、防渗漏等措施。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451" w:type="pct"/>
                  <w:vMerge w:val="restar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公用工程</w:t>
                  </w:r>
                </w:p>
              </w:tc>
              <w:tc>
                <w:tcPr>
                  <w:tcW w:w="814"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供水</w:t>
                  </w:r>
                </w:p>
              </w:tc>
              <w:tc>
                <w:tcPr>
                  <w:tcW w:w="3734" w:type="pct"/>
                  <w:gridSpan w:val="4"/>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val="en-US" w:eastAsia="zh-CN"/>
                    </w:rPr>
                    <w:t>定期从</w:t>
                  </w:r>
                  <w:r>
                    <w:rPr>
                      <w:rFonts w:hint="eastAsia" w:cs="Times New Roman" w:eastAsiaTheme="minorEastAsia"/>
                      <w:color w:val="auto"/>
                      <w:sz w:val="21"/>
                      <w:szCs w:val="21"/>
                      <w:lang w:val="en-US" w:eastAsia="zh-CN"/>
                    </w:rPr>
                    <w:t>附近乡镇（阿拉沟乡）</w:t>
                  </w:r>
                  <w:r>
                    <w:rPr>
                      <w:rFonts w:hint="default" w:ascii="Times New Roman" w:hAnsi="Times New Roman" w:cs="Times New Roman" w:eastAsiaTheme="minorEastAsia"/>
                      <w:color w:val="auto"/>
                      <w:sz w:val="21"/>
                      <w:szCs w:val="21"/>
                      <w:lang w:val="en-US" w:eastAsia="zh-CN"/>
                    </w:rPr>
                    <w:t>拉运至生活营地内储水箱储存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排水</w:t>
                  </w:r>
                </w:p>
              </w:tc>
              <w:tc>
                <w:tcPr>
                  <w:tcW w:w="3734" w:type="pct"/>
                  <w:gridSpan w:val="4"/>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rPr>
                  </w:pPr>
                  <w:r>
                    <w:rPr>
                      <w:rFonts w:hint="default" w:ascii="Times New Roman" w:hAnsi="Times New Roman" w:eastAsia="宋体" w:cs="Times New Roman"/>
                      <w:color w:val="auto"/>
                      <w:sz w:val="21"/>
                      <w:szCs w:val="21"/>
                      <w:lang w:val="en-US" w:eastAsia="zh-CN"/>
                    </w:rPr>
                    <w:t>生活污水排入</w:t>
                  </w:r>
                  <w:r>
                    <w:rPr>
                      <w:rFonts w:hint="eastAsia" w:cs="Times New Roman"/>
                      <w:color w:val="auto"/>
                      <w:sz w:val="21"/>
                      <w:szCs w:val="21"/>
                      <w:lang w:val="en-US" w:eastAsia="zh-CN"/>
                    </w:rPr>
                    <w:t>一体化污水处理设施</w:t>
                  </w:r>
                  <w:r>
                    <w:rPr>
                      <w:rFonts w:hint="default" w:ascii="Times New Roman" w:hAnsi="Times New Roman" w:eastAsia="宋体" w:cs="Times New Roman"/>
                      <w:color w:val="auto"/>
                      <w:sz w:val="21"/>
                      <w:szCs w:val="21"/>
                      <w:lang w:val="en-US" w:eastAsia="zh-CN"/>
                    </w:rPr>
                    <w:t>处理达标后，用于</w:t>
                  </w:r>
                  <w:r>
                    <w:rPr>
                      <w:rFonts w:hint="eastAsia"/>
                      <w:lang w:val="en-US" w:eastAsia="zh-CN"/>
                    </w:rPr>
                    <w:t>洒水绿化</w:t>
                  </w:r>
                  <w:r>
                    <w:rPr>
                      <w:rFonts w:hint="default" w:ascii="Times New Roman" w:hAnsi="Times New Roman" w:eastAsia="宋体" w:cs="Times New Roman"/>
                      <w:color w:val="auto"/>
                      <w:sz w:val="21"/>
                      <w:szCs w:val="21"/>
                      <w:lang w:val="en-US" w:eastAsia="zh-CN"/>
                    </w:rPr>
                    <w:t>，不外排</w:t>
                  </w:r>
                  <w:r>
                    <w:rPr>
                      <w:rFonts w:hint="default" w:ascii="Times New Roman" w:hAnsi="Times New Roman" w:cs="Times New Roman" w:eastAsiaTheme="minorEastAsia"/>
                      <w:color w:val="auto"/>
                      <w:sz w:val="21"/>
                      <w:szCs w:val="21"/>
                      <w:lang w:val="en-US" w:eastAsia="zh-CN"/>
                    </w:rPr>
                    <w:t>；钻井设备冲洗水经沉淀池处理后</w:t>
                  </w:r>
                  <w:r>
                    <w:rPr>
                      <w:rFonts w:hint="eastAsia" w:cs="Times New Roman" w:eastAsiaTheme="minorEastAsia"/>
                      <w:color w:val="auto"/>
                      <w:sz w:val="21"/>
                      <w:szCs w:val="21"/>
                      <w:lang w:val="en-US" w:eastAsia="zh-CN"/>
                    </w:rPr>
                    <w:t>用于洒水降尘，不外排</w:t>
                  </w:r>
                  <w:r>
                    <w:rPr>
                      <w:rFonts w:hint="default" w:ascii="Times New Roman" w:hAnsi="Times New Roman" w:cs="Times New Roman" w:eastAsiaTheme="minorEastAsia"/>
                      <w:color w:val="auto"/>
                      <w:sz w:val="21"/>
                      <w:szCs w:val="21"/>
                      <w:lang w:val="en-US" w:eastAsia="zh-CN"/>
                    </w:rPr>
                    <w:t>；泥浆废水经泥浆沉淀池处理后全部回用于泥浆配制</w:t>
                  </w:r>
                  <w:r>
                    <w:rPr>
                      <w:rFonts w:hint="eastAsia" w:cs="Times New Roman" w:eastAsiaTheme="minorEastAsia"/>
                      <w:color w:val="auto"/>
                      <w:sz w:val="21"/>
                      <w:szCs w:val="21"/>
                      <w:lang w:val="en-US" w:eastAsia="zh-CN"/>
                    </w:rPr>
                    <w:t>；勘查过程中产生的粉尘通过洒水降尘的措施进行处理，全部蒸发逸散，不外排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供电</w:t>
                  </w:r>
                </w:p>
              </w:tc>
              <w:tc>
                <w:tcPr>
                  <w:tcW w:w="3734" w:type="pct"/>
                  <w:gridSpan w:val="4"/>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rPr>
                  </w:pPr>
                  <w:r>
                    <w:rPr>
                      <w:rFonts w:hint="eastAsia" w:cs="Times New Roman" w:eastAsiaTheme="minorEastAsia"/>
                      <w:color w:val="auto"/>
                      <w:sz w:val="21"/>
                      <w:szCs w:val="21"/>
                      <w:lang w:val="en-US" w:eastAsia="zh-CN"/>
                    </w:rPr>
                    <w:t>柴油</w:t>
                  </w:r>
                  <w:r>
                    <w:rPr>
                      <w:rFonts w:hint="default" w:ascii="Times New Roman" w:hAnsi="Times New Roman" w:cs="Times New Roman" w:eastAsiaTheme="minorEastAsia"/>
                      <w:color w:val="auto"/>
                      <w:sz w:val="21"/>
                      <w:szCs w:val="21"/>
                    </w:rPr>
                    <w:t>发电机发电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51" w:type="pct"/>
                  <w:vMerge w:val="restar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环保工程</w:t>
                  </w:r>
                </w:p>
              </w:tc>
              <w:tc>
                <w:tcPr>
                  <w:tcW w:w="814" w:type="pct"/>
                  <w:vMerge w:val="restar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废气治理</w:t>
                  </w: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扬尘</w:t>
                  </w:r>
                </w:p>
              </w:tc>
              <w:tc>
                <w:tcPr>
                  <w:tcW w:w="2896" w:type="pct"/>
                  <w:gridSpan w:val="3"/>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开挖土</w:t>
                  </w:r>
                  <w:r>
                    <w:rPr>
                      <w:rFonts w:hint="default" w:ascii="Times New Roman" w:hAnsi="Times New Roman" w:cs="Times New Roman" w:eastAsiaTheme="minorEastAsia"/>
                      <w:color w:val="auto"/>
                      <w:sz w:val="21"/>
                      <w:szCs w:val="21"/>
                      <w:lang w:val="en-US" w:eastAsia="zh-CN"/>
                    </w:rPr>
                    <w:t>石</w:t>
                  </w:r>
                  <w:r>
                    <w:rPr>
                      <w:rFonts w:hint="default" w:ascii="Times New Roman" w:hAnsi="Times New Roman" w:cs="Times New Roman" w:eastAsiaTheme="minorEastAsia"/>
                      <w:color w:val="auto"/>
                      <w:sz w:val="21"/>
                      <w:szCs w:val="21"/>
                    </w:rPr>
                    <w:t>方使用</w:t>
                  </w:r>
                  <w:r>
                    <w:rPr>
                      <w:rFonts w:hint="eastAsia" w:cs="Times New Roman" w:eastAsiaTheme="minorEastAsia"/>
                      <w:color w:val="auto"/>
                      <w:sz w:val="21"/>
                      <w:szCs w:val="21"/>
                      <w:lang w:val="en-US" w:eastAsia="zh-CN"/>
                    </w:rPr>
                    <w:t>彩布条</w:t>
                  </w:r>
                  <w:r>
                    <w:rPr>
                      <w:rFonts w:hint="default" w:ascii="Times New Roman" w:hAnsi="Times New Roman" w:cs="Times New Roman" w:eastAsiaTheme="minorEastAsia"/>
                      <w:color w:val="auto"/>
                      <w:sz w:val="21"/>
                      <w:szCs w:val="21"/>
                      <w:lang w:val="en-US" w:eastAsia="zh-CN"/>
                    </w:rPr>
                    <w:t>苫盖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rPr>
                  </w:pPr>
                </w:p>
              </w:tc>
              <w:tc>
                <w:tcPr>
                  <w:tcW w:w="814"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燃油废气</w:t>
                  </w:r>
                </w:p>
              </w:tc>
              <w:tc>
                <w:tcPr>
                  <w:tcW w:w="2896" w:type="pct"/>
                  <w:gridSpan w:val="3"/>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对</w:t>
                  </w:r>
                  <w:r>
                    <w:rPr>
                      <w:rFonts w:hint="eastAsia" w:cs="Times New Roman" w:eastAsiaTheme="minorEastAsia"/>
                      <w:color w:val="auto"/>
                      <w:sz w:val="21"/>
                      <w:szCs w:val="21"/>
                      <w:lang w:val="en-US" w:eastAsia="zh-CN"/>
                    </w:rPr>
                    <w:t>柴油</w:t>
                  </w:r>
                  <w:r>
                    <w:rPr>
                      <w:rFonts w:hint="default" w:ascii="Times New Roman" w:hAnsi="Times New Roman" w:cs="Times New Roman" w:eastAsiaTheme="minorEastAsia"/>
                      <w:color w:val="auto"/>
                      <w:sz w:val="21"/>
                      <w:szCs w:val="21"/>
                      <w:lang w:val="en-US" w:eastAsia="zh-CN"/>
                    </w:rPr>
                    <w:t>发电机及运输车辆定期维护保养，使用正品</w:t>
                  </w:r>
                  <w:r>
                    <w:rPr>
                      <w:rFonts w:hint="eastAsia" w:cs="Times New Roman" w:eastAsiaTheme="minorEastAsia"/>
                      <w:color w:val="auto"/>
                      <w:sz w:val="21"/>
                      <w:szCs w:val="21"/>
                      <w:lang w:val="en-US" w:eastAsia="zh-CN"/>
                    </w:rPr>
                    <w:t>柴油</w:t>
                  </w:r>
                  <w:r>
                    <w:rPr>
                      <w:rFonts w:hint="default" w:ascii="Times New Roman" w:hAnsi="Times New Roman" w:cs="Times New Roman" w:eastAsiaTheme="minorEastAsia"/>
                      <w:color w:val="auto"/>
                      <w:sz w:val="21"/>
                      <w:szCs w:val="21"/>
                      <w:lang w:val="en-US" w:eastAsia="zh-CN"/>
                    </w:rPr>
                    <w:t>，减少尾气排放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restar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highlight w:val="none"/>
                      <w:lang w:val="en-US" w:eastAsia="zh-CN"/>
                    </w:rPr>
                    <w:t>废水治理</w:t>
                  </w: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生活污水</w:t>
                  </w:r>
                </w:p>
              </w:tc>
              <w:tc>
                <w:tcPr>
                  <w:tcW w:w="2896" w:type="pct"/>
                  <w:gridSpan w:val="3"/>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eastAsia="zh-CN"/>
                    </w:rPr>
                    <w:t>排入一体化污水处理设施处理达标后，用于</w:t>
                  </w:r>
                  <w:r>
                    <w:rPr>
                      <w:rFonts w:hint="eastAsia" w:cs="Times New Roman" w:eastAsiaTheme="minorEastAsia"/>
                      <w:color w:val="auto"/>
                      <w:sz w:val="21"/>
                      <w:szCs w:val="21"/>
                      <w:lang w:val="en-US" w:eastAsia="zh-CN"/>
                    </w:rPr>
                    <w:t>洒水</w:t>
                  </w:r>
                  <w:r>
                    <w:rPr>
                      <w:rFonts w:hint="default" w:ascii="Times New Roman" w:hAnsi="Times New Roman" w:cs="Times New Roman" w:eastAsiaTheme="minorEastAsia"/>
                      <w:color w:val="auto"/>
                      <w:sz w:val="21"/>
                      <w:szCs w:val="21"/>
                      <w:lang w:val="en-US" w:eastAsia="zh-CN"/>
                    </w:rPr>
                    <w:t>绿化，不外排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val="en-US" w:eastAsia="zh-CN"/>
                    </w:rPr>
                    <w:t>钻井</w:t>
                  </w:r>
                  <w:r>
                    <w:rPr>
                      <w:rFonts w:hint="default" w:ascii="Times New Roman" w:hAnsi="Times New Roman" w:cs="Times New Roman" w:eastAsiaTheme="minorEastAsia"/>
                      <w:color w:val="auto"/>
                      <w:sz w:val="21"/>
                      <w:szCs w:val="21"/>
                      <w:lang w:eastAsia="zh-CN"/>
                    </w:rPr>
                    <w:t>设备冲洗水</w:t>
                  </w:r>
                </w:p>
              </w:tc>
              <w:tc>
                <w:tcPr>
                  <w:tcW w:w="2896" w:type="pct"/>
                  <w:gridSpan w:val="3"/>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rPr>
                  </w:pPr>
                  <w:r>
                    <w:rPr>
                      <w:rFonts w:hint="default" w:ascii="Times New Roman" w:hAnsi="Times New Roman" w:cs="Times New Roman" w:eastAsiaTheme="minorEastAsia"/>
                      <w:color w:val="auto"/>
                      <w:sz w:val="21"/>
                      <w:szCs w:val="21"/>
                      <w:highlight w:val="none"/>
                      <w:lang w:val="en-US" w:eastAsia="zh-CN"/>
                    </w:rPr>
                    <w:t>防渗</w:t>
                  </w:r>
                  <w:r>
                    <w:rPr>
                      <w:rFonts w:hint="default" w:ascii="Times New Roman" w:hAnsi="Times New Roman" w:cs="Times New Roman" w:eastAsiaTheme="minorEastAsia"/>
                      <w:color w:val="auto"/>
                      <w:sz w:val="21"/>
                      <w:szCs w:val="21"/>
                      <w:highlight w:val="none"/>
                      <w:lang w:eastAsia="zh-CN"/>
                    </w:rPr>
                    <w:t>沉淀池（</w:t>
                  </w:r>
                  <w:r>
                    <w:rPr>
                      <w:rFonts w:hint="eastAsia" w:cs="Times New Roman" w:eastAsiaTheme="minorEastAsia"/>
                      <w:color w:val="auto"/>
                      <w:sz w:val="21"/>
                      <w:szCs w:val="21"/>
                      <w:highlight w:val="none"/>
                      <w:lang w:val="en-US" w:eastAsia="zh-CN"/>
                    </w:rPr>
                    <w:t>5m</w:t>
                  </w:r>
                  <w:r>
                    <w:rPr>
                      <w:rFonts w:hint="eastAsia" w:cs="Times New Roman" w:eastAsiaTheme="minorEastAsia"/>
                      <w:color w:val="auto"/>
                      <w:sz w:val="21"/>
                      <w:szCs w:val="21"/>
                      <w:highlight w:val="none"/>
                      <w:vertAlign w:val="superscript"/>
                      <w:lang w:val="en-US" w:eastAsia="zh-CN"/>
                    </w:rPr>
                    <w:t>3</w:t>
                  </w:r>
                  <w:r>
                    <w:rPr>
                      <w:rFonts w:hint="eastAsia" w:cs="Times New Roman" w:eastAsiaTheme="minorEastAsia"/>
                      <w:color w:val="auto"/>
                      <w:sz w:val="21"/>
                      <w:szCs w:val="21"/>
                      <w:highlight w:val="none"/>
                      <w:vertAlign w:val="baseline"/>
                      <w:lang w:val="en-US" w:eastAsia="zh-CN"/>
                    </w:rPr>
                    <w:t>，撬装玻璃钢结构，满足等效粘土防渗层Mb≥1.5m，渗透系数K≤1</w:t>
                  </w:r>
                  <w:r>
                    <w:rPr>
                      <w:rFonts w:hint="default" w:ascii="Arial" w:hAnsi="Arial" w:cs="Arial" w:eastAsiaTheme="minorEastAsia"/>
                      <w:color w:val="auto"/>
                      <w:sz w:val="21"/>
                      <w:szCs w:val="21"/>
                      <w:highlight w:val="none"/>
                      <w:vertAlign w:val="baseline"/>
                      <w:lang w:val="en-US" w:eastAsia="zh-CN"/>
                    </w:rPr>
                    <w:t>×</w:t>
                  </w:r>
                  <w:r>
                    <w:rPr>
                      <w:rFonts w:hint="eastAsia" w:cs="Times New Roman" w:eastAsiaTheme="minorEastAsia"/>
                      <w:color w:val="auto"/>
                      <w:sz w:val="21"/>
                      <w:szCs w:val="21"/>
                      <w:highlight w:val="none"/>
                      <w:vertAlign w:val="baseline"/>
                      <w:lang w:val="en-US" w:eastAsia="zh-CN"/>
                    </w:rPr>
                    <w:t>10</w:t>
                  </w:r>
                  <w:r>
                    <w:rPr>
                      <w:rFonts w:hint="eastAsia" w:cs="Times New Roman" w:eastAsiaTheme="minorEastAsia"/>
                      <w:color w:val="auto"/>
                      <w:sz w:val="21"/>
                      <w:szCs w:val="21"/>
                      <w:highlight w:val="none"/>
                      <w:vertAlign w:val="superscript"/>
                      <w:lang w:val="en-US" w:eastAsia="zh-CN"/>
                    </w:rPr>
                    <w:t>-7</w:t>
                  </w:r>
                  <w:r>
                    <w:rPr>
                      <w:rFonts w:hint="eastAsia" w:cs="Times New Roman" w:eastAsiaTheme="minorEastAsia"/>
                      <w:color w:val="auto"/>
                      <w:sz w:val="21"/>
                      <w:szCs w:val="21"/>
                      <w:highlight w:val="none"/>
                      <w:vertAlign w:val="baseline"/>
                      <w:lang w:val="en-US" w:eastAsia="zh-CN"/>
                    </w:rPr>
                    <w:t>cm/s</w:t>
                  </w:r>
                  <w:r>
                    <w:rPr>
                      <w:rFonts w:hint="default" w:ascii="Times New Roman" w:hAnsi="Times New Roman" w:cs="Times New Roman" w:eastAsiaTheme="minorEastAsia"/>
                      <w:color w:val="auto"/>
                      <w:sz w:val="21"/>
                      <w:szCs w:val="21"/>
                      <w:highlight w:val="none"/>
                      <w:lang w:eastAsia="zh-CN"/>
                    </w:rPr>
                    <w:t>）收集</w:t>
                  </w:r>
                  <w:r>
                    <w:rPr>
                      <w:rFonts w:hint="default" w:ascii="Times New Roman" w:hAnsi="Times New Roman" w:cs="Times New Roman" w:eastAsiaTheme="minorEastAsia"/>
                      <w:color w:val="auto"/>
                      <w:sz w:val="21"/>
                      <w:szCs w:val="21"/>
                      <w:highlight w:val="none"/>
                      <w:lang w:val="en-US" w:eastAsia="zh-CN"/>
                    </w:rPr>
                    <w:t>后</w:t>
                  </w:r>
                  <w:r>
                    <w:rPr>
                      <w:rFonts w:hint="eastAsia" w:cs="Times New Roman" w:eastAsiaTheme="minorEastAsia"/>
                      <w:color w:val="auto"/>
                      <w:sz w:val="21"/>
                      <w:szCs w:val="21"/>
                      <w:highlight w:val="none"/>
                      <w:lang w:val="en-US" w:eastAsia="zh-CN"/>
                    </w:rPr>
                    <w:t>用于洒水降尘</w:t>
                  </w:r>
                  <w:r>
                    <w:rPr>
                      <w:rFonts w:hint="default" w:ascii="Times New Roman" w:hAnsi="Times New Roman" w:cs="Times New Roman" w:eastAsiaTheme="minorEastAsia"/>
                      <w:color w:val="auto"/>
                      <w:sz w:val="21"/>
                      <w:szCs w:val="21"/>
                      <w:highlight w:val="none"/>
                      <w:lang w:val="en-US" w:eastAsia="zh-CN"/>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泥浆废水</w:t>
                  </w:r>
                </w:p>
              </w:tc>
              <w:tc>
                <w:tcPr>
                  <w:tcW w:w="2896" w:type="pct"/>
                  <w:gridSpan w:val="3"/>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排入移动式泥浆沉淀池（</w:t>
                  </w:r>
                  <w:r>
                    <w:rPr>
                      <w:rFonts w:hint="eastAsia" w:cs="Times New Roman" w:eastAsiaTheme="minorEastAsia"/>
                      <w:color w:val="auto"/>
                      <w:sz w:val="21"/>
                      <w:szCs w:val="21"/>
                      <w:highlight w:val="none"/>
                      <w:lang w:val="en-US" w:eastAsia="zh-CN"/>
                    </w:rPr>
                    <w:t>3</w:t>
                  </w:r>
                  <w:r>
                    <w:rPr>
                      <w:rFonts w:hint="default" w:ascii="Times New Roman" w:hAnsi="Times New Roman" w:cs="Times New Roman" w:eastAsiaTheme="minorEastAsia"/>
                      <w:color w:val="auto"/>
                      <w:sz w:val="21"/>
                      <w:szCs w:val="21"/>
                      <w:highlight w:val="none"/>
                      <w:lang w:val="en-US" w:eastAsia="zh-CN"/>
                    </w:rPr>
                    <w:t>m</w:t>
                  </w:r>
                  <w:r>
                    <w:rPr>
                      <w:rFonts w:hint="default" w:ascii="Times New Roman" w:hAnsi="Times New Roman" w:cs="Times New Roman" w:eastAsiaTheme="minorEastAsia"/>
                      <w:color w:val="auto"/>
                      <w:sz w:val="21"/>
                      <w:szCs w:val="21"/>
                      <w:highlight w:val="none"/>
                      <w:vertAlign w:val="superscript"/>
                      <w:lang w:val="en-US" w:eastAsia="zh-CN"/>
                    </w:rPr>
                    <w:t>3</w:t>
                  </w:r>
                  <w:r>
                    <w:rPr>
                      <w:rFonts w:hint="default" w:ascii="Times New Roman" w:hAnsi="Times New Roman" w:cs="Times New Roman" w:eastAsiaTheme="minorEastAsia"/>
                      <w:color w:val="auto"/>
                      <w:sz w:val="21"/>
                      <w:szCs w:val="21"/>
                      <w:highlight w:val="none"/>
                      <w:lang w:val="en-US" w:eastAsia="zh-CN"/>
                    </w:rPr>
                    <w:t>）</w:t>
                  </w:r>
                  <w:r>
                    <w:rPr>
                      <w:rFonts w:hint="eastAsia" w:ascii="Times New Roman" w:hAnsi="Times New Roman" w:cs="Times New Roman"/>
                      <w:lang w:val="en-US" w:eastAsia="zh-CN"/>
                    </w:rPr>
                    <w:t>处理后全部回用于泥浆配制，循环使用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restar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固废治理</w:t>
                  </w: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eastAsia="zh-CN"/>
                    </w:rPr>
                    <w:t>生活垃圾</w:t>
                  </w:r>
                </w:p>
              </w:tc>
              <w:tc>
                <w:tcPr>
                  <w:tcW w:w="2896" w:type="pct"/>
                  <w:gridSpan w:val="3"/>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集中收集后送至</w:t>
                  </w:r>
                  <w:r>
                    <w:rPr>
                      <w:rFonts w:hint="eastAsia" w:cs="Times New Roman" w:eastAsiaTheme="minorEastAsia"/>
                      <w:color w:val="auto"/>
                      <w:sz w:val="21"/>
                      <w:szCs w:val="21"/>
                      <w:lang w:val="en-US" w:eastAsia="zh-CN"/>
                    </w:rPr>
                    <w:t>和硕县环境卫生服务中心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eastAsia="zh-CN"/>
                    </w:rPr>
                    <w:t>开挖土石</w:t>
                  </w:r>
                  <w:r>
                    <w:rPr>
                      <w:rFonts w:hint="default" w:ascii="Times New Roman" w:hAnsi="Times New Roman" w:cs="Times New Roman" w:eastAsiaTheme="minorEastAsia"/>
                      <w:color w:val="auto"/>
                      <w:sz w:val="21"/>
                      <w:szCs w:val="21"/>
                      <w:lang w:val="en-US" w:eastAsia="zh-CN"/>
                    </w:rPr>
                    <w:t>方</w:t>
                  </w:r>
                </w:p>
              </w:tc>
              <w:tc>
                <w:tcPr>
                  <w:tcW w:w="2896" w:type="pct"/>
                  <w:gridSpan w:val="3"/>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回填</w:t>
                  </w:r>
                  <w:r>
                    <w:rPr>
                      <w:rFonts w:hint="eastAsia" w:cs="Times New Roman" w:eastAsiaTheme="minorEastAsia"/>
                      <w:color w:val="auto"/>
                      <w:sz w:val="21"/>
                      <w:szCs w:val="21"/>
                      <w:lang w:val="en-US" w:eastAsia="zh-CN"/>
                    </w:rPr>
                    <w:t>或用于周边场地平整</w:t>
                  </w:r>
                  <w:r>
                    <w:rPr>
                      <w:rFonts w:hint="default" w:ascii="Times New Roman" w:hAnsi="Times New Roman" w:cs="Times New Roman" w:eastAsiaTheme="minorEastAsia"/>
                      <w:color w:val="auto"/>
                      <w:sz w:val="21"/>
                      <w:szCs w:val="21"/>
                      <w:lang w:eastAsia="zh-CN"/>
                    </w:rPr>
                    <w:t>，</w:t>
                  </w:r>
                  <w:r>
                    <w:rPr>
                      <w:rFonts w:hint="default" w:ascii="Times New Roman" w:hAnsi="Times New Roman" w:cs="Times New Roman" w:eastAsiaTheme="minorEastAsia"/>
                      <w:color w:val="auto"/>
                      <w:sz w:val="21"/>
                      <w:szCs w:val="21"/>
                      <w:lang w:val="en-US" w:eastAsia="zh-CN"/>
                    </w:rPr>
                    <w:t>无弃方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eastAsia="zh-CN"/>
                    </w:rPr>
                    <w:t>钻井泥浆</w:t>
                  </w:r>
                </w:p>
              </w:tc>
              <w:tc>
                <w:tcPr>
                  <w:tcW w:w="2896" w:type="pct"/>
                  <w:gridSpan w:val="3"/>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eastAsia="zh-CN"/>
                    </w:rPr>
                    <w:t>固化后</w:t>
                  </w:r>
                  <w:r>
                    <w:rPr>
                      <w:rFonts w:hint="eastAsia" w:cs="Times New Roman" w:eastAsiaTheme="minorEastAsia"/>
                      <w:color w:val="auto"/>
                      <w:sz w:val="21"/>
                      <w:szCs w:val="21"/>
                      <w:lang w:val="en-US" w:eastAsia="zh-CN"/>
                    </w:rPr>
                    <w:t>拉运至一般固废处置单位统一处理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钻井</w:t>
                  </w:r>
                  <w:r>
                    <w:rPr>
                      <w:rFonts w:hint="eastAsia" w:cs="Times New Roman" w:eastAsiaTheme="minorEastAsia"/>
                      <w:color w:val="auto"/>
                      <w:sz w:val="21"/>
                      <w:szCs w:val="21"/>
                      <w:lang w:val="en-US" w:eastAsia="zh-CN"/>
                    </w:rPr>
                    <w:t>岩屑</w:t>
                  </w:r>
                </w:p>
              </w:tc>
              <w:tc>
                <w:tcPr>
                  <w:tcW w:w="2896" w:type="pct"/>
                  <w:gridSpan w:val="3"/>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岩屑回填</w:t>
                  </w:r>
                  <w:r>
                    <w:rPr>
                      <w:rFonts w:hint="eastAsia" w:cs="Times New Roman" w:eastAsiaTheme="minorEastAsia"/>
                      <w:color w:val="auto"/>
                      <w:sz w:val="21"/>
                      <w:szCs w:val="21"/>
                      <w:lang w:val="en-US" w:eastAsia="zh-CN"/>
                    </w:rPr>
                    <w:t>钻孔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b/>
                      <w:bCs/>
                      <w:color w:val="auto"/>
                      <w:sz w:val="21"/>
                      <w:szCs w:val="21"/>
                      <w:lang w:val="en-US" w:eastAsia="zh-CN"/>
                    </w:rPr>
                  </w:pPr>
                  <w:r>
                    <w:rPr>
                      <w:rFonts w:hint="default" w:ascii="Times New Roman" w:hAnsi="Times New Roman" w:eastAsia="宋体" w:cs="Times New Roman"/>
                      <w:color w:val="auto"/>
                      <w:sz w:val="21"/>
                      <w:szCs w:val="21"/>
                      <w:lang w:val="en-US" w:eastAsia="zh-CN"/>
                    </w:rPr>
                    <w:t>沉淀池沉渣</w:t>
                  </w:r>
                </w:p>
              </w:tc>
              <w:tc>
                <w:tcPr>
                  <w:tcW w:w="2896" w:type="pct"/>
                  <w:gridSpan w:val="3"/>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b/>
                      <w:bCs/>
                      <w:color w:val="auto"/>
                      <w:sz w:val="21"/>
                      <w:szCs w:val="21"/>
                      <w:lang w:val="en-US" w:eastAsia="zh-CN"/>
                    </w:rPr>
                  </w:pPr>
                  <w:r>
                    <w:rPr>
                      <w:rFonts w:hint="eastAsia" w:cs="Times New Roman"/>
                      <w:color w:val="auto"/>
                      <w:sz w:val="21"/>
                      <w:szCs w:val="21"/>
                      <w:lang w:val="en-US" w:eastAsia="zh-CN"/>
                    </w:rPr>
                    <w:t>固化后</w:t>
                  </w:r>
                  <w:r>
                    <w:rPr>
                      <w:rFonts w:hint="default" w:ascii="Times New Roman" w:hAnsi="Times New Roman" w:eastAsia="宋体" w:cs="Times New Roman"/>
                      <w:color w:val="auto"/>
                      <w:sz w:val="21"/>
                      <w:szCs w:val="21"/>
                      <w:lang w:val="en-US" w:eastAsia="zh-CN"/>
                    </w:rPr>
                    <w:t>填埋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1" w:type="pct"/>
                  <w:vMerge w:val="continue"/>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p>
              </w:tc>
              <w:tc>
                <w:tcPr>
                  <w:tcW w:w="814"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highlight w:val="none"/>
                      <w:lang w:val="en-US" w:eastAsia="zh-CN"/>
                    </w:rPr>
                    <w:t>噪声治理</w:t>
                  </w: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highlight w:val="none"/>
                      <w:lang w:val="en-US" w:eastAsia="zh-CN"/>
                    </w:rPr>
                    <w:t>施工、钻井设备噪声</w:t>
                  </w:r>
                </w:p>
              </w:tc>
              <w:tc>
                <w:tcPr>
                  <w:tcW w:w="2896" w:type="pct"/>
                  <w:gridSpan w:val="3"/>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highlight w:val="none"/>
                      <w:lang w:val="en-US" w:eastAsia="zh-CN"/>
                    </w:rPr>
                    <w:t>对连续接触高噪声源的操作人员，佩戴个人防护装备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5" w:type="pct"/>
                  <w:gridSpan w:val="2"/>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highlight w:val="none"/>
                      <w:lang w:val="en-US" w:eastAsia="zh-CN"/>
                    </w:rPr>
                    <w:t>生态保护与恢复工程</w:t>
                  </w:r>
                </w:p>
              </w:tc>
              <w:tc>
                <w:tcPr>
                  <w:tcW w:w="3734" w:type="pct"/>
                  <w:gridSpan w:val="4"/>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highlight w:val="none"/>
                      <w:lang w:val="en-US" w:eastAsia="zh-CN"/>
                    </w:rPr>
                    <w:t>勘探工作完成后，拆除临时设施，及时回填并恢复原有地貌，后期采取自然恢复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265" w:type="pct"/>
                  <w:gridSpan w:val="2"/>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highlight w:val="none"/>
                      <w:lang w:val="en-US" w:eastAsia="zh-CN"/>
                    </w:rPr>
                    <w:t>环境风险防范工程</w:t>
                  </w:r>
                </w:p>
              </w:tc>
              <w:tc>
                <w:tcPr>
                  <w:tcW w:w="3734" w:type="pct"/>
                  <w:gridSpan w:val="4"/>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highlight w:val="none"/>
                      <w:lang w:val="en-US" w:eastAsia="zh-CN"/>
                    </w:rPr>
                    <w:t>制定环境风险管理制度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5000" w:type="pct"/>
                  <w:gridSpan w:val="6"/>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cs="Times New Roman"/>
                      <w:color w:val="auto"/>
                      <w:sz w:val="20"/>
                      <w:szCs w:val="20"/>
                      <w:highlight w:val="none"/>
                      <w:lang w:val="en-US" w:eastAsia="zh-CN"/>
                    </w:rPr>
                    <w:t>备注：本项目勘探作业车辆均于进矿前完成维修保养，勘探实施阶段无废润滑油产生，故不单独再设置危险废物贮存点</w:t>
                  </w:r>
                </w:p>
              </w:tc>
            </w:tr>
          </w:tbl>
          <w:p>
            <w:pPr>
              <w:pStyle w:val="50"/>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3.</w:t>
            </w:r>
            <w:r>
              <w:rPr>
                <w:rFonts w:hint="default"/>
                <w:color w:val="auto"/>
                <w:lang w:val="en-US" w:eastAsia="zh-CN"/>
              </w:rPr>
              <w:t>主要勘探设备及原、辅材料</w:t>
            </w:r>
          </w:p>
          <w:p>
            <w:pPr>
              <w:pStyle w:val="48"/>
              <w:keepNext w:val="0"/>
              <w:keepLines w:val="0"/>
              <w:suppressLineNumbers w:val="0"/>
              <w:bidi w:val="0"/>
              <w:spacing w:before="0" w:beforeAutospacing="0" w:after="0" w:afterAutospacing="0"/>
              <w:ind w:left="0" w:right="0"/>
              <w:rPr>
                <w:rFonts w:hint="default"/>
                <w:color w:val="auto"/>
              </w:rPr>
            </w:pPr>
            <w:r>
              <w:rPr>
                <w:rFonts w:hint="default"/>
                <w:color w:val="auto"/>
              </w:rPr>
              <w:t>本项目所需主要勘探设备见</w:t>
            </w:r>
            <w:r>
              <w:rPr>
                <w:rFonts w:hint="eastAsia"/>
                <w:color w:val="auto"/>
                <w:lang w:val="en-US" w:eastAsia="zh-CN"/>
              </w:rPr>
              <w:t>表</w:t>
            </w:r>
            <w:r>
              <w:rPr>
                <w:rFonts w:hint="default"/>
                <w:color w:val="auto"/>
                <w:lang w:val="en-US" w:eastAsia="zh-CN"/>
              </w:rPr>
              <w:t>2-</w:t>
            </w:r>
            <w:r>
              <w:rPr>
                <w:rFonts w:hint="eastAsia"/>
                <w:color w:val="auto"/>
                <w:lang w:val="en-US" w:eastAsia="zh-CN"/>
              </w:rPr>
              <w:t>3</w:t>
            </w:r>
            <w:r>
              <w:rPr>
                <w:rFonts w:hint="default"/>
                <w:color w:val="auto"/>
              </w:rPr>
              <w:t>，原辅材料消耗见</w:t>
            </w:r>
            <w:r>
              <w:rPr>
                <w:rFonts w:hint="eastAsia"/>
                <w:color w:val="auto"/>
                <w:lang w:val="en-US" w:eastAsia="zh-CN"/>
              </w:rPr>
              <w:t>表</w:t>
            </w:r>
            <w:r>
              <w:rPr>
                <w:rFonts w:hint="default"/>
                <w:color w:val="auto"/>
                <w:lang w:val="en-US" w:eastAsia="zh-CN"/>
              </w:rPr>
              <w:t>2-</w:t>
            </w:r>
            <w:r>
              <w:rPr>
                <w:rFonts w:hint="eastAsia"/>
                <w:color w:val="auto"/>
                <w:lang w:val="en-US" w:eastAsia="zh-CN"/>
              </w:rPr>
              <w:t>4</w:t>
            </w:r>
            <w:r>
              <w:rPr>
                <w:rFonts w:hint="default"/>
                <w:color w:val="auto"/>
              </w:rPr>
              <w:t>。</w:t>
            </w:r>
          </w:p>
          <w:p>
            <w:pPr>
              <w:pStyle w:val="52"/>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表2-</w:t>
            </w:r>
            <w:r>
              <w:rPr>
                <w:rFonts w:hint="eastAsia"/>
                <w:lang w:val="en-US" w:eastAsia="zh-CN"/>
              </w:rPr>
              <w:t xml:space="preserve">3    </w:t>
            </w:r>
            <w:r>
              <w:rPr>
                <w:rFonts w:hint="default"/>
                <w:lang w:val="en-US" w:eastAsia="zh-CN"/>
              </w:rPr>
              <w:t>工程主要设备一览表</w:t>
            </w:r>
          </w:p>
          <w:tbl>
            <w:tblPr>
              <w:tblStyle w:val="25"/>
              <w:tblW w:w="499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35"/>
              <w:gridCol w:w="2654"/>
              <w:gridCol w:w="1997"/>
              <w:gridCol w:w="169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序号</w:t>
                  </w: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装备名称</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数量</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5" w:hRule="exact"/>
                <w:jc w:val="center"/>
              </w:trPr>
              <w:tc>
                <w:tcPr>
                  <w:tcW w:w="814"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numPr>
                      <w:ilvl w:val="0"/>
                      <w:numId w:val="1"/>
                    </w:numPr>
                    <w:suppressLineNumbers w:val="0"/>
                    <w:bidi w:val="0"/>
                    <w:spacing w:before="0" w:beforeAutospacing="0" w:after="0" w:afterAutospacing="0"/>
                    <w:ind w:left="0" w:leftChars="0" w:right="0" w:firstLine="0" w:firstLineChars="0"/>
                    <w:rPr>
                      <w:rFonts w:hint="default" w:ascii="Times New Roman" w:hAnsi="Times New Roman" w:cs="Times New Roman" w:eastAsiaTheme="minorEastAsia"/>
                      <w:color w:val="auto"/>
                      <w:sz w:val="21"/>
                      <w:szCs w:val="21"/>
                      <w:highlight w:val="none"/>
                      <w:lang w:val="en-US" w:eastAsia="zh-CN"/>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RTK测绘仪器</w:t>
                  </w:r>
                </w:p>
              </w:tc>
              <w:tc>
                <w:tcPr>
                  <w:tcW w:w="1316" w:type="pct"/>
                  <w:tcBorders>
                    <w:top w:val="single" w:color="auto" w:sz="4" w:space="0"/>
                    <w:left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1套</w:t>
                  </w:r>
                </w:p>
              </w:tc>
              <w:tc>
                <w:tcPr>
                  <w:tcW w:w="1118" w:type="pct"/>
                  <w:tcBorders>
                    <w:top w:val="single" w:color="auto" w:sz="4" w:space="0"/>
                    <w:left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地形测量、工程定测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numPr>
                      <w:ilvl w:val="0"/>
                      <w:numId w:val="1"/>
                    </w:numPr>
                    <w:suppressLineNumbers w:val="0"/>
                    <w:bidi w:val="0"/>
                    <w:spacing w:before="0" w:beforeAutospacing="0" w:after="0" w:afterAutospacing="0"/>
                    <w:ind w:left="0" w:leftChars="0" w:right="0" w:firstLine="0" w:firstLineChars="0"/>
                    <w:rPr>
                      <w:rFonts w:hint="default" w:ascii="Times New Roman" w:hAnsi="Times New Roman" w:cs="Times New Roman" w:eastAsiaTheme="minorEastAsia"/>
                      <w:color w:val="auto"/>
                      <w:sz w:val="21"/>
                      <w:szCs w:val="21"/>
                      <w:highlight w:val="none"/>
                      <w:lang w:val="en-US" w:eastAsia="zh-CN"/>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无人机</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1台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地形测量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numPr>
                      <w:ilvl w:val="0"/>
                      <w:numId w:val="1"/>
                    </w:numPr>
                    <w:suppressLineNumbers w:val="0"/>
                    <w:bidi w:val="0"/>
                    <w:spacing w:before="0" w:beforeAutospacing="0" w:after="0" w:afterAutospacing="0"/>
                    <w:ind w:left="0" w:leftChars="0" w:right="0" w:firstLine="0" w:firstLineChars="0"/>
                    <w:rPr>
                      <w:rFonts w:hint="default" w:ascii="Times New Roman" w:hAnsi="Times New Roman" w:cs="Times New Roman" w:eastAsiaTheme="minorEastAsia"/>
                      <w:color w:val="auto"/>
                      <w:sz w:val="21"/>
                      <w:szCs w:val="21"/>
                      <w:highlight w:val="none"/>
                      <w:lang w:val="en-US" w:eastAsia="zh-CN"/>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手持GPS</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6</w:t>
                  </w:r>
                  <w:r>
                    <w:rPr>
                      <w:rFonts w:hint="eastAsia" w:ascii="Times New Roman" w:hAnsi="Times New Roman" w:cs="Times New Roman" w:eastAsiaTheme="minorEastAsia"/>
                      <w:color w:val="auto"/>
                      <w:sz w:val="21"/>
                      <w:szCs w:val="21"/>
                      <w:highlight w:val="none"/>
                      <w:lang w:val="en-US" w:eastAsia="zh-CN"/>
                    </w:rPr>
                    <w:t>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野外数据采集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numPr>
                      <w:ilvl w:val="0"/>
                      <w:numId w:val="1"/>
                    </w:numPr>
                    <w:suppressLineNumbers w:val="0"/>
                    <w:bidi w:val="0"/>
                    <w:spacing w:before="0" w:beforeAutospacing="0" w:after="0" w:afterAutospacing="0"/>
                    <w:ind w:left="0" w:leftChars="0" w:right="0" w:firstLine="0" w:firstLineChars="0"/>
                    <w:rPr>
                      <w:rFonts w:hint="default" w:ascii="Times New Roman" w:hAnsi="Times New Roman" w:cs="Times New Roman" w:eastAsiaTheme="minorEastAsia"/>
                      <w:color w:val="auto"/>
                      <w:sz w:val="21"/>
                      <w:szCs w:val="21"/>
                      <w:highlight w:val="none"/>
                      <w:lang w:val="en-US" w:eastAsia="zh-CN"/>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数码相机</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6</w:t>
                  </w:r>
                  <w:r>
                    <w:rPr>
                      <w:rFonts w:hint="eastAsia" w:ascii="Times New Roman" w:hAnsi="Times New Roman" w:cs="Times New Roman" w:eastAsiaTheme="minorEastAsia"/>
                      <w:color w:val="auto"/>
                      <w:sz w:val="21"/>
                      <w:szCs w:val="21"/>
                      <w:highlight w:val="none"/>
                      <w:lang w:val="en-US" w:eastAsia="zh-CN"/>
                    </w:rPr>
                    <w:t>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野外影像采集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numPr>
                      <w:ilvl w:val="0"/>
                      <w:numId w:val="1"/>
                    </w:numPr>
                    <w:suppressLineNumbers w:val="0"/>
                    <w:bidi w:val="0"/>
                    <w:spacing w:before="0" w:beforeAutospacing="0" w:after="0" w:afterAutospacing="0"/>
                    <w:ind w:left="0" w:leftChars="0" w:right="0" w:firstLine="0" w:firstLineChars="0"/>
                    <w:rPr>
                      <w:rFonts w:hint="default" w:ascii="Times New Roman" w:hAnsi="Times New Roman" w:cs="Times New Roman" w:eastAsiaTheme="minorEastAsia"/>
                      <w:color w:val="auto"/>
                      <w:sz w:val="21"/>
                      <w:szCs w:val="21"/>
                      <w:highlight w:val="none"/>
                      <w:lang w:val="en-US" w:eastAsia="zh-CN"/>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笔记本电脑</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6</w:t>
                  </w:r>
                  <w:r>
                    <w:rPr>
                      <w:rFonts w:hint="eastAsia" w:ascii="Times New Roman" w:hAnsi="Times New Roman" w:cs="Times New Roman" w:eastAsiaTheme="minorEastAsia"/>
                      <w:color w:val="auto"/>
                      <w:sz w:val="21"/>
                      <w:szCs w:val="21"/>
                      <w:highlight w:val="none"/>
                      <w:lang w:val="en-US" w:eastAsia="zh-CN"/>
                    </w:rPr>
                    <w:t>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野外数据汇集及整理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numPr>
                      <w:ilvl w:val="0"/>
                      <w:numId w:val="1"/>
                    </w:numPr>
                    <w:suppressLineNumbers w:val="0"/>
                    <w:bidi w:val="0"/>
                    <w:spacing w:before="0" w:beforeAutospacing="0" w:after="0" w:afterAutospacing="0"/>
                    <w:ind w:left="0" w:leftChars="0" w:right="0" w:firstLine="0" w:firstLineChars="0"/>
                    <w:rPr>
                      <w:rFonts w:hint="default" w:ascii="Times New Roman" w:hAnsi="Times New Roman" w:cs="Times New Roman" w:eastAsiaTheme="minorEastAsia"/>
                      <w:color w:val="auto"/>
                      <w:sz w:val="21"/>
                      <w:szCs w:val="21"/>
                      <w:highlight w:val="none"/>
                      <w:lang w:val="en-US" w:eastAsia="zh-CN"/>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多功能一体机(打印、复印)</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1台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图件输入、文件输出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numPr>
                      <w:ilvl w:val="0"/>
                      <w:numId w:val="1"/>
                    </w:numPr>
                    <w:suppressLineNumbers w:val="0"/>
                    <w:bidi w:val="0"/>
                    <w:spacing w:before="0" w:beforeAutospacing="0" w:after="0" w:afterAutospacing="0"/>
                    <w:ind w:left="0" w:leftChars="0" w:right="0" w:firstLine="0" w:firstLineChars="0"/>
                    <w:rPr>
                      <w:rFonts w:hint="default" w:ascii="Times New Roman" w:hAnsi="Times New Roman" w:cs="Times New Roman" w:eastAsiaTheme="minorEastAsia"/>
                      <w:color w:val="auto"/>
                      <w:sz w:val="21"/>
                      <w:szCs w:val="21"/>
                      <w:highlight w:val="none"/>
                      <w:lang w:val="en-US" w:eastAsia="zh-CN"/>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对讲机</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6</w:t>
                  </w:r>
                  <w:r>
                    <w:rPr>
                      <w:rFonts w:hint="eastAsia" w:ascii="Times New Roman" w:hAnsi="Times New Roman" w:cs="Times New Roman" w:eastAsiaTheme="minorEastAsia"/>
                      <w:color w:val="auto"/>
                      <w:sz w:val="21"/>
                      <w:szCs w:val="21"/>
                      <w:highlight w:val="none"/>
                      <w:lang w:val="en-US" w:eastAsia="zh-CN"/>
                    </w:rPr>
                    <w:t>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野外联络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8" w:hRule="exact"/>
                <w:jc w:val="center"/>
              </w:trPr>
              <w:tc>
                <w:tcPr>
                  <w:tcW w:w="814"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numPr>
                      <w:ilvl w:val="0"/>
                      <w:numId w:val="1"/>
                    </w:numPr>
                    <w:suppressLineNumbers w:val="0"/>
                    <w:bidi w:val="0"/>
                    <w:spacing w:before="0" w:beforeAutospacing="0" w:after="0" w:afterAutospacing="0"/>
                    <w:ind w:left="0" w:leftChars="0" w:right="0" w:firstLine="0" w:firstLineChars="0"/>
                    <w:rPr>
                      <w:rFonts w:hint="default" w:ascii="Times New Roman" w:hAnsi="Times New Roman" w:cs="Times New Roman" w:eastAsiaTheme="minorEastAsia"/>
                      <w:color w:val="auto"/>
                      <w:sz w:val="21"/>
                      <w:szCs w:val="21"/>
                      <w:highlight w:val="none"/>
                      <w:lang w:val="en-US" w:eastAsia="zh-CN"/>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地质锤、地质罗盘、放大镜</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6</w:t>
                  </w:r>
                  <w:r>
                    <w:rPr>
                      <w:rFonts w:hint="eastAsia" w:ascii="Times New Roman" w:hAnsi="Times New Roman" w:cs="Times New Roman" w:eastAsiaTheme="minorEastAsia"/>
                      <w:color w:val="auto"/>
                      <w:sz w:val="21"/>
                      <w:szCs w:val="21"/>
                      <w:highlight w:val="none"/>
                      <w:lang w:val="en-US" w:eastAsia="zh-CN"/>
                    </w:rPr>
                    <w:t>套</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地质、矿产工作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numPr>
                      <w:ilvl w:val="0"/>
                      <w:numId w:val="1"/>
                    </w:numPr>
                    <w:suppressLineNumbers w:val="0"/>
                    <w:bidi w:val="0"/>
                    <w:spacing w:before="0" w:beforeAutospacing="0" w:after="0" w:afterAutospacing="0"/>
                    <w:ind w:left="0" w:leftChars="0" w:right="0" w:firstLine="0" w:firstLineChars="0"/>
                    <w:rPr>
                      <w:rFonts w:hint="default" w:ascii="Times New Roman" w:hAnsi="Times New Roman" w:cs="Times New Roman" w:eastAsiaTheme="minorEastAsia"/>
                      <w:color w:val="auto"/>
                      <w:sz w:val="21"/>
                      <w:szCs w:val="21"/>
                      <w:highlight w:val="none"/>
                      <w:lang w:val="en-US" w:eastAsia="zh-CN"/>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单面弹簧度盘秤</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1台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样品称重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numPr>
                      <w:ilvl w:val="0"/>
                      <w:numId w:val="1"/>
                    </w:numPr>
                    <w:suppressLineNumbers w:val="0"/>
                    <w:bidi w:val="0"/>
                    <w:spacing w:before="0" w:beforeAutospacing="0" w:after="0" w:afterAutospacing="0"/>
                    <w:ind w:left="0" w:leftChars="0" w:right="0" w:firstLine="0" w:firstLineChars="0"/>
                    <w:rPr>
                      <w:rFonts w:hint="default" w:ascii="Times New Roman" w:hAnsi="Times New Roman" w:cs="Times New Roman" w:eastAsiaTheme="minorEastAsia"/>
                      <w:color w:val="auto"/>
                      <w:sz w:val="21"/>
                      <w:szCs w:val="21"/>
                      <w:highlight w:val="none"/>
                      <w:lang w:val="en-US" w:eastAsia="zh-CN"/>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手持式XRF分析仪</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1台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野外快速分析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numPr>
                      <w:ilvl w:val="0"/>
                      <w:numId w:val="1"/>
                    </w:numPr>
                    <w:suppressLineNumbers w:val="0"/>
                    <w:bidi w:val="0"/>
                    <w:spacing w:before="0" w:beforeAutospacing="0" w:after="0" w:afterAutospacing="0"/>
                    <w:ind w:left="0" w:leftChars="0" w:right="0" w:firstLine="0" w:firstLineChars="0"/>
                    <w:rPr>
                      <w:rFonts w:hint="default" w:ascii="Times New Roman" w:hAnsi="Times New Roman" w:cs="Times New Roman" w:eastAsiaTheme="minorEastAsia"/>
                      <w:color w:val="auto"/>
                      <w:sz w:val="21"/>
                      <w:szCs w:val="21"/>
                      <w:highlight w:val="none"/>
                      <w:lang w:val="en-US" w:eastAsia="zh-CN"/>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挖掘机</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1台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探槽施工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numPr>
                      <w:ilvl w:val="0"/>
                      <w:numId w:val="1"/>
                    </w:numPr>
                    <w:suppressLineNumbers w:val="0"/>
                    <w:bidi w:val="0"/>
                    <w:spacing w:before="0" w:beforeAutospacing="0" w:after="0" w:afterAutospacing="0"/>
                    <w:ind w:left="0" w:leftChars="0" w:right="0" w:firstLine="0" w:firstLineChars="0"/>
                    <w:rPr>
                      <w:rFonts w:hint="default" w:ascii="Times New Roman" w:hAnsi="Times New Roman" w:cs="Times New Roman" w:eastAsiaTheme="minorEastAsia"/>
                      <w:color w:val="auto"/>
                      <w:sz w:val="21"/>
                      <w:szCs w:val="21"/>
                      <w:highlight w:val="none"/>
                      <w:lang w:val="en-US" w:eastAsia="zh-CN"/>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LF90全液压钻机</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3台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钻探施工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numPr>
                      <w:ilvl w:val="0"/>
                      <w:numId w:val="1"/>
                    </w:numPr>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highlight w:val="none"/>
                      <w:lang w:val="en-US" w:eastAsia="zh-CN" w:bidi="ar-SA"/>
                    </w:rPr>
                  </w:pPr>
                </w:p>
              </w:tc>
              <w:tc>
                <w:tcPr>
                  <w:tcW w:w="174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eastAsia" w:ascii="Times New Roman" w:hAnsi="Times New Roman" w:eastAsia="宋体" w:cs="Times New Roman"/>
                      <w:kern w:val="2"/>
                      <w:sz w:val="21"/>
                      <w:szCs w:val="21"/>
                      <w:lang w:val="en-US" w:eastAsia="zh-CN" w:bidi="ar-SA"/>
                    </w:rPr>
                  </w:pPr>
                  <w:r>
                    <w:rPr>
                      <w:rFonts w:hint="eastAsia"/>
                      <w:lang w:val="en-US" w:eastAsia="zh-CN"/>
                    </w:rPr>
                    <w:t>岩芯切割机</w:t>
                  </w:r>
                </w:p>
              </w:tc>
              <w:tc>
                <w:tcPr>
                  <w:tcW w:w="131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eastAsiaTheme="minorEastAsia"/>
                      <w:color w:val="auto"/>
                      <w:sz w:val="21"/>
                      <w:szCs w:val="21"/>
                      <w:highlight w:val="none"/>
                      <w:lang w:val="en-US" w:eastAsia="zh-CN"/>
                    </w:rPr>
                    <w:t>1台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钻探</w:t>
                  </w:r>
                  <w:r>
                    <w:rPr>
                      <w:rFonts w:hint="eastAsia" w:cs="Times New Roman" w:eastAsiaTheme="minorEastAsia"/>
                      <w:color w:val="auto"/>
                      <w:sz w:val="21"/>
                      <w:szCs w:val="21"/>
                      <w:highlight w:val="none"/>
                      <w:lang w:val="en-US" w:eastAsia="zh-CN"/>
                    </w:rPr>
                    <w:t>取样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numPr>
                      <w:ilvl w:val="0"/>
                      <w:numId w:val="1"/>
                    </w:numPr>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highlight w:val="none"/>
                      <w:lang w:val="en-US" w:eastAsia="zh-CN" w:bidi="ar-SA"/>
                    </w:rPr>
                  </w:pPr>
                </w:p>
              </w:tc>
              <w:tc>
                <w:tcPr>
                  <w:tcW w:w="174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eastAsia"/>
                      <w:lang w:val="en-US" w:eastAsia="zh-CN"/>
                    </w:rPr>
                  </w:pPr>
                  <w:r>
                    <w:rPr>
                      <w:rFonts w:hint="eastAsia"/>
                      <w:lang w:val="en-US" w:eastAsia="zh-CN"/>
                    </w:rPr>
                    <w:t>刻槽取样机</w:t>
                  </w:r>
                </w:p>
              </w:tc>
              <w:tc>
                <w:tcPr>
                  <w:tcW w:w="131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1台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打样槽、取化验样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numPr>
                      <w:ilvl w:val="0"/>
                      <w:numId w:val="1"/>
                    </w:numPr>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highlight w:val="none"/>
                      <w:lang w:val="en-US" w:eastAsia="zh-CN" w:bidi="ar-SA"/>
                    </w:rPr>
                  </w:pPr>
                </w:p>
              </w:tc>
              <w:tc>
                <w:tcPr>
                  <w:tcW w:w="174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eastAsia" w:ascii="Times New Roman" w:hAnsi="Times New Roman" w:eastAsia="宋体" w:cs="Times New Roman"/>
                      <w:kern w:val="2"/>
                      <w:sz w:val="21"/>
                      <w:szCs w:val="21"/>
                      <w:lang w:val="en-US" w:eastAsia="zh-CN" w:bidi="ar-SA"/>
                    </w:rPr>
                  </w:pPr>
                  <w:r>
                    <w:rPr>
                      <w:rFonts w:hint="eastAsia"/>
                      <w:lang w:val="en-US" w:eastAsia="zh-CN"/>
                    </w:rPr>
                    <w:t>柴油发电机</w:t>
                  </w:r>
                </w:p>
              </w:tc>
              <w:tc>
                <w:tcPr>
                  <w:tcW w:w="1316"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eastAsiaTheme="minorEastAsia"/>
                      <w:color w:val="auto"/>
                      <w:sz w:val="21"/>
                      <w:szCs w:val="21"/>
                      <w:highlight w:val="none"/>
                      <w:lang w:val="en-US" w:eastAsia="zh-CN"/>
                    </w:rPr>
                    <w:t>1台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生活、生产发电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numPr>
                      <w:ilvl w:val="0"/>
                      <w:numId w:val="1"/>
                    </w:numPr>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highlight w:val="none"/>
                      <w:lang w:val="en-US" w:eastAsia="zh-CN" w:bidi="ar-SA"/>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越野小汽车</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1台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载运人员设备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numPr>
                      <w:ilvl w:val="0"/>
                      <w:numId w:val="1"/>
                    </w:numPr>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highlight w:val="none"/>
                      <w:lang w:val="en-US" w:eastAsia="zh-CN" w:bidi="ar-SA"/>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皮卡车</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1台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载运人员设备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numPr>
                      <w:ilvl w:val="0"/>
                      <w:numId w:val="1"/>
                    </w:numPr>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highlight w:val="none"/>
                      <w:lang w:val="en-US" w:eastAsia="zh-CN" w:bidi="ar-SA"/>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柴油</w:t>
                  </w:r>
                  <w:r>
                    <w:rPr>
                      <w:rFonts w:hint="eastAsia" w:ascii="Times New Roman" w:hAnsi="Times New Roman" w:cs="Times New Roman" w:eastAsiaTheme="minorEastAsia"/>
                      <w:color w:val="auto"/>
                      <w:sz w:val="21"/>
                      <w:szCs w:val="21"/>
                      <w:highlight w:val="none"/>
                      <w:lang w:val="en-US" w:eastAsia="zh-CN"/>
                    </w:rPr>
                    <w:t>发电机</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2</w:t>
                  </w:r>
                  <w:r>
                    <w:rPr>
                      <w:rFonts w:hint="eastAsia" w:ascii="Times New Roman" w:hAnsi="Times New Roman" w:cs="Times New Roman" w:eastAsiaTheme="minorEastAsia"/>
                      <w:color w:val="auto"/>
                      <w:sz w:val="21"/>
                      <w:szCs w:val="21"/>
                      <w:highlight w:val="none"/>
                      <w:lang w:val="en-US" w:eastAsia="zh-CN"/>
                    </w:rPr>
                    <w:t>台</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生活、勘查</w:t>
                  </w:r>
                  <w:r>
                    <w:rPr>
                      <w:rFonts w:hint="eastAsia" w:ascii="Times New Roman" w:hAnsi="Times New Roman" w:cs="Times New Roman" w:eastAsiaTheme="minorEastAsia"/>
                      <w:color w:val="auto"/>
                      <w:sz w:val="21"/>
                      <w:szCs w:val="21"/>
                      <w:highlight w:val="none"/>
                      <w:lang w:val="en-US" w:eastAsia="zh-CN"/>
                    </w:rPr>
                    <w:t>发电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numPr>
                      <w:ilvl w:val="0"/>
                      <w:numId w:val="1"/>
                    </w:numPr>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highlight w:val="none"/>
                      <w:lang w:val="en-US" w:eastAsia="zh-CN" w:bidi="ar-SA"/>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卫星电话</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1</w:t>
                  </w:r>
                  <w:r>
                    <w:rPr>
                      <w:rFonts w:hint="eastAsia" w:cs="Times New Roman" w:eastAsiaTheme="minorEastAsia"/>
                      <w:color w:val="auto"/>
                      <w:sz w:val="21"/>
                      <w:szCs w:val="21"/>
                      <w:highlight w:val="none"/>
                      <w:lang w:val="en-US" w:eastAsia="zh-CN"/>
                    </w:rPr>
                    <w:t>部</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通信联络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numPr>
                      <w:ilvl w:val="0"/>
                      <w:numId w:val="1"/>
                    </w:numPr>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highlight w:val="none"/>
                      <w:lang w:val="en-US" w:eastAsia="zh-CN" w:bidi="ar-SA"/>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安全帽</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6</w:t>
                  </w:r>
                  <w:r>
                    <w:rPr>
                      <w:rFonts w:hint="eastAsia" w:ascii="Times New Roman" w:hAnsi="Times New Roman" w:cs="Times New Roman" w:eastAsiaTheme="minorEastAsia"/>
                      <w:color w:val="auto"/>
                      <w:sz w:val="21"/>
                      <w:szCs w:val="21"/>
                      <w:highlight w:val="none"/>
                      <w:lang w:val="en-US" w:eastAsia="zh-CN"/>
                    </w:rPr>
                    <w:t>个</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安全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pStyle w:val="58"/>
                    <w:keepNext w:val="0"/>
                    <w:keepLines w:val="0"/>
                    <w:numPr>
                      <w:ilvl w:val="0"/>
                      <w:numId w:val="1"/>
                    </w:numPr>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highlight w:val="none"/>
                      <w:lang w:val="en-US" w:eastAsia="zh-CN" w:bidi="ar-SA"/>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灭火器</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6个</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防火</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814"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numPr>
                      <w:ilvl w:val="0"/>
                      <w:numId w:val="1"/>
                    </w:numPr>
                    <w:suppressLineNumbers w:val="0"/>
                    <w:bidi w:val="0"/>
                    <w:spacing w:before="0" w:beforeAutospacing="0" w:after="0" w:afterAutospacing="0"/>
                    <w:ind w:left="0" w:leftChars="0" w:right="0" w:firstLine="0" w:firstLineChars="0"/>
                    <w:rPr>
                      <w:rFonts w:hint="default" w:ascii="Times New Roman" w:hAnsi="Times New Roman" w:cs="Times New Roman" w:eastAsiaTheme="minorEastAsia"/>
                      <w:color w:val="auto"/>
                      <w:sz w:val="21"/>
                      <w:szCs w:val="21"/>
                      <w:highlight w:val="none"/>
                      <w:lang w:val="en-US" w:eastAsia="zh-CN"/>
                    </w:rPr>
                  </w:pPr>
                </w:p>
              </w:tc>
              <w:tc>
                <w:tcPr>
                  <w:tcW w:w="1749"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棉帐篷</w:t>
                  </w:r>
                </w:p>
              </w:tc>
              <w:tc>
                <w:tcPr>
                  <w:tcW w:w="1316"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4</w:t>
                  </w:r>
                  <w:r>
                    <w:rPr>
                      <w:rFonts w:hint="eastAsia" w:ascii="Times New Roman" w:hAnsi="Times New Roman" w:cs="Times New Roman" w:eastAsiaTheme="minorEastAsia"/>
                      <w:color w:val="auto"/>
                      <w:sz w:val="21"/>
                      <w:szCs w:val="21"/>
                      <w:highlight w:val="none"/>
                      <w:lang w:val="en-US" w:eastAsia="zh-CN"/>
                    </w:rPr>
                    <w:t>套</w:t>
                  </w:r>
                </w:p>
              </w:tc>
              <w:tc>
                <w:tcPr>
                  <w:tcW w:w="1118" w:type="pct"/>
                  <w:tcBorders>
                    <w:top w:val="single" w:color="auto" w:sz="4" w:space="0"/>
                    <w:left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营地住宿</w:t>
                  </w:r>
                </w:p>
              </w:tc>
            </w:tr>
          </w:tbl>
          <w:p>
            <w:pPr>
              <w:pStyle w:val="52"/>
              <w:keepNext w:val="0"/>
              <w:keepLines w:val="0"/>
              <w:suppressLineNumbers w:val="0"/>
              <w:bidi w:val="0"/>
              <w:spacing w:before="0" w:beforeAutospacing="0" w:after="0" w:afterAutospacing="0"/>
              <w:ind w:left="0" w:right="0"/>
              <w:rPr>
                <w:rFonts w:hint="default"/>
              </w:rPr>
            </w:pPr>
            <w:r>
              <w:rPr>
                <w:rFonts w:hint="default"/>
                <w:lang w:val="en-US" w:eastAsia="zh-CN"/>
              </w:rPr>
              <w:t>表2-</w:t>
            </w:r>
            <w:r>
              <w:rPr>
                <w:rFonts w:hint="eastAsia"/>
                <w:lang w:val="en-US" w:eastAsia="zh-CN"/>
              </w:rPr>
              <w:t xml:space="preserve">4    </w:t>
            </w:r>
            <w:r>
              <w:rPr>
                <w:rFonts w:hint="default"/>
              </w:rPr>
              <w:t>工程主要原、辅材料一览表</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720"/>
              <w:gridCol w:w="1272"/>
              <w:gridCol w:w="1250"/>
              <w:gridCol w:w="1650"/>
              <w:gridCol w:w="1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459"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序号</w:t>
                  </w:r>
                </w:p>
              </w:tc>
              <w:tc>
                <w:tcPr>
                  <w:tcW w:w="474" w:type="pct"/>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类别</w:t>
                  </w: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名称</w:t>
                  </w:r>
                </w:p>
              </w:tc>
              <w:tc>
                <w:tcPr>
                  <w:tcW w:w="824"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用量</w:t>
                  </w:r>
                </w:p>
                <w:p>
                  <w:pPr>
                    <w:pStyle w:val="58"/>
                    <w:keepNext w:val="0"/>
                    <w:keepLines w:val="0"/>
                    <w:suppressLineNumbers w:val="0"/>
                    <w:bidi w:val="0"/>
                    <w:spacing w:before="0" w:beforeAutospacing="0" w:after="0" w:afterAutospacing="0"/>
                    <w:ind w:left="0" w:right="0"/>
                    <w:rPr>
                      <w:rFonts w:hint="eastAsia" w:eastAsia="宋体"/>
                      <w:lang w:eastAsia="zh-CN"/>
                    </w:rPr>
                  </w:pPr>
                  <w:r>
                    <w:rPr>
                      <w:rFonts w:hint="eastAsia"/>
                      <w:lang w:eastAsia="zh-CN"/>
                    </w:rPr>
                    <w:t>（</w:t>
                  </w:r>
                  <w:r>
                    <w:rPr>
                      <w:rFonts w:hint="eastAsia"/>
                      <w:lang w:val="en-US" w:eastAsia="zh-CN"/>
                    </w:rPr>
                    <w:t>勘探期</w:t>
                  </w:r>
                  <w:r>
                    <w:rPr>
                      <w:rFonts w:hint="eastAsia"/>
                      <w:lang w:eastAsia="zh-CN"/>
                    </w:rPr>
                    <w:t>）</w:t>
                  </w:r>
                </w:p>
              </w:tc>
              <w:tc>
                <w:tcPr>
                  <w:tcW w:w="1087"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来源</w:t>
                  </w:r>
                </w:p>
              </w:tc>
              <w:tc>
                <w:tcPr>
                  <w:tcW w:w="1314"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459"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1</w:t>
                  </w:r>
                </w:p>
              </w:tc>
              <w:tc>
                <w:tcPr>
                  <w:tcW w:w="474" w:type="pct"/>
                  <w:vMerge w:val="restart"/>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辅料</w:t>
                  </w: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彩布条</w:t>
                  </w:r>
                </w:p>
              </w:tc>
              <w:tc>
                <w:tcPr>
                  <w:tcW w:w="824"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800m</w:t>
                  </w:r>
                </w:p>
              </w:tc>
              <w:tc>
                <w:tcPr>
                  <w:tcW w:w="1087"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外购</w:t>
                  </w:r>
                </w:p>
              </w:tc>
              <w:tc>
                <w:tcPr>
                  <w:tcW w:w="1314"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对槽探开挖石料进行</w:t>
                  </w:r>
                  <w:r>
                    <w:rPr>
                      <w:rFonts w:hint="eastAsia"/>
                      <w:lang w:val="en-US" w:eastAsia="zh-CN"/>
                    </w:rPr>
                    <w:t>苫盖，</w:t>
                  </w:r>
                  <w:r>
                    <w:rPr>
                      <w:rFonts w:hint="default"/>
                      <w:lang w:val="en-US" w:eastAsia="zh-CN"/>
                    </w:rPr>
                    <w:t>使用后回收并无害化处理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459"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2</w:t>
                  </w:r>
                </w:p>
              </w:tc>
              <w:tc>
                <w:tcPr>
                  <w:tcW w:w="474" w:type="pct"/>
                  <w:vMerge w:val="continue"/>
                  <w:noWrap w:val="0"/>
                  <w:vAlign w:val="center"/>
                </w:tcPr>
                <w:p>
                  <w:pPr>
                    <w:pStyle w:val="58"/>
                    <w:keepNext w:val="0"/>
                    <w:keepLines w:val="0"/>
                    <w:suppressLineNumbers w:val="0"/>
                    <w:bidi w:val="0"/>
                    <w:spacing w:before="0" w:beforeAutospacing="0" w:after="0" w:afterAutospacing="0"/>
                    <w:ind w:left="0" w:right="0"/>
                    <w:rPr>
                      <w:rFonts w:hint="default"/>
                    </w:rPr>
                  </w:pP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膨润土</w:t>
                  </w:r>
                </w:p>
              </w:tc>
              <w:tc>
                <w:tcPr>
                  <w:tcW w:w="824"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0.04t</w:t>
                  </w:r>
                </w:p>
              </w:tc>
              <w:tc>
                <w:tcPr>
                  <w:tcW w:w="1087"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外购</w:t>
                  </w:r>
                </w:p>
              </w:tc>
              <w:tc>
                <w:tcPr>
                  <w:tcW w:w="1314" w:type="pct"/>
                  <w:vMerge w:val="restart"/>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泥浆配制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459" w:type="pct"/>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3</w:t>
                  </w:r>
                </w:p>
              </w:tc>
              <w:tc>
                <w:tcPr>
                  <w:tcW w:w="474" w:type="pct"/>
                  <w:vMerge w:val="continue"/>
                  <w:noWrap w:val="0"/>
                  <w:vAlign w:val="center"/>
                </w:tcPr>
                <w:p>
                  <w:pPr>
                    <w:pStyle w:val="58"/>
                    <w:keepNext w:val="0"/>
                    <w:keepLines w:val="0"/>
                    <w:suppressLineNumbers w:val="0"/>
                    <w:bidi w:val="0"/>
                    <w:spacing w:before="0" w:beforeAutospacing="0" w:after="0" w:afterAutospacing="0"/>
                    <w:ind w:left="0" w:right="0"/>
                    <w:rPr>
                      <w:rFonts w:hint="default"/>
                    </w:rPr>
                  </w:pP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聚合物、降失水剂等</w:t>
                  </w:r>
                </w:p>
              </w:tc>
              <w:tc>
                <w:tcPr>
                  <w:tcW w:w="824"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0.01t</w:t>
                  </w:r>
                </w:p>
              </w:tc>
              <w:tc>
                <w:tcPr>
                  <w:tcW w:w="1087" w:type="pct"/>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外购</w:t>
                  </w:r>
                </w:p>
              </w:tc>
              <w:tc>
                <w:tcPr>
                  <w:tcW w:w="1314" w:type="pct"/>
                  <w:vMerge w:val="continue"/>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459"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4</w:t>
                  </w:r>
                </w:p>
              </w:tc>
              <w:tc>
                <w:tcPr>
                  <w:tcW w:w="474" w:type="pct"/>
                  <w:vMerge w:val="continue"/>
                  <w:noWrap w:val="0"/>
                  <w:vAlign w:val="center"/>
                </w:tcPr>
                <w:p>
                  <w:pPr>
                    <w:pStyle w:val="58"/>
                    <w:keepNext w:val="0"/>
                    <w:keepLines w:val="0"/>
                    <w:suppressLineNumbers w:val="0"/>
                    <w:bidi w:val="0"/>
                    <w:spacing w:before="0" w:beforeAutospacing="0" w:after="0" w:afterAutospacing="0"/>
                    <w:ind w:left="0" w:right="0"/>
                    <w:rPr>
                      <w:rFonts w:hint="default"/>
                    </w:rPr>
                  </w:pP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水泥</w:t>
                  </w:r>
                </w:p>
              </w:tc>
              <w:tc>
                <w:tcPr>
                  <w:tcW w:w="824"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0.02t</w:t>
                  </w:r>
                </w:p>
              </w:tc>
              <w:tc>
                <w:tcPr>
                  <w:tcW w:w="1087" w:type="pct"/>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外购</w:t>
                  </w:r>
                </w:p>
              </w:tc>
              <w:tc>
                <w:tcPr>
                  <w:tcW w:w="1314"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用于钻探封孔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9" w:type="pct"/>
                  <w:noWrap w:val="0"/>
                  <w:vAlign w:val="center"/>
                </w:tcPr>
                <w:p>
                  <w:pPr>
                    <w:pStyle w:val="58"/>
                    <w:keepNext w:val="0"/>
                    <w:keepLines w:val="0"/>
                    <w:suppressLineNumbers w:val="0"/>
                    <w:bidi w:val="0"/>
                    <w:spacing w:before="0" w:beforeAutospacing="0" w:after="0" w:afterAutospacing="0"/>
                    <w:ind w:left="0" w:right="0"/>
                    <w:rPr>
                      <w:rFonts w:hint="eastAsia"/>
                      <w:lang w:eastAsia="zh-CN"/>
                    </w:rPr>
                  </w:pPr>
                  <w:r>
                    <w:rPr>
                      <w:rFonts w:hint="eastAsia"/>
                      <w:lang w:val="en-US" w:eastAsia="zh-CN"/>
                    </w:rPr>
                    <w:t>5</w:t>
                  </w:r>
                </w:p>
              </w:tc>
              <w:tc>
                <w:tcPr>
                  <w:tcW w:w="474" w:type="pct"/>
                  <w:vMerge w:val="restart"/>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资源</w:t>
                  </w: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rPr>
                    <w:t>水</w:t>
                  </w:r>
                </w:p>
              </w:tc>
              <w:tc>
                <w:tcPr>
                  <w:tcW w:w="824" w:type="pct"/>
                  <w:noWrap w:val="0"/>
                  <w:vAlign w:val="center"/>
                </w:tcPr>
                <w:p>
                  <w:pPr>
                    <w:pStyle w:val="58"/>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25.48</w:t>
                  </w:r>
                  <w:r>
                    <w:rPr>
                      <w:rFonts w:hint="default"/>
                      <w:color w:val="auto"/>
                      <w:lang w:eastAsia="zh-CN"/>
                    </w:rPr>
                    <w:t>m</w:t>
                  </w:r>
                  <w:r>
                    <w:rPr>
                      <w:rFonts w:hint="eastAsia"/>
                      <w:color w:val="auto"/>
                      <w:vertAlign w:val="superscript"/>
                      <w:lang w:val="en-US" w:eastAsia="zh-CN"/>
                    </w:rPr>
                    <w:t>3</w:t>
                  </w:r>
                </w:p>
              </w:tc>
              <w:tc>
                <w:tcPr>
                  <w:tcW w:w="1087" w:type="pct"/>
                  <w:noWrap w:val="0"/>
                  <w:vAlign w:val="center"/>
                </w:tcPr>
                <w:p>
                  <w:pPr>
                    <w:pStyle w:val="58"/>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定期从附近乡镇拉运至生活营后用储水箱储存</w:t>
                  </w:r>
                </w:p>
              </w:tc>
              <w:tc>
                <w:tcPr>
                  <w:tcW w:w="1314" w:type="pct"/>
                  <w:noWrap w:val="0"/>
                  <w:vAlign w:val="center"/>
                </w:tcPr>
                <w:p>
                  <w:pPr>
                    <w:pStyle w:val="58"/>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9"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6</w:t>
                  </w:r>
                </w:p>
              </w:tc>
              <w:tc>
                <w:tcPr>
                  <w:tcW w:w="474" w:type="pct"/>
                  <w:vMerge w:val="continue"/>
                  <w:noWrap w:val="0"/>
                  <w:vAlign w:val="center"/>
                </w:tcPr>
                <w:p>
                  <w:pPr>
                    <w:pStyle w:val="58"/>
                    <w:keepNext w:val="0"/>
                    <w:keepLines w:val="0"/>
                    <w:suppressLineNumbers w:val="0"/>
                    <w:bidi w:val="0"/>
                    <w:spacing w:before="0" w:beforeAutospacing="0" w:after="0" w:afterAutospacing="0"/>
                    <w:ind w:left="0" w:right="0"/>
                    <w:rPr>
                      <w:rFonts w:hint="default"/>
                    </w:rPr>
                  </w:pPr>
                </w:p>
              </w:tc>
              <w:tc>
                <w:tcPr>
                  <w:tcW w:w="838"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柴油</w:t>
                  </w:r>
                </w:p>
              </w:tc>
              <w:tc>
                <w:tcPr>
                  <w:tcW w:w="824"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2t</w:t>
                  </w:r>
                </w:p>
              </w:tc>
              <w:tc>
                <w:tcPr>
                  <w:tcW w:w="1087"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定期从</w:t>
                  </w:r>
                  <w:r>
                    <w:rPr>
                      <w:rFonts w:hint="eastAsia"/>
                      <w:lang w:val="en-US" w:eastAsia="zh-CN"/>
                    </w:rPr>
                    <w:t>附近乡镇</w:t>
                  </w:r>
                  <w:r>
                    <w:rPr>
                      <w:rFonts w:hint="default"/>
                      <w:lang w:val="en-US" w:eastAsia="zh-CN"/>
                    </w:rPr>
                    <w:t>拉运</w:t>
                  </w:r>
                </w:p>
              </w:tc>
              <w:tc>
                <w:tcPr>
                  <w:tcW w:w="1314"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油桶储存，最大储存量为2t，设置专门的柴油存放区</w:t>
                  </w:r>
                </w:p>
              </w:tc>
            </w:tr>
          </w:tbl>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4.公用工程</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4.1给水</w:t>
            </w:r>
          </w:p>
          <w:p>
            <w:pPr>
              <w:pStyle w:val="65"/>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项目用水主要为生活用水和生产用水，车辆定期</w:t>
            </w:r>
            <w:r>
              <w:rPr>
                <w:rFonts w:hint="default"/>
                <w:lang w:val="en-US" w:eastAsia="zh-CN"/>
              </w:rPr>
              <w:t>从</w:t>
            </w:r>
            <w:r>
              <w:rPr>
                <w:rFonts w:hint="eastAsia"/>
                <w:lang w:val="en-US" w:eastAsia="zh-CN"/>
              </w:rPr>
              <w:t>邻近乡镇</w:t>
            </w:r>
            <w:r>
              <w:rPr>
                <w:rFonts w:hint="default"/>
                <w:lang w:val="en-US" w:eastAsia="zh-CN"/>
              </w:rPr>
              <w:t>拉运至生活营地内储水箱储存</w:t>
            </w:r>
            <w:r>
              <w:rPr>
                <w:rFonts w:hint="eastAsia"/>
                <w:lang w:val="en-US" w:eastAsia="zh-CN"/>
              </w:rPr>
              <w:t>。</w:t>
            </w:r>
          </w:p>
          <w:p>
            <w:pPr>
              <w:pStyle w:val="48"/>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（1）生活用水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48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本项目</w:t>
            </w:r>
            <w:r>
              <w:rPr>
                <w:rFonts w:hint="eastAsia" w:cs="Times New Roman"/>
                <w:color w:val="auto"/>
                <w:sz w:val="24"/>
                <w:szCs w:val="24"/>
                <w:highlight w:val="none"/>
                <w:lang w:val="en-US" w:eastAsia="zh-CN"/>
              </w:rPr>
              <w:t>探矿</w:t>
            </w:r>
            <w:r>
              <w:rPr>
                <w:rFonts w:hint="eastAsia" w:ascii="Times New Roman" w:hAnsi="Times New Roman" w:eastAsia="宋体" w:cs="Times New Roman"/>
                <w:color w:val="auto"/>
                <w:sz w:val="24"/>
                <w:szCs w:val="24"/>
                <w:highlight w:val="none"/>
                <w:lang w:eastAsia="zh-CN"/>
              </w:rPr>
              <w:t>过程中，劳动定员约为</w:t>
            </w:r>
            <w:r>
              <w:rPr>
                <w:rFonts w:hint="eastAsia" w:cs="Times New Roman"/>
                <w:color w:val="auto"/>
                <w:sz w:val="24"/>
                <w:szCs w:val="24"/>
                <w:highlight w:val="none"/>
                <w:lang w:val="en-US" w:eastAsia="zh-CN"/>
              </w:rPr>
              <w:t>6</w:t>
            </w:r>
            <w:r>
              <w:rPr>
                <w:rFonts w:hint="eastAsia" w:ascii="Times New Roman" w:hAnsi="Times New Roman" w:eastAsia="宋体" w:cs="Times New Roman"/>
                <w:color w:val="auto"/>
                <w:sz w:val="24"/>
                <w:szCs w:val="24"/>
                <w:highlight w:val="none"/>
                <w:lang w:val="en-US" w:eastAsia="zh-CN"/>
              </w:rPr>
              <w:t>人</w:t>
            </w:r>
            <w:r>
              <w:rPr>
                <w:rFonts w:hint="default" w:ascii="Times New Roman" w:hAnsi="Times New Roman" w:eastAsia="宋体" w:cs="Times New Roman"/>
                <w:color w:val="auto"/>
                <w:sz w:val="24"/>
                <w:szCs w:val="24"/>
                <w:highlight w:val="none"/>
                <w:lang w:eastAsia="zh-CN"/>
              </w:rPr>
              <w:t>，职工</w:t>
            </w:r>
            <w:r>
              <w:rPr>
                <w:rFonts w:hint="eastAsia" w:ascii="Times New Roman" w:hAnsi="Times New Roman" w:eastAsia="宋体" w:cs="Times New Roman"/>
                <w:color w:val="auto"/>
                <w:sz w:val="24"/>
                <w:szCs w:val="24"/>
                <w:highlight w:val="none"/>
                <w:lang w:eastAsia="zh-CN"/>
              </w:rPr>
              <w:t>均</w:t>
            </w:r>
            <w:r>
              <w:rPr>
                <w:rFonts w:hint="default" w:ascii="Times New Roman" w:hAnsi="Times New Roman" w:eastAsia="宋体" w:cs="Times New Roman"/>
                <w:color w:val="auto"/>
                <w:sz w:val="24"/>
                <w:szCs w:val="24"/>
                <w:highlight w:val="none"/>
                <w:lang w:eastAsia="zh-CN"/>
              </w:rPr>
              <w:t>在矿区</w:t>
            </w:r>
            <w:r>
              <w:rPr>
                <w:rFonts w:hint="eastAsia" w:cs="Times New Roman"/>
                <w:color w:val="auto"/>
                <w:sz w:val="24"/>
                <w:szCs w:val="24"/>
                <w:highlight w:val="none"/>
                <w:lang w:val="en-US" w:eastAsia="zh-CN"/>
              </w:rPr>
              <w:t>临时生活营地</w:t>
            </w:r>
            <w:r>
              <w:rPr>
                <w:rFonts w:hint="default" w:ascii="Times New Roman" w:hAnsi="Times New Roman" w:eastAsia="宋体" w:cs="Times New Roman"/>
                <w:color w:val="auto"/>
                <w:sz w:val="24"/>
                <w:szCs w:val="24"/>
                <w:highlight w:val="none"/>
                <w:lang w:eastAsia="zh-CN"/>
              </w:rPr>
              <w:t>食宿，根据《新疆维吾尔自治区生活用水定额》</w:t>
            </w:r>
            <w:r>
              <w:rPr>
                <w:rFonts w:hint="eastAsia" w:cs="Times New Roman"/>
                <w:color w:val="auto"/>
                <w:sz w:val="24"/>
                <w:szCs w:val="24"/>
                <w:highlight w:val="none"/>
                <w:lang w:val="en-US" w:eastAsia="zh-CN"/>
              </w:rPr>
              <w:t>可知，生</w:t>
            </w:r>
            <w:r>
              <w:rPr>
                <w:rFonts w:hint="default" w:ascii="Times New Roman" w:hAnsi="Times New Roman" w:eastAsia="宋体" w:cs="Times New Roman"/>
                <w:color w:val="auto"/>
                <w:sz w:val="24"/>
                <w:szCs w:val="24"/>
                <w:highlight w:val="none"/>
                <w:lang w:eastAsia="zh-CN"/>
              </w:rPr>
              <w:t>活用水量为</w:t>
            </w:r>
            <w:r>
              <w:rPr>
                <w:rFonts w:hint="eastAsia"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lang w:eastAsia="zh-CN"/>
              </w:rPr>
              <w:t>L/d·人，</w:t>
            </w:r>
            <w:r>
              <w:rPr>
                <w:rFonts w:hint="eastAsia" w:cs="Times New Roman"/>
                <w:color w:val="auto"/>
                <w:sz w:val="24"/>
                <w:szCs w:val="24"/>
                <w:highlight w:val="none"/>
                <w:lang w:val="en-US" w:eastAsia="zh-CN"/>
              </w:rPr>
              <w:t>施工期和勘探期共计36</w:t>
            </w:r>
            <w:r>
              <w:rPr>
                <w:rFonts w:hint="default" w:ascii="Times New Roman" w:hAnsi="Times New Roman" w:eastAsia="宋体" w:cs="Times New Roman"/>
                <w:color w:val="auto"/>
                <w:sz w:val="24"/>
                <w:szCs w:val="24"/>
                <w:highlight w:val="none"/>
                <w:lang w:eastAsia="zh-CN"/>
              </w:rPr>
              <w:t>d，则可知本项目生活用水量为</w:t>
            </w:r>
            <w:r>
              <w:rPr>
                <w:rFonts w:hint="eastAsia" w:cs="Times New Roman"/>
                <w:color w:val="auto"/>
                <w:sz w:val="24"/>
                <w:szCs w:val="24"/>
                <w:highlight w:val="none"/>
                <w:lang w:val="en-US" w:eastAsia="zh-CN"/>
              </w:rPr>
              <w:t>0.18</w:t>
            </w:r>
            <w:r>
              <w:rPr>
                <w:rFonts w:hint="default" w:ascii="Times New Roman" w:hAnsi="Times New Roman" w:eastAsia="宋体" w:cs="Times New Roman"/>
                <w:color w:val="auto"/>
                <w:sz w:val="24"/>
                <w:szCs w:val="24"/>
                <w:highlight w:val="none"/>
                <w:lang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eastAsia="zh-CN"/>
              </w:rPr>
              <w:t>/d</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生活用水总量为6.48</w:t>
            </w:r>
            <w:r>
              <w:rPr>
                <w:rFonts w:hint="default" w:ascii="Times New Roman" w:hAnsi="Times New Roman" w:eastAsia="宋体" w:cs="Times New Roman"/>
                <w:color w:val="auto"/>
                <w:sz w:val="24"/>
                <w:szCs w:val="24"/>
                <w:highlight w:val="none"/>
                <w:lang w:eastAsia="zh-CN"/>
              </w:rPr>
              <w:t>m</w:t>
            </w:r>
            <w:r>
              <w:rPr>
                <w:rFonts w:hint="eastAsia"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eastAsia="zh-CN"/>
              </w:rPr>
              <w:t>。</w:t>
            </w:r>
          </w:p>
          <w:p>
            <w:pPr>
              <w:pStyle w:val="48"/>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（2）生产用水</w:t>
            </w:r>
          </w:p>
          <w:p>
            <w:pPr>
              <w:pStyle w:val="48"/>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lang w:val="en-US" w:eastAsia="zh-CN"/>
              </w:rPr>
              <w:t>泥浆调配用水：</w:t>
            </w:r>
            <w:r>
              <w:rPr>
                <w:rFonts w:hint="eastAsia" w:ascii="Times New Roman" w:hAnsi="Times New Roman" w:eastAsia="宋体" w:cs="Times New Roman"/>
                <w:sz w:val="24"/>
                <w:szCs w:val="24"/>
                <w:highlight w:val="none"/>
                <w:lang w:val="en-US" w:eastAsia="zh-CN"/>
              </w:rPr>
              <w:t>项目钻井期间泥浆调配用水</w:t>
            </w:r>
            <w:r>
              <w:rPr>
                <w:rFonts w:hint="eastAsia" w:cs="Times New Roman"/>
                <w:sz w:val="24"/>
                <w:szCs w:val="24"/>
                <w:highlight w:val="none"/>
                <w:lang w:val="en-US" w:eastAsia="zh-CN"/>
              </w:rPr>
              <w:t>补充量</w:t>
            </w:r>
            <w:r>
              <w:rPr>
                <w:rFonts w:hint="eastAsia" w:ascii="Times New Roman" w:hAnsi="Times New Roman" w:eastAsia="宋体" w:cs="Times New Roman"/>
                <w:sz w:val="24"/>
                <w:szCs w:val="24"/>
                <w:highlight w:val="none"/>
                <w:lang w:val="en-US" w:eastAsia="zh-CN"/>
              </w:rPr>
              <w:t>为</w:t>
            </w:r>
            <w:r>
              <w:rPr>
                <w:rFonts w:hint="eastAsia" w:cs="Times New Roman"/>
                <w:color w:val="auto"/>
                <w:sz w:val="24"/>
                <w:szCs w:val="24"/>
                <w:highlight w:val="none"/>
                <w:lang w:val="en-US" w:eastAsia="zh-CN"/>
              </w:rPr>
              <w:t>15</w:t>
            </w:r>
            <w:r>
              <w:rPr>
                <w:rFonts w:hint="eastAsia" w:ascii="Times New Roman" w:hAnsi="Times New Roman" w:eastAsia="宋体" w:cs="Times New Roman"/>
                <w:color w:val="auto"/>
                <w:sz w:val="24"/>
                <w:szCs w:val="24"/>
                <w:highlight w:val="none"/>
                <w:lang w:val="en-US" w:eastAsia="zh-CN"/>
              </w:rPr>
              <w:t>m</w:t>
            </w:r>
            <w:r>
              <w:rPr>
                <w:rFonts w:hint="eastAsia"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vertAlign w:val="baseline"/>
                <w:lang w:val="en-US" w:eastAsia="zh-CN"/>
              </w:rPr>
              <w:t>，调配好的泥浆循环使用。</w:t>
            </w:r>
          </w:p>
          <w:p>
            <w:pPr>
              <w:pStyle w:val="48"/>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钻井设备冲洗用水：</w:t>
            </w:r>
            <w:r>
              <w:rPr>
                <w:rFonts w:hint="eastAsia"/>
                <w:color w:val="auto"/>
                <w:highlight w:val="none"/>
                <w:lang w:val="en-US" w:eastAsia="zh-CN"/>
              </w:rPr>
              <w:t>项目</w:t>
            </w:r>
            <w:r>
              <w:rPr>
                <w:rFonts w:hint="eastAsia" w:cs="Times New Roman"/>
                <w:color w:val="auto"/>
                <w:sz w:val="24"/>
                <w:szCs w:val="24"/>
                <w:highlight w:val="none"/>
                <w:lang w:val="en-US" w:eastAsia="zh-CN"/>
              </w:rPr>
              <w:t>勘探期间</w:t>
            </w:r>
            <w:r>
              <w:rPr>
                <w:rFonts w:hint="eastAsia"/>
                <w:color w:val="auto"/>
                <w:highlight w:val="none"/>
                <w:lang w:val="en-US" w:eastAsia="zh-CN"/>
              </w:rPr>
              <w:t>用水量约为</w:t>
            </w:r>
            <w:r>
              <w:rPr>
                <w:rFonts w:hint="eastAsia"/>
                <w:color w:val="auto"/>
                <w:highlight w:val="none"/>
                <w:vertAlign w:val="baseline"/>
                <w:lang w:val="en-US" w:eastAsia="zh-CN"/>
              </w:rPr>
              <w:t>4</w:t>
            </w:r>
            <w:r>
              <w:rPr>
                <w:rFonts w:hint="eastAsia"/>
                <w:color w:val="auto"/>
                <w:highlight w:val="none"/>
                <w:lang w:val="en-US" w:eastAsia="zh-CN"/>
              </w:rPr>
              <w:t>m</w:t>
            </w:r>
            <w:r>
              <w:rPr>
                <w:rFonts w:hint="eastAsia"/>
                <w:color w:val="auto"/>
                <w:highlight w:val="none"/>
                <w:vertAlign w:val="superscript"/>
                <w:lang w:val="en-US" w:eastAsia="zh-CN"/>
              </w:rPr>
              <w:t>3</w:t>
            </w:r>
            <w:r>
              <w:rPr>
                <w:rFonts w:hint="eastAsia"/>
                <w:color w:val="auto"/>
                <w:highlight w:val="none"/>
                <w:vertAlign w:val="baseline"/>
                <w:lang w:val="en-US" w:eastAsia="zh-CN"/>
              </w:rPr>
              <w:t>，</w:t>
            </w:r>
            <w:r>
              <w:rPr>
                <w:rFonts w:hint="eastAsia"/>
                <w:color w:val="auto"/>
                <w:highlight w:val="none"/>
                <w:lang w:val="en-US" w:eastAsia="zh-CN"/>
              </w:rPr>
              <w:t>经沉淀池处理后用于洒水降尘、蒸发逸散，不外排。</w:t>
            </w:r>
          </w:p>
          <w:p>
            <w:pPr>
              <w:pStyle w:val="50"/>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4.2排水</w:t>
            </w:r>
          </w:p>
          <w:p>
            <w:pPr>
              <w:pStyle w:val="48"/>
              <w:keepNext w:val="0"/>
              <w:keepLines w:val="0"/>
              <w:numPr>
                <w:ilvl w:val="0"/>
                <w:numId w:val="0"/>
              </w:numPr>
              <w:suppressLineNumbers w:val="0"/>
              <w:bidi w:val="0"/>
              <w:spacing w:before="0" w:beforeAutospacing="0" w:after="0" w:afterAutospacing="0"/>
              <w:ind w:left="0" w:right="0" w:firstLine="480" w:firstLineChars="200"/>
              <w:rPr>
                <w:rFonts w:hint="eastAsia"/>
                <w:color w:val="auto"/>
                <w:lang w:val="en-US" w:eastAsia="zh-CN"/>
              </w:rPr>
            </w:pPr>
            <w:r>
              <w:rPr>
                <w:rFonts w:hint="eastAsia" w:ascii="Times New Roman" w:hAnsi="Times New Roman" w:eastAsia="宋体" w:cs="宋体"/>
                <w:color w:val="auto"/>
                <w:kern w:val="0"/>
                <w:sz w:val="24"/>
                <w:szCs w:val="24"/>
                <w:lang w:val="en-US" w:eastAsia="zh-CN" w:bidi="ar-SA"/>
              </w:rPr>
              <w:t>（1）</w:t>
            </w:r>
            <w:r>
              <w:rPr>
                <w:rFonts w:hint="eastAsia"/>
                <w:color w:val="auto"/>
                <w:lang w:val="en-US" w:eastAsia="zh-CN"/>
              </w:rPr>
              <w:t>生活污水</w:t>
            </w:r>
          </w:p>
          <w:p>
            <w:pPr>
              <w:pStyle w:val="48"/>
              <w:keepNext w:val="0"/>
              <w:keepLines w:val="0"/>
              <w:suppressLineNumbers w:val="0"/>
              <w:bidi w:val="0"/>
              <w:spacing w:before="0" w:beforeAutospacing="0" w:after="0" w:afterAutospacing="0"/>
              <w:ind w:left="0" w:right="0"/>
              <w:rPr>
                <w:rFonts w:hint="default"/>
                <w:color w:val="auto"/>
                <w:highlight w:val="yellow"/>
                <w:lang w:val="en-US" w:eastAsia="zh-CN"/>
              </w:rPr>
            </w:pPr>
            <w:r>
              <w:rPr>
                <w:rFonts w:hint="eastAsia"/>
                <w:color w:val="auto"/>
                <w:highlight w:val="none"/>
                <w:lang w:val="en-US" w:eastAsia="zh-CN"/>
              </w:rPr>
              <w:t>生活污水产生量较少，生活污水排入一体化污水处理设施后，其出水标准可达到《农村生活污水处理排放标准》（DB654275-2019）表2中A级标准，用于洒水绿化，不外排。</w:t>
            </w:r>
            <w:r>
              <w:rPr>
                <w:rFonts w:hint="default"/>
                <w:color w:val="auto"/>
                <w:highlight w:val="none"/>
                <w:lang w:val="en-US" w:eastAsia="zh-CN"/>
              </w:rPr>
              <w:t>生活污水量以生活用水量的80%计，则可知本项目探矿期生活污水产生量为</w:t>
            </w:r>
            <w:r>
              <w:rPr>
                <w:rFonts w:hint="eastAsia"/>
                <w:color w:val="auto"/>
                <w:highlight w:val="none"/>
                <w:lang w:val="en-US" w:eastAsia="zh-CN"/>
              </w:rPr>
              <w:t>5.184m</w:t>
            </w:r>
            <w:r>
              <w:rPr>
                <w:rFonts w:hint="eastAsia"/>
                <w:color w:val="auto"/>
                <w:highlight w:val="none"/>
                <w:vertAlign w:val="superscript"/>
                <w:lang w:val="en-US" w:eastAsia="zh-CN"/>
              </w:rPr>
              <w:t>3</w:t>
            </w:r>
            <w:r>
              <w:rPr>
                <w:rFonts w:hint="default"/>
                <w:color w:val="auto"/>
                <w:highlight w:val="none"/>
                <w:lang w:val="en-US" w:eastAsia="zh-CN"/>
              </w:rPr>
              <w:t>。</w:t>
            </w:r>
          </w:p>
          <w:p>
            <w:pPr>
              <w:pStyle w:val="48"/>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（2）生产废水</w:t>
            </w:r>
          </w:p>
          <w:p>
            <w:pPr>
              <w:pStyle w:val="48"/>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泥浆废水：经防渗沉淀池处理后全部回用于钻孔泥浆配制，定期补充，循环使用，不外排。</w:t>
            </w:r>
          </w:p>
          <w:p>
            <w:pPr>
              <w:pStyle w:val="4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eastAsia"/>
                <w:color w:val="auto"/>
                <w:lang w:val="en-US" w:eastAsia="zh-CN"/>
              </w:rPr>
            </w:pPr>
            <w:r>
              <w:rPr>
                <w:rFonts w:hint="eastAsia"/>
                <w:color w:val="auto"/>
                <w:lang w:val="en-US" w:eastAsia="zh-CN"/>
              </w:rPr>
              <w:t>钻井设备冲洗用水：经沉淀池处理后用于洒水降尘，不外排。</w:t>
            </w:r>
          </w:p>
          <w:p>
            <w:pPr>
              <w:pStyle w:val="52"/>
              <w:keepNext w:val="0"/>
              <w:keepLines w:val="0"/>
              <w:suppressLineNumbers w:val="0"/>
              <w:bidi w:val="0"/>
              <w:spacing w:before="0" w:beforeAutospacing="0" w:after="0" w:afterAutospacing="0"/>
              <w:ind w:left="0" w:right="0"/>
              <w:rPr>
                <w:rFonts w:hint="eastAsia"/>
                <w:lang w:val="en-US" w:eastAsia="zh-CN"/>
              </w:rPr>
            </w:pPr>
            <w:r>
              <w:rPr>
                <w:rFonts w:hint="default"/>
              </w:rPr>
              <w:drawing>
                <wp:inline distT="0" distB="0" distL="114300" distR="114300">
                  <wp:extent cx="4613275" cy="2684145"/>
                  <wp:effectExtent l="0" t="0" r="15875" b="1905"/>
                  <wp:docPr id="5" name="F360BE8B-6686-4F3D-AEAF-501FE73E4058-1" descr="C:/Users/Administrator/AppData/Local/Temp/绘图1(137).png绘图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360BE8B-6686-4F3D-AEAF-501FE73E4058-1" descr="C:/Users/Administrator/AppData/Local/Temp/绘图1(137).png绘图1(137)"/>
                          <pic:cNvPicPr>
                            <a:picLocks noChangeAspect="1"/>
                          </pic:cNvPicPr>
                        </pic:nvPicPr>
                        <pic:blipFill>
                          <a:blip r:embed="rId9"/>
                          <a:stretch>
                            <a:fillRect/>
                          </a:stretch>
                        </pic:blipFill>
                        <pic:spPr>
                          <a:xfrm>
                            <a:off x="0" y="0"/>
                            <a:ext cx="4613275" cy="2684145"/>
                          </a:xfrm>
                          <a:prstGeom prst="rect">
                            <a:avLst/>
                          </a:prstGeom>
                          <a:noFill/>
                          <a:ln>
                            <a:noFill/>
                          </a:ln>
                        </pic:spPr>
                      </pic:pic>
                    </a:graphicData>
                  </a:graphic>
                </wp:inline>
              </w:drawing>
            </w:r>
          </w:p>
          <w:p>
            <w:pPr>
              <w:pStyle w:val="52"/>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图2-1    探矿工作期水平衡示意图    （m</w:t>
            </w:r>
            <w:r>
              <w:rPr>
                <w:rFonts w:hint="eastAsia"/>
                <w:vertAlign w:val="superscript"/>
                <w:lang w:val="en-US" w:eastAsia="zh-CN"/>
              </w:rPr>
              <w:t>3</w:t>
            </w:r>
            <w:r>
              <w:rPr>
                <w:rFonts w:hint="eastAsia"/>
                <w:lang w:val="en-US" w:eastAsia="zh-CN"/>
              </w:rPr>
              <w:t>/探矿期）</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4.3供电</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eastAsia="zh-CN"/>
              </w:rPr>
              <w:t>使用</w:t>
            </w:r>
            <w:r>
              <w:rPr>
                <w:rFonts w:hint="eastAsia"/>
                <w:lang w:val="en-US" w:eastAsia="zh-CN"/>
              </w:rPr>
              <w:t>两台柴油</w:t>
            </w:r>
            <w:r>
              <w:rPr>
                <w:rFonts w:hint="eastAsia"/>
                <w:lang w:eastAsia="zh-CN"/>
              </w:rPr>
              <w:t>发电机供电</w:t>
            </w:r>
            <w:r>
              <w:rPr>
                <w:rFonts w:hint="default"/>
                <w:lang w:eastAsia="zh-CN"/>
              </w:rPr>
              <w:t>，柴油用量一共为</w:t>
            </w:r>
            <w:r>
              <w:rPr>
                <w:rFonts w:hint="eastAsia"/>
                <w:lang w:val="en-US" w:eastAsia="zh-CN"/>
              </w:rPr>
              <w:t>2</w:t>
            </w:r>
            <w:r>
              <w:rPr>
                <w:rFonts w:hint="default"/>
                <w:lang w:eastAsia="zh-CN"/>
              </w:rPr>
              <w:t>t/</w:t>
            </w:r>
            <w:r>
              <w:rPr>
                <w:rFonts w:hint="eastAsia"/>
                <w:lang w:val="en-US" w:eastAsia="zh-CN"/>
              </w:rPr>
              <w:t>探矿期</w:t>
            </w:r>
            <w:r>
              <w:rPr>
                <w:rFonts w:hint="eastAsia"/>
                <w:lang w:eastAsia="zh-CN"/>
              </w:rPr>
              <w:t>。</w:t>
            </w:r>
            <w:r>
              <w:rPr>
                <w:rFonts w:hint="eastAsia"/>
                <w:color w:val="auto"/>
                <w:lang w:val="en-US" w:eastAsia="zh-CN"/>
              </w:rPr>
              <w:t>存放于铺有防渗托盘的柴油贮存点。</w:t>
            </w:r>
          </w:p>
          <w:p>
            <w:pPr>
              <w:pStyle w:val="50"/>
              <w:keepNext w:val="0"/>
              <w:keepLines w:val="0"/>
              <w:suppressLineNumbers w:val="0"/>
              <w:bidi w:val="0"/>
              <w:spacing w:before="0" w:beforeAutospacing="0" w:after="0" w:afterAutospacing="0"/>
              <w:ind w:left="0" w:right="0"/>
              <w:rPr>
                <w:rFonts w:hint="default"/>
                <w:color w:val="auto"/>
                <w:highlight w:val="none"/>
              </w:rPr>
            </w:pPr>
            <w:r>
              <w:rPr>
                <w:rFonts w:hint="eastAsia"/>
                <w:color w:val="auto"/>
                <w:highlight w:val="none"/>
                <w:lang w:val="en-US" w:eastAsia="zh-CN"/>
              </w:rPr>
              <w:t>5.劳动定员及工作</w:t>
            </w:r>
            <w:r>
              <w:rPr>
                <w:rFonts w:hint="default"/>
                <w:color w:val="auto"/>
                <w:highlight w:val="none"/>
              </w:rPr>
              <w:t>制度</w:t>
            </w:r>
          </w:p>
          <w:p>
            <w:pPr>
              <w:pStyle w:val="48"/>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本项目劳动定员为6人，建设周期为2027年7月1日-2027年8月5日，其中施工期6天，勘查期30天，采取8小时工作制。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0"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总平面及现场布置</w:t>
            </w:r>
          </w:p>
        </w:tc>
        <w:tc>
          <w:tcPr>
            <w:tcW w:w="7812" w:type="dxa"/>
            <w:noWrap w:val="0"/>
            <w:vAlign w:val="center"/>
          </w:tcPr>
          <w:p>
            <w:pPr>
              <w:pStyle w:val="48"/>
              <w:keepNext w:val="0"/>
              <w:keepLines w:val="0"/>
              <w:suppressLineNumbers w:val="0"/>
              <w:bidi w:val="0"/>
              <w:spacing w:before="0" w:beforeAutospacing="0" w:after="0" w:afterAutospacing="0"/>
              <w:ind w:left="0" w:right="0"/>
              <w:rPr>
                <w:rFonts w:hint="eastAsia"/>
                <w:color w:val="auto"/>
                <w:lang w:val="en-US" w:eastAsia="zh-CN"/>
              </w:rPr>
            </w:pPr>
            <w:r>
              <w:rPr>
                <w:rFonts w:hint="eastAsia"/>
                <w:lang w:val="en-US" w:eastAsia="zh-CN"/>
              </w:rPr>
              <w:t>工程</w:t>
            </w:r>
            <w:r>
              <w:rPr>
                <w:rFonts w:hint="default"/>
                <w:lang w:val="en-US" w:eastAsia="zh-CN"/>
              </w:rPr>
              <w:t>布置应综合考虑工程规模、施工方案及工期、造价等因素，按照因地制宜、因时制宜、有利生产、方便生活、易于管理、安全可靠的原则，在满足环保与水</w:t>
            </w:r>
            <w:r>
              <w:rPr>
                <w:rFonts w:hint="default"/>
                <w:color w:val="auto"/>
                <w:lang w:val="en-US" w:eastAsia="zh-CN"/>
              </w:rPr>
              <w:t>保要求的条件下布置施工场地。</w:t>
            </w:r>
          </w:p>
          <w:p>
            <w:pPr>
              <w:pStyle w:val="48"/>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1、生活营地</w:t>
            </w:r>
          </w:p>
          <w:p>
            <w:pPr>
              <w:pStyle w:val="4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color w:val="auto"/>
                <w:lang w:val="en-US" w:eastAsia="zh-CN"/>
              </w:rPr>
            </w:pPr>
            <w:r>
              <w:rPr>
                <w:rFonts w:hint="eastAsia"/>
                <w:color w:val="auto"/>
                <w:lang w:val="en-US" w:eastAsia="zh-CN"/>
              </w:rPr>
              <w:t>本项目在矿区内设置一个临时生活营地搭建帐篷，占地面积共100m</w:t>
            </w:r>
            <w:r>
              <w:rPr>
                <w:rFonts w:hint="eastAsia"/>
                <w:color w:val="auto"/>
                <w:vertAlign w:val="superscript"/>
                <w:lang w:val="en-US" w:eastAsia="zh-CN"/>
              </w:rPr>
              <w:t>2</w:t>
            </w:r>
            <w:r>
              <w:rPr>
                <w:rFonts w:hint="eastAsia"/>
                <w:color w:val="auto"/>
                <w:lang w:val="en-US" w:eastAsia="zh-CN"/>
              </w:rPr>
              <w:t>，布置在地势平缓植被稀疏处，探矿工作结束后对临时生活营地进行拆除和恢复。</w:t>
            </w:r>
          </w:p>
          <w:p>
            <w:pPr>
              <w:pStyle w:val="48"/>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2、柴油贮存点</w:t>
            </w:r>
          </w:p>
          <w:p>
            <w:pPr>
              <w:pStyle w:val="48"/>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在生活营地内设置一处10m</w:t>
            </w:r>
            <w:r>
              <w:rPr>
                <w:rFonts w:hint="eastAsia"/>
                <w:color w:val="auto"/>
                <w:vertAlign w:val="superscript"/>
                <w:lang w:val="en-US" w:eastAsia="zh-CN"/>
              </w:rPr>
              <w:t>2</w:t>
            </w:r>
            <w:r>
              <w:rPr>
                <w:rFonts w:hint="eastAsia"/>
                <w:color w:val="auto"/>
                <w:lang w:val="en-US" w:eastAsia="zh-CN"/>
              </w:rPr>
              <w:t>的柴油贮存点，采用防渗柴油桶盛装并置于防渗托盘上，贮存点做好防日晒、防雨淋、防渗漏等措施。</w:t>
            </w:r>
          </w:p>
          <w:p>
            <w:pPr>
              <w:pStyle w:val="48"/>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3、临时堆场</w:t>
            </w:r>
          </w:p>
          <w:p>
            <w:pPr>
              <w:pStyle w:val="48"/>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highlight w:val="none"/>
                <w:lang w:val="en-US" w:eastAsia="zh-CN"/>
              </w:rPr>
              <w:t>临时堆场</w:t>
            </w:r>
            <w:r>
              <w:rPr>
                <w:rFonts w:hint="eastAsia"/>
                <w:color w:val="auto"/>
                <w:highlight w:val="none"/>
                <w:lang w:val="en-US" w:eastAsia="zh-CN"/>
              </w:rPr>
              <w:t>位于</w:t>
            </w:r>
            <w:r>
              <w:rPr>
                <w:rFonts w:hint="default"/>
                <w:color w:val="auto"/>
                <w:highlight w:val="none"/>
                <w:lang w:val="en-US" w:eastAsia="zh-CN"/>
              </w:rPr>
              <w:t>槽探一侧</w:t>
            </w:r>
            <w:r>
              <w:rPr>
                <w:rFonts w:hint="eastAsia"/>
                <w:color w:val="auto"/>
                <w:highlight w:val="none"/>
                <w:lang w:val="en-US" w:eastAsia="zh-CN"/>
              </w:rPr>
              <w:t>，占地面积共300</w:t>
            </w:r>
            <w:r>
              <w:rPr>
                <w:rFonts w:hint="default"/>
                <w:color w:val="auto"/>
                <w:highlight w:val="none"/>
                <w:lang w:val="en-US" w:eastAsia="zh-CN"/>
              </w:rPr>
              <w:t>m</w:t>
            </w:r>
            <w:r>
              <w:rPr>
                <w:rFonts w:hint="default"/>
                <w:color w:val="auto"/>
                <w:highlight w:val="none"/>
                <w:vertAlign w:val="superscript"/>
                <w:lang w:val="en-US" w:eastAsia="zh-CN"/>
              </w:rPr>
              <w:t>2</w:t>
            </w:r>
            <w:r>
              <w:rPr>
                <w:rFonts w:hint="default"/>
                <w:color w:val="auto"/>
                <w:lang w:val="en-US" w:eastAsia="zh-CN"/>
              </w:rPr>
              <w:t>，堆放槽探施工产生的土石方，</w:t>
            </w:r>
            <w:r>
              <w:rPr>
                <w:rFonts w:hint="eastAsia"/>
                <w:color w:val="auto"/>
                <w:lang w:val="en-US" w:eastAsia="zh-CN"/>
              </w:rPr>
              <w:t>采用彩布条</w:t>
            </w:r>
            <w:r>
              <w:rPr>
                <w:rFonts w:hint="default"/>
                <w:color w:val="auto"/>
                <w:lang w:val="en-US" w:eastAsia="zh-CN"/>
              </w:rPr>
              <w:t>苫盖，用于后期恢复</w:t>
            </w:r>
            <w:r>
              <w:rPr>
                <w:rFonts w:hint="eastAsia"/>
                <w:color w:val="auto"/>
                <w:lang w:val="en-US" w:eastAsia="zh-CN"/>
              </w:rPr>
              <w:t>。</w:t>
            </w:r>
          </w:p>
          <w:p>
            <w:pPr>
              <w:pStyle w:val="48"/>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4、勘探工程</w:t>
            </w:r>
          </w:p>
          <w:p>
            <w:pPr>
              <w:pStyle w:val="4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color w:val="auto"/>
                <w:highlight w:val="none"/>
                <w:lang w:val="en-US" w:eastAsia="zh-CN"/>
              </w:rPr>
            </w:pPr>
            <w:r>
              <w:rPr>
                <w:rFonts w:hint="eastAsia"/>
                <w:color w:val="auto"/>
                <w:highlight w:val="none"/>
                <w:lang w:val="en-US" w:eastAsia="zh-CN"/>
              </w:rPr>
              <w:t>本项目勘查工作布设</w:t>
            </w:r>
            <w:r>
              <w:rPr>
                <w:rFonts w:hint="default"/>
                <w:color w:val="auto"/>
                <w:highlight w:val="none"/>
                <w:lang w:val="en-US" w:eastAsia="zh-CN"/>
              </w:rPr>
              <w:t>探槽</w:t>
            </w:r>
            <w:r>
              <w:rPr>
                <w:rFonts w:hint="eastAsia"/>
                <w:color w:val="auto"/>
                <w:highlight w:val="none"/>
                <w:lang w:val="en-US" w:eastAsia="zh-CN"/>
              </w:rPr>
              <w:t>总工作量300m</w:t>
            </w:r>
            <w:r>
              <w:rPr>
                <w:rFonts w:hint="eastAsia"/>
                <w:color w:val="auto"/>
                <w:highlight w:val="none"/>
                <w:vertAlign w:val="superscript"/>
                <w:lang w:val="en-US" w:eastAsia="zh-CN"/>
              </w:rPr>
              <w:t>3</w:t>
            </w:r>
            <w:r>
              <w:rPr>
                <w:rFonts w:hint="eastAsia"/>
                <w:color w:val="auto"/>
                <w:highlight w:val="none"/>
                <w:lang w:val="en-US" w:eastAsia="zh-CN"/>
              </w:rPr>
              <w:t>，探槽施工深度一般2-3米，本项目按2米计，故探槽占地150m</w:t>
            </w:r>
            <w:r>
              <w:rPr>
                <w:rFonts w:hint="eastAsia"/>
                <w:color w:val="auto"/>
                <w:highlight w:val="none"/>
                <w:vertAlign w:val="superscript"/>
                <w:lang w:val="en-US" w:eastAsia="zh-CN"/>
              </w:rPr>
              <w:t>2</w:t>
            </w:r>
            <w:r>
              <w:rPr>
                <w:rFonts w:hint="eastAsia"/>
                <w:color w:val="auto"/>
                <w:highlight w:val="none"/>
                <w:lang w:val="en-US" w:eastAsia="zh-CN"/>
              </w:rPr>
              <w:t>。项目共布设35个钻孔，钻孔位于探槽倾斜坡面，不额外新增占地，钻探工程所需材料利用便道随用随卸，不单设固定的施工场地。</w:t>
            </w:r>
          </w:p>
          <w:p>
            <w:pPr>
              <w:pStyle w:val="4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color w:val="auto"/>
                <w:highlight w:val="none"/>
                <w:lang w:val="en-US" w:eastAsia="zh-CN"/>
              </w:rPr>
            </w:pPr>
            <w:r>
              <w:rPr>
                <w:rFonts w:hint="eastAsia"/>
                <w:color w:val="auto"/>
                <w:highlight w:val="none"/>
                <w:lang w:val="en-US" w:eastAsia="zh-CN"/>
              </w:rPr>
              <w:t>本项目设置1个3m</w:t>
            </w:r>
            <w:r>
              <w:rPr>
                <w:rFonts w:hint="eastAsia"/>
                <w:color w:val="auto"/>
                <w:highlight w:val="none"/>
                <w:vertAlign w:val="superscript"/>
                <w:lang w:val="en-US" w:eastAsia="zh-CN"/>
              </w:rPr>
              <w:t>3</w:t>
            </w:r>
            <w:r>
              <w:rPr>
                <w:rFonts w:hint="eastAsia"/>
                <w:color w:val="auto"/>
                <w:highlight w:val="none"/>
                <w:lang w:val="en-US" w:eastAsia="zh-CN"/>
              </w:rPr>
              <w:t>移动式泥浆沉淀池和1个5m</w:t>
            </w:r>
            <w:r>
              <w:rPr>
                <w:rFonts w:hint="eastAsia"/>
                <w:color w:val="auto"/>
                <w:highlight w:val="none"/>
                <w:vertAlign w:val="superscript"/>
                <w:lang w:val="en-US" w:eastAsia="zh-CN"/>
              </w:rPr>
              <w:t>3</w:t>
            </w:r>
            <w:r>
              <w:rPr>
                <w:rFonts w:hint="eastAsia"/>
                <w:color w:val="auto"/>
                <w:highlight w:val="none"/>
                <w:vertAlign w:val="baseline"/>
                <w:lang w:val="en-US" w:eastAsia="zh-CN"/>
              </w:rPr>
              <w:t>钻井设备</w:t>
            </w:r>
            <w:r>
              <w:rPr>
                <w:rFonts w:hint="eastAsia"/>
                <w:color w:val="auto"/>
                <w:highlight w:val="none"/>
                <w:lang w:val="en-US" w:eastAsia="zh-CN"/>
              </w:rPr>
              <w:t>冲洗水沉淀池。钻探泥浆自孔口连续排出、流动性强，为实现即时收集、防止漫流渗漏，泥浆沉淀池需紧邻钻孔布设；项目共计35个钻孔，则泥浆沉淀池占地面积共为105m</w:t>
            </w:r>
            <w:r>
              <w:rPr>
                <w:rFonts w:hint="eastAsia"/>
                <w:color w:val="auto"/>
                <w:highlight w:val="none"/>
                <w:vertAlign w:val="superscript"/>
                <w:lang w:val="en-US" w:eastAsia="zh-CN"/>
              </w:rPr>
              <w:t>2</w:t>
            </w:r>
            <w:r>
              <w:rPr>
                <w:rFonts w:hint="eastAsia"/>
                <w:color w:val="auto"/>
                <w:highlight w:val="none"/>
                <w:lang w:val="en-US" w:eastAsia="zh-CN"/>
              </w:rPr>
              <w:t>，冲洗水沉淀池占地面积5m</w:t>
            </w:r>
            <w:r>
              <w:rPr>
                <w:rFonts w:hint="eastAsia"/>
                <w:color w:val="auto"/>
                <w:highlight w:val="none"/>
                <w:vertAlign w:val="superscript"/>
                <w:lang w:val="en-US" w:eastAsia="zh-CN"/>
              </w:rPr>
              <w:t>2</w:t>
            </w:r>
            <w:r>
              <w:rPr>
                <w:rFonts w:hint="eastAsia"/>
                <w:color w:val="auto"/>
                <w:highlight w:val="none"/>
                <w:lang w:val="en-US" w:eastAsia="zh-CN"/>
              </w:rPr>
              <w:t>，则沉淀池总占地面积为110m</w:t>
            </w:r>
            <w:r>
              <w:rPr>
                <w:rFonts w:hint="eastAsia"/>
                <w:color w:val="auto"/>
                <w:highlight w:val="none"/>
                <w:vertAlign w:val="superscript"/>
                <w:lang w:val="en-US" w:eastAsia="zh-CN"/>
              </w:rPr>
              <w:t>2</w:t>
            </w:r>
            <w:r>
              <w:rPr>
                <w:rFonts w:hint="eastAsia"/>
                <w:color w:val="auto"/>
                <w:highlight w:val="none"/>
                <w:lang w:val="en-US" w:eastAsia="zh-CN"/>
              </w:rPr>
              <w:t>。</w:t>
            </w:r>
          </w:p>
          <w:p>
            <w:pPr>
              <w:pStyle w:val="4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本项目占地类型一览表见下表。</w:t>
            </w:r>
          </w:p>
          <w:p>
            <w:pPr>
              <w:pStyle w:val="52"/>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表2-</w:t>
            </w:r>
            <w:r>
              <w:rPr>
                <w:rFonts w:hint="eastAsia"/>
                <w:lang w:val="en-US" w:eastAsia="zh-CN"/>
              </w:rPr>
              <w:t>5</w:t>
            </w:r>
            <w:r>
              <w:rPr>
                <w:rFonts w:hint="default"/>
                <w:lang w:val="en-US" w:eastAsia="zh-CN"/>
              </w:rPr>
              <w:t xml:space="preserve">    项目占地类型一览表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
              <w:gridCol w:w="1470"/>
              <w:gridCol w:w="1162"/>
              <w:gridCol w:w="1785"/>
              <w:gridCol w:w="1313"/>
              <w:gridCol w:w="14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23" w:type="pct"/>
                  <w:gridSpan w:val="2"/>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名称</w:t>
                  </w:r>
                </w:p>
              </w:tc>
              <w:tc>
                <w:tcPr>
                  <w:tcW w:w="766" w:type="pct"/>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占地面积（m</w:t>
                  </w:r>
                  <w:r>
                    <w:rPr>
                      <w:rFonts w:hint="default"/>
                      <w:color w:val="auto"/>
                      <w:highlight w:val="none"/>
                      <w:vertAlign w:val="superscript"/>
                      <w:lang w:val="en-US" w:eastAsia="zh-CN"/>
                    </w:rPr>
                    <w:t>2</w:t>
                  </w:r>
                  <w:r>
                    <w:rPr>
                      <w:rFonts w:hint="default"/>
                      <w:color w:val="auto"/>
                      <w:highlight w:val="none"/>
                      <w:lang w:val="en-US" w:eastAsia="zh-CN"/>
                    </w:rPr>
                    <w:t>）</w:t>
                  </w:r>
                </w:p>
              </w:tc>
              <w:tc>
                <w:tcPr>
                  <w:tcW w:w="1176" w:type="pct"/>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占地类型</w:t>
                  </w:r>
                </w:p>
              </w:tc>
              <w:tc>
                <w:tcPr>
                  <w:tcW w:w="865" w:type="pct"/>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占地性质</w:t>
                  </w:r>
                </w:p>
              </w:tc>
              <w:tc>
                <w:tcPr>
                  <w:tcW w:w="967" w:type="pct"/>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223" w:type="pct"/>
                  <w:gridSpan w:val="2"/>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探矿权范围</w:t>
                  </w:r>
                </w:p>
              </w:tc>
              <w:tc>
                <w:tcPr>
                  <w:tcW w:w="766" w:type="pct"/>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15048000</w:t>
                  </w:r>
                </w:p>
              </w:tc>
              <w:tc>
                <w:tcPr>
                  <w:tcW w:w="1176" w:type="pct"/>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低覆盖度草地、中覆盖度草地、裸岩石砾地</w:t>
                  </w:r>
                </w:p>
              </w:tc>
              <w:tc>
                <w:tcPr>
                  <w:tcW w:w="865" w:type="pct"/>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临时占地</w:t>
                  </w:r>
                </w:p>
              </w:tc>
              <w:tc>
                <w:tcPr>
                  <w:tcW w:w="967" w:type="pct"/>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254" w:type="pct"/>
                  <w:vMerge w:val="restart"/>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其中</w:t>
                  </w:r>
                </w:p>
              </w:tc>
              <w:tc>
                <w:tcPr>
                  <w:tcW w:w="969" w:type="pct"/>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槽探区</w:t>
                  </w:r>
                </w:p>
              </w:tc>
              <w:tc>
                <w:tcPr>
                  <w:tcW w:w="766" w:type="pct"/>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150</w:t>
                  </w:r>
                </w:p>
              </w:tc>
              <w:tc>
                <w:tcPr>
                  <w:tcW w:w="1176" w:type="pct"/>
                  <w:noWrap w:val="0"/>
                  <w:vAlign w:val="center"/>
                </w:tcPr>
                <w:p>
                  <w:pPr>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eastAsia"/>
                      <w:color w:val="auto"/>
                      <w:highlight w:val="none"/>
                      <w:lang w:val="en-US" w:eastAsia="zh-CN"/>
                    </w:rPr>
                    <w:t>低覆盖度草地、中覆盖度草地</w:t>
                  </w:r>
                </w:p>
              </w:tc>
              <w:tc>
                <w:tcPr>
                  <w:tcW w:w="865" w:type="pct"/>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临时占地</w:t>
                  </w:r>
                </w:p>
              </w:tc>
              <w:tc>
                <w:tcPr>
                  <w:tcW w:w="967" w:type="pct"/>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r>
                    <w:rPr>
                      <w:rFonts w:hint="default"/>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254" w:type="pct"/>
                  <w:vMerge w:val="continue"/>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p>
              </w:tc>
              <w:tc>
                <w:tcPr>
                  <w:tcW w:w="969" w:type="pct"/>
                  <w:noWrap w:val="0"/>
                  <w:vAlign w:val="center"/>
                </w:tcPr>
                <w:p>
                  <w:pPr>
                    <w:pStyle w:val="54"/>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钻探施工</w:t>
                  </w:r>
                </w:p>
              </w:tc>
              <w:tc>
                <w:tcPr>
                  <w:tcW w:w="766" w:type="pct"/>
                  <w:noWrap w:val="0"/>
                  <w:vAlign w:val="center"/>
                </w:tcPr>
                <w:p>
                  <w:pPr>
                    <w:pStyle w:val="54"/>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w:t>
                  </w:r>
                </w:p>
              </w:tc>
              <w:tc>
                <w:tcPr>
                  <w:tcW w:w="1176" w:type="pct"/>
                  <w:noWrap w:val="0"/>
                  <w:vAlign w:val="center"/>
                </w:tcPr>
                <w:p>
                  <w:pPr>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低覆盖度草地、中覆盖度草地</w:t>
                  </w:r>
                </w:p>
              </w:tc>
              <w:tc>
                <w:tcPr>
                  <w:tcW w:w="865" w:type="pct"/>
                  <w:noWrap w:val="0"/>
                  <w:vAlign w:val="center"/>
                </w:tcPr>
                <w:p>
                  <w:pPr>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szCs w:val="21"/>
                      <w:highlight w:val="none"/>
                    </w:rPr>
                    <w:t>临时占地</w:t>
                  </w:r>
                </w:p>
              </w:tc>
              <w:tc>
                <w:tcPr>
                  <w:tcW w:w="967" w:type="pct"/>
                  <w:noWrap w:val="0"/>
                  <w:vAlign w:val="center"/>
                </w:tcPr>
                <w:p>
                  <w:pPr>
                    <w:pStyle w:val="54"/>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szCs w:val="21"/>
                      <w:highlight w:val="none"/>
                      <w:lang w:val="en-US" w:eastAsia="zh-CN"/>
                    </w:rPr>
                    <w:t>钻孔</w:t>
                  </w:r>
                  <w:r>
                    <w:rPr>
                      <w:rFonts w:hint="eastAsia"/>
                      <w:color w:val="auto"/>
                      <w:szCs w:val="21"/>
                      <w:highlight w:val="none"/>
                    </w:rPr>
                    <w:t>位于探槽倾斜坡面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254" w:type="pct"/>
                  <w:vMerge w:val="continue"/>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p>
              </w:tc>
              <w:tc>
                <w:tcPr>
                  <w:tcW w:w="969" w:type="pct"/>
                  <w:noWrap w:val="0"/>
                  <w:vAlign w:val="center"/>
                </w:tcPr>
                <w:p>
                  <w:pPr>
                    <w:pStyle w:val="54"/>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沉淀池</w:t>
                  </w:r>
                </w:p>
              </w:tc>
              <w:tc>
                <w:tcPr>
                  <w:tcW w:w="766" w:type="pct"/>
                  <w:noWrap w:val="0"/>
                  <w:vAlign w:val="center"/>
                </w:tcPr>
                <w:p>
                  <w:pPr>
                    <w:pStyle w:val="54"/>
                    <w:keepNext w:val="0"/>
                    <w:keepLines w:val="0"/>
                    <w:suppressLineNumbers w:val="0"/>
                    <w:bidi w:val="0"/>
                    <w:spacing w:before="0" w:beforeAutospacing="0" w:after="0" w:afterAutospacing="0"/>
                    <w:ind w:left="0" w:right="0"/>
                    <w:jc w:val="center"/>
                    <w:rPr>
                      <w:rFonts w:hint="default"/>
                      <w:color w:val="auto"/>
                      <w:highlight w:val="none"/>
                      <w:lang w:val="en-US" w:eastAsia="zh-CN"/>
                    </w:rPr>
                  </w:pPr>
                  <w:r>
                    <w:rPr>
                      <w:rFonts w:hint="eastAsia"/>
                      <w:color w:val="auto"/>
                      <w:highlight w:val="none"/>
                      <w:lang w:val="en-US" w:eastAsia="zh-CN"/>
                    </w:rPr>
                    <w:t>110</w:t>
                  </w:r>
                </w:p>
              </w:tc>
              <w:tc>
                <w:tcPr>
                  <w:tcW w:w="1176" w:type="pct"/>
                  <w:noWrap w:val="0"/>
                  <w:vAlign w:val="center"/>
                </w:tcPr>
                <w:p>
                  <w:pPr>
                    <w:keepNext w:val="0"/>
                    <w:keepLines w:val="0"/>
                    <w:suppressLineNumbers w:val="0"/>
                    <w:bidi w:val="0"/>
                    <w:spacing w:before="0" w:beforeAutospacing="0" w:after="0" w:afterAutospacing="0"/>
                    <w:ind w:left="0" w:right="0"/>
                    <w:jc w:val="center"/>
                    <w:rPr>
                      <w:rFonts w:hint="eastAsia" w:cs="Times New Roman"/>
                      <w:color w:val="auto"/>
                      <w:kern w:val="0"/>
                      <w:szCs w:val="21"/>
                      <w:highlight w:val="none"/>
                      <w:lang w:val="en-US" w:eastAsia="zh-CN"/>
                    </w:rPr>
                  </w:pPr>
                  <w:r>
                    <w:rPr>
                      <w:rFonts w:hint="eastAsia"/>
                      <w:color w:val="auto"/>
                      <w:highlight w:val="none"/>
                      <w:lang w:val="en-US" w:eastAsia="zh-CN"/>
                    </w:rPr>
                    <w:t>低覆盖度草地、中覆盖度草地</w:t>
                  </w:r>
                </w:p>
              </w:tc>
              <w:tc>
                <w:tcPr>
                  <w:tcW w:w="865" w:type="pct"/>
                  <w:noWrap w:val="0"/>
                  <w:vAlign w:val="center"/>
                </w:tcPr>
                <w:p>
                  <w:pPr>
                    <w:keepNext w:val="0"/>
                    <w:keepLines w:val="0"/>
                    <w:suppressLineNumbers w:val="0"/>
                    <w:bidi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临时占地</w:t>
                  </w:r>
                </w:p>
              </w:tc>
              <w:tc>
                <w:tcPr>
                  <w:tcW w:w="967" w:type="pct"/>
                  <w:noWrap w:val="0"/>
                  <w:vAlign w:val="center"/>
                </w:tcPr>
                <w:p>
                  <w:pPr>
                    <w:pStyle w:val="54"/>
                    <w:keepNext w:val="0"/>
                    <w:keepLines w:val="0"/>
                    <w:suppressLineNumbers w:val="0"/>
                    <w:bidi w:val="0"/>
                    <w:spacing w:before="0" w:beforeAutospacing="0" w:after="0" w:afterAutospacing="0"/>
                    <w:ind w:left="0" w:right="0"/>
                    <w:jc w:val="center"/>
                    <w:rPr>
                      <w:rFonts w:hint="default"/>
                      <w:color w:val="auto"/>
                      <w:szCs w:val="21"/>
                      <w:highlight w:val="none"/>
                      <w:lang w:val="en-US" w:eastAsia="zh-CN"/>
                    </w:rPr>
                  </w:pPr>
                  <w:r>
                    <w:rPr>
                      <w:rFonts w:hint="eastAsia"/>
                      <w:color w:val="auto"/>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254" w:type="pct"/>
                  <w:vMerge w:val="continue"/>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lang w:val="en-US" w:eastAsia="zh-CN"/>
                    </w:rPr>
                  </w:pPr>
                </w:p>
              </w:tc>
              <w:tc>
                <w:tcPr>
                  <w:tcW w:w="969"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2"/>
                      <w:sz w:val="21"/>
                      <w:szCs w:val="21"/>
                      <w:highlight w:val="none"/>
                      <w:lang w:val="en-US" w:eastAsia="zh-CN" w:bidi="ar-SA"/>
                    </w:rPr>
                  </w:pPr>
                  <w:r>
                    <w:rPr>
                      <w:rFonts w:hint="default"/>
                      <w:color w:val="auto"/>
                      <w:highlight w:val="none"/>
                      <w:lang w:val="en-US" w:eastAsia="zh-CN"/>
                    </w:rPr>
                    <w:t>临时堆场</w:t>
                  </w:r>
                </w:p>
              </w:tc>
              <w:tc>
                <w:tcPr>
                  <w:tcW w:w="766"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300</w:t>
                  </w:r>
                </w:p>
              </w:tc>
              <w:tc>
                <w:tcPr>
                  <w:tcW w:w="1176" w:type="pct"/>
                  <w:shd w:val="clear" w:color="auto" w:fill="auto"/>
                  <w:noWrap w:val="0"/>
                  <w:vAlign w:val="center"/>
                </w:tcPr>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低覆盖度草地、中覆盖度草地</w:t>
                  </w:r>
                </w:p>
              </w:tc>
              <w:tc>
                <w:tcPr>
                  <w:tcW w:w="865"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2"/>
                      <w:sz w:val="21"/>
                      <w:szCs w:val="21"/>
                      <w:highlight w:val="none"/>
                      <w:lang w:val="en-US" w:eastAsia="zh-CN" w:bidi="ar-SA"/>
                    </w:rPr>
                  </w:pPr>
                  <w:r>
                    <w:rPr>
                      <w:rFonts w:hint="default"/>
                      <w:color w:val="auto"/>
                      <w:highlight w:val="none"/>
                      <w:lang w:val="en-US" w:eastAsia="zh-CN"/>
                    </w:rPr>
                    <w:t>临时占地</w:t>
                  </w:r>
                </w:p>
              </w:tc>
              <w:tc>
                <w:tcPr>
                  <w:tcW w:w="967"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2"/>
                      <w:sz w:val="21"/>
                      <w:szCs w:val="21"/>
                      <w:highlight w:val="none"/>
                      <w:lang w:val="en-US" w:eastAsia="zh-CN" w:bidi="ar-SA"/>
                    </w:rPr>
                  </w:pPr>
                  <w:r>
                    <w:rPr>
                      <w:rFonts w:hint="default"/>
                      <w:color w:val="auto"/>
                      <w:highlight w:val="none"/>
                      <w:lang w:val="en-US" w:eastAsia="zh-CN"/>
                    </w:rPr>
                    <w:t>位于探槽</w:t>
                  </w:r>
                  <w:r>
                    <w:rPr>
                      <w:rFonts w:hint="eastAsia"/>
                      <w:color w:val="auto"/>
                      <w:highlight w:val="none"/>
                      <w:lang w:val="en-US" w:eastAsia="zh-CN"/>
                    </w:rPr>
                    <w:t>一</w:t>
                  </w:r>
                  <w:r>
                    <w:rPr>
                      <w:rFonts w:hint="default"/>
                      <w:color w:val="auto"/>
                      <w:highlight w:val="none"/>
                      <w:lang w:val="en-US" w:eastAsia="zh-CN"/>
                    </w:rPr>
                    <w:t>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54" w:type="pct"/>
                  <w:vMerge w:val="continue"/>
                  <w:shd w:val="clear" w:color="auto" w:fill="auto"/>
                  <w:noWrap w:val="0"/>
                  <w:vAlign w:val="center"/>
                </w:tcPr>
                <w:p>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宋体"/>
                      <w:color w:val="auto"/>
                      <w:kern w:val="0"/>
                      <w:sz w:val="21"/>
                      <w:szCs w:val="21"/>
                      <w:highlight w:val="none"/>
                      <w:lang w:val="en-US" w:eastAsia="zh-CN" w:bidi="ar-SA"/>
                    </w:rPr>
                  </w:pPr>
                </w:p>
              </w:tc>
              <w:tc>
                <w:tcPr>
                  <w:tcW w:w="969" w:type="pct"/>
                  <w:shd w:val="clear" w:color="auto" w:fill="auto"/>
                  <w:noWrap w:val="0"/>
                  <w:vAlign w:val="center"/>
                </w:tcPr>
                <w:p>
                  <w:pPr>
                    <w:pStyle w:val="54"/>
                    <w:keepNext w:val="0"/>
                    <w:keepLines w:val="0"/>
                    <w:suppressLineNumbers w:val="0"/>
                    <w:bidi w:val="0"/>
                    <w:spacing w:before="0" w:beforeAutospacing="0" w:after="0" w:afterAutospacing="0"/>
                    <w:ind w:left="0" w:right="0"/>
                    <w:jc w:val="center"/>
                    <w:rPr>
                      <w:rFonts w:hint="eastAsia" w:ascii="Times New Roman" w:hAnsi="Times New Roman" w:cs="Times New Roman"/>
                      <w:color w:val="auto"/>
                      <w:kern w:val="0"/>
                      <w:szCs w:val="21"/>
                      <w:highlight w:val="none"/>
                      <w:lang w:eastAsia="zh-CN"/>
                    </w:rPr>
                  </w:pPr>
                  <w:r>
                    <w:rPr>
                      <w:rFonts w:hint="eastAsia" w:ascii="Times New Roman" w:hAnsi="Times New Roman" w:cs="Times New Roman"/>
                      <w:color w:val="auto"/>
                      <w:kern w:val="0"/>
                      <w:szCs w:val="21"/>
                      <w:highlight w:val="none"/>
                      <w:lang w:eastAsia="zh-CN"/>
                    </w:rPr>
                    <w:t>生活营地</w:t>
                  </w:r>
                </w:p>
              </w:tc>
              <w:tc>
                <w:tcPr>
                  <w:tcW w:w="766" w:type="pct"/>
                  <w:shd w:val="clear" w:color="auto" w:fill="auto"/>
                  <w:noWrap w:val="0"/>
                  <w:vAlign w:val="center"/>
                </w:tcPr>
                <w:p>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宋体"/>
                      <w:color w:val="auto"/>
                      <w:kern w:val="0"/>
                      <w:sz w:val="21"/>
                      <w:szCs w:val="21"/>
                      <w:highlight w:val="none"/>
                      <w:lang w:val="en-US" w:eastAsia="zh-CN" w:bidi="ar-SA"/>
                    </w:rPr>
                  </w:pPr>
                  <w:r>
                    <w:rPr>
                      <w:rFonts w:hint="eastAsia" w:cs="宋体"/>
                      <w:color w:val="auto"/>
                      <w:kern w:val="0"/>
                      <w:sz w:val="21"/>
                      <w:szCs w:val="21"/>
                      <w:highlight w:val="none"/>
                      <w:lang w:val="en-US" w:eastAsia="zh-CN" w:bidi="ar-SA"/>
                    </w:rPr>
                    <w:t>100</w:t>
                  </w:r>
                </w:p>
              </w:tc>
              <w:tc>
                <w:tcPr>
                  <w:tcW w:w="1176" w:type="pct"/>
                  <w:shd w:val="clear" w:color="auto" w:fill="auto"/>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裸岩石砾地</w:t>
                  </w:r>
                </w:p>
              </w:tc>
              <w:tc>
                <w:tcPr>
                  <w:tcW w:w="865" w:type="pct"/>
                  <w:shd w:val="clear" w:color="auto" w:fill="auto"/>
                  <w:noWrap w:val="0"/>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kern w:val="2"/>
                      <w:sz w:val="21"/>
                      <w:szCs w:val="24"/>
                      <w:highlight w:val="none"/>
                      <w:lang w:val="en-US" w:eastAsia="zh-CN" w:bidi="ar-SA"/>
                    </w:rPr>
                  </w:pPr>
                  <w:r>
                    <w:rPr>
                      <w:rFonts w:hint="eastAsia"/>
                      <w:color w:val="auto"/>
                      <w:szCs w:val="21"/>
                      <w:highlight w:val="none"/>
                    </w:rPr>
                    <w:t>临时占地</w:t>
                  </w:r>
                </w:p>
              </w:tc>
              <w:tc>
                <w:tcPr>
                  <w:tcW w:w="967" w:type="pct"/>
                  <w:shd w:val="clear" w:color="auto" w:fill="auto"/>
                  <w:noWrap w:val="0"/>
                  <w:vAlign w:val="center"/>
                </w:tcPr>
                <w:p>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宋体"/>
                      <w:color w:val="auto"/>
                      <w:kern w:val="0"/>
                      <w:sz w:val="21"/>
                      <w:szCs w:val="21"/>
                      <w:highlight w:val="none"/>
                      <w:lang w:val="en-US" w:eastAsia="zh-CN" w:bidi="ar-SA"/>
                    </w:rPr>
                  </w:pPr>
                  <w:r>
                    <w:rPr>
                      <w:rFonts w:hint="eastAsia" w:cs="宋体"/>
                      <w:color w:val="auto"/>
                      <w:kern w:val="0"/>
                      <w:sz w:val="21"/>
                      <w:szCs w:val="21"/>
                      <w:highlight w:val="none"/>
                      <w:lang w:val="en-US" w:eastAsia="zh-CN" w:bidi="ar-SA"/>
                    </w:rPr>
                    <w:t>/</w:t>
                  </w:r>
                </w:p>
              </w:tc>
            </w:tr>
          </w:tbl>
          <w:p>
            <w:pPr>
              <w:pStyle w:val="48"/>
              <w:keepNext w:val="0"/>
              <w:keepLines w:val="0"/>
              <w:suppressLineNumbers w:val="0"/>
              <w:bidi w:val="0"/>
              <w:spacing w:before="0" w:beforeAutospacing="0" w:after="0" w:afterAutospacing="0"/>
              <w:ind w:left="0" w:leftChars="0" w:right="0" w:firstLine="0" w:firstLineChars="0"/>
              <w:rPr>
                <w:rFonts w:hint="default"/>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0"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施工方案</w:t>
            </w:r>
          </w:p>
        </w:tc>
        <w:tc>
          <w:tcPr>
            <w:tcW w:w="7812" w:type="dxa"/>
            <w:noWrap w:val="0"/>
            <w:vAlign w:val="center"/>
          </w:tcPr>
          <w:p>
            <w:pPr>
              <w:pStyle w:val="50"/>
              <w:keepNext w:val="0"/>
              <w:keepLines w:val="0"/>
              <w:suppressLineNumbers w:val="0"/>
              <w:bidi w:val="0"/>
              <w:spacing w:before="0" w:beforeAutospacing="0" w:after="0" w:afterAutospacing="0"/>
              <w:ind w:left="0" w:right="0"/>
              <w:rPr>
                <w:rFonts w:hint="default"/>
                <w:color w:val="auto"/>
                <w:lang w:val="en-US" w:eastAsia="zh-CN"/>
              </w:rPr>
            </w:pPr>
            <w:r>
              <w:rPr>
                <w:rFonts w:hint="eastAsia"/>
                <w:lang w:val="en-US" w:eastAsia="zh-CN"/>
              </w:rPr>
              <w:t>1</w:t>
            </w:r>
            <w:r>
              <w:rPr>
                <w:rFonts w:hint="eastAsia"/>
                <w:color w:val="auto"/>
                <w:lang w:val="en-US" w:eastAsia="zh-CN"/>
              </w:rPr>
              <w:t>.总体工作部署</w:t>
            </w:r>
          </w:p>
          <w:p>
            <w:pPr>
              <w:pStyle w:val="50"/>
              <w:keepNext w:val="0"/>
              <w:keepLines w:val="0"/>
              <w:suppressLineNumbers w:val="0"/>
              <w:bidi w:val="0"/>
              <w:spacing w:before="0" w:beforeAutospacing="0" w:after="0" w:afterAutospacing="0"/>
              <w:ind w:left="0" w:right="0"/>
              <w:rPr>
                <w:rFonts w:hint="default"/>
                <w:highlight w:val="green"/>
                <w:lang w:val="en-US" w:eastAsia="zh-CN"/>
              </w:rPr>
            </w:pPr>
            <w:r>
              <w:rPr>
                <w:rFonts w:hint="eastAsia"/>
                <w:color w:val="auto"/>
                <w:lang w:val="en-US" w:eastAsia="zh-CN"/>
              </w:rPr>
              <w:t>1.1</w:t>
            </w:r>
            <w:r>
              <w:rPr>
                <w:rFonts w:hint="eastAsia"/>
                <w:color w:val="auto"/>
                <w:highlight w:val="none"/>
                <w:lang w:val="en-US" w:eastAsia="zh-CN"/>
              </w:rPr>
              <w:t>地质勘查工作</w:t>
            </w:r>
          </w:p>
          <w:p>
            <w:pPr>
              <w:pStyle w:val="48"/>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20" w:lineRule="exact"/>
              <w:ind w:left="0" w:right="0"/>
              <w:textAlignment w:val="auto"/>
              <w:rPr>
                <w:rFonts w:hint="default"/>
                <w:highlight w:val="none"/>
                <w:lang w:val="en-US" w:eastAsia="zh-CN"/>
              </w:rPr>
            </w:pPr>
            <w:r>
              <w:rPr>
                <w:rFonts w:hint="eastAsia"/>
                <w:highlight w:val="none"/>
                <w:lang w:val="en-US" w:eastAsia="zh-CN"/>
              </w:rPr>
              <w:t>（1）1︰10000地质草测</w:t>
            </w:r>
          </w:p>
          <w:p>
            <w:pPr>
              <w:pStyle w:val="4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jc w:val="both"/>
              <w:textAlignment w:val="auto"/>
              <w:rPr>
                <w:rFonts w:hint="eastAsia"/>
                <w:highlight w:val="none"/>
                <w:lang w:val="en-US" w:eastAsia="zh-CN"/>
              </w:rPr>
            </w:pPr>
            <w:r>
              <w:rPr>
                <w:rFonts w:hint="default"/>
                <w:highlight w:val="none"/>
                <w:lang w:val="en-US" w:eastAsia="zh-CN"/>
              </w:rPr>
              <w:t>针对整个</w:t>
            </w:r>
            <w:r>
              <w:rPr>
                <w:rFonts w:hint="eastAsia"/>
                <w:highlight w:val="none"/>
                <w:lang w:val="en-US" w:eastAsia="zh-CN"/>
              </w:rPr>
              <w:t>调查范围内开展1︰10000地质草测，测量面积为15.048km</w:t>
            </w:r>
            <w:r>
              <w:rPr>
                <w:rFonts w:hint="eastAsia"/>
                <w:highlight w:val="none"/>
                <w:vertAlign w:val="superscript"/>
                <w:lang w:val="en-US" w:eastAsia="zh-CN"/>
              </w:rPr>
              <w:t>2</w:t>
            </w:r>
            <w:r>
              <w:rPr>
                <w:rFonts w:hint="eastAsia"/>
                <w:highlight w:val="none"/>
                <w:lang w:val="en-US" w:eastAsia="zh-CN"/>
              </w:rPr>
              <w:t>。</w:t>
            </w:r>
          </w:p>
          <w:p>
            <w:pPr>
              <w:pStyle w:val="48"/>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20" w:lineRule="exact"/>
              <w:ind w:left="0" w:right="0"/>
              <w:textAlignment w:val="auto"/>
              <w:rPr>
                <w:rFonts w:hint="eastAsia"/>
                <w:lang w:val="en-US" w:eastAsia="zh-CN"/>
              </w:rPr>
            </w:pPr>
            <w:r>
              <w:rPr>
                <w:rFonts w:hint="eastAsia"/>
                <w:highlight w:val="none"/>
                <w:lang w:val="en-US" w:eastAsia="zh-CN"/>
              </w:rPr>
              <w:t>（2）</w:t>
            </w:r>
            <w:r>
              <w:rPr>
                <w:rFonts w:hint="eastAsia"/>
                <w:lang w:val="en-US" w:eastAsia="zh-CN"/>
              </w:rPr>
              <w:t>1:1万水工环地质调查</w:t>
            </w:r>
          </w:p>
          <w:p>
            <w:pPr>
              <w:pStyle w:val="48"/>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20" w:lineRule="exact"/>
              <w:ind w:left="0" w:right="0"/>
              <w:textAlignment w:val="auto"/>
              <w:rPr>
                <w:rFonts w:hint="eastAsia"/>
                <w:lang w:val="en-US" w:eastAsia="zh-CN"/>
              </w:rPr>
            </w:pPr>
            <w:r>
              <w:rPr>
                <w:rFonts w:hint="eastAsia"/>
                <w:lang w:val="en-US" w:eastAsia="zh-CN"/>
              </w:rPr>
              <w:t>以1∶10000比例尺为精度标准，采用综合地质测绘、地表调查、剖面测量、取样测试、简易水文观测等手段，系统查明工作区水文地质条件、工程地质条件、环境地质问题及其相互作用关系，编制相应图件与报告，为场地选址、工程设计、矿产开采、地下水开发利用及地质环境管控提供高精度基础地质依据。</w:t>
            </w:r>
          </w:p>
          <w:p>
            <w:pPr>
              <w:pStyle w:val="48"/>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20" w:lineRule="exact"/>
              <w:ind w:left="0" w:right="0"/>
              <w:textAlignment w:val="auto"/>
              <w:rPr>
                <w:rFonts w:hint="eastAsia"/>
                <w:lang w:val="en-US" w:eastAsia="zh-CN"/>
              </w:rPr>
            </w:pPr>
            <w:r>
              <w:rPr>
                <w:rFonts w:hint="eastAsia"/>
                <w:lang w:val="en-US" w:eastAsia="zh-CN"/>
              </w:rPr>
              <w:t>（3）1:2000地化剖面测量</w:t>
            </w:r>
          </w:p>
          <w:p>
            <w:pPr>
              <w:pStyle w:val="48"/>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精确获取地质信息，详细记录岩石矿物成分、地层产状及构造细节，为构建精准地质模型提供支撑。作用主要体现在矿化特征研究上，可细致剖析矿化与地质体关联，精准识别矿化蚀变带与矿脉，总结矿化规律。在勘探工程指导方面，能精准规划探槽等工程位置与方向，提升勘探效率，降低成本。</w:t>
            </w:r>
          </w:p>
          <w:p>
            <w:pPr>
              <w:pStyle w:val="48"/>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20" w:lineRule="exact"/>
              <w:ind w:left="0" w:right="0"/>
              <w:textAlignment w:val="auto"/>
              <w:rPr>
                <w:rFonts w:hint="default"/>
                <w:lang w:val="en-US" w:eastAsia="zh-CN"/>
              </w:rPr>
            </w:pPr>
            <w:r>
              <w:rPr>
                <w:rFonts w:hint="eastAsia"/>
                <w:lang w:val="en-US" w:eastAsia="zh-CN"/>
              </w:rPr>
              <w:t>（4）1:25000化探测量</w:t>
            </w:r>
          </w:p>
          <w:p>
            <w:pPr>
              <w:pStyle w:val="48"/>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20" w:lineRule="exact"/>
              <w:ind w:left="0" w:right="0"/>
              <w:textAlignment w:val="auto"/>
              <w:rPr>
                <w:rFonts w:hint="default"/>
                <w:lang w:val="en-US" w:eastAsia="zh-CN"/>
              </w:rPr>
            </w:pPr>
            <w:r>
              <w:rPr>
                <w:rFonts w:hint="eastAsia"/>
                <w:highlight w:val="none"/>
                <w:lang w:val="en-US" w:eastAsia="zh-CN"/>
              </w:rPr>
              <w:t>在探矿权工作范围内部署</w:t>
            </w:r>
            <w:r>
              <w:rPr>
                <w:rFonts w:hint="eastAsia"/>
                <w:lang w:val="en-US" w:eastAsia="zh-CN"/>
              </w:rPr>
              <w:t>1:25000化探测量，为了大致了解成矿及伴生元素含量及地球化学分布特征，圈定地球化学异常，优选找矿靶区。</w:t>
            </w:r>
          </w:p>
          <w:p>
            <w:pPr>
              <w:pStyle w:val="48"/>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w:t>
            </w:r>
            <w:r>
              <w:rPr>
                <w:rFonts w:hint="eastAsia"/>
                <w:color w:val="auto"/>
                <w:lang w:val="en-US" w:eastAsia="zh-CN"/>
              </w:rPr>
              <w:t>5</w:t>
            </w:r>
            <w:r>
              <w:rPr>
                <w:rFonts w:hint="default"/>
                <w:color w:val="auto"/>
                <w:lang w:val="en-US" w:eastAsia="zh-CN"/>
              </w:rPr>
              <w:t>）槽探</w:t>
            </w:r>
          </w:p>
          <w:p>
            <w:pPr>
              <w:pStyle w:val="48"/>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本次设计槽探工作量</w:t>
            </w:r>
            <w:r>
              <w:rPr>
                <w:rFonts w:hint="eastAsia"/>
                <w:color w:val="auto"/>
                <w:lang w:val="en-US" w:eastAsia="zh-CN"/>
              </w:rPr>
              <w:t>300</w:t>
            </w:r>
            <w:r>
              <w:rPr>
                <w:rFonts w:hint="default"/>
                <w:color w:val="auto"/>
                <w:lang w:val="en-US" w:eastAsia="zh-CN"/>
              </w:rPr>
              <w:t>立方米。用于揭露地表矿体、构造、重要地质界线，为深部钻探工程提供地质依据。</w:t>
            </w:r>
          </w:p>
          <w:p>
            <w:pPr>
              <w:pStyle w:val="48"/>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槽探施工要求：探槽槽顶开口1～1.2米，个别覆盖较厚地段开口1.5～2.0米，槽底宽度不能小于0.8米，槽底见基岩0.3米以上。槽长度的设计以达到地质目的为原则，槽底平整，两壁坡度应按土质和槽深而定，1米以内为90°；1～3米探槽在结实土层内为75～80°，在松软的土层内为60～70°，野外施工过程中以保证安全，不易坍塌为原则。</w:t>
            </w:r>
          </w:p>
          <w:p>
            <w:pPr>
              <w:pStyle w:val="48"/>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w:t>
            </w:r>
            <w:r>
              <w:rPr>
                <w:rFonts w:hint="eastAsia"/>
                <w:color w:val="auto"/>
                <w:lang w:val="en-US" w:eastAsia="zh-CN"/>
              </w:rPr>
              <w:t>6</w:t>
            </w:r>
            <w:r>
              <w:rPr>
                <w:rFonts w:hint="default"/>
                <w:color w:val="auto"/>
                <w:lang w:val="en-US" w:eastAsia="zh-CN"/>
              </w:rPr>
              <w:t>）钻探</w:t>
            </w:r>
          </w:p>
          <w:p>
            <w:pPr>
              <w:pStyle w:val="48"/>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本次设计钻探</w:t>
            </w:r>
            <w:r>
              <w:rPr>
                <w:rFonts w:hint="eastAsia"/>
                <w:color w:val="auto"/>
                <w:lang w:val="en-US" w:eastAsia="zh-CN"/>
              </w:rPr>
              <w:t>2000</w:t>
            </w:r>
            <w:r>
              <w:rPr>
                <w:rFonts w:hint="default"/>
                <w:color w:val="auto"/>
                <w:lang w:val="en-US" w:eastAsia="zh-CN"/>
              </w:rPr>
              <w:t>米，用于深部矿（化）体的控制，在充分了解矿化体（层）赋存状态、断裂、矿带分布及特征的基础上，确定钻孔位置，编写钻孔设计书。</w:t>
            </w:r>
          </w:p>
          <w:p>
            <w:pPr>
              <w:pStyle w:val="48"/>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钻探</w:t>
            </w:r>
            <w:r>
              <w:rPr>
                <w:rFonts w:hint="default"/>
                <w:color w:val="auto"/>
                <w:lang w:val="en-US" w:eastAsia="zh-CN"/>
              </w:rPr>
              <w:t>施工要求：钻孔开孔后25m测量一次倾角和方位角；直孔每钻进100m，测一次倾角和方位角；斜孔每钻进50m测一次倾角和方位角；换径、终孔、矿体顶、底板加测一次倾角和方位角；当矿体厚度小于5m时，矿体顶板与底板可只测1次；直孔每钻进100m，顶角偏斜不应超过2°；斜孔每钻进100m，方位角偏斜不应超过3°，顶角偏斜不应超过3°。有特殊需要时，按勘查设计或合同的要求执行；定向钻孔的弯曲与测量间距要求，应遵守DZ/T0054的相关规定；在有磁性干扰的地层（含矿体）中，采用不受干扰的测斜仪测斜，各种测斜仪器在使用前应经过检查和校正。</w:t>
            </w:r>
          </w:p>
          <w:p>
            <w:pPr>
              <w:pStyle w:val="48"/>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钻孔均应进行简易水文观测，每小班选择1-2回次，提钻前、下钻前各测量一次水位，间隔时间应大于5分钟。观测内容一般包括：孔内静止水位、冲洗液消耗量、涌水位置、涌水量及水头高度、漏失位置和漏失量等，钻进过程中若遇到掉块、坍塌及钻具掉落等异常现象时，应及时记录其深度以便于处理。</w:t>
            </w:r>
          </w:p>
          <w:p>
            <w:pPr>
              <w:pStyle w:val="50"/>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1.2</w:t>
            </w:r>
            <w:r>
              <w:rPr>
                <w:rFonts w:hint="default"/>
                <w:color w:val="auto"/>
                <w:lang w:val="en-US" w:eastAsia="zh-CN"/>
              </w:rPr>
              <w:t>样品采集</w:t>
            </w:r>
          </w:p>
          <w:p>
            <w:pPr>
              <w:pStyle w:val="48"/>
              <w:keepNext w:val="0"/>
              <w:keepLines w:val="0"/>
              <w:suppressLineNumbers w:val="0"/>
              <w:bidi w:val="0"/>
              <w:spacing w:before="0" w:beforeAutospacing="0" w:after="0" w:afterAutospacing="0"/>
              <w:ind w:left="0" w:right="0"/>
              <w:rPr>
                <w:rFonts w:hint="eastAsia"/>
                <w:color w:val="auto"/>
                <w:lang w:val="en-US" w:eastAsia="zh-CN"/>
              </w:rPr>
            </w:pPr>
            <w:r>
              <w:rPr>
                <w:rFonts w:hint="default"/>
                <w:color w:val="auto"/>
                <w:lang w:val="en-US" w:eastAsia="zh-CN"/>
              </w:rPr>
              <w:t>本次工作设计采取基本分析样、基岩光谱分析样等，样品合计</w:t>
            </w:r>
            <w:r>
              <w:rPr>
                <w:rFonts w:hint="eastAsia"/>
                <w:color w:val="auto"/>
                <w:lang w:val="en-US" w:eastAsia="zh-CN"/>
              </w:rPr>
              <w:t>700</w:t>
            </w:r>
            <w:r>
              <w:rPr>
                <w:rFonts w:hint="default"/>
                <w:color w:val="auto"/>
                <w:lang w:val="en-US" w:eastAsia="zh-CN"/>
              </w:rPr>
              <w:t>件。设计样品数可根据野外实际情况，以达到地质目的为原则，可</w:t>
            </w:r>
            <w:r>
              <w:rPr>
                <w:rFonts w:hint="eastAsia"/>
                <w:color w:val="auto"/>
                <w:lang w:val="en-US" w:eastAsia="zh-CN"/>
              </w:rPr>
              <w:t>做</w:t>
            </w:r>
            <w:r>
              <w:rPr>
                <w:rFonts w:hint="default"/>
                <w:color w:val="auto"/>
                <w:lang w:val="en-US" w:eastAsia="zh-CN"/>
              </w:rPr>
              <w:t>适当增减或调整。</w:t>
            </w:r>
            <w:r>
              <w:rPr>
                <w:rFonts w:hint="eastAsia"/>
                <w:color w:val="auto"/>
                <w:lang w:val="en-US" w:eastAsia="zh-CN"/>
              </w:rPr>
              <w:t>本次探矿只包含取样工作，现场不设实验室，样品测试工作交由实验室承担。</w:t>
            </w:r>
          </w:p>
          <w:p>
            <w:pPr>
              <w:pStyle w:val="50"/>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2.施工期流程简述</w:t>
            </w:r>
          </w:p>
          <w:p>
            <w:pPr>
              <w:pStyle w:val="48"/>
              <w:keepNext w:val="0"/>
              <w:keepLines w:val="0"/>
              <w:suppressLineNumbers w:val="0"/>
              <w:bidi w:val="0"/>
              <w:spacing w:before="0" w:beforeAutospacing="0" w:after="0" w:afterAutospacing="0"/>
              <w:ind w:left="0" w:right="0"/>
              <w:rPr>
                <w:rFonts w:hint="default" w:ascii="Times New Roman" w:hAnsi="Times New Roman" w:eastAsia="宋体" w:cs="宋体"/>
                <w:color w:val="auto"/>
                <w:lang w:val="en-US" w:eastAsia="zh-CN"/>
              </w:rPr>
            </w:pPr>
            <w:r>
              <w:rPr>
                <w:rFonts w:hint="default" w:ascii="Times New Roman" w:hAnsi="Times New Roman" w:eastAsia="宋体" w:cs="宋体"/>
                <w:color w:val="auto"/>
                <w:lang w:val="en-US" w:eastAsia="zh-CN"/>
              </w:rPr>
              <w:t>本项目为新建项目，施工期主要污染来自临时生活营地建设时产生的施工废气、施工扬尘、施工噪声、开挖土石方等，施工期工艺流程图及产污环节见下图。</w:t>
            </w:r>
          </w:p>
          <w:p>
            <w:pPr>
              <w:pStyle w:val="52"/>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mc:AlternateContent>
                <mc:Choice Requires="wps">
                  <w:drawing>
                    <wp:anchor distT="0" distB="0" distL="114300" distR="114300" simplePos="0" relativeHeight="251663360" behindDoc="0" locked="0" layoutInCell="1" allowOverlap="1">
                      <wp:simplePos x="0" y="0"/>
                      <wp:positionH relativeFrom="column">
                        <wp:posOffset>2609215</wp:posOffset>
                      </wp:positionH>
                      <wp:positionV relativeFrom="paragraph">
                        <wp:posOffset>690245</wp:posOffset>
                      </wp:positionV>
                      <wp:extent cx="796925" cy="252095"/>
                      <wp:effectExtent l="0" t="0" r="3175" b="14605"/>
                      <wp:wrapNone/>
                      <wp:docPr id="17" name="文本框 17"/>
                      <wp:cNvGraphicFramePr/>
                      <a:graphic xmlns:a="http://schemas.openxmlformats.org/drawingml/2006/main">
                        <a:graphicData uri="http://schemas.microsoft.com/office/word/2010/wordprocessingShape">
                          <wps:wsp>
                            <wps:cNvSpPr txBox="1"/>
                            <wps:spPr>
                              <a:xfrm>
                                <a:off x="4187190" y="1986915"/>
                                <a:ext cx="796925" cy="252095"/>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黑体" w:hAnsi="黑体" w:eastAsia="黑体" w:cs="黑体"/>
                                      <w:lang w:val="en-US" w:eastAsia="zh-CN"/>
                                    </w:rPr>
                                  </w:pPr>
                                  <w:r>
                                    <w:rPr>
                                      <w:rFonts w:hint="eastAsia" w:ascii="黑体" w:hAnsi="黑体" w:eastAsia="黑体" w:cs="黑体"/>
                                      <w:lang w:val="en-US" w:eastAsia="zh-CN"/>
                                    </w:rPr>
                                    <w:t>搭建帐篷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5.45pt;margin-top:54.35pt;height:19.85pt;width:62.75pt;z-index:251663360;mso-width-relative:page;mso-height-relative:page;" fillcolor="#FFFFFF [3212]" filled="t" stroked="f" coordsize="21600,21600" o:gfxdata="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3Dp&#10;n9YAAAALAQAADwAAAAAAAAABACAAAAAiAAAAZHJzL2Rvd25yZXYueG1sUEsBAhQAFAAAAAgAh07i&#10;QHqzeTldAgAAnAQAAA4AAAAAAAAAAQAgAAAAJQEAAGRycy9lMm9Eb2MueG1sUEsFBgAAAAAGAAYA&#10;WQEAAPQFAAAAAA==&#10;">
                      <v:fill on="t" focussize="0,0"/>
                      <v:stroke on="f" weight="0.5pt"/>
                      <v:imagedata o:title=""/>
                      <o:lock v:ext="edit" aspectratio="f"/>
                      <v:textbox>
                        <w:txbxContent>
                          <w:p>
                            <w:pPr>
                              <w:jc w:val="center"/>
                              <w:rPr>
                                <w:rFonts w:hint="eastAsia" w:ascii="黑体" w:hAnsi="黑体" w:eastAsia="黑体" w:cs="黑体"/>
                                <w:lang w:val="en-US" w:eastAsia="zh-CN"/>
                              </w:rPr>
                            </w:pPr>
                            <w:r>
                              <w:rPr>
                                <w:rFonts w:hint="eastAsia" w:ascii="黑体" w:hAnsi="黑体" w:eastAsia="黑体" w:cs="黑体"/>
                                <w:lang w:val="en-US" w:eastAsia="zh-CN"/>
                              </w:rPr>
                              <w:t>搭建帐篷</w:t>
                            </w:r>
                          </w:p>
                        </w:txbxContent>
                      </v:textbox>
                    </v:shape>
                  </w:pict>
                </mc:Fallback>
              </mc:AlternateContent>
            </w:r>
            <w:r>
              <w:rPr>
                <w:rFonts w:hint="default"/>
                <w:lang w:val="en-US" w:eastAsia="zh-CN"/>
              </w:rPr>
              <w:drawing>
                <wp:anchor distT="0" distB="0" distL="114300" distR="114300" simplePos="0" relativeHeight="251662336" behindDoc="0" locked="0" layoutInCell="1" allowOverlap="1">
                  <wp:simplePos x="0" y="0"/>
                  <wp:positionH relativeFrom="column">
                    <wp:posOffset>109855</wp:posOffset>
                  </wp:positionH>
                  <wp:positionV relativeFrom="paragraph">
                    <wp:posOffset>42545</wp:posOffset>
                  </wp:positionV>
                  <wp:extent cx="4674235" cy="989330"/>
                  <wp:effectExtent l="0" t="0" r="12065" b="1270"/>
                  <wp:wrapTopAndBottom/>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pic:cNvPicPr>
                        </pic:nvPicPr>
                        <pic:blipFill>
                          <a:blip r:embed="rId10"/>
                          <a:stretch>
                            <a:fillRect/>
                          </a:stretch>
                        </pic:blipFill>
                        <pic:spPr>
                          <a:xfrm>
                            <a:off x="0" y="0"/>
                            <a:ext cx="4674235" cy="989330"/>
                          </a:xfrm>
                          <a:prstGeom prst="rect">
                            <a:avLst/>
                          </a:prstGeom>
                          <a:noFill/>
                          <a:ln>
                            <a:noFill/>
                          </a:ln>
                        </pic:spPr>
                      </pic:pic>
                    </a:graphicData>
                  </a:graphic>
                </wp:anchor>
              </w:drawing>
            </w:r>
            <w:r>
              <w:rPr>
                <w:rFonts w:hint="default"/>
                <w:lang w:val="en-US" w:eastAsia="zh-CN"/>
              </w:rPr>
              <w:t>图2-2    生活营地建设工艺及产污环节图</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3.勘探期流程简述</w:t>
            </w:r>
          </w:p>
          <w:p>
            <w:pPr>
              <w:pStyle w:val="48"/>
              <w:keepNext w:val="0"/>
              <w:keepLines w:val="0"/>
              <w:suppressLineNumbers w:val="0"/>
              <w:bidi w:val="0"/>
              <w:spacing w:before="0" w:beforeAutospacing="0" w:after="0" w:afterAutospacing="0"/>
              <w:ind w:left="0" w:right="0"/>
              <w:rPr>
                <w:rFonts w:hint="eastAsia"/>
              </w:rPr>
            </w:pPr>
            <w:r>
              <w:rPr>
                <w:rFonts w:hint="eastAsia"/>
                <w:lang w:val="en-US" w:eastAsia="zh-CN"/>
              </w:rPr>
              <w:t>勘探期</w:t>
            </w:r>
            <w:r>
              <w:rPr>
                <w:rFonts w:hint="eastAsia"/>
              </w:rPr>
              <w:t>主要包括槽探和钻探，工程实施过程中主要污染来自槽探和钻探过程中扬尘、机械噪声、工程弃渣及工作人员生活过程中产生的生活污水和生活垃圾。</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3.1槽探</w:t>
            </w:r>
          </w:p>
          <w:p>
            <w:pPr>
              <w:pStyle w:val="5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color w:val="auto"/>
                <w:kern w:val="0"/>
                <w:szCs w:val="21"/>
              </w:rPr>
            </w:pPr>
            <w:r>
              <w:rPr>
                <w:rFonts w:hint="default" w:ascii="Times New Roman" w:hAnsi="Times New Roman" w:eastAsia="宋体" w:cs="Times New Roman"/>
                <w:b/>
                <w:color w:val="auto"/>
                <w:kern w:val="0"/>
                <w:szCs w:val="21"/>
              </w:rPr>
              <w:drawing>
                <wp:inline distT="0" distB="0" distL="114300" distR="114300">
                  <wp:extent cx="4231640" cy="1612265"/>
                  <wp:effectExtent l="0" t="0" r="16510" b="6985"/>
                  <wp:docPr id="7" name="图片 2" descr="20190509105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20190509105625"/>
                          <pic:cNvPicPr>
                            <a:picLocks noChangeAspect="1"/>
                          </pic:cNvPicPr>
                        </pic:nvPicPr>
                        <pic:blipFill>
                          <a:blip r:embed="rId11"/>
                          <a:stretch>
                            <a:fillRect/>
                          </a:stretch>
                        </pic:blipFill>
                        <pic:spPr>
                          <a:xfrm>
                            <a:off x="0" y="0"/>
                            <a:ext cx="4231640" cy="1612265"/>
                          </a:xfrm>
                          <a:prstGeom prst="rect">
                            <a:avLst/>
                          </a:prstGeom>
                          <a:noFill/>
                          <a:ln>
                            <a:noFill/>
                          </a:ln>
                        </pic:spPr>
                      </pic:pic>
                    </a:graphicData>
                  </a:graphic>
                </wp:inline>
              </w:drawing>
            </w:r>
          </w:p>
          <w:p>
            <w:pPr>
              <w:pStyle w:val="52"/>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图2-</w:t>
            </w:r>
            <w:r>
              <w:rPr>
                <w:rFonts w:hint="eastAsia"/>
                <w:lang w:val="en-US" w:eastAsia="zh-CN"/>
              </w:rPr>
              <w:t xml:space="preserve">3  </w:t>
            </w:r>
            <w:r>
              <w:rPr>
                <w:rFonts w:hint="default"/>
                <w:lang w:val="en-US" w:eastAsia="zh-CN"/>
              </w:rPr>
              <w:t xml:space="preserve">  槽探施工流程及产污环节示意图</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槽探施工首先进行表土剥离作业，接着开展槽探开挖</w:t>
            </w:r>
            <w:r>
              <w:rPr>
                <w:rFonts w:hint="eastAsia"/>
                <w:lang w:val="en-US" w:eastAsia="zh-CN"/>
              </w:rPr>
              <w:t>，该过程会产生扬尘、噪声污染；同时存在弃土，还会造成景观、植被破坏以及水土流失问题。</w:t>
            </w:r>
            <w:r>
              <w:rPr>
                <w:rFonts w:hint="default"/>
                <w:lang w:val="en-US" w:eastAsia="zh-CN"/>
              </w:rPr>
              <w:t>之后对相关内容取样、编录，最后</w:t>
            </w:r>
            <w:r>
              <w:rPr>
                <w:rFonts w:hint="eastAsia"/>
                <w:lang w:val="en-US" w:eastAsia="zh-CN"/>
              </w:rPr>
              <w:t>将土石方</w:t>
            </w:r>
            <w:r>
              <w:rPr>
                <w:rFonts w:hint="default"/>
                <w:lang w:val="en-US" w:eastAsia="zh-CN"/>
              </w:rPr>
              <w:t>回填</w:t>
            </w:r>
            <w:r>
              <w:rPr>
                <w:rFonts w:hint="eastAsia"/>
                <w:lang w:val="en-US" w:eastAsia="zh-CN"/>
              </w:rPr>
              <w:t>，回填时会</w:t>
            </w:r>
            <w:r>
              <w:rPr>
                <w:rFonts w:hint="default"/>
                <w:lang w:val="en-US" w:eastAsia="zh-CN"/>
              </w:rPr>
              <w:t>产生扬尘、噪声污染。</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剥离的表土和开挖废石分层</w:t>
            </w:r>
            <w:r>
              <w:rPr>
                <w:rFonts w:hint="default"/>
                <w:lang w:val="en-US" w:eastAsia="zh-CN"/>
              </w:rPr>
              <w:t>堆存在探槽</w:t>
            </w:r>
            <w:r>
              <w:rPr>
                <w:rFonts w:hint="eastAsia"/>
                <w:lang w:val="en-US" w:eastAsia="zh-CN"/>
              </w:rPr>
              <w:t>一</w:t>
            </w:r>
            <w:r>
              <w:rPr>
                <w:rFonts w:hint="default"/>
                <w:lang w:val="en-US" w:eastAsia="zh-CN"/>
              </w:rPr>
              <w:t>侧，</w:t>
            </w:r>
            <w:r>
              <w:rPr>
                <w:rFonts w:hint="eastAsia"/>
                <w:lang w:val="en-US" w:eastAsia="zh-CN"/>
              </w:rPr>
              <w:t>使用防风彩布条苫盖。施工结束后表土及</w:t>
            </w:r>
            <w:r>
              <w:rPr>
                <w:rFonts w:hint="default"/>
                <w:lang w:val="en-US" w:eastAsia="zh-CN"/>
              </w:rPr>
              <w:t>开挖废石全部回填探槽。</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3.2钻探</w:t>
            </w:r>
          </w:p>
          <w:p>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b/>
                <w:color w:val="auto"/>
                <w:kern w:val="0"/>
                <w:szCs w:val="21"/>
                <w:lang w:eastAsia="zh-CN"/>
              </w:rPr>
            </w:pPr>
            <w:r>
              <w:rPr>
                <w:rFonts w:hint="default"/>
                <w:sz w:val="21"/>
              </w:rPr>
              <mc:AlternateContent>
                <mc:Choice Requires="wps">
                  <w:drawing>
                    <wp:anchor distT="0" distB="0" distL="114300" distR="114300" simplePos="0" relativeHeight="251661312" behindDoc="0" locked="0" layoutInCell="1" allowOverlap="1">
                      <wp:simplePos x="0" y="0"/>
                      <wp:positionH relativeFrom="column">
                        <wp:posOffset>1515110</wp:posOffset>
                      </wp:positionH>
                      <wp:positionV relativeFrom="paragraph">
                        <wp:posOffset>516255</wp:posOffset>
                      </wp:positionV>
                      <wp:extent cx="871855" cy="362585"/>
                      <wp:effectExtent l="0" t="0" r="0" b="0"/>
                      <wp:wrapNone/>
                      <wp:docPr id="3" name="文本框 3"/>
                      <wp:cNvGraphicFramePr/>
                      <a:graphic xmlns:a="http://schemas.openxmlformats.org/drawingml/2006/main">
                        <a:graphicData uri="http://schemas.microsoft.com/office/word/2010/wordprocessingShape">
                          <wps:wsp>
                            <wps:cNvSpPr txBox="1"/>
                            <wps:spPr>
                              <a:xfrm>
                                <a:off x="3178810" y="3946525"/>
                                <a:ext cx="871855" cy="3625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200" w:lineRule="exact"/>
                                    <w:jc w:val="center"/>
                                    <w:textAlignment w:val="auto"/>
                                    <w:rPr>
                                      <w:rFonts w:hint="default" w:eastAsia="宋体"/>
                                      <w:sz w:val="18"/>
                                      <w:szCs w:val="21"/>
                                      <w:lang w:val="en-US" w:eastAsia="zh-CN"/>
                                    </w:rPr>
                                  </w:pPr>
                                  <w:r>
                                    <w:rPr>
                                      <w:rFonts w:hint="eastAsia"/>
                                      <w:sz w:val="18"/>
                                      <w:szCs w:val="21"/>
                                      <w:lang w:val="en-US" w:eastAsia="zh-CN"/>
                                    </w:rPr>
                                    <w:t>施工平台场地平整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9.3pt;margin-top:40.65pt;height:28.55pt;width:68.65pt;z-index:251661312;mso-width-relative:page;mso-height-relative:page;" filled="f" stroked="f" coordsize="21600,21600" o:gfxdata="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AKgJ82wAAAAoBAAAPAAAAAAAA&#10;AAEAIAAAACIAAABkcnMvZG93bnJldi54bWxQSwECFAAUAAAACACHTuJAc8ELpUgCAABxBAAADgAA&#10;AAAAAAABACAAAAAqAQAAZHJzL2Uyb0RvYy54bWxQSwUGAAAAAAYABgBZAQAA5AUAAAAA&#10;">
                      <v:fill on="f" focussize="0,0"/>
                      <v:stroke on="f" weight="0.5pt"/>
                      <v:imagedata o:title=""/>
                      <o:lock v:ext="edit" aspectratio="f"/>
                      <v:textbox>
                        <w:txbxContent>
                          <w:p>
                            <w:pPr>
                              <w:keepNext w:val="0"/>
                              <w:keepLines w:val="0"/>
                              <w:pageBreakBefore w:val="0"/>
                              <w:widowControl w:val="0"/>
                              <w:kinsoku/>
                              <w:wordWrap/>
                              <w:overflowPunct/>
                              <w:topLinePunct w:val="0"/>
                              <w:bidi w:val="0"/>
                              <w:adjustRightInd/>
                              <w:snapToGrid/>
                              <w:spacing w:line="200" w:lineRule="exact"/>
                              <w:jc w:val="center"/>
                              <w:textAlignment w:val="auto"/>
                              <w:rPr>
                                <w:rFonts w:hint="default" w:eastAsia="宋体"/>
                                <w:sz w:val="18"/>
                                <w:szCs w:val="21"/>
                                <w:lang w:val="en-US" w:eastAsia="zh-CN"/>
                              </w:rPr>
                            </w:pPr>
                            <w:r>
                              <w:rPr>
                                <w:rFonts w:hint="eastAsia"/>
                                <w:sz w:val="18"/>
                                <w:szCs w:val="21"/>
                                <w:lang w:val="en-US" w:eastAsia="zh-CN"/>
                              </w:rPr>
                              <w:t>施工平台场地平整</w:t>
                            </w:r>
                          </w:p>
                        </w:txbxContent>
                      </v:textbox>
                    </v:shape>
                  </w:pict>
                </mc:Fallback>
              </mc:AlternateContent>
            </w:r>
            <w:r>
              <w:rPr>
                <w:rFonts w:hint="default" w:ascii="Times New Roman" w:hAnsi="Times New Roman" w:eastAsia="宋体" w:cs="Times New Roman"/>
                <w:b/>
                <w:color w:val="auto"/>
                <w:kern w:val="0"/>
                <w:szCs w:val="21"/>
                <w:lang w:eastAsia="zh-CN"/>
              </w:rPr>
              <w:drawing>
                <wp:inline distT="0" distB="0" distL="114300" distR="114300">
                  <wp:extent cx="4208780" cy="1427480"/>
                  <wp:effectExtent l="0" t="0" r="1270" b="1270"/>
                  <wp:docPr id="8" name="图片 1" descr="20180808173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20180808173806"/>
                          <pic:cNvPicPr>
                            <a:picLocks noChangeAspect="1"/>
                          </pic:cNvPicPr>
                        </pic:nvPicPr>
                        <pic:blipFill>
                          <a:blip r:embed="rId12"/>
                          <a:srcRect b="2127"/>
                          <a:stretch>
                            <a:fillRect/>
                          </a:stretch>
                        </pic:blipFill>
                        <pic:spPr>
                          <a:xfrm>
                            <a:off x="0" y="0"/>
                            <a:ext cx="4208780" cy="1427480"/>
                          </a:xfrm>
                          <a:prstGeom prst="rect">
                            <a:avLst/>
                          </a:prstGeom>
                          <a:noFill/>
                          <a:ln>
                            <a:noFill/>
                          </a:ln>
                        </pic:spPr>
                      </pic:pic>
                    </a:graphicData>
                  </a:graphic>
                </wp:inline>
              </w:drawing>
            </w:r>
          </w:p>
          <w:p>
            <w:pPr>
              <w:pStyle w:val="52"/>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图2-</w:t>
            </w:r>
            <w:r>
              <w:rPr>
                <w:rFonts w:hint="eastAsia"/>
                <w:lang w:val="en-US" w:eastAsia="zh-CN"/>
              </w:rPr>
              <w:t xml:space="preserve">4  </w:t>
            </w:r>
            <w:r>
              <w:rPr>
                <w:rFonts w:hint="default"/>
                <w:lang w:val="en-US" w:eastAsia="zh-CN"/>
              </w:rPr>
              <w:t xml:space="preserve">  </w:t>
            </w:r>
            <w:r>
              <w:rPr>
                <w:rFonts w:hint="eastAsia"/>
                <w:lang w:val="en-US" w:eastAsia="zh-CN"/>
              </w:rPr>
              <w:t>钻探</w:t>
            </w:r>
            <w:r>
              <w:rPr>
                <w:rFonts w:hint="default"/>
                <w:lang w:val="en-US" w:eastAsia="zh-CN"/>
              </w:rPr>
              <w:t>施工流程及产污环节示意图</w:t>
            </w:r>
          </w:p>
          <w:p>
            <w:pPr>
              <w:pStyle w:val="48"/>
              <w:keepNext w:val="0"/>
              <w:keepLines w:val="0"/>
              <w:suppressLineNumbers w:val="0"/>
              <w:shd w:val="clear" w:color="auto" w:fill="auto"/>
              <w:bidi w:val="0"/>
              <w:spacing w:before="0" w:beforeAutospacing="0" w:after="0" w:afterAutospacing="0"/>
              <w:ind w:left="0" w:right="0"/>
              <w:rPr>
                <w:rFonts w:hint="default" w:ascii="Times New Roman" w:hAnsi="Times New Roman" w:eastAsia="宋体" w:cs="宋体"/>
                <w:shd w:val="clear" w:color="auto" w:fill="auto"/>
                <w:lang w:val="en-US" w:eastAsia="zh-CN"/>
              </w:rPr>
            </w:pPr>
            <w:r>
              <w:rPr>
                <w:rFonts w:hint="eastAsia" w:ascii="Times New Roman" w:hAnsi="Times New Roman" w:eastAsia="宋体" w:cs="宋体"/>
                <w:shd w:val="clear" w:color="auto" w:fill="auto"/>
                <w:lang w:val="en-US" w:eastAsia="zh-CN"/>
              </w:rPr>
              <w:t>钻探施工时先进行钻孔定位、放线，然后开展施工平台场地平整，接着依次进行井架安装、钻孔施工，之后进行岩心取样、化验分析，最后实施钻孔封堵、表土回填恢复。本项目</w:t>
            </w:r>
            <w:r>
              <w:rPr>
                <w:rFonts w:hint="default" w:ascii="Times New Roman" w:hAnsi="Times New Roman" w:eastAsia="宋体" w:cs="宋体"/>
                <w:shd w:val="clear" w:color="auto" w:fill="auto"/>
                <w:lang w:val="en-US" w:eastAsia="zh-CN"/>
              </w:rPr>
              <w:t>根据矿区矿</w:t>
            </w:r>
            <w:r>
              <w:rPr>
                <w:rFonts w:hint="eastAsia" w:ascii="Times New Roman" w:hAnsi="Times New Roman" w:eastAsia="宋体" w:cs="宋体"/>
                <w:shd w:val="clear" w:color="auto" w:fill="auto"/>
                <w:lang w:val="en-US" w:eastAsia="zh-CN"/>
              </w:rPr>
              <w:t>体</w:t>
            </w:r>
            <w:r>
              <w:rPr>
                <w:rFonts w:hint="default" w:ascii="Times New Roman" w:hAnsi="Times New Roman" w:eastAsia="宋体" w:cs="宋体"/>
                <w:shd w:val="clear" w:color="auto" w:fill="auto"/>
                <w:lang w:val="en-US" w:eastAsia="zh-CN"/>
              </w:rPr>
              <w:t>实际情况，采用机械岩心</w:t>
            </w:r>
            <w:r>
              <w:rPr>
                <w:rFonts w:hint="eastAsia" w:cs="宋体"/>
                <w:shd w:val="clear" w:color="auto" w:fill="auto"/>
                <w:lang w:val="en-US" w:eastAsia="zh-CN"/>
              </w:rPr>
              <w:t>金刚石钻头</w:t>
            </w:r>
            <w:r>
              <w:rPr>
                <w:rFonts w:hint="default" w:ascii="Times New Roman" w:hAnsi="Times New Roman" w:eastAsia="宋体" w:cs="宋体"/>
                <w:shd w:val="clear" w:color="auto" w:fill="auto"/>
                <w:lang w:val="en-US" w:eastAsia="zh-CN"/>
              </w:rPr>
              <w:t>，终孔孔径不小于75毫米，孔口下套管护壁。钻孔布设时，应坚持</w:t>
            </w:r>
            <w:r>
              <w:rPr>
                <w:rFonts w:hint="eastAsia" w:ascii="Times New Roman" w:hAnsi="Times New Roman" w:eastAsia="宋体" w:cs="宋体"/>
                <w:shd w:val="clear" w:color="auto" w:fill="auto"/>
                <w:lang w:val="en-US" w:eastAsia="zh-CN"/>
              </w:rPr>
              <w:t>“</w:t>
            </w:r>
            <w:r>
              <w:rPr>
                <w:rFonts w:hint="default" w:ascii="Times New Roman" w:hAnsi="Times New Roman" w:eastAsia="宋体" w:cs="宋体"/>
                <w:shd w:val="clear" w:color="auto" w:fill="auto"/>
                <w:lang w:val="en-US" w:eastAsia="zh-CN"/>
              </w:rPr>
              <w:t>一基多孔</w:t>
            </w:r>
            <w:r>
              <w:rPr>
                <w:rFonts w:hint="eastAsia" w:ascii="Times New Roman" w:hAnsi="Times New Roman" w:eastAsia="宋体" w:cs="宋体"/>
                <w:shd w:val="clear" w:color="auto" w:fill="auto"/>
                <w:lang w:val="en-US" w:eastAsia="zh-CN"/>
              </w:rPr>
              <w:t>”“</w:t>
            </w:r>
            <w:r>
              <w:rPr>
                <w:rFonts w:hint="default" w:ascii="Times New Roman" w:hAnsi="Times New Roman" w:eastAsia="宋体" w:cs="宋体"/>
                <w:shd w:val="clear" w:color="auto" w:fill="auto"/>
                <w:lang w:val="en-US" w:eastAsia="zh-CN"/>
              </w:rPr>
              <w:t>一孔多用</w:t>
            </w:r>
            <w:r>
              <w:rPr>
                <w:rFonts w:hint="eastAsia" w:ascii="Times New Roman" w:hAnsi="Times New Roman" w:eastAsia="宋体" w:cs="宋体"/>
                <w:shd w:val="clear" w:color="auto" w:fill="auto"/>
                <w:lang w:val="en-US" w:eastAsia="zh-CN"/>
              </w:rPr>
              <w:t>”</w:t>
            </w:r>
            <w:r>
              <w:rPr>
                <w:rFonts w:hint="default" w:ascii="Times New Roman" w:hAnsi="Times New Roman" w:eastAsia="宋体" w:cs="宋体"/>
                <w:shd w:val="clear" w:color="auto" w:fill="auto"/>
                <w:lang w:val="en-US" w:eastAsia="zh-CN"/>
              </w:rPr>
              <w:t>的原则，尽量减少钻孔机场的开挖导致的对自然地貌、自然景观的破坏。</w:t>
            </w:r>
          </w:p>
          <w:p>
            <w:pPr>
              <w:pStyle w:val="48"/>
              <w:keepNext w:val="0"/>
              <w:keepLines w:val="0"/>
              <w:suppressLineNumbers w:val="0"/>
              <w:shd w:val="clear" w:color="auto" w:fill="auto"/>
              <w:bidi w:val="0"/>
              <w:spacing w:before="0" w:beforeAutospacing="0" w:after="0" w:afterAutospacing="0"/>
              <w:ind w:left="0" w:right="0"/>
              <w:rPr>
                <w:rFonts w:hint="eastAsia" w:ascii="Times New Roman" w:hAnsi="Times New Roman" w:eastAsia="宋体" w:cs="宋体"/>
                <w:shd w:val="clear" w:color="auto" w:fill="auto"/>
                <w:lang w:val="en-US" w:eastAsia="zh-CN"/>
              </w:rPr>
            </w:pPr>
            <w:r>
              <w:rPr>
                <w:rFonts w:hint="default" w:ascii="Times New Roman" w:hAnsi="Times New Roman" w:eastAsia="宋体" w:cs="宋体"/>
                <w:shd w:val="clear" w:color="auto" w:fill="auto"/>
                <w:lang w:val="en-US" w:eastAsia="zh-CN"/>
              </w:rPr>
              <w:t>钻探施工</w:t>
            </w:r>
            <w:r>
              <w:rPr>
                <w:rFonts w:hint="eastAsia" w:cs="宋体"/>
                <w:shd w:val="clear" w:color="auto" w:fill="auto"/>
                <w:lang w:val="en-US" w:eastAsia="zh-CN"/>
              </w:rPr>
              <w:t>时</w:t>
            </w:r>
            <w:r>
              <w:rPr>
                <w:rFonts w:hint="default" w:ascii="Times New Roman" w:hAnsi="Times New Roman" w:eastAsia="宋体" w:cs="宋体"/>
                <w:shd w:val="clear" w:color="auto" w:fill="auto"/>
                <w:lang w:val="en-US" w:eastAsia="zh-CN"/>
              </w:rPr>
              <w:t>布设</w:t>
            </w:r>
            <w:r>
              <w:rPr>
                <w:rFonts w:hint="eastAsia" w:cs="宋体"/>
                <w:shd w:val="clear" w:color="auto" w:fill="auto"/>
                <w:lang w:val="en-US" w:eastAsia="zh-CN"/>
              </w:rPr>
              <w:t>移动式泥浆</w:t>
            </w:r>
            <w:r>
              <w:rPr>
                <w:rFonts w:hint="default" w:ascii="Times New Roman" w:hAnsi="Times New Roman" w:eastAsia="宋体" w:cs="宋体"/>
                <w:shd w:val="clear" w:color="auto" w:fill="auto"/>
                <w:lang w:val="en-US" w:eastAsia="zh-CN"/>
              </w:rPr>
              <w:t>沉淀池，收集处置钻井泥浆废水，废水经沉淀处理后循环回用；勘探完工后，池内剩余泥浆固化</w:t>
            </w:r>
            <w:r>
              <w:rPr>
                <w:rFonts w:hint="eastAsia" w:cs="宋体"/>
                <w:shd w:val="clear" w:color="auto" w:fill="auto"/>
                <w:lang w:val="en-US" w:eastAsia="zh-CN"/>
              </w:rPr>
              <w:t>后拉运至一般固废处置单位统一处理</w:t>
            </w:r>
            <w:r>
              <w:rPr>
                <w:rFonts w:hint="default" w:ascii="Times New Roman" w:hAnsi="Times New Roman" w:eastAsia="宋体" w:cs="宋体"/>
                <w:shd w:val="clear" w:color="auto" w:fill="auto"/>
                <w:lang w:val="en-US" w:eastAsia="zh-CN"/>
              </w:rPr>
              <w:t>。钻探作业涉及表土剥离及钻孔施工，</w:t>
            </w:r>
            <w:r>
              <w:rPr>
                <w:rFonts w:hint="eastAsia" w:ascii="Times New Roman" w:hAnsi="Times New Roman" w:eastAsia="宋体" w:cs="宋体"/>
                <w:shd w:val="clear" w:color="auto" w:fill="auto"/>
                <w:lang w:val="en-US" w:eastAsia="zh-CN"/>
              </w:rPr>
              <w:t>会产生泥浆等固废。</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highlight w:val="none"/>
                <w:lang w:val="en-US" w:eastAsia="zh-CN"/>
              </w:rPr>
              <w:t>4</w:t>
            </w:r>
            <w:r>
              <w:rPr>
                <w:rFonts w:hint="default"/>
                <w:highlight w:val="none"/>
                <w:lang w:val="en-US" w:eastAsia="zh-CN"/>
              </w:rPr>
              <w:t>.施工时序及建设周期</w:t>
            </w:r>
          </w:p>
          <w:p>
            <w:pPr>
              <w:pStyle w:val="48"/>
              <w:keepNext w:val="0"/>
              <w:keepLines w:val="0"/>
              <w:suppressLineNumbers w:val="0"/>
              <w:shd w:val="clear" w:color="auto" w:fill="auto"/>
              <w:bidi w:val="0"/>
              <w:spacing w:before="0" w:beforeAutospacing="0" w:after="0" w:afterAutospacing="0"/>
              <w:ind w:left="0" w:right="0"/>
              <w:rPr>
                <w:rFonts w:hint="eastAsia"/>
                <w:color w:val="auto"/>
                <w:shd w:val="clear" w:color="auto" w:fill="auto"/>
                <w:lang w:val="en-US" w:eastAsia="zh-CN"/>
              </w:rPr>
            </w:pPr>
            <w:r>
              <w:rPr>
                <w:rFonts w:hint="eastAsia"/>
                <w:color w:val="auto"/>
                <w:lang w:val="en-US" w:eastAsia="zh-CN"/>
              </w:rPr>
              <w:t>本项目具体工作计划与进度安排见下表</w:t>
            </w:r>
            <w:r>
              <w:rPr>
                <w:rFonts w:hint="eastAsia"/>
                <w:color w:val="auto"/>
                <w:shd w:val="clear" w:color="auto" w:fill="auto"/>
                <w:lang w:val="en-US" w:eastAsia="zh-CN"/>
              </w:rPr>
              <w:t>。</w:t>
            </w:r>
          </w:p>
          <w:p>
            <w:pPr>
              <w:pStyle w:val="52"/>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表2-6    工作计划与时间安排表</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1591"/>
              <w:gridCol w:w="4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 w:hRule="atLeast"/>
                <w:jc w:val="center"/>
              </w:trPr>
              <w:tc>
                <w:tcPr>
                  <w:tcW w:w="975" w:type="pct"/>
                  <w:noWrap w:val="0"/>
                  <w:vAlign w:val="center"/>
                </w:tcPr>
                <w:p>
                  <w:pPr>
                    <w:pStyle w:val="58"/>
                    <w:keepNext w:val="0"/>
                    <w:keepLines w:val="0"/>
                    <w:suppressLineNumbers w:val="0"/>
                    <w:bidi w:val="0"/>
                    <w:spacing w:before="0" w:beforeAutospacing="0" w:after="0" w:afterAutospacing="0"/>
                    <w:ind w:left="0" w:right="0"/>
                    <w:rPr>
                      <w:rFonts w:hint="default"/>
                      <w:color w:val="auto"/>
                    </w:rPr>
                  </w:pPr>
                  <w:r>
                    <w:rPr>
                      <w:rFonts w:hint="default"/>
                      <w:color w:val="auto"/>
                    </w:rPr>
                    <w:t>工作年度</w:t>
                  </w:r>
                </w:p>
              </w:tc>
              <w:tc>
                <w:tcPr>
                  <w:tcW w:w="1049" w:type="pct"/>
                  <w:noWrap w:val="0"/>
                  <w:vAlign w:val="center"/>
                </w:tcPr>
                <w:p>
                  <w:pPr>
                    <w:pStyle w:val="58"/>
                    <w:keepNext w:val="0"/>
                    <w:keepLines w:val="0"/>
                    <w:suppressLineNumbers w:val="0"/>
                    <w:bidi w:val="0"/>
                    <w:spacing w:before="0" w:beforeAutospacing="0" w:after="0" w:afterAutospacing="0"/>
                    <w:ind w:left="0" w:right="0"/>
                    <w:rPr>
                      <w:rFonts w:hint="default"/>
                      <w:color w:val="auto"/>
                    </w:rPr>
                  </w:pPr>
                  <w:r>
                    <w:rPr>
                      <w:rFonts w:hint="default"/>
                      <w:color w:val="auto"/>
                    </w:rPr>
                    <w:t>时间安排</w:t>
                  </w:r>
                </w:p>
              </w:tc>
              <w:tc>
                <w:tcPr>
                  <w:tcW w:w="2975" w:type="pct"/>
                  <w:noWrap w:val="0"/>
                  <w:vAlign w:val="center"/>
                </w:tcPr>
                <w:p>
                  <w:pPr>
                    <w:pStyle w:val="58"/>
                    <w:keepNext w:val="0"/>
                    <w:keepLines w:val="0"/>
                    <w:suppressLineNumbers w:val="0"/>
                    <w:bidi w:val="0"/>
                    <w:spacing w:before="0" w:beforeAutospacing="0" w:after="0" w:afterAutospacing="0"/>
                    <w:ind w:left="0" w:right="0"/>
                    <w:rPr>
                      <w:rFonts w:hint="default"/>
                      <w:color w:val="auto"/>
                    </w:rPr>
                  </w:pPr>
                  <w:r>
                    <w:rPr>
                      <w:rFonts w:hint="default"/>
                      <w:color w:val="auto"/>
                    </w:rPr>
                    <w:t>工作进度及目标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975" w:type="pct"/>
                  <w:noWrap w:val="0"/>
                  <w:vAlign w:val="center"/>
                </w:tcPr>
                <w:p>
                  <w:pPr>
                    <w:pStyle w:val="54"/>
                    <w:keepNext w:val="0"/>
                    <w:keepLines w:val="0"/>
                    <w:suppressLineNumbers w:val="0"/>
                    <w:bidi w:val="0"/>
                    <w:spacing w:before="0" w:beforeAutospacing="0" w:after="0" w:afterAutospacing="0"/>
                    <w:ind w:left="0" w:right="0"/>
                    <w:rPr>
                      <w:rFonts w:hint="default"/>
                      <w:color w:val="auto"/>
                      <w:highlight w:val="none"/>
                    </w:rPr>
                  </w:pPr>
                  <w:r>
                    <w:rPr>
                      <w:rFonts w:hint="eastAsia"/>
                    </w:rPr>
                    <w:t>准备阶段</w:t>
                  </w:r>
                </w:p>
              </w:tc>
              <w:tc>
                <w:tcPr>
                  <w:tcW w:w="1049" w:type="pct"/>
                  <w:noWrap w:val="0"/>
                  <w:vAlign w:val="center"/>
                </w:tcPr>
                <w:p>
                  <w:pPr>
                    <w:pStyle w:val="58"/>
                    <w:keepNext w:val="0"/>
                    <w:keepLines w:val="0"/>
                    <w:suppressLineNumbers w:val="0"/>
                    <w:bidi w:val="0"/>
                    <w:spacing w:before="0" w:beforeAutospacing="0" w:after="0" w:afterAutospacing="0"/>
                    <w:ind w:left="0" w:right="0"/>
                    <w:jc w:val="center"/>
                    <w:rPr>
                      <w:rFonts w:hint="default" w:eastAsia="宋体"/>
                      <w:color w:val="auto"/>
                      <w:highlight w:val="none"/>
                      <w:lang w:val="en-US" w:eastAsia="zh-CN"/>
                    </w:rPr>
                  </w:pPr>
                  <w:r>
                    <w:rPr>
                      <w:rFonts w:hint="eastAsia"/>
                      <w:color w:val="auto"/>
                      <w:highlight w:val="none"/>
                      <w:lang w:val="en-US" w:eastAsia="zh-CN"/>
                    </w:rPr>
                    <w:t>2027年7</w:t>
                  </w:r>
                  <w:r>
                    <w:rPr>
                      <w:rFonts w:hint="default"/>
                      <w:color w:val="auto"/>
                      <w:highlight w:val="none"/>
                    </w:rPr>
                    <w:t>月</w:t>
                  </w:r>
                </w:p>
              </w:tc>
              <w:tc>
                <w:tcPr>
                  <w:tcW w:w="2975" w:type="pct"/>
                  <w:noWrap w:val="0"/>
                  <w:vAlign w:val="center"/>
                </w:tcPr>
                <w:p>
                  <w:pPr>
                    <w:pStyle w:val="58"/>
                    <w:keepNext w:val="0"/>
                    <w:keepLines w:val="0"/>
                    <w:suppressLineNumbers w:val="0"/>
                    <w:bidi w:val="0"/>
                    <w:spacing w:before="0" w:beforeAutospacing="0" w:after="0" w:afterAutospacing="0"/>
                    <w:ind w:left="0" w:right="0"/>
                    <w:rPr>
                      <w:rFonts w:hint="eastAsia" w:eastAsia="宋体"/>
                      <w:color w:val="auto"/>
                      <w:highlight w:val="none"/>
                      <w:lang w:val="en-US" w:eastAsia="zh-CN"/>
                    </w:rPr>
                  </w:pPr>
                  <w:r>
                    <w:rPr>
                      <w:rFonts w:hint="eastAsia"/>
                      <w:color w:val="auto"/>
                      <w:highlight w:val="none"/>
                      <w:lang w:val="en-US" w:eastAsia="zh-CN"/>
                    </w:rPr>
                    <w:t>分析研究已有资料，编写项目设计书。确定人员机构编制、组建项目分队并组织技术人员学习设计，熟悉工作区所获各种资料，落实资金、设备、运输等诸项事宜，健全规章制度。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975" w:type="pct"/>
                  <w:noWrap w:val="0"/>
                  <w:vAlign w:val="center"/>
                </w:tcPr>
                <w:p>
                  <w:pPr>
                    <w:pStyle w:val="54"/>
                    <w:keepNext w:val="0"/>
                    <w:keepLines w:val="0"/>
                    <w:suppressLineNumbers w:val="0"/>
                    <w:bidi w:val="0"/>
                    <w:spacing w:before="0" w:beforeAutospacing="0" w:after="0" w:afterAutospacing="0"/>
                    <w:ind w:left="0" w:right="0"/>
                    <w:rPr>
                      <w:rFonts w:hint="eastAsia" w:eastAsia="宋体"/>
                      <w:color w:val="auto"/>
                      <w:highlight w:val="none"/>
                      <w:lang w:val="en-US" w:eastAsia="zh-CN"/>
                    </w:rPr>
                  </w:pPr>
                  <w:r>
                    <w:rPr>
                      <w:rFonts w:hint="eastAsia"/>
                      <w:lang w:val="en-US" w:eastAsia="zh-CN"/>
                    </w:rPr>
                    <w:t>勘探阶段</w:t>
                  </w:r>
                </w:p>
              </w:tc>
              <w:tc>
                <w:tcPr>
                  <w:tcW w:w="1049" w:type="pct"/>
                  <w:noWrap w:val="0"/>
                  <w:vAlign w:val="center"/>
                </w:tcPr>
                <w:p>
                  <w:pPr>
                    <w:pStyle w:val="58"/>
                    <w:keepNext w:val="0"/>
                    <w:keepLines w:val="0"/>
                    <w:suppressLineNumbers w:val="0"/>
                    <w:bidi w:val="0"/>
                    <w:spacing w:before="0" w:beforeAutospacing="0" w:after="0" w:afterAutospacing="0"/>
                    <w:ind w:left="0" w:right="0"/>
                    <w:jc w:val="center"/>
                    <w:rPr>
                      <w:rFonts w:hint="default" w:eastAsia="宋体"/>
                      <w:color w:val="auto"/>
                      <w:highlight w:val="none"/>
                      <w:lang w:val="en-US" w:eastAsia="zh-CN"/>
                    </w:rPr>
                  </w:pPr>
                  <w:r>
                    <w:rPr>
                      <w:rFonts w:hint="eastAsia"/>
                      <w:color w:val="auto"/>
                      <w:highlight w:val="none"/>
                      <w:lang w:val="en-US" w:eastAsia="zh-CN"/>
                    </w:rPr>
                    <w:t>2027年7</w:t>
                  </w:r>
                  <w:r>
                    <w:rPr>
                      <w:rFonts w:hint="eastAsia"/>
                      <w:color w:val="auto"/>
                      <w:highlight w:val="none"/>
                    </w:rPr>
                    <w:t>月</w:t>
                  </w:r>
                </w:p>
              </w:tc>
              <w:tc>
                <w:tcPr>
                  <w:tcW w:w="2975" w:type="pct"/>
                  <w:noWrap w:val="0"/>
                  <w:vAlign w:val="center"/>
                </w:tcPr>
                <w:p>
                  <w:pPr>
                    <w:pStyle w:val="58"/>
                    <w:keepNext w:val="0"/>
                    <w:keepLines w:val="0"/>
                    <w:suppressLineNumbers w:val="0"/>
                    <w:bidi w:val="0"/>
                    <w:spacing w:before="0" w:beforeAutospacing="0" w:after="0" w:afterAutospacing="0"/>
                    <w:ind w:left="0" w:right="0"/>
                    <w:rPr>
                      <w:rFonts w:hint="default"/>
                      <w:color w:val="auto"/>
                      <w:highlight w:val="none"/>
                    </w:rPr>
                  </w:pPr>
                  <w:r>
                    <w:rPr>
                      <w:rFonts w:hint="eastAsia"/>
                      <w:color w:val="auto"/>
                      <w:lang w:val="en-US" w:eastAsia="zh-CN"/>
                    </w:rPr>
                    <w:t>开展地形测量，地质测量，环境地质测量，钻探，采样测试等探矿工程。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975" w:type="pct"/>
                  <w:noWrap w:val="0"/>
                  <w:vAlign w:val="center"/>
                </w:tcPr>
                <w:p>
                  <w:pPr>
                    <w:pStyle w:val="54"/>
                    <w:keepNext w:val="0"/>
                    <w:keepLines w:val="0"/>
                    <w:suppressLineNumbers w:val="0"/>
                    <w:bidi w:val="0"/>
                    <w:spacing w:before="0" w:beforeAutospacing="0" w:after="0" w:afterAutospacing="0"/>
                    <w:ind w:left="0" w:right="0"/>
                    <w:rPr>
                      <w:rFonts w:hint="default" w:eastAsia="宋体"/>
                      <w:color w:val="auto"/>
                      <w:highlight w:val="none"/>
                      <w:lang w:val="en-US" w:eastAsia="zh-CN"/>
                    </w:rPr>
                  </w:pPr>
                  <w:r>
                    <w:rPr>
                      <w:rFonts w:hint="default"/>
                    </w:rPr>
                    <w:t>室内资料综合整理报告编写</w:t>
                  </w:r>
                </w:p>
              </w:tc>
              <w:tc>
                <w:tcPr>
                  <w:tcW w:w="1049" w:type="pct"/>
                  <w:noWrap w:val="0"/>
                  <w:vAlign w:val="center"/>
                </w:tcPr>
                <w:p>
                  <w:pPr>
                    <w:pStyle w:val="58"/>
                    <w:keepNext w:val="0"/>
                    <w:keepLines w:val="0"/>
                    <w:suppressLineNumbers w:val="0"/>
                    <w:bidi w:val="0"/>
                    <w:spacing w:before="0" w:beforeAutospacing="0" w:after="0" w:afterAutospacing="0"/>
                    <w:ind w:left="0" w:right="0"/>
                    <w:jc w:val="center"/>
                    <w:rPr>
                      <w:rFonts w:hint="eastAsia"/>
                      <w:color w:val="auto"/>
                      <w:highlight w:val="none"/>
                      <w:lang w:val="en-US" w:eastAsia="zh-CN"/>
                    </w:rPr>
                  </w:pPr>
                  <w:r>
                    <w:rPr>
                      <w:rFonts w:hint="eastAsia"/>
                      <w:color w:val="auto"/>
                      <w:highlight w:val="none"/>
                      <w:lang w:val="en-US" w:eastAsia="zh-CN"/>
                    </w:rPr>
                    <w:t>2027年8</w:t>
                  </w:r>
                  <w:r>
                    <w:rPr>
                      <w:rFonts w:hint="eastAsia"/>
                      <w:color w:val="auto"/>
                      <w:highlight w:val="none"/>
                    </w:rPr>
                    <w:t>月</w:t>
                  </w:r>
                </w:p>
              </w:tc>
              <w:tc>
                <w:tcPr>
                  <w:tcW w:w="2975" w:type="pct"/>
                  <w:noWrap w:val="0"/>
                  <w:vAlign w:val="center"/>
                </w:tcPr>
                <w:p>
                  <w:pPr>
                    <w:pStyle w:val="58"/>
                    <w:keepNext w:val="0"/>
                    <w:keepLines w:val="0"/>
                    <w:suppressLineNumbers w:val="0"/>
                    <w:bidi w:val="0"/>
                    <w:spacing w:before="0" w:beforeAutospacing="0" w:after="0" w:afterAutospacing="0"/>
                    <w:ind w:left="0" w:right="0"/>
                    <w:rPr>
                      <w:rFonts w:hint="eastAsia"/>
                      <w:color w:val="auto"/>
                      <w:highlight w:val="none"/>
                      <w:lang w:val="en-US" w:eastAsia="zh-CN"/>
                    </w:rPr>
                  </w:pPr>
                  <w:r>
                    <w:rPr>
                      <w:rFonts w:hint="eastAsia"/>
                      <w:color w:val="auto"/>
                      <w:highlight w:val="none"/>
                      <w:lang w:val="en-US" w:eastAsia="zh-CN"/>
                    </w:rPr>
                    <w:t>对野外所获的全部地质资料、测试成果及以往所获地质资料进行系统整理和综合研究，编制各类地质图件，编写报告。</w:t>
                  </w:r>
                </w:p>
              </w:tc>
            </w:tr>
          </w:tbl>
          <w:p>
            <w:pPr>
              <w:pStyle w:val="48"/>
              <w:keepNext w:val="0"/>
              <w:keepLines w:val="0"/>
              <w:suppressLineNumbers w:val="0"/>
              <w:shd w:val="clear" w:color="auto" w:fill="auto"/>
              <w:bidi w:val="0"/>
              <w:spacing w:before="0" w:beforeAutospacing="0" w:after="0" w:afterAutospacing="0"/>
              <w:ind w:left="0" w:right="0"/>
              <w:rPr>
                <w:rFonts w:hint="default"/>
                <w:lang w:val="en-US" w:eastAsia="zh-CN"/>
              </w:rPr>
            </w:pPr>
            <w:r>
              <w:rPr>
                <w:rFonts w:hint="eastAsia"/>
                <w:shd w:val="clear" w:color="auto" w:fill="auto"/>
                <w:lang w:val="en-US" w:eastAsia="zh-CN"/>
              </w:rPr>
              <w:t>施工条件：</w:t>
            </w:r>
            <w:r>
              <w:rPr>
                <w:rFonts w:hint="default"/>
                <w:shd w:val="clear" w:color="auto" w:fill="auto"/>
                <w:lang w:val="en-US" w:eastAsia="zh-CN"/>
              </w:rPr>
              <w:t>①</w:t>
            </w:r>
            <w:r>
              <w:rPr>
                <w:rFonts w:hint="eastAsia"/>
                <w:shd w:val="clear" w:color="auto" w:fill="auto"/>
                <w:lang w:val="en-US" w:eastAsia="zh-CN"/>
              </w:rPr>
              <w:t>项目前期资料准备齐全，包含工程设计图纸及相关文件、勘查资料和报告等。</w:t>
            </w:r>
            <w:r>
              <w:rPr>
                <w:rFonts w:hint="default"/>
                <w:shd w:val="clear" w:color="auto" w:fill="auto"/>
                <w:lang w:val="en-US" w:eastAsia="zh-CN"/>
              </w:rPr>
              <w:t>②</w:t>
            </w:r>
            <w:r>
              <w:rPr>
                <w:rFonts w:hint="eastAsia"/>
                <w:shd w:val="clear" w:color="auto" w:fill="auto"/>
                <w:lang w:val="en-US" w:eastAsia="zh-CN"/>
              </w:rPr>
              <w:t>人员配置齐全，包含施工单位负责人及施工管理人员，工程监理人员、安全生产管理人员、现场施工队伍等。</w:t>
            </w:r>
            <w:r>
              <w:rPr>
                <w:rFonts w:hint="default"/>
                <w:shd w:val="clear" w:color="auto" w:fill="auto"/>
                <w:lang w:val="en-US" w:eastAsia="zh-CN"/>
              </w:rPr>
              <w:t>③</w:t>
            </w:r>
            <w:r>
              <w:rPr>
                <w:rFonts w:hint="eastAsia"/>
                <w:shd w:val="clear" w:color="auto" w:fill="auto"/>
                <w:lang w:val="en-US" w:eastAsia="zh-CN"/>
              </w:rPr>
              <w:t>施工设备准备齐全，包含挖掘机、运输车辆等。④物资准备齐全，包含生活用品和安全生产用品等。⑤施工现场布置清晰、道路和设备、人员等进行合理管理。⑥明确施工环境保护措施。</w:t>
            </w:r>
          </w:p>
          <w:p>
            <w:pPr>
              <w:pStyle w:val="50"/>
              <w:keepNext w:val="0"/>
              <w:keepLines w:val="0"/>
              <w:suppressLineNumbers w:val="0"/>
              <w:bidi w:val="0"/>
              <w:spacing w:before="0" w:beforeAutospacing="0" w:after="0" w:afterAutospacing="0"/>
              <w:ind w:left="0" w:right="0"/>
              <w:rPr>
                <w:rFonts w:hint="default"/>
                <w:highlight w:val="none"/>
                <w:lang w:val="en-US" w:eastAsia="zh-CN"/>
              </w:rPr>
            </w:pPr>
            <w:r>
              <w:rPr>
                <w:rFonts w:hint="eastAsia"/>
                <w:highlight w:val="none"/>
                <w:lang w:val="en-US" w:eastAsia="zh-CN"/>
              </w:rPr>
              <w:t>5.土石方平衡分析</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本项目主要的土石方工程为槽探、钻探期间开挖的土壤与风化岩石剥离、回填产生的土石方。</w:t>
            </w:r>
          </w:p>
          <w:p>
            <w:pPr>
              <w:pStyle w:val="48"/>
              <w:keepNext w:val="0"/>
              <w:keepLines w:val="0"/>
              <w:suppressLineNumbers w:val="0"/>
              <w:tabs>
                <w:tab w:val="left" w:pos="3780"/>
              </w:tabs>
              <w:bidi w:val="0"/>
              <w:spacing w:before="0" w:beforeAutospacing="0" w:after="0" w:afterAutospacing="0"/>
              <w:ind w:left="0" w:right="0"/>
              <w:jc w:val="both"/>
              <w:rPr>
                <w:rFonts w:hint="eastAsia"/>
                <w:highlight w:val="none"/>
                <w:lang w:val="en-US" w:eastAsia="zh-CN"/>
              </w:rPr>
            </w:pPr>
            <w:r>
              <w:rPr>
                <w:rFonts w:hint="eastAsia"/>
                <w:highlight w:val="none"/>
                <w:lang w:val="en-US" w:eastAsia="zh-CN"/>
              </w:rPr>
              <w:t>本项目槽探总工作量300m</w:t>
            </w:r>
            <w:r>
              <w:rPr>
                <w:rFonts w:hint="eastAsia"/>
                <w:highlight w:val="none"/>
                <w:vertAlign w:val="superscript"/>
                <w:lang w:val="en-US" w:eastAsia="zh-CN"/>
              </w:rPr>
              <w:t>3</w:t>
            </w:r>
            <w:r>
              <w:rPr>
                <w:rFonts w:hint="eastAsia"/>
                <w:highlight w:val="none"/>
                <w:lang w:val="en-US" w:eastAsia="zh-CN"/>
              </w:rPr>
              <w:t>，钻探总工作量为2000m，</w:t>
            </w:r>
            <w:r>
              <w:rPr>
                <w:rFonts w:hint="eastAsia"/>
                <w:lang w:val="en-US" w:eastAsia="zh-CN"/>
              </w:rPr>
              <w:t>开孔直径75mm（</w:t>
            </w:r>
            <w:r>
              <w:rPr>
                <w:rFonts w:hint="default" w:ascii="Times New Roman" w:hAnsi="Times New Roman" w:cs="Times New Roman"/>
                <w:lang w:val="en-US" w:eastAsia="zh-CN"/>
              </w:rPr>
              <w:t>Φ</w:t>
            </w:r>
            <w:r>
              <w:rPr>
                <w:rFonts w:hint="eastAsia"/>
                <w:lang w:val="en-US" w:eastAsia="zh-CN"/>
              </w:rPr>
              <w:t>75mm钻头，配备</w:t>
            </w:r>
            <w:r>
              <w:rPr>
                <w:rFonts w:hint="default" w:ascii="Times New Roman" w:hAnsi="Times New Roman" w:cs="Times New Roman"/>
                <w:lang w:val="en-US" w:eastAsia="zh-CN"/>
              </w:rPr>
              <w:t>Φ</w:t>
            </w:r>
            <w:r>
              <w:rPr>
                <w:rFonts w:hint="eastAsia"/>
                <w:lang w:val="en-US" w:eastAsia="zh-CN"/>
              </w:rPr>
              <w:t>55mm岩心管），根据公式V=</w:t>
            </w:r>
            <w:r>
              <w:rPr>
                <w:rFonts w:hint="default" w:ascii="Times New Roman" w:hAnsi="Times New Roman" w:cs="Times New Roman"/>
                <w:lang w:val="en-US" w:eastAsia="zh-CN"/>
              </w:rPr>
              <w:t>πr</w:t>
            </w:r>
            <w:r>
              <w:rPr>
                <w:rFonts w:hint="default" w:ascii="Times New Roman" w:hAnsi="Times New Roman" w:cs="Times New Roman"/>
                <w:vertAlign w:val="superscript"/>
                <w:lang w:val="en-US" w:eastAsia="zh-CN"/>
              </w:rPr>
              <w:t>2</w:t>
            </w:r>
            <w:r>
              <w:rPr>
                <w:rFonts w:hint="default" w:ascii="Times New Roman" w:hAnsi="Times New Roman" w:cs="Times New Roman"/>
                <w:lang w:val="en-US" w:eastAsia="zh-CN"/>
              </w:rPr>
              <w:t>h</w:t>
            </w:r>
            <w:r>
              <w:rPr>
                <w:rFonts w:hint="eastAsia"/>
                <w:lang w:val="en-US" w:eastAsia="zh-CN"/>
              </w:rPr>
              <w:t>计算，钻孔产生的土石方量约为8.83m</w:t>
            </w:r>
            <w:r>
              <w:rPr>
                <w:rFonts w:hint="eastAsia"/>
                <w:vertAlign w:val="superscript"/>
                <w:lang w:val="en-US" w:eastAsia="zh-CN"/>
              </w:rPr>
              <w:t>3</w:t>
            </w:r>
            <w:r>
              <w:rPr>
                <w:rFonts w:hint="eastAsia"/>
                <w:vertAlign w:val="baseline"/>
                <w:lang w:val="en-US" w:eastAsia="zh-CN"/>
              </w:rPr>
              <w:t>，</w:t>
            </w:r>
            <w:r>
              <w:rPr>
                <w:rFonts w:hint="eastAsia"/>
                <w:lang w:val="en-US" w:eastAsia="zh-CN"/>
              </w:rPr>
              <w:t>钻探岩心产生的土石方量约为4.75m</w:t>
            </w:r>
            <w:r>
              <w:rPr>
                <w:rFonts w:hint="eastAsia"/>
                <w:vertAlign w:val="superscript"/>
                <w:lang w:val="en-US" w:eastAsia="zh-CN"/>
              </w:rPr>
              <w:t>3</w:t>
            </w:r>
            <w:r>
              <w:rPr>
                <w:rFonts w:hint="eastAsia"/>
                <w:vertAlign w:val="baseline"/>
                <w:lang w:val="en-US" w:eastAsia="zh-CN"/>
              </w:rPr>
              <w:t>，则岩屑产生的土石方量为4.08</w:t>
            </w:r>
            <w:r>
              <w:rPr>
                <w:rFonts w:hint="eastAsia"/>
                <w:lang w:val="en-US" w:eastAsia="zh-CN"/>
              </w:rPr>
              <w:t>m</w:t>
            </w:r>
            <w:r>
              <w:rPr>
                <w:rFonts w:hint="eastAsia"/>
                <w:vertAlign w:val="superscript"/>
                <w:lang w:val="en-US" w:eastAsia="zh-CN"/>
              </w:rPr>
              <w:t>3</w:t>
            </w:r>
            <w:r>
              <w:rPr>
                <w:rFonts w:hint="eastAsia"/>
                <w:vertAlign w:val="baseline"/>
                <w:lang w:val="en-US" w:eastAsia="zh-CN"/>
              </w:rPr>
              <w:t>。</w:t>
            </w:r>
            <w:r>
              <w:rPr>
                <w:rFonts w:hint="eastAsia"/>
                <w:lang w:val="en-US" w:eastAsia="zh-CN"/>
              </w:rPr>
              <w:t>钻探</w:t>
            </w:r>
            <w:r>
              <w:rPr>
                <w:rFonts w:hint="eastAsia" w:ascii="Times New Roman" w:hAnsi="Times New Roman" w:eastAsia="宋体" w:cs="宋体"/>
                <w:kern w:val="2"/>
                <w:sz w:val="24"/>
                <w:szCs w:val="24"/>
                <w:lang w:val="en-US" w:eastAsia="zh-CN" w:bidi="ar-SA"/>
              </w:rPr>
              <w:t>岩心由地质勘探队收集后交至单位岩心库统一保管，</w:t>
            </w:r>
            <w:r>
              <w:rPr>
                <w:rStyle w:val="86"/>
                <w:rFonts w:hint="eastAsia"/>
                <w:lang w:val="en-US" w:eastAsia="zh-CN"/>
              </w:rPr>
              <w:t>钻井岩屑回填钻孔</w:t>
            </w:r>
            <w:r>
              <w:rPr>
                <w:rFonts w:hint="eastAsia" w:cs="Times New Roman"/>
                <w:kern w:val="2"/>
                <w:sz w:val="21"/>
                <w:szCs w:val="21"/>
                <w:lang w:val="en-US" w:eastAsia="zh-CN" w:bidi="ar-SA"/>
              </w:rPr>
              <w:t>。</w:t>
            </w:r>
          </w:p>
          <w:p>
            <w:pPr>
              <w:pStyle w:val="52"/>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表2-7    工程土石方平衡分析表    单位：m</w:t>
            </w:r>
            <w:r>
              <w:rPr>
                <w:rFonts w:hint="eastAsia"/>
                <w:vertAlign w:val="superscript"/>
                <w:lang w:val="en-US" w:eastAsia="zh-CN"/>
              </w:rPr>
              <w:t>3</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6"/>
              <w:gridCol w:w="1288"/>
              <w:gridCol w:w="1721"/>
              <w:gridCol w:w="1012"/>
              <w:gridCol w:w="2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28" w:type="pct"/>
                  <w:noWrap w:val="0"/>
                  <w:vAlign w:val="center"/>
                </w:tcPr>
                <w:p>
                  <w:pPr>
                    <w:pStyle w:val="58"/>
                    <w:keepNext w:val="0"/>
                    <w:keepLines w:val="0"/>
                    <w:suppressLineNumbers w:val="0"/>
                    <w:bidi w:val="0"/>
                    <w:spacing w:before="0" w:beforeAutospacing="0" w:after="0" w:afterAutospacing="0"/>
                    <w:ind w:left="0" w:right="0"/>
                    <w:rPr>
                      <w:rFonts w:hint="eastAsia" w:eastAsia="宋体"/>
                      <w:lang w:eastAsia="zh-CN"/>
                    </w:rPr>
                  </w:pPr>
                  <w:r>
                    <w:rPr>
                      <w:rFonts w:hint="eastAsia"/>
                      <w:lang w:val="en-US" w:eastAsia="zh-CN"/>
                    </w:rPr>
                    <w:t>类型</w:t>
                  </w:r>
                </w:p>
              </w:tc>
              <w:tc>
                <w:tcPr>
                  <w:tcW w:w="849"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挖方</w:t>
                  </w:r>
                </w:p>
              </w:tc>
              <w:tc>
                <w:tcPr>
                  <w:tcW w:w="1134"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回填</w:t>
                  </w:r>
                </w:p>
              </w:tc>
              <w:tc>
                <w:tcPr>
                  <w:tcW w:w="667"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调出</w:t>
                  </w:r>
                </w:p>
              </w:tc>
              <w:tc>
                <w:tcPr>
                  <w:tcW w:w="1520"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828"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生活营地</w:t>
                  </w:r>
                </w:p>
              </w:tc>
              <w:tc>
                <w:tcPr>
                  <w:tcW w:w="849"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30</w:t>
                  </w:r>
                </w:p>
              </w:tc>
              <w:tc>
                <w:tcPr>
                  <w:tcW w:w="1134"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30</w:t>
                  </w:r>
                </w:p>
              </w:tc>
              <w:tc>
                <w:tcPr>
                  <w:tcW w:w="667"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w:t>
                  </w:r>
                </w:p>
              </w:tc>
              <w:tc>
                <w:tcPr>
                  <w:tcW w:w="1520"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eastAsia" w:cs="Times New Roman"/>
                      <w:kern w:val="2"/>
                      <w:sz w:val="21"/>
                      <w:szCs w:val="21"/>
                      <w:lang w:val="en-US" w:eastAsia="zh-CN" w:bidi="ar-SA"/>
                    </w:rPr>
                  </w:pPr>
                  <w:r>
                    <w:rPr>
                      <w:rFonts w:hint="eastAsia" w:cs="Times New Roman"/>
                      <w:kern w:val="2"/>
                      <w:sz w:val="21"/>
                      <w:szCs w:val="21"/>
                      <w:lang w:val="en-US" w:eastAsia="zh-CN" w:bidi="ar-SA"/>
                    </w:rPr>
                    <w:t>回填平整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828"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kern w:val="2"/>
                      <w:sz w:val="21"/>
                      <w:szCs w:val="21"/>
                      <w:lang w:val="en-US" w:eastAsia="zh-CN" w:bidi="ar-SA"/>
                    </w:rPr>
                  </w:pPr>
                  <w:r>
                    <w:rPr>
                      <w:rFonts w:hint="eastAsia"/>
                      <w:lang w:val="en-US" w:eastAsia="zh-CN"/>
                    </w:rPr>
                    <w:t>槽探</w:t>
                  </w:r>
                </w:p>
              </w:tc>
              <w:tc>
                <w:tcPr>
                  <w:tcW w:w="849"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kern w:val="2"/>
                      <w:sz w:val="21"/>
                      <w:szCs w:val="21"/>
                      <w:lang w:val="en-US" w:eastAsia="zh-CN" w:bidi="ar-SA"/>
                    </w:rPr>
                  </w:pPr>
                  <w:r>
                    <w:rPr>
                      <w:rFonts w:hint="eastAsia"/>
                      <w:lang w:val="en-US" w:eastAsia="zh-CN"/>
                    </w:rPr>
                    <w:t>300</w:t>
                  </w:r>
                </w:p>
              </w:tc>
              <w:tc>
                <w:tcPr>
                  <w:tcW w:w="1134"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kern w:val="2"/>
                      <w:sz w:val="21"/>
                      <w:szCs w:val="21"/>
                      <w:lang w:val="en-US" w:eastAsia="zh-CN" w:bidi="ar-SA"/>
                    </w:rPr>
                  </w:pPr>
                  <w:r>
                    <w:rPr>
                      <w:rFonts w:hint="eastAsia"/>
                      <w:lang w:val="en-US" w:eastAsia="zh-CN"/>
                    </w:rPr>
                    <w:t>285</w:t>
                  </w:r>
                </w:p>
              </w:tc>
              <w:tc>
                <w:tcPr>
                  <w:tcW w:w="667"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15</w:t>
                  </w:r>
                </w:p>
              </w:tc>
              <w:tc>
                <w:tcPr>
                  <w:tcW w:w="1520"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kern w:val="2"/>
                      <w:sz w:val="21"/>
                      <w:szCs w:val="21"/>
                      <w:lang w:val="en-US" w:eastAsia="zh-CN" w:bidi="ar-SA"/>
                    </w:rPr>
                  </w:pPr>
                  <w:r>
                    <w:rPr>
                      <w:rFonts w:hint="eastAsia"/>
                      <w:lang w:val="en-US" w:eastAsia="zh-CN"/>
                    </w:rPr>
                    <w:t>探槽土石方部分就地回填，部分作为勘探样品留存外运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8"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钻探岩心</w:t>
                  </w:r>
                </w:p>
              </w:tc>
              <w:tc>
                <w:tcPr>
                  <w:tcW w:w="849"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4.75</w:t>
                  </w:r>
                </w:p>
              </w:tc>
              <w:tc>
                <w:tcPr>
                  <w:tcW w:w="1134"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w:t>
                  </w:r>
                </w:p>
              </w:tc>
              <w:tc>
                <w:tcPr>
                  <w:tcW w:w="667"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cs="Times New Roman"/>
                      <w:kern w:val="2"/>
                      <w:sz w:val="21"/>
                      <w:szCs w:val="21"/>
                      <w:lang w:val="en-US" w:eastAsia="zh-CN" w:bidi="ar-SA"/>
                    </w:rPr>
                  </w:pPr>
                  <w:r>
                    <w:rPr>
                      <w:rFonts w:hint="eastAsia" w:cs="Times New Roman"/>
                      <w:kern w:val="2"/>
                      <w:sz w:val="21"/>
                      <w:szCs w:val="21"/>
                      <w:lang w:val="en-US" w:eastAsia="zh-CN" w:bidi="ar-SA"/>
                    </w:rPr>
                    <w:t>4.75</w:t>
                  </w:r>
                </w:p>
              </w:tc>
              <w:tc>
                <w:tcPr>
                  <w:tcW w:w="1520"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收集后交至单位统一保管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828"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eastAsia" w:cs="Times New Roman"/>
                      <w:kern w:val="2"/>
                      <w:sz w:val="21"/>
                      <w:szCs w:val="21"/>
                      <w:lang w:val="en-US" w:eastAsia="zh-CN" w:bidi="ar-SA"/>
                    </w:rPr>
                  </w:pPr>
                  <w:r>
                    <w:rPr>
                      <w:rFonts w:hint="eastAsia" w:cs="Times New Roman"/>
                      <w:kern w:val="2"/>
                      <w:sz w:val="21"/>
                      <w:szCs w:val="21"/>
                      <w:lang w:val="en-US" w:eastAsia="zh-CN" w:bidi="ar-SA"/>
                    </w:rPr>
                    <w:t>钻探岩屑</w:t>
                  </w:r>
                </w:p>
              </w:tc>
              <w:tc>
                <w:tcPr>
                  <w:tcW w:w="849"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cs="Times New Roman"/>
                      <w:kern w:val="2"/>
                      <w:sz w:val="21"/>
                      <w:szCs w:val="21"/>
                      <w:lang w:val="en-US" w:eastAsia="zh-CN" w:bidi="ar-SA"/>
                    </w:rPr>
                  </w:pPr>
                  <w:r>
                    <w:rPr>
                      <w:rFonts w:hint="eastAsia" w:cs="Times New Roman"/>
                      <w:kern w:val="2"/>
                      <w:sz w:val="21"/>
                      <w:szCs w:val="21"/>
                      <w:lang w:val="en-US" w:eastAsia="zh-CN" w:bidi="ar-SA"/>
                    </w:rPr>
                    <w:t>4.08</w:t>
                  </w:r>
                </w:p>
              </w:tc>
              <w:tc>
                <w:tcPr>
                  <w:tcW w:w="1134"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cs="Times New Roman"/>
                      <w:kern w:val="2"/>
                      <w:sz w:val="21"/>
                      <w:szCs w:val="21"/>
                      <w:lang w:val="en-US" w:eastAsia="zh-CN" w:bidi="ar-SA"/>
                    </w:rPr>
                  </w:pPr>
                  <w:r>
                    <w:rPr>
                      <w:rFonts w:hint="eastAsia" w:cs="Times New Roman"/>
                      <w:kern w:val="2"/>
                      <w:sz w:val="21"/>
                      <w:szCs w:val="21"/>
                      <w:lang w:val="en-US" w:eastAsia="zh-CN" w:bidi="ar-SA"/>
                    </w:rPr>
                    <w:t>4.08</w:t>
                  </w:r>
                </w:p>
              </w:tc>
              <w:tc>
                <w:tcPr>
                  <w:tcW w:w="667"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cs="Times New Roman"/>
                      <w:kern w:val="2"/>
                      <w:sz w:val="21"/>
                      <w:szCs w:val="21"/>
                      <w:lang w:val="en-US" w:eastAsia="zh-CN" w:bidi="ar-SA"/>
                    </w:rPr>
                  </w:pPr>
                  <w:r>
                    <w:rPr>
                      <w:rFonts w:hint="eastAsia" w:cs="Times New Roman"/>
                      <w:kern w:val="2"/>
                      <w:sz w:val="21"/>
                      <w:szCs w:val="21"/>
                      <w:lang w:val="en-US" w:eastAsia="zh-CN" w:bidi="ar-SA"/>
                    </w:rPr>
                    <w:t>/</w:t>
                  </w:r>
                </w:p>
              </w:tc>
              <w:tc>
                <w:tcPr>
                  <w:tcW w:w="1520"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eastAsia" w:cs="Times New Roman"/>
                      <w:kern w:val="2"/>
                      <w:sz w:val="21"/>
                      <w:szCs w:val="21"/>
                      <w:lang w:val="en-US" w:eastAsia="zh-CN" w:bidi="ar-SA"/>
                    </w:rPr>
                  </w:pPr>
                  <w:r>
                    <w:rPr>
                      <w:rFonts w:hint="eastAsia" w:cs="Times New Roman"/>
                      <w:kern w:val="2"/>
                      <w:sz w:val="21"/>
                      <w:szCs w:val="21"/>
                      <w:lang w:val="en-US" w:eastAsia="zh-CN" w:bidi="ar-SA"/>
                    </w:rPr>
                    <w:t>回填钻孔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828" w:type="pct"/>
                  <w:shd w:val="clear" w:color="auto" w:fill="auto"/>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kern w:val="2"/>
                      <w:sz w:val="21"/>
                      <w:szCs w:val="21"/>
                      <w:lang w:val="en-US" w:eastAsia="zh-CN" w:bidi="ar-SA"/>
                    </w:rPr>
                  </w:pPr>
                  <w:r>
                    <w:rPr>
                      <w:rFonts w:hint="default"/>
                    </w:rPr>
                    <w:t>总计</w:t>
                  </w:r>
                </w:p>
              </w:tc>
              <w:tc>
                <w:tcPr>
                  <w:tcW w:w="849" w:type="pct"/>
                  <w:shd w:val="clear" w:color="auto" w:fill="auto"/>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338.83</w:t>
                  </w:r>
                </w:p>
              </w:tc>
              <w:tc>
                <w:tcPr>
                  <w:tcW w:w="1134" w:type="pct"/>
                  <w:shd w:val="clear" w:color="auto" w:fill="auto"/>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319.08</w:t>
                  </w:r>
                </w:p>
              </w:tc>
              <w:tc>
                <w:tcPr>
                  <w:tcW w:w="667" w:type="pct"/>
                  <w:shd w:val="clear" w:color="auto" w:fill="auto"/>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19.75</w:t>
                  </w:r>
                </w:p>
              </w:tc>
              <w:tc>
                <w:tcPr>
                  <w:tcW w:w="1520" w:type="pct"/>
                  <w:shd w:val="clear" w:color="auto" w:fill="auto"/>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kern w:val="2"/>
                      <w:sz w:val="21"/>
                      <w:szCs w:val="21"/>
                      <w:lang w:val="en-US" w:eastAsia="zh-CN" w:bidi="ar-SA"/>
                    </w:rPr>
                  </w:pPr>
                  <w:r>
                    <w:rPr>
                      <w:rFonts w:hint="eastAsia"/>
                      <w:lang w:val="en-US" w:eastAsia="zh-CN"/>
                    </w:rPr>
                    <w:t>/</w:t>
                  </w:r>
                </w:p>
              </w:tc>
            </w:tr>
          </w:tbl>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根据上表可知，本工程</w:t>
            </w:r>
            <w:r>
              <w:rPr>
                <w:rFonts w:hint="eastAsia"/>
                <w:lang w:val="en-US" w:eastAsia="zh-CN"/>
              </w:rPr>
              <w:t>挖方</w:t>
            </w:r>
            <w:r>
              <w:rPr>
                <w:rFonts w:hint="default"/>
                <w:lang w:val="en-US" w:eastAsia="zh-CN"/>
              </w:rPr>
              <w:t>全部综合利用</w:t>
            </w:r>
            <w:r>
              <w:rPr>
                <w:rFonts w:hint="eastAsia"/>
                <w:lang w:val="en-US" w:eastAsia="zh-CN"/>
              </w:rPr>
              <w:t>，无永久弃方产生</w:t>
            </w:r>
            <w:r>
              <w:rPr>
                <w:rFonts w:hint="default"/>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18" w:hRule="atLeast"/>
          <w:jc w:val="center"/>
        </w:trPr>
        <w:tc>
          <w:tcPr>
            <w:tcW w:w="710" w:type="dxa"/>
            <w:noWrap w:val="0"/>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其他</w:t>
            </w:r>
          </w:p>
        </w:tc>
        <w:tc>
          <w:tcPr>
            <w:tcW w:w="7812" w:type="dxa"/>
            <w:noWrap w:val="0"/>
            <w:vAlign w:val="center"/>
          </w:tcPr>
          <w:p>
            <w:pPr>
              <w:pStyle w:val="48"/>
              <w:keepNext w:val="0"/>
              <w:keepLines w:val="0"/>
              <w:suppressLineNumbers w:val="0"/>
              <w:bidi w:val="0"/>
              <w:spacing w:before="0" w:beforeAutospacing="0" w:after="0" w:afterAutospacing="0"/>
              <w:ind w:left="0" w:leftChars="0" w:right="0" w:firstLine="0" w:firstLineChars="0"/>
              <w:jc w:val="center"/>
              <w:rPr>
                <w:rFonts w:hint="default"/>
                <w:lang w:val="en-US" w:eastAsia="zh-CN"/>
              </w:rPr>
            </w:pPr>
            <w:r>
              <w:rPr>
                <w:rFonts w:hint="eastAsia"/>
                <w:lang w:val="en-US" w:eastAsia="zh-CN"/>
              </w:rPr>
              <w:t>无</w:t>
            </w:r>
          </w:p>
        </w:tc>
      </w:tr>
    </w:tbl>
    <w:p>
      <w:pPr>
        <w:pStyle w:val="21"/>
        <w:keepNext w:val="0"/>
        <w:keepLines w:val="0"/>
        <w:pageBreakBefore w:val="0"/>
        <w:widowControl/>
        <w:kinsoku/>
        <w:wordWrap/>
        <w:overflowPunct/>
        <w:topLinePunct w:val="0"/>
        <w:autoSpaceDE/>
        <w:autoSpaceDN/>
        <w:bidi w:val="0"/>
        <w:adjustRightInd/>
        <w:snapToGrid/>
        <w:spacing w:before="313" w:beforeLines="100" w:beforeAutospacing="0" w:after="313" w:afterLines="100" w:afterAutospacing="0"/>
        <w:jc w:val="center"/>
        <w:textAlignment w:val="auto"/>
        <w:outlineLvl w:val="0"/>
        <w:rPr>
          <w:rFonts w:ascii="黑体" w:hAnsi="黑体" w:eastAsia="黑体"/>
          <w:snapToGrid w:val="0"/>
          <w:sz w:val="30"/>
          <w:szCs w:val="30"/>
        </w:rPr>
      </w:pPr>
      <w:r>
        <w:rPr>
          <w:rFonts w:eastAsia="仿宋_GB2312"/>
          <w:b/>
          <w:bCs/>
        </w:rPr>
        <w:br w:type="page"/>
      </w:r>
      <w:r>
        <w:rPr>
          <w:rFonts w:hint="eastAsia" w:ascii="黑体" w:hAnsi="黑体" w:eastAsia="黑体"/>
          <w:snapToGrid w:val="0"/>
          <w:sz w:val="30"/>
          <w:szCs w:val="30"/>
        </w:rPr>
        <w:t>三、生态环境现状、保护目标及评价标准</w:t>
      </w:r>
    </w:p>
    <w:tbl>
      <w:tblPr>
        <w:tblStyle w:val="25"/>
        <w:tblW w:w="917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5"/>
        <w:gridCol w:w="836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5"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生态环境现状</w:t>
            </w:r>
          </w:p>
        </w:tc>
        <w:tc>
          <w:tcPr>
            <w:tcW w:w="8368" w:type="dxa"/>
            <w:noWrap w:val="0"/>
            <w:vAlign w:val="center"/>
          </w:tcPr>
          <w:p>
            <w:pPr>
              <w:pStyle w:val="50"/>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1.生态环境</w:t>
            </w:r>
          </w:p>
          <w:p>
            <w:pPr>
              <w:pStyle w:val="48"/>
              <w:keepNext w:val="0"/>
              <w:keepLines w:val="0"/>
              <w:numPr>
                <w:ilvl w:val="0"/>
                <w:numId w:val="0"/>
              </w:numPr>
              <w:suppressLineNumbers w:val="0"/>
              <w:bidi w:val="0"/>
              <w:spacing w:before="0" w:beforeAutospacing="0" w:after="0" w:afterAutospacing="0"/>
              <w:ind w:left="0" w:right="0" w:firstLine="480" w:firstLineChars="200"/>
              <w:rPr>
                <w:rFonts w:hint="eastAsia"/>
                <w:lang w:val="en-US" w:eastAsia="zh-CN"/>
              </w:rPr>
            </w:pPr>
            <w:r>
              <w:rPr>
                <w:rFonts w:hint="eastAsia" w:ascii="Times New Roman" w:hAnsi="Times New Roman" w:eastAsia="宋体" w:cs="宋体"/>
                <w:kern w:val="0"/>
                <w:sz w:val="24"/>
                <w:szCs w:val="24"/>
                <w:lang w:val="en-US" w:eastAsia="zh-CN" w:bidi="ar-SA"/>
              </w:rPr>
              <w:t>（1）</w:t>
            </w:r>
            <w:r>
              <w:rPr>
                <w:rFonts w:hint="eastAsia"/>
                <w:lang w:val="en-US" w:eastAsia="zh-CN"/>
              </w:rPr>
              <w:t>主体功能区规划</w:t>
            </w:r>
          </w:p>
          <w:p>
            <w:pPr>
              <w:pStyle w:val="4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根据</w:t>
            </w:r>
            <w:r>
              <w:rPr>
                <w:rFonts w:hint="default"/>
              </w:rPr>
              <w:t>《新疆维吾尔自治区主体功能区规划》</w:t>
            </w:r>
            <w:r>
              <w:rPr>
                <w:rFonts w:hint="eastAsia"/>
                <w:lang w:eastAsia="zh-CN"/>
              </w:rPr>
              <w:t>，</w:t>
            </w:r>
            <w:r>
              <w:rPr>
                <w:rFonts w:hint="default"/>
              </w:rPr>
              <w:t>评价区属</w:t>
            </w:r>
            <w:r>
              <w:rPr>
                <w:rFonts w:hint="eastAsia"/>
                <w:lang w:eastAsia="zh-CN"/>
              </w:rPr>
              <w:t>“</w:t>
            </w:r>
            <w:r>
              <w:rPr>
                <w:rFonts w:hint="default"/>
                <w:lang w:val="en-US" w:eastAsia="zh-CN"/>
              </w:rPr>
              <w:t>天山南坡中段山地草原生态功能区</w:t>
            </w:r>
            <w:r>
              <w:rPr>
                <w:rFonts w:hint="eastAsia"/>
                <w:lang w:eastAsia="zh-CN"/>
              </w:rPr>
              <w:t>”</w:t>
            </w:r>
            <w:r>
              <w:rPr>
                <w:rFonts w:hint="default"/>
              </w:rPr>
              <w:t>，</w:t>
            </w:r>
            <w:r>
              <w:rPr>
                <w:rFonts w:hint="default"/>
                <w:lang w:val="en-US" w:eastAsia="zh-CN"/>
              </w:rPr>
              <w:t>该功能区发展方向见下表。</w:t>
            </w:r>
          </w:p>
          <w:p>
            <w:pPr>
              <w:pStyle w:val="52"/>
              <w:keepNext w:val="0"/>
              <w:keepLines w:val="0"/>
              <w:suppressLineNumbers w:val="0"/>
              <w:bidi w:val="0"/>
              <w:spacing w:before="0" w:beforeAutospacing="0" w:after="0" w:afterAutospacing="0"/>
              <w:ind w:left="0" w:right="0"/>
              <w:rPr>
                <w:rFonts w:hint="default"/>
              </w:rPr>
            </w:pPr>
            <w:r>
              <w:rPr>
                <w:rFonts w:hint="eastAsia"/>
                <w:lang w:val="en-US" w:eastAsia="zh-CN"/>
              </w:rPr>
              <w:t xml:space="preserve">表3-1    </w:t>
            </w:r>
            <w:r>
              <w:rPr>
                <w:rFonts w:hint="default"/>
                <w:lang w:val="en-US" w:eastAsia="zh-CN"/>
              </w:rPr>
              <w:t>新疆重点生态功能区的类型和发展方向</w:t>
            </w:r>
          </w:p>
          <w:tbl>
            <w:tblPr>
              <w:tblStyle w:val="2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718"/>
              <w:gridCol w:w="3891"/>
              <w:gridCol w:w="22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57"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名称</w:t>
                  </w:r>
                </w:p>
              </w:tc>
              <w:tc>
                <w:tcPr>
                  <w:tcW w:w="441"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类型</w:t>
                  </w:r>
                </w:p>
              </w:tc>
              <w:tc>
                <w:tcPr>
                  <w:tcW w:w="2391"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综合评价</w:t>
                  </w:r>
                </w:p>
              </w:tc>
              <w:tc>
                <w:tcPr>
                  <w:tcW w:w="1409" w:type="pct"/>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57"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lang w:val="en-US" w:eastAsia="zh-CN"/>
                    </w:rPr>
                    <w:t>天山南坡中段山地草原生态功能区</w:t>
                  </w:r>
                </w:p>
              </w:tc>
              <w:tc>
                <w:tcPr>
                  <w:tcW w:w="441"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lang w:val="en-US" w:eastAsia="zh-CN"/>
                    </w:rPr>
                    <w:t>水源涵养</w:t>
                  </w:r>
                </w:p>
              </w:tc>
              <w:tc>
                <w:tcPr>
                  <w:tcW w:w="2391"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lang w:val="en-US" w:eastAsia="zh-CN"/>
                    </w:rPr>
                    <w:t>冰川发育，众多河流发源地，拥</w:t>
                  </w:r>
                  <w:r>
                    <w:rPr>
                      <w:rFonts w:hint="eastAsia"/>
                      <w:lang w:val="en-US" w:eastAsia="zh-CN"/>
                    </w:rPr>
                    <w:t>有全</w:t>
                  </w:r>
                  <w:r>
                    <w:rPr>
                      <w:rFonts w:hint="default"/>
                      <w:lang w:val="en-US" w:eastAsia="zh-CN"/>
                    </w:rPr>
                    <w:t>国最大的淡水内陆湖，分布有大面积的芦苇湿地，巴州重要的供水水源地。目前水土流失、土壤侵蚀严重、森林遭到破坏，草原退化，湖水水质污染、湿地萎缩</w:t>
                  </w:r>
                </w:p>
              </w:tc>
              <w:tc>
                <w:tcPr>
                  <w:tcW w:w="1409"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lang w:val="en-US" w:eastAsia="zh-CN"/>
                    </w:rPr>
                    <w:t>禁止过度放牧，恢复天然草原植被，加大水污染防治力度，加强野生动物和湿地保护</w:t>
                  </w:r>
                </w:p>
              </w:tc>
            </w:tr>
          </w:tbl>
          <w:p>
            <w:pPr>
              <w:pStyle w:val="48"/>
              <w:keepNext w:val="0"/>
              <w:keepLines w:val="0"/>
              <w:suppressLineNumbers w:val="0"/>
              <w:bidi w:val="0"/>
              <w:spacing w:before="0" w:beforeAutospacing="0" w:after="0" w:afterAutospacing="0"/>
              <w:ind w:left="0" w:right="0"/>
              <w:rPr>
                <w:rFonts w:hint="eastAsia" w:ascii="Times New Roman" w:hAnsi="Times New Roman"/>
              </w:rPr>
            </w:pPr>
            <w:r>
              <w:rPr>
                <w:rFonts w:hint="eastAsia" w:ascii="Times New Roman" w:hAnsi="Times New Roman"/>
                <w:lang w:val="en-US" w:eastAsia="zh-CN"/>
              </w:rPr>
              <w:t>（2）</w:t>
            </w:r>
            <w:r>
              <w:rPr>
                <w:rFonts w:hint="eastAsia" w:ascii="Times New Roman" w:hAnsi="Times New Roman"/>
              </w:rPr>
              <w:t>生态功能区划</w:t>
            </w:r>
          </w:p>
          <w:p>
            <w:pPr>
              <w:pStyle w:val="48"/>
              <w:keepNext w:val="0"/>
              <w:keepLines w:val="0"/>
              <w:suppressLineNumbers w:val="0"/>
              <w:bidi w:val="0"/>
              <w:spacing w:before="0" w:beforeAutospacing="0" w:after="0" w:afterAutospacing="0"/>
              <w:ind w:left="0" w:right="0"/>
              <w:rPr>
                <w:rFonts w:hint="eastAsia" w:ascii="Times New Roman" w:hAnsi="Times New Roman"/>
              </w:rPr>
            </w:pPr>
            <w:r>
              <w:rPr>
                <w:rFonts w:hint="eastAsia" w:ascii="Times New Roman" w:hAnsi="Times New Roman"/>
              </w:rPr>
              <w:t>根据《新疆生态功能区划》，评价区属</w:t>
            </w:r>
            <w:r>
              <w:rPr>
                <w:rFonts w:hint="eastAsia" w:ascii="Times New Roman" w:hAnsi="Times New Roman"/>
                <w:lang w:val="en-US" w:eastAsia="zh-CN"/>
              </w:rPr>
              <w:t>“</w:t>
            </w:r>
            <w:r>
              <w:rPr>
                <w:rFonts w:hint="default" w:ascii="Times New Roman" w:hAnsi="Times New Roman" w:cs="Times New Roman"/>
              </w:rPr>
              <w:t>Ⅲ</w:t>
            </w:r>
            <w:r>
              <w:rPr>
                <w:rFonts w:hint="eastAsia" w:ascii="Times New Roman" w:hAnsi="Times New Roman"/>
              </w:rPr>
              <w:t>3 天山南坡草原牧业、绿洲农业生态亚区</w:t>
            </w:r>
            <w:r>
              <w:rPr>
                <w:rFonts w:hint="eastAsia" w:ascii="Times New Roman" w:hAnsi="Times New Roman"/>
                <w:lang w:val="en-US" w:eastAsia="zh-CN"/>
              </w:rPr>
              <w:t>”</w:t>
            </w:r>
            <w:r>
              <w:rPr>
                <w:rFonts w:hint="eastAsia"/>
                <w:lang w:eastAsia="zh-CN"/>
              </w:rPr>
              <w:t>，</w:t>
            </w:r>
            <w:r>
              <w:rPr>
                <w:rFonts w:hint="eastAsia" w:ascii="Times New Roman" w:hAnsi="Times New Roman"/>
              </w:rPr>
              <w:t>项目区生态功能区划见表3-</w:t>
            </w:r>
            <w:r>
              <w:rPr>
                <w:rFonts w:hint="eastAsia" w:ascii="Times New Roman" w:hAnsi="Times New Roman"/>
                <w:lang w:val="en-US" w:eastAsia="zh-CN"/>
              </w:rPr>
              <w:t>2</w:t>
            </w:r>
            <w:r>
              <w:rPr>
                <w:rFonts w:hint="eastAsia" w:ascii="Times New Roman" w:hAnsi="Times New Roman"/>
              </w:rPr>
              <w:t>。</w:t>
            </w:r>
          </w:p>
          <w:p>
            <w:pPr>
              <w:pStyle w:val="52"/>
              <w:keepNext w:val="0"/>
              <w:keepLines w:val="0"/>
              <w:suppressLineNumbers w:val="0"/>
              <w:bidi w:val="0"/>
              <w:spacing w:before="0" w:beforeAutospacing="0" w:after="0" w:afterAutospacing="0"/>
              <w:ind w:left="0" w:right="0"/>
            </w:pPr>
            <w:r>
              <w:rPr>
                <w:rFonts w:hint="eastAsia"/>
              </w:rPr>
              <w:t>表3-</w:t>
            </w:r>
            <w:r>
              <w:rPr>
                <w:rFonts w:hint="eastAsia"/>
                <w:lang w:val="en-US" w:eastAsia="zh-CN"/>
              </w:rPr>
              <w:t xml:space="preserve">2    </w:t>
            </w:r>
            <w:r>
              <w:rPr>
                <w:rFonts w:hint="eastAsia"/>
              </w:rPr>
              <w:t>生态功能区划</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4"/>
              <w:gridCol w:w="1178"/>
              <w:gridCol w:w="1440"/>
              <w:gridCol w:w="1363"/>
              <w:gridCol w:w="1468"/>
              <w:gridCol w:w="1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893" w:type="pct"/>
                  <w:noWrap w:val="0"/>
                  <w:vAlign w:val="center"/>
                </w:tcPr>
                <w:p>
                  <w:pPr>
                    <w:pStyle w:val="54"/>
                    <w:keepNext w:val="0"/>
                    <w:keepLines w:val="0"/>
                    <w:suppressLineNumbers w:val="0"/>
                    <w:bidi w:val="0"/>
                    <w:spacing w:before="0" w:beforeAutospacing="0" w:after="0" w:afterAutospacing="0"/>
                    <w:ind w:left="0" w:right="0"/>
                  </w:pPr>
                  <w:r>
                    <w:rPr>
                      <w:rFonts w:hint="eastAsia"/>
                    </w:rPr>
                    <w:t>生态功能分区</w:t>
                  </w:r>
                </w:p>
              </w:tc>
              <w:tc>
                <w:tcPr>
                  <w:tcW w:w="723" w:type="pct"/>
                  <w:noWrap w:val="0"/>
                  <w:vAlign w:val="center"/>
                </w:tcPr>
                <w:p>
                  <w:pPr>
                    <w:pStyle w:val="54"/>
                    <w:keepNext w:val="0"/>
                    <w:keepLines w:val="0"/>
                    <w:suppressLineNumbers w:val="0"/>
                    <w:bidi w:val="0"/>
                    <w:spacing w:before="0" w:beforeAutospacing="0" w:after="0" w:afterAutospacing="0"/>
                    <w:ind w:left="0" w:right="0"/>
                  </w:pPr>
                  <w:r>
                    <w:rPr>
                      <w:rFonts w:hint="eastAsia"/>
                    </w:rPr>
                    <w:t>主要生态服务功能</w:t>
                  </w:r>
                </w:p>
              </w:tc>
              <w:tc>
                <w:tcPr>
                  <w:tcW w:w="884" w:type="pct"/>
                  <w:noWrap w:val="0"/>
                  <w:vAlign w:val="center"/>
                </w:tcPr>
                <w:p>
                  <w:pPr>
                    <w:pStyle w:val="54"/>
                    <w:keepNext w:val="0"/>
                    <w:keepLines w:val="0"/>
                    <w:suppressLineNumbers w:val="0"/>
                    <w:bidi w:val="0"/>
                    <w:spacing w:before="0" w:beforeAutospacing="0" w:after="0" w:afterAutospacing="0"/>
                    <w:ind w:left="0" w:right="0"/>
                  </w:pPr>
                  <w:r>
                    <w:rPr>
                      <w:rFonts w:hint="eastAsia"/>
                    </w:rPr>
                    <w:t>主要生态问题</w:t>
                  </w:r>
                </w:p>
              </w:tc>
              <w:tc>
                <w:tcPr>
                  <w:tcW w:w="837" w:type="pct"/>
                  <w:noWrap w:val="0"/>
                  <w:vAlign w:val="center"/>
                </w:tcPr>
                <w:p>
                  <w:pPr>
                    <w:pStyle w:val="54"/>
                    <w:keepNext w:val="0"/>
                    <w:keepLines w:val="0"/>
                    <w:suppressLineNumbers w:val="0"/>
                    <w:bidi w:val="0"/>
                    <w:spacing w:before="0" w:beforeAutospacing="0" w:after="0" w:afterAutospacing="0"/>
                    <w:ind w:left="0" w:right="0"/>
                  </w:pPr>
                  <w:r>
                    <w:rPr>
                      <w:rFonts w:hint="eastAsia"/>
                    </w:rPr>
                    <w:t>主要生态</w:t>
                  </w:r>
                </w:p>
                <w:p>
                  <w:pPr>
                    <w:pStyle w:val="54"/>
                    <w:keepNext w:val="0"/>
                    <w:keepLines w:val="0"/>
                    <w:suppressLineNumbers w:val="0"/>
                    <w:bidi w:val="0"/>
                    <w:spacing w:before="0" w:beforeAutospacing="0" w:after="0" w:afterAutospacing="0"/>
                    <w:ind w:left="0" w:right="0"/>
                    <w:rPr>
                      <w:rFonts w:hint="default" w:eastAsia="宋体"/>
                      <w:lang w:val="en-US" w:eastAsia="zh-CN"/>
                    </w:rPr>
                  </w:pPr>
                  <w:r>
                    <w:rPr>
                      <w:rFonts w:hint="eastAsia"/>
                    </w:rPr>
                    <w:t>敏感因子</w:t>
                  </w:r>
                  <w:r>
                    <w:rPr>
                      <w:rFonts w:hint="eastAsia"/>
                      <w:lang w:eastAsia="zh-CN"/>
                    </w:rPr>
                    <w:t>、</w:t>
                  </w:r>
                  <w:r>
                    <w:rPr>
                      <w:rFonts w:hint="eastAsia"/>
                      <w:lang w:val="en-US" w:eastAsia="zh-CN"/>
                    </w:rPr>
                    <w:t>敏感程度</w:t>
                  </w:r>
                </w:p>
              </w:tc>
              <w:tc>
                <w:tcPr>
                  <w:tcW w:w="901" w:type="pct"/>
                  <w:noWrap w:val="0"/>
                  <w:vAlign w:val="center"/>
                </w:tcPr>
                <w:p>
                  <w:pPr>
                    <w:pStyle w:val="54"/>
                    <w:keepNext w:val="0"/>
                    <w:keepLines w:val="0"/>
                    <w:suppressLineNumbers w:val="0"/>
                    <w:bidi w:val="0"/>
                    <w:spacing w:before="0" w:beforeAutospacing="0" w:after="0" w:afterAutospacing="0"/>
                    <w:ind w:left="0" w:right="0"/>
                  </w:pPr>
                  <w:r>
                    <w:rPr>
                      <w:rFonts w:hint="eastAsia"/>
                      <w:lang w:val="en-US" w:eastAsia="zh-CN"/>
                    </w:rPr>
                    <w:t>主要</w:t>
                  </w:r>
                  <w:r>
                    <w:rPr>
                      <w:rFonts w:hint="eastAsia"/>
                    </w:rPr>
                    <w:t>保护目标</w:t>
                  </w:r>
                </w:p>
              </w:tc>
              <w:tc>
                <w:tcPr>
                  <w:tcW w:w="759" w:type="pct"/>
                  <w:noWrap w:val="0"/>
                  <w:vAlign w:val="center"/>
                </w:tcPr>
                <w:p>
                  <w:pPr>
                    <w:pStyle w:val="54"/>
                    <w:keepNext w:val="0"/>
                    <w:keepLines w:val="0"/>
                    <w:suppressLineNumbers w:val="0"/>
                    <w:bidi w:val="0"/>
                    <w:spacing w:before="0" w:beforeAutospacing="0" w:after="0" w:afterAutospacing="0"/>
                    <w:ind w:left="0" w:right="0"/>
                  </w:pPr>
                  <w:r>
                    <w:rPr>
                      <w:rFonts w:hint="eastAsia"/>
                    </w:rPr>
                    <w:t>保护措施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893" w:type="pct"/>
                  <w:noWrap w:val="0"/>
                  <w:vAlign w:val="center"/>
                </w:tcPr>
                <w:p>
                  <w:pPr>
                    <w:pStyle w:val="54"/>
                    <w:keepNext w:val="0"/>
                    <w:keepLines w:val="0"/>
                    <w:suppressLineNumbers w:val="0"/>
                    <w:bidi w:val="0"/>
                    <w:spacing w:before="0" w:beforeAutospacing="0" w:after="0" w:afterAutospacing="0"/>
                    <w:ind w:left="0" w:right="0"/>
                    <w:rPr>
                      <w:rFonts w:hint="eastAsia"/>
                    </w:rPr>
                  </w:pPr>
                  <w:r>
                    <w:rPr>
                      <w:rFonts w:hint="eastAsia"/>
                    </w:rPr>
                    <w:t>42．托木尔峰和天山南坡中段冰雪水源及生物多样性保护生态功能区</w:t>
                  </w:r>
                </w:p>
              </w:tc>
              <w:tc>
                <w:tcPr>
                  <w:tcW w:w="723" w:type="pct"/>
                  <w:noWrap w:val="0"/>
                  <w:vAlign w:val="center"/>
                </w:tcPr>
                <w:p>
                  <w:pPr>
                    <w:pStyle w:val="54"/>
                    <w:keepNext w:val="0"/>
                    <w:keepLines w:val="0"/>
                    <w:suppressLineNumbers w:val="0"/>
                    <w:bidi w:val="0"/>
                    <w:spacing w:before="0" w:beforeAutospacing="0" w:after="0" w:afterAutospacing="0"/>
                    <w:ind w:left="0" w:right="0"/>
                    <w:rPr>
                      <w:rFonts w:hint="eastAsia"/>
                    </w:rPr>
                  </w:pPr>
                  <w:r>
                    <w:rPr>
                      <w:rFonts w:hint="eastAsia"/>
                    </w:rPr>
                    <w:t>水源补给、生物多样性维护、土壤保持</w:t>
                  </w:r>
                </w:p>
              </w:tc>
              <w:tc>
                <w:tcPr>
                  <w:tcW w:w="884" w:type="pct"/>
                  <w:noWrap w:val="0"/>
                  <w:vAlign w:val="center"/>
                </w:tcPr>
                <w:p>
                  <w:pPr>
                    <w:pStyle w:val="54"/>
                    <w:keepNext w:val="0"/>
                    <w:keepLines w:val="0"/>
                    <w:suppressLineNumbers w:val="0"/>
                    <w:bidi w:val="0"/>
                    <w:spacing w:before="0" w:beforeAutospacing="0" w:after="0" w:afterAutospacing="0"/>
                    <w:ind w:left="0" w:right="0"/>
                    <w:jc w:val="center"/>
                    <w:rPr>
                      <w:rFonts w:hint="eastAsia"/>
                    </w:rPr>
                  </w:pPr>
                  <w:r>
                    <w:rPr>
                      <w:rFonts w:hint="eastAsia" w:ascii="宋体" w:hAnsi="宋体"/>
                    </w:rPr>
                    <w:t>水土流失、野生动物减少、土壤侵蚀、森林破坏</w:t>
                  </w:r>
                </w:p>
              </w:tc>
              <w:tc>
                <w:tcPr>
                  <w:tcW w:w="837" w:type="pct"/>
                  <w:noWrap w:val="0"/>
                  <w:vAlign w:val="center"/>
                </w:tcPr>
                <w:p>
                  <w:pPr>
                    <w:keepNext w:val="0"/>
                    <w:keepLines w:val="0"/>
                    <w:suppressLineNumbers w:val="0"/>
                    <w:spacing w:before="0" w:beforeAutospacing="0" w:after="0" w:afterAutospacing="0"/>
                    <w:ind w:left="0" w:right="0"/>
                    <w:jc w:val="center"/>
                    <w:rPr>
                      <w:rFonts w:hint="eastAsia"/>
                    </w:rPr>
                  </w:pPr>
                  <w:r>
                    <w:rPr>
                      <w:rFonts w:hint="eastAsia" w:ascii="宋体" w:hAnsi="宋体"/>
                    </w:rPr>
                    <w:t>生物多样性及其生境极度敏感，土壤侵蚀轻度敏感</w:t>
                  </w:r>
                </w:p>
              </w:tc>
              <w:tc>
                <w:tcPr>
                  <w:tcW w:w="901" w:type="pct"/>
                  <w:noWrap w:val="0"/>
                  <w:vAlign w:val="center"/>
                </w:tcPr>
                <w:p>
                  <w:pPr>
                    <w:pStyle w:val="54"/>
                    <w:keepNext w:val="0"/>
                    <w:keepLines w:val="0"/>
                    <w:suppressLineNumbers w:val="0"/>
                    <w:bidi w:val="0"/>
                    <w:spacing w:before="0" w:beforeAutospacing="0" w:after="0" w:afterAutospacing="0"/>
                    <w:ind w:left="0" w:right="0"/>
                    <w:rPr>
                      <w:rFonts w:hint="eastAsia"/>
                    </w:rPr>
                  </w:pPr>
                  <w:r>
                    <w:rPr>
                      <w:rFonts w:hint="eastAsia" w:ascii="宋体" w:hAnsi="宋体"/>
                    </w:rPr>
                    <w:t>保护托木尔峰自然景观、保护高山冰川、保护野生动物、保护森林和草原</w:t>
                  </w:r>
                </w:p>
              </w:tc>
              <w:tc>
                <w:tcPr>
                  <w:tcW w:w="759" w:type="pct"/>
                  <w:noWrap w:val="0"/>
                  <w:vAlign w:val="center"/>
                </w:tcPr>
                <w:p>
                  <w:pPr>
                    <w:pStyle w:val="54"/>
                    <w:keepNext w:val="0"/>
                    <w:keepLines w:val="0"/>
                    <w:suppressLineNumbers w:val="0"/>
                    <w:bidi w:val="0"/>
                    <w:spacing w:before="0" w:beforeAutospacing="0" w:after="0" w:afterAutospacing="0"/>
                    <w:ind w:left="0" w:right="0"/>
                    <w:rPr>
                      <w:rFonts w:hint="eastAsia"/>
                    </w:rPr>
                  </w:pPr>
                  <w:r>
                    <w:rPr>
                      <w:rFonts w:hint="eastAsia" w:ascii="宋体" w:hAnsi="宋体"/>
                    </w:rPr>
                    <w:t>草地减牧、森林禁伐、禁猎、加强保护区管理</w:t>
                  </w:r>
                </w:p>
              </w:tc>
            </w:tr>
          </w:tbl>
          <w:p>
            <w:pPr>
              <w:pStyle w:val="48"/>
              <w:keepNext w:val="0"/>
              <w:keepLines w:val="0"/>
              <w:numPr>
                <w:ilvl w:val="0"/>
                <w:numId w:val="0"/>
              </w:numPr>
              <w:suppressLineNumbers w:val="0"/>
              <w:bidi w:val="0"/>
              <w:spacing w:before="0" w:beforeAutospacing="0" w:after="0" w:afterAutospacing="0"/>
              <w:ind w:left="420" w:leftChars="200" w:right="0"/>
              <w:rPr>
                <w:rFonts w:hint="eastAsia" w:ascii="Times New Roman" w:hAnsi="Times New Roman" w:eastAsia="宋体" w:cs="宋体"/>
                <w:kern w:val="0"/>
                <w:sz w:val="24"/>
                <w:szCs w:val="24"/>
                <w:lang w:val="en-US" w:eastAsia="zh-CN"/>
              </w:rPr>
            </w:pPr>
            <w:r>
              <w:rPr>
                <w:rFonts w:hint="eastAsia" w:ascii="Times New Roman" w:hAnsi="Times New Roman" w:eastAsia="宋体" w:cs="宋体"/>
                <w:kern w:val="0"/>
                <w:sz w:val="24"/>
                <w:szCs w:val="24"/>
                <w:lang w:val="en-US" w:eastAsia="zh-CN"/>
              </w:rPr>
              <w:t>（3）生态环境现状调查</w:t>
            </w:r>
          </w:p>
          <w:p>
            <w:pPr>
              <w:pStyle w:val="48"/>
              <w:keepNext w:val="0"/>
              <w:keepLines w:val="0"/>
              <w:suppressLineNumbers w:val="0"/>
              <w:bidi w:val="0"/>
              <w:spacing w:before="0" w:beforeAutospacing="0" w:after="0" w:afterAutospacing="0"/>
              <w:ind w:left="0" w:right="0"/>
              <w:rPr>
                <w:rFonts w:hint="eastAsia" w:ascii="Times New Roman" w:hAnsi="Times New Roman" w:eastAsia="宋体" w:cs="Arial"/>
                <w:sz w:val="24"/>
                <w:highlight w:val="none"/>
                <w:lang w:val="en-US" w:eastAsia="zh-CN"/>
              </w:rPr>
            </w:pPr>
            <w:r>
              <w:rPr>
                <w:rFonts w:hint="eastAsia" w:ascii="宋体" w:hAnsi="宋体" w:eastAsia="宋体" w:cs="宋体"/>
                <w:sz w:val="24"/>
                <w:highlight w:val="none"/>
              </w:rPr>
              <w:t>①</w:t>
            </w:r>
            <w:r>
              <w:rPr>
                <w:rFonts w:hint="eastAsia"/>
                <w:sz w:val="24"/>
                <w:highlight w:val="none"/>
              </w:rPr>
              <w:t>植被类型及</w:t>
            </w:r>
            <w:r>
              <w:rPr>
                <w:rFonts w:hint="eastAsia" w:ascii="Times New Roman" w:hAnsi="Times New Roman" w:eastAsia="宋体" w:cs="Arial"/>
                <w:sz w:val="24"/>
                <w:highlight w:val="none"/>
                <w:lang w:val="en-US" w:eastAsia="zh-CN"/>
              </w:rPr>
              <w:t>主要植物群落及其特征</w:t>
            </w:r>
          </w:p>
          <w:p>
            <w:pPr>
              <w:pStyle w:val="4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经现场调查，</w:t>
            </w:r>
            <w:r>
              <w:rPr>
                <w:rFonts w:hint="eastAsia"/>
              </w:rPr>
              <w:t>项目区</w:t>
            </w:r>
            <w:r>
              <w:rPr>
                <w:rFonts w:hint="eastAsia"/>
                <w:lang w:val="en-US" w:eastAsia="zh-CN"/>
              </w:rPr>
              <w:t>植被类型简单，群落稀疏</w:t>
            </w:r>
            <w:r>
              <w:rPr>
                <w:rFonts w:hint="eastAsia"/>
                <w:lang w:eastAsia="zh-CN"/>
              </w:rPr>
              <w:t>。</w:t>
            </w:r>
            <w:r>
              <w:rPr>
                <w:rFonts w:hint="eastAsia"/>
              </w:rPr>
              <w:t>评价区常见的</w:t>
            </w:r>
            <w:r>
              <w:rPr>
                <w:rFonts w:hint="eastAsia"/>
                <w:lang w:eastAsia="zh-CN"/>
              </w:rPr>
              <w:t>植物</w:t>
            </w:r>
            <w:r>
              <w:rPr>
                <w:rFonts w:hint="eastAsia"/>
              </w:rPr>
              <w:t>名录见下表。</w:t>
            </w:r>
          </w:p>
          <w:p>
            <w:pPr>
              <w:pStyle w:val="52"/>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 xml:space="preserve">表3-3  </w:t>
            </w:r>
            <w:r>
              <w:rPr>
                <w:rFonts w:hint="eastAsia"/>
                <w:lang w:val="en-US" w:eastAsia="zh-CN"/>
              </w:rPr>
              <w:t xml:space="preserve"> </w:t>
            </w:r>
            <w:r>
              <w:rPr>
                <w:rFonts w:hint="default"/>
                <w:lang w:val="en-US" w:eastAsia="zh-CN"/>
              </w:rPr>
              <w:t xml:space="preserve"> 评价区内</w:t>
            </w:r>
            <w:r>
              <w:rPr>
                <w:rFonts w:hint="eastAsia"/>
                <w:lang w:val="en-US" w:eastAsia="zh-CN"/>
              </w:rPr>
              <w:t>主要</w:t>
            </w:r>
            <w:r>
              <w:rPr>
                <w:rFonts w:hint="default"/>
                <w:lang w:val="en-US" w:eastAsia="zh-CN"/>
              </w:rPr>
              <w:t>植物名录</w:t>
            </w:r>
          </w:p>
          <w:tbl>
            <w:tblPr>
              <w:tblStyle w:val="26"/>
              <w:tblW w:w="4993" w:type="pct"/>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166"/>
              <w:gridCol w:w="2309"/>
              <w:gridCol w:w="3835"/>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2"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科</w:t>
                  </w:r>
                </w:p>
              </w:tc>
              <w:tc>
                <w:tcPr>
                  <w:tcW w:w="717"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属</w:t>
                  </w:r>
                </w:p>
              </w:tc>
              <w:tc>
                <w:tcPr>
                  <w:tcW w:w="1420" w:type="pct"/>
                  <w:noWrap w:val="0"/>
                  <w:vAlign w:val="center"/>
                </w:tcPr>
                <w:p>
                  <w:pPr>
                    <w:pStyle w:val="58"/>
                    <w:keepNext w:val="0"/>
                    <w:keepLines w:val="0"/>
                    <w:suppressLineNumbers w:val="0"/>
                    <w:bidi w:val="0"/>
                    <w:spacing w:before="0" w:beforeAutospacing="0" w:after="0" w:afterAutospacing="0"/>
                    <w:ind w:left="0" w:right="0"/>
                    <w:rPr>
                      <w:rFonts w:hint="eastAsia" w:eastAsia="宋体"/>
                      <w:lang w:val="en-US" w:eastAsia="zh-CN"/>
                    </w:rPr>
                  </w:pPr>
                  <w:r>
                    <w:rPr>
                      <w:rFonts w:hint="eastAsia"/>
                      <w:lang w:val="en-US" w:eastAsia="zh-CN"/>
                    </w:rPr>
                    <w:t>种</w:t>
                  </w:r>
                </w:p>
              </w:tc>
              <w:tc>
                <w:tcPr>
                  <w:tcW w:w="2359" w:type="pct"/>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图片</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502"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蓼科</w:t>
                  </w:r>
                </w:p>
              </w:tc>
              <w:tc>
                <w:tcPr>
                  <w:tcW w:w="717"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rPr>
                    <w:t>沙拐枣属</w:t>
                  </w:r>
                </w:p>
              </w:tc>
              <w:tc>
                <w:tcPr>
                  <w:tcW w:w="1420" w:type="pct"/>
                  <w:noWrap w:val="0"/>
                  <w:vAlign w:val="center"/>
                </w:tcPr>
                <w:p>
                  <w:pPr>
                    <w:pStyle w:val="58"/>
                    <w:keepNext w:val="0"/>
                    <w:keepLines w:val="0"/>
                    <w:suppressLineNumbers w:val="0"/>
                    <w:bidi w:val="0"/>
                    <w:spacing w:before="0" w:beforeAutospacing="0" w:after="0" w:afterAutospacing="0"/>
                    <w:ind w:left="0" w:right="0"/>
                    <w:rPr>
                      <w:rFonts w:hint="eastAsia" w:eastAsia="宋体"/>
                      <w:lang w:val="en-US" w:eastAsia="zh-CN"/>
                    </w:rPr>
                  </w:pPr>
                  <w:r>
                    <w:rPr>
                      <w:rFonts w:hint="default"/>
                    </w:rPr>
                    <w:t>沙拐枣</w:t>
                  </w:r>
                  <w:r>
                    <w:rPr>
                      <w:rFonts w:hint="eastAsia"/>
                      <w:lang w:val="en-US" w:eastAsia="zh-CN"/>
                    </w:rPr>
                    <w:t>种</w:t>
                  </w:r>
                </w:p>
              </w:tc>
              <w:tc>
                <w:tcPr>
                  <w:tcW w:w="2359" w:type="pct"/>
                  <w:noWrap w:val="0"/>
                  <w:vAlign w:val="center"/>
                </w:tcPr>
                <w:p>
                  <w:pPr>
                    <w:pStyle w:val="58"/>
                    <w:keepNext w:val="0"/>
                    <w:keepLines w:val="0"/>
                    <w:suppressLineNumbers w:val="0"/>
                    <w:bidi w:val="0"/>
                    <w:spacing w:before="0" w:beforeAutospacing="0" w:after="0" w:afterAutospacing="0"/>
                    <w:ind w:left="0" w:right="0"/>
                    <w:rPr>
                      <w:rFonts w:hint="eastAsia" w:eastAsia="宋体"/>
                      <w:lang w:eastAsia="zh-CN"/>
                    </w:rPr>
                  </w:pPr>
                  <w:r>
                    <w:rPr>
                      <w:rFonts w:hint="default"/>
                    </w:rPr>
                    <w:drawing>
                      <wp:inline distT="0" distB="0" distL="114300" distR="114300">
                        <wp:extent cx="2054225" cy="1772285"/>
                        <wp:effectExtent l="0" t="0" r="317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2054225" cy="1772285"/>
                                </a:xfrm>
                                <a:prstGeom prst="rect">
                                  <a:avLst/>
                                </a:prstGeom>
                                <a:noFill/>
                                <a:ln>
                                  <a:noFill/>
                                </a:ln>
                              </pic:spPr>
                            </pic:pic>
                          </a:graphicData>
                        </a:graphic>
                      </wp:inline>
                    </w:drawing>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502" w:type="pct"/>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豆科</w:t>
                  </w:r>
                </w:p>
              </w:tc>
              <w:tc>
                <w:tcPr>
                  <w:tcW w:w="717"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骆驼刺属</w:t>
                  </w:r>
                </w:p>
              </w:tc>
              <w:tc>
                <w:tcPr>
                  <w:tcW w:w="1420"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骆驼刺</w:t>
                  </w:r>
                  <w:r>
                    <w:rPr>
                      <w:rFonts w:hint="eastAsia"/>
                      <w:lang w:val="en-US" w:eastAsia="zh-CN"/>
                    </w:rPr>
                    <w:t>种</w:t>
                  </w:r>
                </w:p>
              </w:tc>
              <w:tc>
                <w:tcPr>
                  <w:tcW w:w="2359"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drawing>
                      <wp:inline distT="0" distB="0" distL="114300" distR="114300">
                        <wp:extent cx="2094865" cy="1684655"/>
                        <wp:effectExtent l="0" t="0" r="635" b="1079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4"/>
                                <a:stretch>
                                  <a:fillRect/>
                                </a:stretch>
                              </pic:blipFill>
                              <pic:spPr>
                                <a:xfrm>
                                  <a:off x="0" y="0"/>
                                  <a:ext cx="2094865" cy="1684655"/>
                                </a:xfrm>
                                <a:prstGeom prst="rect">
                                  <a:avLst/>
                                </a:prstGeom>
                                <a:noFill/>
                                <a:ln>
                                  <a:noFill/>
                                </a:ln>
                              </pic:spPr>
                            </pic:pic>
                          </a:graphicData>
                        </a:graphic>
                      </wp:inline>
                    </w:drawing>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502" w:type="pct"/>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eastAsia" w:ascii="Times New Roman" w:hAnsi="Times New Roman" w:eastAsia="宋体" w:cs="Times New Roman"/>
                      <w:kern w:val="2"/>
                      <w:sz w:val="21"/>
                      <w:szCs w:val="21"/>
                      <w:lang w:val="en-US" w:eastAsia="zh-CN" w:bidi="ar-SA"/>
                    </w:rPr>
                  </w:pPr>
                  <w:r>
                    <w:rPr>
                      <w:rFonts w:hint="eastAsia"/>
                      <w:lang w:val="en-US" w:eastAsia="zh-CN"/>
                    </w:rPr>
                    <w:t>豆科</w:t>
                  </w:r>
                </w:p>
              </w:tc>
              <w:tc>
                <w:tcPr>
                  <w:tcW w:w="717" w:type="pct"/>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kern w:val="2"/>
                      <w:sz w:val="21"/>
                      <w:szCs w:val="21"/>
                      <w:lang w:val="en-US" w:eastAsia="zh-CN" w:bidi="ar-SA"/>
                    </w:rPr>
                  </w:pPr>
                  <w:r>
                    <w:rPr>
                      <w:rFonts w:hint="default"/>
                    </w:rPr>
                    <w:t>锦鸡儿属</w:t>
                  </w:r>
                </w:p>
              </w:tc>
              <w:tc>
                <w:tcPr>
                  <w:tcW w:w="1420" w:type="pct"/>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kern w:val="2"/>
                      <w:sz w:val="21"/>
                      <w:szCs w:val="21"/>
                      <w:lang w:val="en-US" w:eastAsia="zh-CN" w:bidi="ar-SA"/>
                    </w:rPr>
                  </w:pPr>
                  <w:r>
                    <w:rPr>
                      <w:rFonts w:hint="default"/>
                    </w:rPr>
                    <w:t>白皮锦鸡儿</w:t>
                  </w:r>
                </w:p>
              </w:tc>
              <w:tc>
                <w:tcPr>
                  <w:tcW w:w="2359" w:type="pct"/>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kern w:val="2"/>
                      <w:sz w:val="21"/>
                      <w:szCs w:val="21"/>
                      <w:lang w:val="en-US" w:eastAsia="zh-CN" w:bidi="ar-SA"/>
                    </w:rPr>
                  </w:pPr>
                  <w:r>
                    <w:rPr>
                      <w:rFonts w:hint="default"/>
                    </w:rPr>
                    <w:drawing>
                      <wp:inline distT="0" distB="0" distL="114300" distR="114300">
                        <wp:extent cx="2089150" cy="2309495"/>
                        <wp:effectExtent l="0" t="0" r="6350" b="1460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5"/>
                                <a:stretch>
                                  <a:fillRect/>
                                </a:stretch>
                              </pic:blipFill>
                              <pic:spPr>
                                <a:xfrm>
                                  <a:off x="0" y="0"/>
                                  <a:ext cx="2089150" cy="2309495"/>
                                </a:xfrm>
                                <a:prstGeom prst="rect">
                                  <a:avLst/>
                                </a:prstGeom>
                                <a:noFill/>
                                <a:ln>
                                  <a:noFill/>
                                </a:ln>
                              </pic:spPr>
                            </pic:pic>
                          </a:graphicData>
                        </a:graphic>
                      </wp:inline>
                    </w:drawing>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502" w:type="pct"/>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eastAsia" w:ascii="Times New Roman" w:hAnsi="Times New Roman" w:eastAsia="宋体" w:cs="Times New Roman"/>
                      <w:kern w:val="2"/>
                      <w:sz w:val="21"/>
                      <w:szCs w:val="21"/>
                      <w:lang w:val="en-US" w:eastAsia="zh-CN" w:bidi="ar-SA"/>
                    </w:rPr>
                  </w:pPr>
                  <w:r>
                    <w:rPr>
                      <w:rFonts w:hint="eastAsia"/>
                      <w:lang w:val="en-US" w:eastAsia="zh-CN"/>
                    </w:rPr>
                    <w:t>禾本科</w:t>
                  </w:r>
                </w:p>
              </w:tc>
              <w:tc>
                <w:tcPr>
                  <w:tcW w:w="717" w:type="pct"/>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kern w:val="2"/>
                      <w:sz w:val="21"/>
                      <w:szCs w:val="21"/>
                      <w:lang w:val="en-US" w:eastAsia="zh-CN" w:bidi="ar-SA"/>
                    </w:rPr>
                  </w:pPr>
                  <w:r>
                    <w:rPr>
                      <w:rFonts w:hint="default"/>
                    </w:rPr>
                    <w:t>针茅属</w:t>
                  </w:r>
                </w:p>
              </w:tc>
              <w:tc>
                <w:tcPr>
                  <w:tcW w:w="1420" w:type="pct"/>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kern w:val="2"/>
                      <w:sz w:val="21"/>
                      <w:szCs w:val="21"/>
                      <w:lang w:val="en-US" w:eastAsia="zh-CN" w:bidi="ar-SA"/>
                    </w:rPr>
                  </w:pPr>
                  <w:r>
                    <w:rPr>
                      <w:rFonts w:hint="default"/>
                    </w:rPr>
                    <w:t>针茅</w:t>
                  </w:r>
                </w:p>
              </w:tc>
              <w:tc>
                <w:tcPr>
                  <w:tcW w:w="2359" w:type="pct"/>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kern w:val="2"/>
                      <w:sz w:val="21"/>
                      <w:szCs w:val="21"/>
                      <w:lang w:val="en-US" w:eastAsia="zh-CN" w:bidi="ar-SA"/>
                    </w:rPr>
                  </w:pPr>
                  <w:r>
                    <w:rPr>
                      <w:rFonts w:hint="default"/>
                    </w:rPr>
                    <w:drawing>
                      <wp:inline distT="0" distB="0" distL="114300" distR="114300">
                        <wp:extent cx="2233930" cy="1458595"/>
                        <wp:effectExtent l="0" t="0" r="13970" b="825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6"/>
                                <a:stretch>
                                  <a:fillRect/>
                                </a:stretch>
                              </pic:blipFill>
                              <pic:spPr>
                                <a:xfrm>
                                  <a:off x="0" y="0"/>
                                  <a:ext cx="2233930" cy="1458595"/>
                                </a:xfrm>
                                <a:prstGeom prst="rect">
                                  <a:avLst/>
                                </a:prstGeom>
                                <a:noFill/>
                                <a:ln>
                                  <a:noFill/>
                                </a:ln>
                              </pic:spPr>
                            </pic:pic>
                          </a:graphicData>
                        </a:graphic>
                      </wp:inline>
                    </w:drawing>
                  </w:r>
                </w:p>
              </w:tc>
            </w:tr>
          </w:tbl>
          <w:p>
            <w:pPr>
              <w:pStyle w:val="48"/>
              <w:keepNext w:val="0"/>
              <w:keepLines w:val="0"/>
              <w:suppressLineNumbers w:val="0"/>
              <w:bidi w:val="0"/>
              <w:spacing w:before="0" w:beforeAutospacing="0" w:after="0" w:afterAutospacing="0"/>
              <w:ind w:left="0" w:right="0"/>
              <w:rPr>
                <w:rFonts w:hint="default"/>
              </w:rPr>
            </w:pPr>
            <w:r>
              <w:rPr>
                <w:rFonts w:hint="default"/>
              </w:rPr>
              <w:t>评价区的地质地貌、气候等自然因素处于相对稳定状态，地形、地貌等对植被的影响主要通过水分、盐分、矿质养分的分配差异体现出来</w:t>
            </w:r>
            <w:r>
              <w:rPr>
                <w:rFonts w:hint="eastAsia"/>
              </w:rPr>
              <w:t>。本区域植被</w:t>
            </w:r>
            <w:r>
              <w:rPr>
                <w:rFonts w:hint="default"/>
              </w:rPr>
              <w:t>主要为草本植物，植物类型主要</w:t>
            </w:r>
            <w:r>
              <w:rPr>
                <w:rFonts w:hint="eastAsia"/>
                <w:lang w:eastAsia="zh-CN"/>
              </w:rPr>
              <w:t>为</w:t>
            </w:r>
            <w:r>
              <w:rPr>
                <w:rFonts w:hint="eastAsia"/>
                <w:lang w:val="en-US" w:eastAsia="zh-CN"/>
              </w:rPr>
              <w:t>沙拐枣、骆驼刺、白皮锦鸡儿和针茅</w:t>
            </w:r>
            <w:r>
              <w:rPr>
                <w:rFonts w:hint="default"/>
              </w:rPr>
              <w:t>，</w:t>
            </w:r>
            <w:r>
              <w:rPr>
                <w:rFonts w:hint="eastAsia"/>
                <w:lang w:val="en-US" w:eastAsia="zh-CN"/>
              </w:rPr>
              <w:t>大部分区域</w:t>
            </w:r>
            <w:r>
              <w:rPr>
                <w:rFonts w:hint="default"/>
              </w:rPr>
              <w:t>植被生长稀疏，不涉及保护植物。</w:t>
            </w:r>
          </w:p>
          <w:p>
            <w:pPr>
              <w:pStyle w:val="48"/>
              <w:keepNext w:val="0"/>
              <w:keepLines w:val="0"/>
              <w:suppressLineNumbers w:val="0"/>
              <w:bidi w:val="0"/>
              <w:spacing w:before="0" w:beforeAutospacing="0" w:after="0" w:afterAutospacing="0"/>
              <w:ind w:left="0" w:right="0"/>
              <w:rPr>
                <w:rFonts w:hint="default"/>
              </w:rPr>
            </w:pPr>
            <w:r>
              <w:rPr>
                <w:rFonts w:hint="eastAsia"/>
              </w:rPr>
              <w:t>②</w:t>
            </w:r>
            <w:r>
              <w:rPr>
                <w:rFonts w:hint="default"/>
              </w:rPr>
              <w:t>野生动物现状调查及评价</w:t>
            </w:r>
          </w:p>
          <w:p>
            <w:pPr>
              <w:pStyle w:val="48"/>
              <w:keepNext w:val="0"/>
              <w:keepLines w:val="0"/>
              <w:suppressLineNumbers w:val="0"/>
              <w:bidi w:val="0"/>
              <w:spacing w:before="0" w:beforeAutospacing="0" w:after="0" w:afterAutospacing="0"/>
              <w:ind w:left="0" w:right="0"/>
              <w:rPr>
                <w:rFonts w:hint="eastAsia"/>
                <w:lang w:eastAsia="zh-CN"/>
              </w:rPr>
            </w:pPr>
            <w:r>
              <w:rPr>
                <w:rFonts w:hint="default"/>
              </w:rPr>
              <w:t>按中国动物地理区划的分级标准，项目区属古北界、中亚亚界、蒙新区</w:t>
            </w:r>
            <w:r>
              <w:rPr>
                <w:rFonts w:hint="eastAsia"/>
              </w:rPr>
              <w:t>。</w:t>
            </w:r>
            <w:r>
              <w:rPr>
                <w:rFonts w:hint="eastAsia"/>
                <w:lang w:val="en-US" w:eastAsia="zh-CN"/>
              </w:rPr>
              <w:t>因气候寒冷和食物短缺，无栖息及躲藏之地，野生动物分布数量较少且动物组成较为单一</w:t>
            </w:r>
            <w:r>
              <w:rPr>
                <w:rFonts w:hint="default"/>
              </w:rPr>
              <w:t>。</w:t>
            </w:r>
          </w:p>
          <w:p>
            <w:pPr>
              <w:pStyle w:val="48"/>
              <w:keepNext w:val="0"/>
              <w:keepLines w:val="0"/>
              <w:suppressLineNumbers w:val="0"/>
              <w:bidi w:val="0"/>
              <w:spacing w:before="0" w:beforeAutospacing="0" w:after="0" w:afterAutospacing="0"/>
              <w:ind w:left="0" w:right="0"/>
              <w:rPr>
                <w:rFonts w:hint="eastAsia" w:ascii="Times New Roman" w:hAnsi="Times New Roman" w:eastAsia="宋体" w:cs="Times New Roman"/>
                <w:b/>
                <w:kern w:val="0"/>
                <w:szCs w:val="21"/>
                <w:lang w:eastAsia="zh-CN"/>
              </w:rPr>
            </w:pPr>
            <w:r>
              <w:rPr>
                <w:rFonts w:hint="eastAsia"/>
              </w:rPr>
              <w:t>评价区主要野生动物名录</w:t>
            </w:r>
            <w:r>
              <w:rPr>
                <w:rFonts w:hint="default"/>
              </w:rPr>
              <w:t>见</w:t>
            </w:r>
            <w:r>
              <w:rPr>
                <w:rFonts w:hint="eastAsia"/>
                <w:lang w:eastAsia="zh-CN"/>
              </w:rPr>
              <w:t>下</w:t>
            </w:r>
            <w:r>
              <w:rPr>
                <w:rFonts w:hint="default"/>
              </w:rPr>
              <w:t>表</w:t>
            </w:r>
            <w:r>
              <w:rPr>
                <w:rFonts w:hint="eastAsia"/>
                <w:lang w:eastAsia="zh-CN"/>
              </w:rPr>
              <w:t>。</w:t>
            </w:r>
          </w:p>
          <w:p>
            <w:pPr>
              <w:pStyle w:val="52"/>
              <w:keepNext w:val="0"/>
              <w:keepLines w:val="0"/>
              <w:suppressLineNumbers w:val="0"/>
              <w:bidi w:val="0"/>
              <w:spacing w:before="0" w:beforeAutospacing="0" w:after="0" w:afterAutospacing="0"/>
              <w:ind w:left="0" w:right="0"/>
              <w:rPr>
                <w:rFonts w:hint="eastAsia"/>
              </w:rPr>
            </w:pPr>
            <w:r>
              <w:rPr>
                <w:rFonts w:hint="eastAsia"/>
              </w:rPr>
              <w:t>表</w:t>
            </w:r>
            <w:r>
              <w:rPr>
                <w:rFonts w:hint="eastAsia"/>
                <w:lang w:val="en-US" w:eastAsia="zh-CN"/>
              </w:rPr>
              <w:t>3-4</w:t>
            </w:r>
            <w:r>
              <w:rPr>
                <w:rFonts w:hint="eastAsia"/>
              </w:rPr>
              <w:t xml:space="preserve"> </w:t>
            </w:r>
            <w:r>
              <w:rPr>
                <w:rFonts w:hint="eastAsia"/>
                <w:lang w:val="en-US" w:eastAsia="zh-CN"/>
              </w:rPr>
              <w:t xml:space="preserve">  </w:t>
            </w:r>
            <w:r>
              <w:rPr>
                <w:rFonts w:hint="eastAsia"/>
              </w:rPr>
              <w:t xml:space="preserve"> 工程区主要野生动物名录</w:t>
            </w:r>
          </w:p>
          <w:tbl>
            <w:tblPr>
              <w:tblStyle w:val="25"/>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1401"/>
              <w:gridCol w:w="1505"/>
              <w:gridCol w:w="1579"/>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28" w:type="pct"/>
                  <w:tcBorders>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纲</w:t>
                  </w:r>
                </w:p>
              </w:tc>
              <w:tc>
                <w:tcPr>
                  <w:tcW w:w="861" w:type="pct"/>
                  <w:tcBorders>
                    <w:left w:val="nil"/>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目名</w:t>
                  </w:r>
                </w:p>
              </w:tc>
              <w:tc>
                <w:tcPr>
                  <w:tcW w:w="925" w:type="pct"/>
                  <w:tcBorders>
                    <w:left w:val="nil"/>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科名</w:t>
                  </w:r>
                </w:p>
              </w:tc>
              <w:tc>
                <w:tcPr>
                  <w:tcW w:w="970" w:type="pct"/>
                  <w:tcBorders>
                    <w:left w:val="nil"/>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中文名</w:t>
                  </w:r>
                </w:p>
              </w:tc>
              <w:tc>
                <w:tcPr>
                  <w:tcW w:w="1414" w:type="pct"/>
                  <w:tcBorders>
                    <w:left w:val="single" w:color="auto" w:sz="4" w:space="0"/>
                    <w:bottom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学名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pct"/>
                  <w:tcBorders>
                    <w:top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哺乳纲</w:t>
                  </w:r>
                </w:p>
              </w:tc>
              <w:tc>
                <w:tcPr>
                  <w:tcW w:w="861" w:type="pct"/>
                  <w:tcBorders>
                    <w:top w:val="single" w:color="auto" w:sz="4" w:space="0"/>
                    <w:left w:val="nil"/>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啮齿目</w:t>
                  </w:r>
                </w:p>
              </w:tc>
              <w:tc>
                <w:tcPr>
                  <w:tcW w:w="925" w:type="pct"/>
                  <w:tcBorders>
                    <w:top w:val="single" w:color="auto" w:sz="4" w:space="0"/>
                    <w:left w:val="nil"/>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仓鼠科</w:t>
                  </w:r>
                </w:p>
              </w:tc>
              <w:tc>
                <w:tcPr>
                  <w:tcW w:w="970" w:type="pct"/>
                  <w:tcBorders>
                    <w:top w:val="single" w:color="auto" w:sz="4" w:space="0"/>
                    <w:left w:val="nil"/>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lang w:eastAsia="zh-CN"/>
                    </w:rPr>
                  </w:pPr>
                  <w:r>
                    <w:rPr>
                      <w:rFonts w:hint="default"/>
                      <w:lang w:eastAsia="zh-CN"/>
                    </w:rPr>
                    <w:t>灰仓鼠</w:t>
                  </w:r>
                </w:p>
              </w:tc>
              <w:tc>
                <w:tcPr>
                  <w:tcW w:w="1414" w:type="pct"/>
                  <w:tcBorders>
                    <w:top w:val="single" w:color="auto" w:sz="4" w:space="0"/>
                    <w:left w:val="single" w:color="auto" w:sz="4" w:space="0"/>
                    <w:bottom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i/>
                      <w:iCs/>
                    </w:rPr>
                  </w:pPr>
                  <w:r>
                    <w:rPr>
                      <w:rFonts w:hint="default"/>
                      <w:i/>
                      <w:iCs/>
                    </w:rPr>
                    <w:t>Cricetulus migratorius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pct"/>
                  <w:tcBorders>
                    <w:top w:val="single" w:color="auto" w:sz="4" w:space="0"/>
                    <w:bottom w:val="single" w:color="auto" w:sz="4" w:space="0"/>
                    <w:right w:val="single" w:color="auto" w:sz="4" w:space="0"/>
                  </w:tcBorders>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kern w:val="2"/>
                      <w:sz w:val="21"/>
                      <w:szCs w:val="21"/>
                      <w:lang w:val="en-US" w:eastAsia="zh-CN" w:bidi="ar-SA"/>
                    </w:rPr>
                  </w:pPr>
                  <w:r>
                    <w:rPr>
                      <w:rFonts w:hint="default"/>
                    </w:rPr>
                    <w:t>哺乳纲</w:t>
                  </w:r>
                </w:p>
              </w:tc>
              <w:tc>
                <w:tcPr>
                  <w:tcW w:w="861" w:type="pct"/>
                  <w:tcBorders>
                    <w:top w:val="single" w:color="auto" w:sz="4" w:space="0"/>
                    <w:left w:val="nil"/>
                    <w:bottom w:val="single" w:color="auto" w:sz="4" w:space="0"/>
                    <w:right w:val="single" w:color="auto" w:sz="4" w:space="0"/>
                  </w:tcBorders>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kern w:val="2"/>
                      <w:sz w:val="21"/>
                      <w:szCs w:val="21"/>
                      <w:lang w:val="en-US" w:eastAsia="zh-CN" w:bidi="ar-SA"/>
                    </w:rPr>
                  </w:pPr>
                  <w:r>
                    <w:rPr>
                      <w:rFonts w:hint="default"/>
                      <w:lang w:val="en-US" w:eastAsia="zh-CN"/>
                    </w:rPr>
                    <w:t>哺乳纲</w:t>
                  </w:r>
                </w:p>
              </w:tc>
              <w:tc>
                <w:tcPr>
                  <w:tcW w:w="925" w:type="pct"/>
                  <w:tcBorders>
                    <w:top w:val="single" w:color="auto" w:sz="4" w:space="0"/>
                    <w:left w:val="nil"/>
                    <w:bottom w:val="single" w:color="auto" w:sz="4" w:space="0"/>
                    <w:right w:val="single" w:color="auto" w:sz="4" w:space="0"/>
                  </w:tcBorders>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kern w:val="2"/>
                      <w:sz w:val="21"/>
                      <w:szCs w:val="21"/>
                      <w:lang w:val="en-US" w:eastAsia="zh-CN" w:bidi="ar-SA"/>
                    </w:rPr>
                  </w:pPr>
                  <w:r>
                    <w:rPr>
                      <w:rFonts w:hint="default"/>
                      <w:lang w:val="en-US" w:eastAsia="zh-CN"/>
                    </w:rPr>
                    <w:t>兔科</w:t>
                  </w:r>
                </w:p>
              </w:tc>
              <w:tc>
                <w:tcPr>
                  <w:tcW w:w="970" w:type="pct"/>
                  <w:tcBorders>
                    <w:top w:val="single" w:color="auto" w:sz="4" w:space="0"/>
                    <w:left w:val="nil"/>
                    <w:bottom w:val="single" w:color="auto" w:sz="4" w:space="0"/>
                    <w:right w:val="single" w:color="auto" w:sz="4" w:space="0"/>
                  </w:tcBorders>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kern w:val="2"/>
                      <w:sz w:val="21"/>
                      <w:szCs w:val="21"/>
                      <w:lang w:val="en-US" w:eastAsia="zh-CN" w:bidi="ar-SA"/>
                    </w:rPr>
                  </w:pPr>
                  <w:r>
                    <w:rPr>
                      <w:rFonts w:hint="default"/>
                      <w:lang w:eastAsia="zh-CN"/>
                    </w:rPr>
                    <w:t>草兔</w:t>
                  </w:r>
                </w:p>
              </w:tc>
              <w:tc>
                <w:tcPr>
                  <w:tcW w:w="1414" w:type="pct"/>
                  <w:tcBorders>
                    <w:top w:val="single" w:color="auto" w:sz="4" w:space="0"/>
                    <w:left w:val="single" w:color="auto" w:sz="4" w:space="0"/>
                    <w:bottom w:val="single" w:color="auto" w:sz="4" w:space="0"/>
                  </w:tcBorders>
                  <w:shd w:val="clear" w:color="auto" w:fill="auto"/>
                  <w:noWrap w:val="0"/>
                  <w:vAlign w:val="center"/>
                </w:tcPr>
                <w:p>
                  <w:pPr>
                    <w:pStyle w:val="58"/>
                    <w:keepNext w:val="0"/>
                    <w:keepLines w:val="0"/>
                    <w:suppressLineNumbers w:val="0"/>
                    <w:bidi w:val="0"/>
                    <w:spacing w:before="0" w:beforeAutospacing="0" w:after="0" w:afterAutospacing="0"/>
                    <w:ind w:left="0" w:leftChars="0" w:right="0" w:rightChars="0"/>
                    <w:rPr>
                      <w:rFonts w:hint="default" w:ascii="Times New Roman" w:hAnsi="Times New Roman" w:eastAsia="宋体" w:cs="Times New Roman"/>
                      <w:i/>
                      <w:iCs/>
                      <w:kern w:val="2"/>
                      <w:sz w:val="21"/>
                      <w:szCs w:val="21"/>
                      <w:lang w:val="en-US" w:eastAsia="zh-CN" w:bidi="ar-SA"/>
                    </w:rPr>
                  </w:pPr>
                  <w:r>
                    <w:rPr>
                      <w:rFonts w:hint="default"/>
                      <w:i/>
                      <w:iCs/>
                    </w:rPr>
                    <w:t>Lepus capensis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8" w:type="pct"/>
                  <w:tcBorders>
                    <w:top w:val="single" w:color="auto" w:sz="4" w:space="0"/>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爬行纲</w:t>
                  </w:r>
                </w:p>
              </w:tc>
              <w:tc>
                <w:tcPr>
                  <w:tcW w:w="861" w:type="pct"/>
                  <w:tcBorders>
                    <w:top w:val="single" w:color="auto" w:sz="4" w:space="0"/>
                    <w:left w:val="nil"/>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蜥蜴目</w:t>
                  </w:r>
                </w:p>
              </w:tc>
              <w:tc>
                <w:tcPr>
                  <w:tcW w:w="925" w:type="pct"/>
                  <w:tcBorders>
                    <w:top w:val="single" w:color="auto" w:sz="4" w:space="0"/>
                    <w:left w:val="nil"/>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蜥蜴科</w:t>
                  </w:r>
                </w:p>
              </w:tc>
              <w:tc>
                <w:tcPr>
                  <w:tcW w:w="970" w:type="pct"/>
                  <w:tcBorders>
                    <w:top w:val="single" w:color="auto" w:sz="4" w:space="0"/>
                    <w:left w:val="nil"/>
                    <w:bottom w:val="single" w:color="auto" w:sz="4" w:space="0"/>
                    <w:right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rPr>
                    <w:t>蜥蜴</w:t>
                  </w:r>
                </w:p>
              </w:tc>
              <w:tc>
                <w:tcPr>
                  <w:tcW w:w="1414" w:type="pct"/>
                  <w:tcBorders>
                    <w:top w:val="single" w:color="auto" w:sz="4" w:space="0"/>
                    <w:left w:val="single" w:color="auto" w:sz="4" w:space="0"/>
                    <w:bottom w:val="single" w:color="auto" w:sz="4" w:space="0"/>
                  </w:tcBorders>
                  <w:noWrap w:val="0"/>
                  <w:vAlign w:val="center"/>
                </w:tcPr>
                <w:p>
                  <w:pPr>
                    <w:pStyle w:val="58"/>
                    <w:keepNext w:val="0"/>
                    <w:keepLines w:val="0"/>
                    <w:suppressLineNumbers w:val="0"/>
                    <w:bidi w:val="0"/>
                    <w:spacing w:before="0" w:beforeAutospacing="0" w:after="0" w:afterAutospacing="0"/>
                    <w:ind w:left="0" w:right="0"/>
                    <w:rPr>
                      <w:rFonts w:hint="default"/>
                      <w:i/>
                      <w:iCs/>
                      <w:lang w:val="en-US" w:eastAsia="en-US"/>
                    </w:rPr>
                  </w:pPr>
                  <w:r>
                    <w:rPr>
                      <w:rFonts w:hint="default"/>
                      <w:i/>
                      <w:iCs/>
                    </w:rPr>
                    <w:t>Lizard</w:t>
                  </w:r>
                </w:p>
              </w:tc>
            </w:tr>
          </w:tbl>
          <w:p>
            <w:pPr>
              <w:pStyle w:val="65"/>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③水土流失现状调查：2024年和硕县水土流失面积3387.82km</w:t>
            </w:r>
            <w:r>
              <w:rPr>
                <w:rFonts w:hint="eastAsia"/>
                <w:vertAlign w:val="superscript"/>
                <w:lang w:val="en-US" w:eastAsia="zh-CN"/>
              </w:rPr>
              <w:t>2</w:t>
            </w:r>
            <w:r>
              <w:rPr>
                <w:rFonts w:hint="eastAsia"/>
                <w:lang w:val="en-US" w:eastAsia="zh-CN"/>
              </w:rPr>
              <w:t>，占全县土地总面积的26.56%。其中水力侵蚀面积为582.76km</w:t>
            </w:r>
            <w:r>
              <w:rPr>
                <w:rFonts w:hint="eastAsia"/>
                <w:vertAlign w:val="superscript"/>
                <w:lang w:val="en-US" w:eastAsia="zh-CN"/>
              </w:rPr>
              <w:t>2</w:t>
            </w:r>
            <w:r>
              <w:rPr>
                <w:rFonts w:hint="eastAsia"/>
                <w:lang w:val="en-US" w:eastAsia="zh-CN"/>
              </w:rPr>
              <w:t>，占水土流失面积的17.20%；风力侵蚀面积为2805.06km</w:t>
            </w:r>
            <w:r>
              <w:rPr>
                <w:rFonts w:hint="eastAsia"/>
                <w:vertAlign w:val="superscript"/>
                <w:lang w:val="en-US" w:eastAsia="zh-CN"/>
              </w:rPr>
              <w:t>2</w:t>
            </w:r>
            <w:r>
              <w:rPr>
                <w:rFonts w:hint="eastAsia"/>
                <w:lang w:val="en-US" w:eastAsia="zh-CN"/>
              </w:rPr>
              <w:t>，占水土流失面积的82.80%。</w:t>
            </w:r>
          </w:p>
          <w:p>
            <w:pPr>
              <w:pStyle w:val="48"/>
              <w:keepNext w:val="0"/>
              <w:keepLines w:val="0"/>
              <w:suppressLineNumbers w:val="0"/>
              <w:bidi w:val="0"/>
              <w:spacing w:before="0" w:beforeAutospacing="0" w:after="0" w:afterAutospacing="0"/>
              <w:ind w:left="0" w:right="0"/>
              <w:rPr>
                <w:rFonts w:hint="default"/>
                <w:highlight w:val="none"/>
                <w:lang w:val="en-US" w:eastAsia="zh-CN"/>
              </w:rPr>
            </w:pPr>
            <w:r>
              <w:rPr>
                <w:rFonts w:hint="eastAsia"/>
                <w:lang w:val="en-US" w:eastAsia="zh-CN"/>
              </w:rPr>
              <w:t>和硕县2024年水土流失面积比2023年减少了5.17km</w:t>
            </w:r>
            <w:r>
              <w:rPr>
                <w:rFonts w:hint="eastAsia"/>
                <w:vertAlign w:val="superscript"/>
                <w:lang w:val="en-US" w:eastAsia="zh-CN"/>
              </w:rPr>
              <w:t>2</w:t>
            </w:r>
            <w:r>
              <w:rPr>
                <w:rFonts w:hint="eastAsia"/>
                <w:lang w:val="en-US" w:eastAsia="zh-CN"/>
              </w:rPr>
              <w:t>。</w:t>
            </w:r>
            <w:r>
              <w:rPr>
                <w:rFonts w:hint="eastAsia"/>
                <w:highlight w:val="none"/>
                <w:lang w:val="en-US" w:eastAsia="zh-CN"/>
              </w:rPr>
              <w:t>项目区水土流失情况为微度和轻度，</w:t>
            </w:r>
            <w:r>
              <w:rPr>
                <w:rFonts w:hint="eastAsia"/>
                <w:lang w:val="en-US" w:eastAsia="zh-CN"/>
              </w:rPr>
              <w:t>水土流失类型包括水力侵蚀，风力侵蚀和冻融侵蚀。</w:t>
            </w:r>
            <w:r>
              <w:rPr>
                <w:rFonts w:hint="eastAsia"/>
                <w:highlight w:val="none"/>
                <w:lang w:val="en-US" w:eastAsia="zh-CN"/>
              </w:rPr>
              <w:t>水土流失类型见附图。</w:t>
            </w:r>
          </w:p>
          <w:p>
            <w:pPr>
              <w:pStyle w:val="48"/>
              <w:keepNext w:val="0"/>
              <w:keepLines w:val="0"/>
              <w:suppressLineNumbers w:val="0"/>
              <w:bidi w:val="0"/>
              <w:spacing w:before="0" w:beforeAutospacing="0" w:after="0" w:afterAutospacing="0"/>
              <w:ind w:left="0" w:right="0"/>
              <w:rPr>
                <w:rFonts w:hint="eastAsia"/>
                <w:highlight w:val="none"/>
                <w:lang w:val="en-US" w:eastAsia="zh-CN"/>
              </w:rPr>
            </w:pPr>
            <w:r>
              <w:rPr>
                <w:rFonts w:hint="eastAsia" w:cs="Times New Roman"/>
                <w:color w:val="000000"/>
                <w:kern w:val="2"/>
                <w:sz w:val="24"/>
                <w:szCs w:val="24"/>
                <w:highlight w:val="none"/>
                <w:lang w:val="en-US" w:eastAsia="zh-CN" w:bidi="ar-SA"/>
              </w:rPr>
              <w:t>④</w:t>
            </w:r>
            <w:r>
              <w:rPr>
                <w:rFonts w:hint="eastAsia"/>
                <w:highlight w:val="none"/>
                <w:lang w:val="en-US" w:eastAsia="zh-CN"/>
              </w:rPr>
              <w:t>沙化土地现状：根据新疆第六次沙化监测报告中沙化土地类型分布图，项目区为非沙化土地，土地沙化程度分布图见附图。</w:t>
            </w:r>
          </w:p>
          <w:p>
            <w:pPr>
              <w:pStyle w:val="48"/>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2"/>
                <w:sz w:val="24"/>
                <w:szCs w:val="24"/>
                <w:highlight w:val="green"/>
                <w:lang w:val="en-US" w:eastAsia="zh-CN" w:bidi="ar-SA"/>
              </w:rPr>
            </w:pPr>
            <w:r>
              <w:rPr>
                <w:rFonts w:hint="eastAsia" w:cs="Times New Roman"/>
                <w:color w:val="auto"/>
                <w:kern w:val="2"/>
                <w:sz w:val="24"/>
                <w:szCs w:val="24"/>
                <w:highlight w:val="none"/>
                <w:lang w:val="en-US" w:eastAsia="zh-CN" w:bidi="ar-SA"/>
              </w:rPr>
              <w:t>⑤</w:t>
            </w:r>
            <w:r>
              <w:rPr>
                <w:rFonts w:hint="eastAsia"/>
                <w:color w:val="auto"/>
                <w:highlight w:val="none"/>
                <w:lang w:val="en-US" w:eastAsia="zh-CN"/>
              </w:rPr>
              <w:t>土地利用现状：本项目土地利用类型为低覆盖度草地，中覆盖度草地</w:t>
            </w:r>
            <w:r>
              <w:rPr>
                <w:rFonts w:hint="eastAsia" w:ascii="Times New Roman" w:hAnsi="Times New Roman" w:eastAsia="宋体" w:cs="Times New Roman"/>
                <w:color w:val="auto"/>
                <w:kern w:val="2"/>
                <w:sz w:val="24"/>
                <w:szCs w:val="24"/>
                <w:highlight w:val="none"/>
                <w:lang w:val="en-US" w:eastAsia="zh-CN" w:bidi="ar-SA"/>
              </w:rPr>
              <w:t>土地</w:t>
            </w:r>
            <w:r>
              <w:rPr>
                <w:rFonts w:hint="eastAsia" w:cs="Times New Roman"/>
                <w:color w:val="auto"/>
                <w:kern w:val="2"/>
                <w:sz w:val="24"/>
                <w:szCs w:val="24"/>
                <w:highlight w:val="none"/>
                <w:lang w:val="en-US" w:eastAsia="zh-CN" w:bidi="ar-SA"/>
              </w:rPr>
              <w:t>和裸岩石砾地。</w:t>
            </w:r>
            <w:r>
              <w:rPr>
                <w:rFonts w:hint="eastAsia" w:ascii="Times New Roman" w:hAnsi="Times New Roman" w:eastAsia="宋体" w:cs="Times New Roman"/>
                <w:color w:val="auto"/>
                <w:kern w:val="2"/>
                <w:sz w:val="24"/>
                <w:szCs w:val="24"/>
                <w:highlight w:val="none"/>
                <w:lang w:val="en-US" w:eastAsia="zh-CN" w:bidi="ar-SA"/>
              </w:rPr>
              <w:t>利用现状见附图。</w:t>
            </w:r>
          </w:p>
          <w:p>
            <w:pPr>
              <w:pStyle w:val="50"/>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2.大气环境质量现状</w:t>
            </w:r>
          </w:p>
          <w:p>
            <w:pPr>
              <w:pStyle w:val="48"/>
              <w:keepNext w:val="0"/>
              <w:keepLines w:val="0"/>
              <w:suppressLineNumbers w:val="0"/>
              <w:bidi w:val="0"/>
              <w:spacing w:before="0" w:beforeAutospacing="0" w:after="0" w:afterAutospacing="0"/>
              <w:ind w:left="0" w:right="0"/>
              <w:rPr>
                <w:rFonts w:hint="eastAsia"/>
                <w:lang w:eastAsia="zh-CN"/>
              </w:rPr>
            </w:pPr>
            <w:r>
              <w:rPr>
                <w:rFonts w:hint="eastAsia"/>
              </w:rPr>
              <w:t>（</w:t>
            </w:r>
            <w:r>
              <w:rPr>
                <w:rFonts w:hint="default"/>
              </w:rPr>
              <w:t>1</w:t>
            </w:r>
            <w:r>
              <w:rPr>
                <w:rFonts w:hint="eastAsia"/>
              </w:rPr>
              <w:t>）评价数据选用</w:t>
            </w:r>
          </w:p>
          <w:p>
            <w:pPr>
              <w:pStyle w:val="4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lang w:val="en-US" w:eastAsia="zh-CN"/>
              </w:rPr>
            </w:pPr>
            <w:r>
              <w:rPr>
                <w:rFonts w:hint="default"/>
                <w:lang w:val="en-US" w:eastAsia="zh-CN"/>
              </w:rPr>
              <w:t>根据《建设项目环境影响报告表编制技术指南（生态影响类）（试行）》</w:t>
            </w:r>
            <w:r>
              <w:rPr>
                <w:rFonts w:hint="eastAsia"/>
                <w:lang w:val="en-US" w:eastAsia="zh-CN"/>
              </w:rPr>
              <w:t>“</w:t>
            </w:r>
            <w:r>
              <w:rPr>
                <w:rFonts w:hint="default"/>
                <w:lang w:val="en-US" w:eastAsia="zh-CN"/>
              </w:rPr>
              <w:t>不开展专项评价的环境要素，引用与项目距离近的有效数据和调查资料，包括符合时限要求的规划环境影响评价监测数据和调查资料，国家、地方环境质量监测网数据或生态环境主管部门公开发布的生态环境质量数据等</w:t>
            </w:r>
            <w:r>
              <w:rPr>
                <w:rFonts w:hint="eastAsia"/>
                <w:lang w:val="en-US" w:eastAsia="zh-CN"/>
              </w:rPr>
              <w:t>”</w:t>
            </w:r>
            <w:r>
              <w:rPr>
                <w:rFonts w:hint="default"/>
                <w:lang w:val="en-US" w:eastAsia="zh-CN"/>
              </w:rPr>
              <w:t>，项目所在区域目前没有国家和地方生态环境部门公开发布的评价基准年环境质量公告或环境质量报告中的数据，本次选用</w:t>
            </w:r>
            <w:r>
              <w:rPr>
                <w:rFonts w:hint="eastAsia"/>
                <w:lang w:val="en-US" w:eastAsia="zh-CN"/>
              </w:rPr>
              <w:t>和硕县</w:t>
            </w:r>
            <w:r>
              <w:rPr>
                <w:rFonts w:hint="default"/>
                <w:lang w:val="en-US" w:eastAsia="zh-CN"/>
              </w:rPr>
              <w:t>空气自动监测站202</w:t>
            </w:r>
            <w:r>
              <w:rPr>
                <w:rFonts w:hint="eastAsia"/>
                <w:lang w:val="en-US" w:eastAsia="zh-CN"/>
              </w:rPr>
              <w:t>4</w:t>
            </w:r>
            <w:r>
              <w:rPr>
                <w:rFonts w:hint="default"/>
                <w:lang w:val="en-US" w:eastAsia="zh-CN"/>
              </w:rPr>
              <w:t>年的监测数据。环境空气质量达标情况评价指标为SO</w:t>
            </w:r>
            <w:r>
              <w:rPr>
                <w:rFonts w:hint="default"/>
                <w:vertAlign w:val="subscript"/>
                <w:lang w:val="en-US" w:eastAsia="zh-CN"/>
              </w:rPr>
              <w:t>2</w:t>
            </w:r>
            <w:r>
              <w:rPr>
                <w:rFonts w:hint="default"/>
                <w:lang w:val="en-US" w:eastAsia="zh-CN"/>
              </w:rPr>
              <w:t>、NO</w:t>
            </w:r>
            <w:r>
              <w:rPr>
                <w:rFonts w:hint="default"/>
                <w:vertAlign w:val="subscript"/>
                <w:lang w:val="en-US" w:eastAsia="zh-CN"/>
              </w:rPr>
              <w:t>2</w:t>
            </w:r>
            <w:r>
              <w:rPr>
                <w:rFonts w:hint="default"/>
                <w:lang w:val="en-US" w:eastAsia="zh-CN"/>
              </w:rPr>
              <w:t>、PM</w:t>
            </w:r>
            <w:r>
              <w:rPr>
                <w:rFonts w:hint="default"/>
                <w:vertAlign w:val="subscript"/>
                <w:lang w:val="en-US" w:eastAsia="zh-CN"/>
              </w:rPr>
              <w:t>10</w:t>
            </w:r>
            <w:r>
              <w:rPr>
                <w:rFonts w:hint="default"/>
                <w:lang w:val="en-US" w:eastAsia="zh-CN"/>
              </w:rPr>
              <w:t>、PM</w:t>
            </w:r>
            <w:r>
              <w:rPr>
                <w:rFonts w:hint="default"/>
                <w:vertAlign w:val="subscript"/>
                <w:lang w:val="en-US" w:eastAsia="zh-CN"/>
              </w:rPr>
              <w:t>2.5</w:t>
            </w:r>
            <w:r>
              <w:rPr>
                <w:rFonts w:hint="default"/>
                <w:lang w:val="en-US" w:eastAsia="zh-CN"/>
              </w:rPr>
              <w:t>、CO和O</w:t>
            </w:r>
            <w:r>
              <w:rPr>
                <w:rFonts w:hint="default"/>
                <w:vertAlign w:val="subscript"/>
                <w:lang w:val="en-US" w:eastAsia="zh-CN"/>
              </w:rPr>
              <w:t>3</w:t>
            </w:r>
            <w:r>
              <w:rPr>
                <w:rFonts w:hint="default"/>
                <w:lang w:val="en-US" w:eastAsia="zh-CN"/>
              </w:rPr>
              <w:t>等6项基本污染物数据来源</w:t>
            </w:r>
            <w:r>
              <w:rPr>
                <w:rFonts w:hint="eastAsia"/>
                <w:lang w:val="en-US" w:eastAsia="zh-CN"/>
              </w:rPr>
              <w:t>，所引用数据可以满足环境空气质量评价有效性要求。</w:t>
            </w:r>
          </w:p>
          <w:p>
            <w:pPr>
              <w:pStyle w:val="48"/>
              <w:keepNext w:val="0"/>
              <w:keepLines w:val="0"/>
              <w:suppressLineNumbers w:val="0"/>
              <w:bidi w:val="0"/>
              <w:spacing w:before="0" w:beforeAutospacing="0" w:after="0" w:afterAutospacing="0"/>
              <w:ind w:left="0" w:right="0"/>
              <w:rPr>
                <w:rFonts w:hint="default"/>
              </w:rPr>
            </w:pPr>
            <w:r>
              <w:rPr>
                <w:rFonts w:hint="eastAsia"/>
              </w:rPr>
              <w:t>①监测点位：</w:t>
            </w:r>
            <w:r>
              <w:rPr>
                <w:rFonts w:hint="eastAsia"/>
                <w:lang w:val="en-US" w:eastAsia="zh-CN"/>
              </w:rPr>
              <w:t>和硕县</w:t>
            </w:r>
            <w:r>
              <w:rPr>
                <w:rFonts w:hint="eastAsia"/>
              </w:rPr>
              <w:t>环境空气自动监测站。</w:t>
            </w:r>
          </w:p>
          <w:p>
            <w:pPr>
              <w:pStyle w:val="4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rPr>
            </w:pPr>
            <w:r>
              <w:rPr>
                <w:rFonts w:hint="eastAsia"/>
              </w:rPr>
              <w:t>②监测项目：二氧化硫（</w:t>
            </w:r>
            <w:r>
              <w:rPr>
                <w:rFonts w:hint="default"/>
              </w:rPr>
              <w:t>SO</w:t>
            </w:r>
            <w:r>
              <w:rPr>
                <w:rFonts w:hint="default"/>
                <w:vertAlign w:val="subscript"/>
              </w:rPr>
              <w:t>2</w:t>
            </w:r>
            <w:r>
              <w:rPr>
                <w:rFonts w:hint="eastAsia"/>
              </w:rPr>
              <w:t>）、二氧化氮（</w:t>
            </w:r>
            <w:r>
              <w:rPr>
                <w:rFonts w:hint="default"/>
              </w:rPr>
              <w:t>NO</w:t>
            </w:r>
            <w:r>
              <w:rPr>
                <w:rFonts w:hint="default"/>
                <w:vertAlign w:val="subscript"/>
              </w:rPr>
              <w:t>2</w:t>
            </w:r>
            <w:r>
              <w:rPr>
                <w:rFonts w:hint="eastAsia"/>
              </w:rPr>
              <w:t>）、可吸入颗粒物（</w:t>
            </w:r>
            <w:r>
              <w:rPr>
                <w:rFonts w:hint="default"/>
              </w:rPr>
              <w:t>PM</w:t>
            </w:r>
            <w:r>
              <w:rPr>
                <w:rFonts w:hint="default"/>
                <w:vertAlign w:val="subscript"/>
              </w:rPr>
              <w:t>10</w:t>
            </w:r>
            <w:r>
              <w:rPr>
                <w:rFonts w:hint="eastAsia"/>
              </w:rPr>
              <w:t>）、一氧化碳（</w:t>
            </w:r>
            <w:r>
              <w:rPr>
                <w:rFonts w:hint="default"/>
              </w:rPr>
              <w:t>CO</w:t>
            </w:r>
            <w:r>
              <w:rPr>
                <w:rFonts w:hint="eastAsia"/>
              </w:rPr>
              <w:t>）、臭氧（</w:t>
            </w:r>
            <w:r>
              <w:rPr>
                <w:rFonts w:hint="default"/>
              </w:rPr>
              <w:t>O</w:t>
            </w:r>
            <w:r>
              <w:rPr>
                <w:rFonts w:hint="default"/>
                <w:vertAlign w:val="subscript"/>
              </w:rPr>
              <w:t>3</w:t>
            </w:r>
            <w:r>
              <w:rPr>
                <w:rFonts w:hint="eastAsia"/>
              </w:rPr>
              <w:t>）、细颗粒物（</w:t>
            </w:r>
            <w:r>
              <w:rPr>
                <w:rFonts w:hint="default"/>
              </w:rPr>
              <w:t>PM</w:t>
            </w:r>
            <w:r>
              <w:rPr>
                <w:rFonts w:hint="default"/>
                <w:vertAlign w:val="subscript"/>
              </w:rPr>
              <w:t>2.5</w:t>
            </w:r>
            <w:r>
              <w:rPr>
                <w:rFonts w:hint="eastAsia"/>
              </w:rPr>
              <w:t>）六项。</w:t>
            </w:r>
          </w:p>
          <w:p>
            <w:pPr>
              <w:pStyle w:val="48"/>
              <w:keepNext w:val="0"/>
              <w:keepLines w:val="0"/>
              <w:suppressLineNumbers w:val="0"/>
              <w:bidi w:val="0"/>
              <w:spacing w:before="0" w:beforeAutospacing="0" w:after="0" w:afterAutospacing="0"/>
              <w:ind w:left="0" w:right="0"/>
              <w:rPr>
                <w:rFonts w:hint="default"/>
              </w:rPr>
            </w:pPr>
            <w:r>
              <w:rPr>
                <w:rFonts w:hint="eastAsia"/>
              </w:rPr>
              <w:t>③监测时间：</w:t>
            </w:r>
            <w:r>
              <w:rPr>
                <w:rFonts w:hint="default"/>
              </w:rPr>
              <w:t>20</w:t>
            </w:r>
            <w:r>
              <w:rPr>
                <w:rFonts w:hint="eastAsia"/>
                <w:lang w:val="en-US" w:eastAsia="zh-CN"/>
              </w:rPr>
              <w:t>24年全年。</w:t>
            </w:r>
          </w:p>
          <w:p>
            <w:pPr>
              <w:pStyle w:val="48"/>
              <w:keepNext w:val="0"/>
              <w:keepLines w:val="0"/>
              <w:suppressLineNumbers w:val="0"/>
              <w:bidi w:val="0"/>
              <w:spacing w:before="0" w:beforeAutospacing="0" w:after="0" w:afterAutospacing="0"/>
              <w:ind w:left="0" w:right="0"/>
              <w:rPr>
                <w:rFonts w:hint="default"/>
              </w:rPr>
            </w:pPr>
            <w:r>
              <w:rPr>
                <w:rFonts w:hint="eastAsia"/>
              </w:rPr>
              <w:t>（</w:t>
            </w:r>
            <w:r>
              <w:rPr>
                <w:rFonts w:hint="default"/>
              </w:rPr>
              <w:t>2</w:t>
            </w:r>
            <w:r>
              <w:rPr>
                <w:rFonts w:hint="eastAsia"/>
              </w:rPr>
              <w:t>）评价标准</w:t>
            </w:r>
          </w:p>
          <w:p>
            <w:pPr>
              <w:pStyle w:val="48"/>
              <w:keepNext w:val="0"/>
              <w:keepLines w:val="0"/>
              <w:suppressLineNumbers w:val="0"/>
              <w:bidi w:val="0"/>
              <w:spacing w:before="0" w:beforeAutospacing="0" w:after="0" w:afterAutospacing="0"/>
              <w:ind w:left="0" w:right="0"/>
              <w:rPr>
                <w:rFonts w:hint="eastAsia"/>
              </w:rPr>
            </w:pPr>
            <w:r>
              <w:rPr>
                <w:rFonts w:hint="eastAsia"/>
              </w:rPr>
              <w:t>项目区属于二类环境空气功能区，评价标准采用环境空气质量执行《环境空气质量标准》（</w:t>
            </w:r>
            <w:r>
              <w:rPr>
                <w:rFonts w:hint="default"/>
              </w:rPr>
              <w:t>GB3095-20</w:t>
            </w:r>
            <w:r>
              <w:rPr>
                <w:rFonts w:hint="eastAsia"/>
                <w:lang w:val="en-US" w:eastAsia="zh-CN"/>
              </w:rPr>
              <w:t>26</w:t>
            </w:r>
            <w:r>
              <w:rPr>
                <w:rFonts w:hint="eastAsia"/>
              </w:rPr>
              <w:t>）</w:t>
            </w:r>
            <w:r>
              <w:rPr>
                <w:rFonts w:hint="eastAsia"/>
                <w:lang w:val="en-US" w:eastAsia="zh-CN"/>
              </w:rPr>
              <w:t>过渡阶段的</w:t>
            </w:r>
            <w:r>
              <w:rPr>
                <w:rFonts w:hint="eastAsia"/>
              </w:rPr>
              <w:t>二级标准。</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（3）评价方法</w:t>
            </w:r>
          </w:p>
          <w:p>
            <w:pPr>
              <w:pStyle w:val="48"/>
              <w:keepNext w:val="0"/>
              <w:keepLines w:val="0"/>
              <w:suppressLineNumbers w:val="0"/>
              <w:bidi w:val="0"/>
              <w:spacing w:before="0" w:beforeAutospacing="0" w:after="0" w:afterAutospacing="0"/>
              <w:ind w:left="0" w:right="0"/>
              <w:rPr>
                <w:rFonts w:hint="default"/>
              </w:rPr>
            </w:pPr>
            <w:r>
              <w:rPr>
                <w:rFonts w:hint="default"/>
              </w:rPr>
              <w:t>选用占标率进行评价，公式为：</w:t>
            </w:r>
          </w:p>
          <w:p>
            <w:pPr>
              <w:keepNext w:val="0"/>
              <w:keepLines w:val="0"/>
              <w:pageBreakBefore w:val="0"/>
              <w:suppressLineNumbers w:val="0"/>
              <w:kinsoku/>
              <w:wordWrap/>
              <w:overflowPunct/>
              <w:topLinePunct w:val="0"/>
              <w:autoSpaceDE/>
              <w:autoSpaceDN/>
              <w:bidi w:val="0"/>
              <w:spacing w:before="0" w:beforeAutospacing="0" w:after="0" w:afterAutospacing="0" w:line="480" w:lineRule="exact"/>
              <w:ind w:left="0" w:right="0"/>
              <w:jc w:val="center"/>
              <w:rPr>
                <w:rFonts w:hint="default" w:ascii="Times New Roman" w:hAnsi="Times New Roman" w:eastAsia="宋体" w:cs="Times New Roman"/>
                <w:sz w:val="24"/>
                <w:szCs w:val="24"/>
                <w:highlight w:val="none"/>
                <w:vertAlign w:val="subscript"/>
              </w:rPr>
            </w:pPr>
            <w:r>
              <w:rPr>
                <w:rFonts w:hint="default" w:ascii="Times New Roman" w:hAnsi="Times New Roman" w:eastAsia="宋体" w:cs="Times New Roman"/>
                <w:sz w:val="24"/>
                <w:szCs w:val="24"/>
                <w:highlight w:val="none"/>
              </w:rPr>
              <w:t>P</w:t>
            </w:r>
            <w:r>
              <w:rPr>
                <w:rFonts w:hint="default" w:ascii="Times New Roman" w:hAnsi="Times New Roman" w:eastAsia="宋体" w:cs="Times New Roman"/>
                <w:sz w:val="24"/>
                <w:szCs w:val="24"/>
                <w:highlight w:val="none"/>
                <w:vertAlign w:val="subscript"/>
              </w:rPr>
              <w:t>i</w:t>
            </w:r>
            <w:r>
              <w:rPr>
                <w:rFonts w:hint="eastAsia" w:cs="Times New Roman"/>
                <w:sz w:val="24"/>
                <w:szCs w:val="24"/>
                <w:highlight w:val="none"/>
                <w:vertAlign w:val="subscript"/>
                <w:lang w:eastAsia="zh-CN"/>
              </w:rPr>
              <w:t>=</w:t>
            </w:r>
            <w:r>
              <w:rPr>
                <w:rFonts w:hint="default" w:ascii="Times New Roman" w:hAnsi="Times New Roman" w:eastAsia="宋体" w:cs="Times New Roman"/>
                <w:sz w:val="24"/>
                <w:szCs w:val="24"/>
                <w:highlight w:val="none"/>
              </w:rPr>
              <w:t>C</w:t>
            </w:r>
            <w:r>
              <w:rPr>
                <w:rFonts w:hint="default" w:ascii="Times New Roman" w:hAnsi="Times New Roman" w:eastAsia="宋体" w:cs="Times New Roman"/>
                <w:sz w:val="24"/>
                <w:szCs w:val="24"/>
                <w:highlight w:val="none"/>
                <w:vertAlign w:val="baseline"/>
              </w:rPr>
              <w:t>i</w:t>
            </w:r>
            <w:r>
              <w:rPr>
                <w:rFonts w:hint="default" w:ascii="Times New Roman" w:hAnsi="Times New Roman" w:eastAsia="宋体" w:cs="Times New Roman"/>
                <w:sz w:val="24"/>
                <w:szCs w:val="24"/>
                <w:highlight w:val="none"/>
              </w:rPr>
              <w:t>/C</w:t>
            </w:r>
            <w:r>
              <w:rPr>
                <w:rFonts w:hint="default" w:ascii="Times New Roman" w:hAnsi="Times New Roman" w:eastAsia="宋体" w:cs="Times New Roman"/>
                <w:sz w:val="24"/>
                <w:szCs w:val="24"/>
                <w:highlight w:val="none"/>
                <w:vertAlign w:val="baseline"/>
              </w:rPr>
              <w:t>oi</w:t>
            </w:r>
          </w:p>
          <w:p>
            <w:pPr>
              <w:pStyle w:val="48"/>
              <w:keepNext w:val="0"/>
              <w:keepLines w:val="0"/>
              <w:suppressLineNumbers w:val="0"/>
              <w:bidi w:val="0"/>
              <w:spacing w:before="0" w:beforeAutospacing="0" w:after="0" w:afterAutospacing="0"/>
              <w:ind w:left="0" w:right="0"/>
              <w:rPr>
                <w:rFonts w:hint="default"/>
              </w:rPr>
            </w:pPr>
            <w:r>
              <w:rPr>
                <w:rFonts w:hint="default"/>
              </w:rPr>
              <w:t>式中，Pi－第i个污染物的质量浓度占标率，%；</w:t>
            </w:r>
          </w:p>
          <w:p>
            <w:pPr>
              <w:pStyle w:val="48"/>
              <w:keepNext w:val="0"/>
              <w:keepLines w:val="0"/>
              <w:suppressLineNumbers w:val="0"/>
              <w:bidi w:val="0"/>
              <w:spacing w:before="0" w:beforeAutospacing="0" w:after="0" w:afterAutospacing="0"/>
              <w:ind w:left="0" w:right="0"/>
              <w:rPr>
                <w:rFonts w:hint="default"/>
              </w:rPr>
            </w:pPr>
            <w:r>
              <w:rPr>
                <w:rFonts w:hint="default"/>
              </w:rPr>
              <w:t>Ci－污染物的浓度，mg/m</w:t>
            </w:r>
            <w:r>
              <w:rPr>
                <w:rFonts w:hint="default"/>
                <w:vertAlign w:val="superscript"/>
              </w:rPr>
              <w:t>3</w:t>
            </w:r>
            <w:r>
              <w:rPr>
                <w:rFonts w:hint="default"/>
              </w:rPr>
              <w:t>（标准状态）；</w:t>
            </w:r>
          </w:p>
          <w:p>
            <w:pPr>
              <w:pStyle w:val="48"/>
              <w:keepNext w:val="0"/>
              <w:keepLines w:val="0"/>
              <w:suppressLineNumbers w:val="0"/>
              <w:bidi w:val="0"/>
              <w:spacing w:before="0" w:beforeAutospacing="0" w:after="0" w:afterAutospacing="0"/>
              <w:ind w:left="0" w:right="0"/>
              <w:rPr>
                <w:rFonts w:hint="default"/>
              </w:rPr>
            </w:pPr>
            <w:r>
              <w:rPr>
                <w:rFonts w:hint="default"/>
              </w:rPr>
              <w:t>Coi－污染物的质量标准，mg/m</w:t>
            </w:r>
            <w:r>
              <w:rPr>
                <w:rFonts w:hint="default"/>
                <w:vertAlign w:val="superscript"/>
              </w:rPr>
              <w:t>3</w:t>
            </w:r>
            <w:r>
              <w:rPr>
                <w:rFonts w:hint="default"/>
              </w:rPr>
              <w:t>（标准状态）。</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（4）评价结果</w:t>
            </w:r>
          </w:p>
          <w:p>
            <w:pPr>
              <w:pStyle w:val="48"/>
              <w:keepNext w:val="0"/>
              <w:keepLines w:val="0"/>
              <w:suppressLineNumbers w:val="0"/>
              <w:bidi w:val="0"/>
              <w:spacing w:before="0" w:beforeAutospacing="0" w:after="0" w:afterAutospacing="0"/>
              <w:ind w:left="0" w:right="0"/>
              <w:rPr>
                <w:rFonts w:hint="default"/>
              </w:rPr>
            </w:pPr>
            <w:r>
              <w:rPr>
                <w:rFonts w:hint="default"/>
              </w:rPr>
              <w:t>评价结果见下表。</w:t>
            </w:r>
          </w:p>
          <w:p>
            <w:pPr>
              <w:pStyle w:val="52"/>
              <w:keepNext w:val="0"/>
              <w:keepLines w:val="0"/>
              <w:suppressLineNumbers w:val="0"/>
              <w:bidi w:val="0"/>
              <w:spacing w:before="0" w:beforeAutospacing="0" w:after="0" w:afterAutospacing="0"/>
              <w:ind w:left="0" w:right="0"/>
              <w:rPr>
                <w:rFonts w:hint="default"/>
                <w:highlight w:val="none"/>
                <w:lang w:val="en-US" w:eastAsia="zh-CN"/>
              </w:rPr>
            </w:pPr>
            <w:r>
              <w:rPr>
                <w:rFonts w:hint="default"/>
                <w:lang w:val="en-US" w:eastAsia="zh-CN"/>
              </w:rPr>
              <w:t>表3-</w:t>
            </w:r>
            <w:r>
              <w:rPr>
                <w:rFonts w:hint="eastAsia"/>
                <w:lang w:val="en-US" w:eastAsia="zh-CN"/>
              </w:rPr>
              <w:t xml:space="preserve">5 </w:t>
            </w:r>
            <w:r>
              <w:rPr>
                <w:rFonts w:hint="default"/>
                <w:lang w:val="en-US" w:eastAsia="zh-CN"/>
              </w:rPr>
              <w:t xml:space="preserve">   </w:t>
            </w:r>
            <w:r>
              <w:rPr>
                <w:rFonts w:hint="default"/>
                <w:highlight w:val="none"/>
                <w:lang w:val="en-US" w:eastAsia="zh-CN"/>
              </w:rPr>
              <w:t>现状监测结果分析表</w:t>
            </w:r>
          </w:p>
          <w:tbl>
            <w:tblPr>
              <w:tblStyle w:val="26"/>
              <w:tblW w:w="4996"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2502"/>
              <w:gridCol w:w="1158"/>
              <w:gridCol w:w="1405"/>
              <w:gridCol w:w="939"/>
              <w:gridCol w:w="1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0"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pPr>
                  <w:r>
                    <w:rPr>
                      <w:rFonts w:hint="eastAsia"/>
                    </w:rPr>
                    <w:t>污染物</w:t>
                  </w:r>
                </w:p>
              </w:tc>
              <w:tc>
                <w:tcPr>
                  <w:tcW w:w="1537" w:type="pct"/>
                  <w:tcBorders>
                    <w:tl2br w:val="nil"/>
                    <w:tr2bl w:val="nil"/>
                  </w:tcBorders>
                  <w:noWrap w:val="0"/>
                  <w:vAlign w:val="center"/>
                </w:tcPr>
                <w:p>
                  <w:pPr>
                    <w:pStyle w:val="52"/>
                    <w:keepNext w:val="0"/>
                    <w:keepLines w:val="0"/>
                    <w:suppressLineNumbers w:val="0"/>
                    <w:bidi w:val="0"/>
                    <w:spacing w:before="0" w:beforeAutospacing="0" w:after="0" w:afterAutospacing="0"/>
                    <w:ind w:left="0" w:right="0"/>
                  </w:pPr>
                  <w:r>
                    <w:rPr>
                      <w:rFonts w:hint="eastAsia"/>
                    </w:rPr>
                    <w:t>评价项目</w:t>
                  </w:r>
                </w:p>
              </w:tc>
              <w:tc>
                <w:tcPr>
                  <w:tcW w:w="711"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pPr>
                  <w:r>
                    <w:t>浓度</w:t>
                  </w:r>
                </w:p>
                <w:p>
                  <w:pPr>
                    <w:pStyle w:val="54"/>
                    <w:keepNext w:val="0"/>
                    <w:keepLines w:val="0"/>
                    <w:suppressLineNumbers w:val="0"/>
                    <w:bidi w:val="0"/>
                    <w:spacing w:before="0" w:beforeAutospacing="0" w:after="0" w:afterAutospacing="0"/>
                    <w:ind w:left="0" w:right="0"/>
                  </w:pPr>
                  <w:r>
                    <w:t>（</w:t>
                  </w:r>
                  <w:r>
                    <w:rPr>
                      <w:rFonts w:hint="default" w:ascii="Times New Roman" w:hAnsi="Times New Roman" w:cs="Times New Roman"/>
                    </w:rPr>
                    <w:t>μ</w:t>
                  </w:r>
                  <w:r>
                    <w:rPr>
                      <w:rFonts w:hint="default" w:ascii="Times New Roman" w:hAnsi="Times New Roman" w:cs="Times New Roman"/>
                      <w:lang w:val="en-US" w:eastAsia="zh-CN"/>
                    </w:rPr>
                    <w:t>g</w:t>
                  </w:r>
                  <w:r>
                    <w:rPr>
                      <w:rFonts w:hint="default" w:ascii="Times New Roman" w:hAnsi="Times New Roman" w:cs="Times New Roman"/>
                    </w:rPr>
                    <w:t>/m</w:t>
                  </w:r>
                  <w:r>
                    <w:rPr>
                      <w:rFonts w:hint="default" w:ascii="Times New Roman" w:hAnsi="Times New Roman" w:cs="Times New Roman"/>
                      <w:vertAlign w:val="superscript"/>
                    </w:rPr>
                    <w:t>3</w:t>
                  </w:r>
                  <w:r>
                    <w:t>）</w:t>
                  </w:r>
                </w:p>
              </w:tc>
              <w:tc>
                <w:tcPr>
                  <w:tcW w:w="863"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pPr>
                  <w:r>
                    <w:rPr>
                      <w:rFonts w:hint="eastAsia"/>
                    </w:rPr>
                    <w:t>标准（二级）</w:t>
                  </w:r>
                  <w:r>
                    <w:t>（</w:t>
                  </w:r>
                  <w:r>
                    <w:rPr>
                      <w:rFonts w:hint="default" w:ascii="Times New Roman" w:hAnsi="Times New Roman" w:cs="Times New Roman"/>
                    </w:rPr>
                    <w:t>μ</w:t>
                  </w:r>
                  <w:r>
                    <w:rPr>
                      <w:rFonts w:hint="default" w:ascii="Times New Roman" w:hAnsi="Times New Roman" w:cs="Times New Roman"/>
                      <w:lang w:val="en-US" w:eastAsia="zh-CN"/>
                    </w:rPr>
                    <w:t>g</w:t>
                  </w:r>
                  <w:r>
                    <w:rPr>
                      <w:rFonts w:hint="default" w:ascii="Times New Roman" w:hAnsi="Times New Roman" w:cs="Times New Roman"/>
                    </w:rPr>
                    <w:t>/m</w:t>
                  </w:r>
                  <w:r>
                    <w:rPr>
                      <w:rFonts w:hint="default" w:ascii="Times New Roman" w:hAnsi="Times New Roman" w:cs="Times New Roman"/>
                      <w:vertAlign w:val="superscript"/>
                    </w:rPr>
                    <w:t>3</w:t>
                  </w:r>
                  <w:r>
                    <w:t>）</w:t>
                  </w:r>
                </w:p>
              </w:tc>
              <w:tc>
                <w:tcPr>
                  <w:tcW w:w="577"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eastAsia="zh-CN"/>
                    </w:rPr>
                    <w:t>占标率</w:t>
                  </w:r>
                  <w:r>
                    <w:rPr>
                      <w:rFonts w:hint="eastAsia"/>
                      <w:lang w:val="en-US" w:eastAsia="zh-CN"/>
                    </w:rPr>
                    <w:t>%</w:t>
                  </w:r>
                </w:p>
              </w:tc>
              <w:tc>
                <w:tcPr>
                  <w:tcW w:w="689"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eastAsia"/>
                      <w:lang w:eastAsia="zh-CN"/>
                    </w:rPr>
                  </w:pPr>
                  <w:r>
                    <w:rPr>
                      <w:rFonts w:hint="eastAsia"/>
                      <w:lang w:eastAsia="zh-CN"/>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0" w:type="pct"/>
                  <w:vMerge w:val="restart"/>
                  <w:tcBorders>
                    <w:tl2br w:val="nil"/>
                    <w:tr2bl w:val="nil"/>
                  </w:tcBorders>
                  <w:noWrap w:val="0"/>
                  <w:vAlign w:val="center"/>
                </w:tcPr>
                <w:p>
                  <w:pPr>
                    <w:pStyle w:val="54"/>
                    <w:keepNext w:val="0"/>
                    <w:keepLines w:val="0"/>
                    <w:suppressLineNumbers w:val="0"/>
                    <w:bidi w:val="0"/>
                    <w:spacing w:before="0" w:beforeAutospacing="0" w:after="0" w:afterAutospacing="0"/>
                    <w:ind w:left="0" w:right="0"/>
                  </w:pPr>
                  <w:r>
                    <w:rPr>
                      <w:rFonts w:hint="eastAsia"/>
                    </w:rPr>
                    <w:t>SO</w:t>
                  </w:r>
                  <w:r>
                    <w:rPr>
                      <w:rFonts w:hint="eastAsia"/>
                      <w:vertAlign w:val="subscript"/>
                    </w:rPr>
                    <w:t>2</w:t>
                  </w:r>
                </w:p>
              </w:tc>
              <w:tc>
                <w:tcPr>
                  <w:tcW w:w="1537"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年平均</w:t>
                  </w:r>
                </w:p>
              </w:tc>
              <w:tc>
                <w:tcPr>
                  <w:tcW w:w="711"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5</w:t>
                  </w:r>
                </w:p>
              </w:tc>
              <w:tc>
                <w:tcPr>
                  <w:tcW w:w="863"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pPr>
                  <w:r>
                    <w:rPr>
                      <w:rFonts w:hint="eastAsia"/>
                    </w:rPr>
                    <w:t>60</w:t>
                  </w:r>
                </w:p>
              </w:tc>
              <w:tc>
                <w:tcPr>
                  <w:tcW w:w="913" w:type="dxa"/>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8</w:t>
                  </w:r>
                </w:p>
              </w:tc>
              <w:tc>
                <w:tcPr>
                  <w:tcW w:w="689"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eastAsia"/>
                      <w:lang w:eastAsia="zh-CN"/>
                    </w:rPr>
                  </w:pPr>
                  <w:r>
                    <w:rPr>
                      <w:rFonts w:hint="default"/>
                      <w:lang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0" w:type="pct"/>
                  <w:vMerge w:val="continue"/>
                  <w:tcBorders>
                    <w:tl2br w:val="nil"/>
                    <w:tr2bl w:val="nil"/>
                  </w:tcBorders>
                  <w:noWrap w:val="0"/>
                  <w:vAlign w:val="center"/>
                </w:tcPr>
                <w:p>
                  <w:pPr>
                    <w:pStyle w:val="54"/>
                    <w:keepNext w:val="0"/>
                    <w:keepLines w:val="0"/>
                    <w:suppressLineNumbers w:val="0"/>
                    <w:bidi w:val="0"/>
                    <w:spacing w:before="0" w:beforeAutospacing="0" w:after="0" w:afterAutospacing="0"/>
                    <w:ind w:left="0" w:right="0"/>
                  </w:pPr>
                </w:p>
              </w:tc>
              <w:tc>
                <w:tcPr>
                  <w:tcW w:w="1537"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24h平均第98百分位数</w:t>
                  </w:r>
                </w:p>
              </w:tc>
              <w:tc>
                <w:tcPr>
                  <w:tcW w:w="711"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10</w:t>
                  </w:r>
                </w:p>
              </w:tc>
              <w:tc>
                <w:tcPr>
                  <w:tcW w:w="863"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pPr>
                  <w:r>
                    <w:rPr>
                      <w:rFonts w:hint="eastAsia"/>
                    </w:rPr>
                    <w:t>150</w:t>
                  </w:r>
                </w:p>
              </w:tc>
              <w:tc>
                <w:tcPr>
                  <w:tcW w:w="913" w:type="dxa"/>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7</w:t>
                  </w:r>
                </w:p>
              </w:tc>
              <w:tc>
                <w:tcPr>
                  <w:tcW w:w="689"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eastAsia"/>
                    </w:rPr>
                  </w:pPr>
                  <w:r>
                    <w:rPr>
                      <w:rFonts w:hint="default"/>
                      <w:lang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0" w:type="pct"/>
                  <w:vMerge w:val="restart"/>
                  <w:tcBorders>
                    <w:tl2br w:val="nil"/>
                    <w:tr2bl w:val="nil"/>
                  </w:tcBorders>
                  <w:noWrap w:val="0"/>
                  <w:vAlign w:val="center"/>
                </w:tcPr>
                <w:p>
                  <w:pPr>
                    <w:pStyle w:val="54"/>
                    <w:keepNext w:val="0"/>
                    <w:keepLines w:val="0"/>
                    <w:suppressLineNumbers w:val="0"/>
                    <w:bidi w:val="0"/>
                    <w:spacing w:before="0" w:beforeAutospacing="0" w:after="0" w:afterAutospacing="0"/>
                    <w:ind w:left="0" w:right="0"/>
                  </w:pPr>
                  <w:r>
                    <w:rPr>
                      <w:rFonts w:hint="eastAsia"/>
                    </w:rPr>
                    <w:t>NO</w:t>
                  </w:r>
                  <w:r>
                    <w:rPr>
                      <w:rFonts w:hint="eastAsia"/>
                      <w:vertAlign w:val="subscript"/>
                    </w:rPr>
                    <w:t>2</w:t>
                  </w:r>
                </w:p>
              </w:tc>
              <w:tc>
                <w:tcPr>
                  <w:tcW w:w="1537" w:type="pct"/>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年平均</w:t>
                  </w:r>
                </w:p>
              </w:tc>
              <w:tc>
                <w:tcPr>
                  <w:tcW w:w="711"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20</w:t>
                  </w:r>
                </w:p>
              </w:tc>
              <w:tc>
                <w:tcPr>
                  <w:tcW w:w="863"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pPr>
                  <w:r>
                    <w:rPr>
                      <w:rFonts w:hint="eastAsia"/>
                    </w:rPr>
                    <w:t>40</w:t>
                  </w:r>
                </w:p>
              </w:tc>
              <w:tc>
                <w:tcPr>
                  <w:tcW w:w="913" w:type="dxa"/>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50</w:t>
                  </w:r>
                </w:p>
              </w:tc>
              <w:tc>
                <w:tcPr>
                  <w:tcW w:w="689"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eastAsia"/>
                    </w:rPr>
                  </w:pPr>
                  <w:r>
                    <w:rPr>
                      <w:rFonts w:hint="default"/>
                      <w:lang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0" w:type="pct"/>
                  <w:vMerge w:val="continue"/>
                  <w:tcBorders>
                    <w:tl2br w:val="nil"/>
                    <w:tr2bl w:val="nil"/>
                  </w:tcBorders>
                  <w:noWrap w:val="0"/>
                  <w:vAlign w:val="center"/>
                </w:tcPr>
                <w:p>
                  <w:pPr>
                    <w:pStyle w:val="54"/>
                    <w:keepNext w:val="0"/>
                    <w:keepLines w:val="0"/>
                    <w:suppressLineNumbers w:val="0"/>
                    <w:bidi w:val="0"/>
                    <w:spacing w:before="0" w:beforeAutospacing="0" w:after="0" w:afterAutospacing="0"/>
                    <w:ind w:left="0" w:right="0"/>
                  </w:pPr>
                </w:p>
              </w:tc>
              <w:tc>
                <w:tcPr>
                  <w:tcW w:w="1537" w:type="pct"/>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24h平均第98百分位数</w:t>
                  </w:r>
                </w:p>
              </w:tc>
              <w:tc>
                <w:tcPr>
                  <w:tcW w:w="711"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53</w:t>
                  </w:r>
                </w:p>
              </w:tc>
              <w:tc>
                <w:tcPr>
                  <w:tcW w:w="863"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pPr>
                  <w:r>
                    <w:rPr>
                      <w:rFonts w:hint="eastAsia"/>
                    </w:rPr>
                    <w:t>80</w:t>
                  </w:r>
                </w:p>
              </w:tc>
              <w:tc>
                <w:tcPr>
                  <w:tcW w:w="913" w:type="dxa"/>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66</w:t>
                  </w:r>
                </w:p>
              </w:tc>
              <w:tc>
                <w:tcPr>
                  <w:tcW w:w="689"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eastAsia"/>
                    </w:rPr>
                  </w:pPr>
                  <w:r>
                    <w:rPr>
                      <w:rFonts w:hint="default"/>
                      <w:lang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0"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pPr>
                  <w:r>
                    <w:rPr>
                      <w:rFonts w:hint="eastAsia"/>
                    </w:rPr>
                    <w:t>CO</w:t>
                  </w:r>
                </w:p>
              </w:tc>
              <w:tc>
                <w:tcPr>
                  <w:tcW w:w="1537"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24h平均第95百分位数</w:t>
                  </w:r>
                </w:p>
              </w:tc>
              <w:tc>
                <w:tcPr>
                  <w:tcW w:w="711"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1000</w:t>
                  </w:r>
                </w:p>
              </w:tc>
              <w:tc>
                <w:tcPr>
                  <w:tcW w:w="863"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eastAsia="宋体"/>
                      <w:lang w:val="en-US" w:eastAsia="zh-CN"/>
                    </w:rPr>
                  </w:pPr>
                  <w:r>
                    <w:rPr>
                      <w:rFonts w:hint="eastAsia"/>
                    </w:rPr>
                    <w:t>4</w:t>
                  </w:r>
                  <w:r>
                    <w:rPr>
                      <w:rFonts w:hint="eastAsia"/>
                      <w:lang w:val="en-US" w:eastAsia="zh-CN"/>
                    </w:rPr>
                    <w:t>000</w:t>
                  </w:r>
                </w:p>
              </w:tc>
              <w:tc>
                <w:tcPr>
                  <w:tcW w:w="913" w:type="dxa"/>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25</w:t>
                  </w:r>
                </w:p>
              </w:tc>
              <w:tc>
                <w:tcPr>
                  <w:tcW w:w="689"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eastAsia"/>
                    </w:rPr>
                  </w:pPr>
                  <w:r>
                    <w:rPr>
                      <w:rFonts w:hint="default"/>
                      <w:lang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0"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pPr>
                  <w:r>
                    <w:rPr>
                      <w:rFonts w:hint="eastAsia"/>
                    </w:rPr>
                    <w:t>O</w:t>
                  </w:r>
                  <w:r>
                    <w:rPr>
                      <w:rFonts w:hint="eastAsia"/>
                      <w:vertAlign w:val="subscript"/>
                    </w:rPr>
                    <w:t>3</w:t>
                  </w:r>
                </w:p>
              </w:tc>
              <w:tc>
                <w:tcPr>
                  <w:tcW w:w="1537"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最大8小时滑动平均值的第90百分位数</w:t>
                  </w:r>
                </w:p>
              </w:tc>
              <w:tc>
                <w:tcPr>
                  <w:tcW w:w="711"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139</w:t>
                  </w:r>
                </w:p>
              </w:tc>
              <w:tc>
                <w:tcPr>
                  <w:tcW w:w="863"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pPr>
                  <w:r>
                    <w:rPr>
                      <w:rFonts w:hint="eastAsia"/>
                    </w:rPr>
                    <w:t>160</w:t>
                  </w:r>
                </w:p>
              </w:tc>
              <w:tc>
                <w:tcPr>
                  <w:tcW w:w="913" w:type="dxa"/>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87</w:t>
                  </w:r>
                </w:p>
              </w:tc>
              <w:tc>
                <w:tcPr>
                  <w:tcW w:w="689"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eastAsia"/>
                    </w:rPr>
                  </w:pPr>
                  <w:r>
                    <w:rPr>
                      <w:rFonts w:hint="default"/>
                      <w:lang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4" w:hRule="atLeast"/>
              </w:trPr>
              <w:tc>
                <w:tcPr>
                  <w:tcW w:w="620" w:type="pct"/>
                  <w:vMerge w:val="restart"/>
                  <w:tcBorders>
                    <w:tl2br w:val="nil"/>
                    <w:tr2bl w:val="nil"/>
                  </w:tcBorders>
                  <w:noWrap w:val="0"/>
                  <w:vAlign w:val="center"/>
                </w:tcPr>
                <w:p>
                  <w:pPr>
                    <w:pStyle w:val="54"/>
                    <w:keepNext w:val="0"/>
                    <w:keepLines w:val="0"/>
                    <w:suppressLineNumbers w:val="0"/>
                    <w:bidi w:val="0"/>
                    <w:spacing w:before="0" w:beforeAutospacing="0" w:after="0" w:afterAutospacing="0"/>
                    <w:ind w:left="0" w:right="0"/>
                  </w:pPr>
                  <w:r>
                    <w:rPr>
                      <w:rFonts w:hint="eastAsia"/>
                    </w:rPr>
                    <w:t>PM</w:t>
                  </w:r>
                  <w:r>
                    <w:rPr>
                      <w:rFonts w:hint="eastAsia"/>
                      <w:vertAlign w:val="subscript"/>
                    </w:rPr>
                    <w:t>10</w:t>
                  </w:r>
                </w:p>
              </w:tc>
              <w:tc>
                <w:tcPr>
                  <w:tcW w:w="1537" w:type="pct"/>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年平均</w:t>
                  </w:r>
                </w:p>
              </w:tc>
              <w:tc>
                <w:tcPr>
                  <w:tcW w:w="711"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132</w:t>
                  </w:r>
                </w:p>
              </w:tc>
              <w:tc>
                <w:tcPr>
                  <w:tcW w:w="863"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eastAsia="宋体"/>
                      <w:lang w:val="en-US" w:eastAsia="zh-CN"/>
                    </w:rPr>
                  </w:pPr>
                  <w:r>
                    <w:rPr>
                      <w:rFonts w:hint="eastAsia"/>
                      <w:lang w:val="en-US" w:eastAsia="zh-CN"/>
                    </w:rPr>
                    <w:t>60</w:t>
                  </w:r>
                </w:p>
              </w:tc>
              <w:tc>
                <w:tcPr>
                  <w:tcW w:w="913" w:type="dxa"/>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220</w:t>
                  </w:r>
                </w:p>
              </w:tc>
              <w:tc>
                <w:tcPr>
                  <w:tcW w:w="689"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eastAsia"/>
                    </w:rPr>
                  </w:pPr>
                  <w:r>
                    <w:rPr>
                      <w:rFonts w:hint="eastAsia"/>
                      <w:lang w:val="en-US" w:eastAsia="zh-CN"/>
                    </w:rPr>
                    <w:t>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0" w:type="pct"/>
                  <w:vMerge w:val="continue"/>
                  <w:tcBorders>
                    <w:tl2br w:val="nil"/>
                    <w:tr2bl w:val="nil"/>
                  </w:tcBorders>
                  <w:noWrap w:val="0"/>
                  <w:vAlign w:val="center"/>
                </w:tcPr>
                <w:p>
                  <w:pPr>
                    <w:pStyle w:val="54"/>
                    <w:keepNext w:val="0"/>
                    <w:keepLines w:val="0"/>
                    <w:suppressLineNumbers w:val="0"/>
                    <w:bidi w:val="0"/>
                    <w:spacing w:before="0" w:beforeAutospacing="0" w:after="0" w:afterAutospacing="0"/>
                    <w:ind w:left="0" w:right="0"/>
                  </w:pPr>
                </w:p>
              </w:tc>
              <w:tc>
                <w:tcPr>
                  <w:tcW w:w="1537" w:type="pct"/>
                  <w:tcBorders>
                    <w:tl2br w:val="nil"/>
                    <w:tr2bl w:val="nil"/>
                  </w:tcBorders>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24h平均第95百分位数</w:t>
                  </w:r>
                </w:p>
              </w:tc>
              <w:tc>
                <w:tcPr>
                  <w:tcW w:w="711"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397</w:t>
                  </w:r>
                </w:p>
              </w:tc>
              <w:tc>
                <w:tcPr>
                  <w:tcW w:w="863"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eastAsia="宋体"/>
                      <w:lang w:val="en-US" w:eastAsia="zh-CN"/>
                    </w:rPr>
                  </w:pPr>
                  <w:r>
                    <w:rPr>
                      <w:rFonts w:hint="eastAsia"/>
                      <w:lang w:val="en-US" w:eastAsia="zh-CN"/>
                    </w:rPr>
                    <w:t>120</w:t>
                  </w:r>
                </w:p>
              </w:tc>
              <w:tc>
                <w:tcPr>
                  <w:tcW w:w="913" w:type="dxa"/>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331</w:t>
                  </w:r>
                </w:p>
              </w:tc>
              <w:tc>
                <w:tcPr>
                  <w:tcW w:w="689"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eastAsia"/>
                    </w:rPr>
                  </w:pPr>
                  <w:r>
                    <w:rPr>
                      <w:rFonts w:hint="eastAsia"/>
                      <w:lang w:val="en-US" w:eastAsia="zh-CN"/>
                    </w:rPr>
                    <w:t>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0" w:type="pct"/>
                  <w:vMerge w:val="restart"/>
                  <w:tcBorders>
                    <w:tl2br w:val="nil"/>
                    <w:tr2bl w:val="nil"/>
                  </w:tcBorders>
                  <w:noWrap w:val="0"/>
                  <w:vAlign w:val="center"/>
                </w:tcPr>
                <w:p>
                  <w:pPr>
                    <w:pStyle w:val="54"/>
                    <w:keepNext w:val="0"/>
                    <w:keepLines w:val="0"/>
                    <w:suppressLineNumbers w:val="0"/>
                    <w:bidi w:val="0"/>
                    <w:spacing w:before="0" w:beforeAutospacing="0" w:after="0" w:afterAutospacing="0"/>
                    <w:ind w:left="0" w:right="0"/>
                  </w:pPr>
                  <w:r>
                    <w:rPr>
                      <w:rFonts w:hint="eastAsia"/>
                    </w:rPr>
                    <w:t>PM</w:t>
                  </w:r>
                  <w:r>
                    <w:rPr>
                      <w:rFonts w:hint="eastAsia"/>
                      <w:vertAlign w:val="subscript"/>
                    </w:rPr>
                    <w:t>2.5</w:t>
                  </w:r>
                </w:p>
              </w:tc>
              <w:tc>
                <w:tcPr>
                  <w:tcW w:w="1537"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年平均</w:t>
                  </w:r>
                </w:p>
              </w:tc>
              <w:tc>
                <w:tcPr>
                  <w:tcW w:w="711"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42</w:t>
                  </w:r>
                </w:p>
              </w:tc>
              <w:tc>
                <w:tcPr>
                  <w:tcW w:w="863"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eastAsia="宋体"/>
                      <w:lang w:val="en-US" w:eastAsia="zh-CN"/>
                    </w:rPr>
                  </w:pPr>
                  <w:r>
                    <w:rPr>
                      <w:rFonts w:hint="eastAsia"/>
                      <w:lang w:val="en-US" w:eastAsia="zh-CN"/>
                    </w:rPr>
                    <w:t>30</w:t>
                  </w:r>
                </w:p>
              </w:tc>
              <w:tc>
                <w:tcPr>
                  <w:tcW w:w="913" w:type="dxa"/>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140</w:t>
                  </w:r>
                </w:p>
              </w:tc>
              <w:tc>
                <w:tcPr>
                  <w:tcW w:w="689"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eastAsia"/>
                    </w:rPr>
                  </w:pPr>
                  <w:r>
                    <w:rPr>
                      <w:rFonts w:hint="eastAsia"/>
                      <w:lang w:val="en-US" w:eastAsia="zh-CN"/>
                    </w:rPr>
                    <w:t>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0" w:type="pct"/>
                  <w:vMerge w:val="continue"/>
                  <w:tcBorders>
                    <w:tl2br w:val="nil"/>
                    <w:tr2bl w:val="nil"/>
                  </w:tcBorders>
                  <w:noWrap w:val="0"/>
                  <w:vAlign w:val="center"/>
                </w:tcPr>
                <w:p>
                  <w:pPr>
                    <w:pStyle w:val="54"/>
                    <w:keepNext w:val="0"/>
                    <w:keepLines w:val="0"/>
                    <w:suppressLineNumbers w:val="0"/>
                    <w:bidi w:val="0"/>
                    <w:spacing w:before="0" w:beforeAutospacing="0" w:after="0" w:afterAutospacing="0"/>
                    <w:ind w:left="0" w:right="0"/>
                  </w:pPr>
                </w:p>
              </w:tc>
              <w:tc>
                <w:tcPr>
                  <w:tcW w:w="1537"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24h平均第95百分位数</w:t>
                  </w:r>
                </w:p>
              </w:tc>
              <w:tc>
                <w:tcPr>
                  <w:tcW w:w="711"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83</w:t>
                  </w:r>
                </w:p>
              </w:tc>
              <w:tc>
                <w:tcPr>
                  <w:tcW w:w="863"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eastAsia="宋体"/>
                      <w:lang w:val="en-US" w:eastAsia="zh-CN"/>
                    </w:rPr>
                  </w:pPr>
                  <w:r>
                    <w:rPr>
                      <w:rFonts w:hint="eastAsia"/>
                      <w:lang w:val="en-US" w:eastAsia="zh-CN"/>
                    </w:rPr>
                    <w:t>60</w:t>
                  </w:r>
                </w:p>
              </w:tc>
              <w:tc>
                <w:tcPr>
                  <w:tcW w:w="913" w:type="dxa"/>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138</w:t>
                  </w:r>
                </w:p>
              </w:tc>
              <w:tc>
                <w:tcPr>
                  <w:tcW w:w="689" w:type="pct"/>
                  <w:tcBorders>
                    <w:tl2br w:val="nil"/>
                    <w:tr2bl w:val="nil"/>
                  </w:tcBorders>
                  <w:noWrap w:val="0"/>
                  <w:vAlign w:val="center"/>
                </w:tcPr>
                <w:p>
                  <w:pPr>
                    <w:pStyle w:val="54"/>
                    <w:keepNext w:val="0"/>
                    <w:keepLines w:val="0"/>
                    <w:suppressLineNumbers w:val="0"/>
                    <w:bidi w:val="0"/>
                    <w:spacing w:before="0" w:beforeAutospacing="0" w:after="0" w:afterAutospacing="0"/>
                    <w:ind w:left="0" w:right="0"/>
                    <w:rPr>
                      <w:rFonts w:hint="eastAsia"/>
                    </w:rPr>
                  </w:pPr>
                  <w:r>
                    <w:rPr>
                      <w:rFonts w:hint="eastAsia"/>
                      <w:lang w:val="en-US" w:eastAsia="zh-CN"/>
                    </w:rPr>
                    <w:t>超标</w:t>
                  </w:r>
                </w:p>
              </w:tc>
            </w:tr>
          </w:tbl>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本项目所在区域PM</w:t>
            </w:r>
            <w:r>
              <w:rPr>
                <w:rFonts w:hint="default"/>
                <w:vertAlign w:val="subscript"/>
                <w:lang w:val="en-US" w:eastAsia="zh-CN"/>
              </w:rPr>
              <w:t>2.5</w:t>
            </w:r>
            <w:r>
              <w:rPr>
                <w:rFonts w:hint="default"/>
                <w:lang w:val="en-US" w:eastAsia="zh-CN"/>
              </w:rPr>
              <w:t>、PM</w:t>
            </w:r>
            <w:r>
              <w:rPr>
                <w:rFonts w:hint="default"/>
                <w:vertAlign w:val="subscript"/>
                <w:lang w:val="en-US" w:eastAsia="zh-CN"/>
              </w:rPr>
              <w:t>10</w:t>
            </w:r>
            <w:r>
              <w:rPr>
                <w:rFonts w:hint="default"/>
                <w:lang w:val="en-US" w:eastAsia="zh-CN"/>
              </w:rPr>
              <w:t>年平均和</w:t>
            </w:r>
            <w:r>
              <w:rPr>
                <w:rFonts w:hint="eastAsia"/>
                <w:lang w:val="en-US" w:eastAsia="zh-CN"/>
              </w:rPr>
              <w:t>24h平均第95百分位数浓</w:t>
            </w:r>
            <w:r>
              <w:rPr>
                <w:rFonts w:hint="default"/>
                <w:lang w:val="en-US" w:eastAsia="zh-CN"/>
              </w:rPr>
              <w:t>度超过《环境空气质量标准》（GB3095-2026）过渡阶段的二级标准要求，SO</w:t>
            </w:r>
            <w:r>
              <w:rPr>
                <w:rFonts w:hint="default"/>
                <w:vertAlign w:val="subscript"/>
                <w:lang w:val="en-US" w:eastAsia="zh-CN"/>
              </w:rPr>
              <w:t>2</w:t>
            </w:r>
            <w:r>
              <w:rPr>
                <w:rFonts w:hint="default"/>
                <w:lang w:val="en-US" w:eastAsia="zh-CN"/>
              </w:rPr>
              <w:t>、NO</w:t>
            </w:r>
            <w:r>
              <w:rPr>
                <w:rFonts w:hint="default"/>
                <w:vertAlign w:val="subscript"/>
                <w:lang w:val="en-US" w:eastAsia="zh-CN"/>
              </w:rPr>
              <w:t>2</w:t>
            </w:r>
            <w:r>
              <w:rPr>
                <w:rFonts w:hint="default"/>
                <w:lang w:val="en-US" w:eastAsia="zh-CN"/>
              </w:rPr>
              <w:t>、CO、O</w:t>
            </w:r>
            <w:r>
              <w:rPr>
                <w:rFonts w:hint="default"/>
                <w:vertAlign w:val="subscript"/>
                <w:lang w:val="en-US" w:eastAsia="zh-CN"/>
              </w:rPr>
              <w:t>3</w:t>
            </w:r>
            <w:r>
              <w:rPr>
                <w:rFonts w:hint="default"/>
                <w:lang w:val="en-US" w:eastAsia="zh-CN"/>
              </w:rPr>
              <w:t>等其他监测指标均满足二级标准。PM</w:t>
            </w:r>
            <w:r>
              <w:rPr>
                <w:rFonts w:hint="default"/>
                <w:vertAlign w:val="subscript"/>
                <w:lang w:val="en-US" w:eastAsia="zh-CN"/>
              </w:rPr>
              <w:t>10</w:t>
            </w:r>
            <w:r>
              <w:rPr>
                <w:rFonts w:hint="default"/>
                <w:lang w:val="en-US" w:eastAsia="zh-CN"/>
              </w:rPr>
              <w:t>、PM</w:t>
            </w:r>
            <w:r>
              <w:rPr>
                <w:rFonts w:hint="default"/>
                <w:vertAlign w:val="subscript"/>
                <w:lang w:val="en-US" w:eastAsia="zh-CN"/>
              </w:rPr>
              <w:t>2.5</w:t>
            </w:r>
            <w:r>
              <w:rPr>
                <w:rFonts w:hint="default"/>
                <w:lang w:val="en-US" w:eastAsia="zh-CN"/>
              </w:rPr>
              <w:t>超标主要与当地气候条件和地理位置有关，评价区大气受当地干旱气候的影响，空气中PM</w:t>
            </w:r>
            <w:r>
              <w:rPr>
                <w:rFonts w:hint="default"/>
                <w:vertAlign w:val="subscript"/>
                <w:lang w:val="en-US" w:eastAsia="zh-CN"/>
              </w:rPr>
              <w:t>2.5</w:t>
            </w:r>
            <w:r>
              <w:rPr>
                <w:rFonts w:hint="default"/>
                <w:lang w:val="en-US" w:eastAsia="zh-CN"/>
              </w:rPr>
              <w:t>、PM</w:t>
            </w:r>
            <w:r>
              <w:rPr>
                <w:rFonts w:hint="default"/>
                <w:vertAlign w:val="subscript"/>
                <w:lang w:val="en-US" w:eastAsia="zh-CN"/>
              </w:rPr>
              <w:t>10</w:t>
            </w:r>
            <w:r>
              <w:rPr>
                <w:rFonts w:hint="default"/>
                <w:lang w:val="en-US" w:eastAsia="zh-CN"/>
              </w:rPr>
              <w:t>的本底值偏高，尤其在沙尘暴和浮尘天气，会出现严重超标。因此，项目所在区域为不达标区。</w:t>
            </w:r>
          </w:p>
          <w:p>
            <w:pPr>
              <w:pStyle w:val="50"/>
              <w:keepNext w:val="0"/>
              <w:keepLines w:val="0"/>
              <w:suppressLineNumbers w:val="0"/>
              <w:bidi w:val="0"/>
              <w:spacing w:before="0" w:beforeAutospacing="0" w:after="0" w:afterAutospacing="0"/>
              <w:ind w:left="0" w:right="0"/>
              <w:rPr>
                <w:rFonts w:hint="default"/>
                <w:highlight w:val="none"/>
                <w:lang w:val="en-US" w:eastAsia="zh-CN"/>
              </w:rPr>
            </w:pPr>
            <w:r>
              <w:rPr>
                <w:rFonts w:hint="eastAsia"/>
                <w:highlight w:val="none"/>
                <w:lang w:val="en-US" w:eastAsia="zh-CN"/>
              </w:rPr>
              <w:t>3.地表</w:t>
            </w:r>
            <w:r>
              <w:rPr>
                <w:rFonts w:hint="default"/>
                <w:highlight w:val="none"/>
              </w:rPr>
              <w:t>水环境质量现状</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本项目无生产、生活废水外排，不涉及任何涉水工程建设，不会改变区域地表水文要素。为切实保障地表水体生态安全，项目合理布设勘查线路与作业范围，主动避让季节性河流、冲沟等水体，严格划定地表水沿岸区域为禁作业区，禁止勘探活动跨越河道，严禁在河道内开展取水、施工等一切涉水作业。依据《环境影响评价技术导则 地表水环境》（HJ2.3-2018）要求，本项目无需开展地表水环境现状调查</w:t>
            </w:r>
            <w:r>
              <w:rPr>
                <w:rFonts w:hint="eastAsia"/>
                <w:lang w:val="en-US" w:eastAsia="zh-CN"/>
              </w:rPr>
              <w:t>。</w:t>
            </w:r>
          </w:p>
          <w:p>
            <w:pPr>
              <w:pStyle w:val="50"/>
              <w:keepNext w:val="0"/>
              <w:keepLines w:val="0"/>
              <w:suppressLineNumbers w:val="0"/>
              <w:bidi w:val="0"/>
              <w:spacing w:before="0" w:beforeAutospacing="0" w:after="0" w:afterAutospacing="0"/>
              <w:ind w:left="0" w:right="0"/>
              <w:rPr>
                <w:rFonts w:hint="default"/>
              </w:rPr>
            </w:pPr>
            <w:r>
              <w:rPr>
                <w:rFonts w:hint="eastAsia"/>
                <w:lang w:val="en-US" w:eastAsia="zh-CN"/>
              </w:rPr>
              <w:t>4.</w:t>
            </w:r>
            <w:r>
              <w:rPr>
                <w:rFonts w:hint="default"/>
              </w:rPr>
              <w:t>声环境质量现状</w:t>
            </w:r>
          </w:p>
          <w:p>
            <w:pPr>
              <w:pStyle w:val="48"/>
              <w:keepNext w:val="0"/>
              <w:keepLines w:val="0"/>
              <w:suppressLineNumbers w:val="0"/>
              <w:bidi w:val="0"/>
              <w:spacing w:before="0" w:beforeAutospacing="0" w:after="0" w:afterAutospacing="0"/>
              <w:ind w:left="0" w:right="0"/>
              <w:rPr>
                <w:rFonts w:hint="default"/>
              </w:rPr>
            </w:pPr>
            <w:r>
              <w:rPr>
                <w:rFonts w:hint="default"/>
              </w:rPr>
              <w:t>根据《建设项目环境影响报告表编制技术指南（污染影响类）（试行）》，</w:t>
            </w:r>
            <w:r>
              <w:rPr>
                <w:rFonts w:hint="eastAsia"/>
                <w:lang w:val="en-US" w:eastAsia="zh-CN"/>
              </w:rPr>
              <w:t>本项目探矿区</w:t>
            </w:r>
            <w:r>
              <w:rPr>
                <w:rFonts w:hint="default"/>
              </w:rPr>
              <w:t>外周边50米范围内不存在声环境保护目标的建设项目，不需要监测声环境质量现状并评价达标情况。</w:t>
            </w:r>
          </w:p>
          <w:p>
            <w:pPr>
              <w:pStyle w:val="50"/>
              <w:keepNext w:val="0"/>
              <w:keepLines w:val="0"/>
              <w:suppressLineNumbers w:val="0"/>
              <w:bidi w:val="0"/>
              <w:spacing w:before="0" w:beforeAutospacing="0" w:after="0" w:afterAutospacing="0"/>
              <w:ind w:left="0" w:right="0"/>
              <w:rPr>
                <w:rFonts w:hint="default"/>
              </w:rPr>
            </w:pPr>
            <w:r>
              <w:rPr>
                <w:rFonts w:hint="eastAsia"/>
                <w:lang w:val="en-US" w:eastAsia="zh-CN"/>
              </w:rPr>
              <w:t>5.</w:t>
            </w:r>
            <w:r>
              <w:rPr>
                <w:rFonts w:hint="eastAsia"/>
                <w:lang w:eastAsia="zh-CN"/>
              </w:rPr>
              <w:t>地下水</w:t>
            </w:r>
            <w:r>
              <w:rPr>
                <w:rFonts w:hint="default"/>
              </w:rPr>
              <w:t>环境质量现状</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20" w:lineRule="exact"/>
              <w:ind w:left="0" w:right="0" w:firstLine="480" w:firstLineChars="200"/>
              <w:textAlignment w:val="auto"/>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本项目为</w:t>
            </w:r>
            <w:r>
              <w:rPr>
                <w:rFonts w:hint="eastAsia" w:ascii="Times New Roman" w:hAnsi="Times New Roman" w:eastAsia="宋体" w:cs="Times New Roman"/>
                <w:sz w:val="24"/>
                <w:highlight w:val="none"/>
                <w:lang w:val="en-US" w:eastAsia="zh-CN"/>
              </w:rPr>
              <w:t>陆地矿产资源地质勘查项目</w:t>
            </w:r>
            <w:r>
              <w:rPr>
                <w:rFonts w:hint="default" w:ascii="Times New Roman" w:hAnsi="Times New Roman" w:eastAsia="宋体" w:cs="Times New Roman"/>
                <w:sz w:val="24"/>
                <w:highlight w:val="none"/>
                <w:lang w:val="en-US" w:eastAsia="zh-CN"/>
              </w:rPr>
              <w:t>，根据</w:t>
            </w:r>
            <w:r>
              <w:rPr>
                <w:rFonts w:hint="default" w:ascii="Times New Roman" w:hAnsi="Times New Roman" w:eastAsia="宋体" w:cs="Times New Roman"/>
                <w:sz w:val="24"/>
                <w:highlight w:val="none"/>
              </w:rPr>
              <w:t>《环境影响评价技术导则</w:t>
            </w:r>
            <w:r>
              <w:rPr>
                <w:rFonts w:hint="eastAsia" w:cs="Times New Roman"/>
                <w:sz w:val="24"/>
                <w:highlight w:val="none"/>
                <w:lang w:eastAsia="zh-CN"/>
              </w:rPr>
              <w:t>－</w:t>
            </w:r>
            <w:r>
              <w:rPr>
                <w:rFonts w:hint="default" w:ascii="Times New Roman" w:hAnsi="Times New Roman" w:eastAsia="宋体" w:cs="Times New Roman"/>
                <w:sz w:val="24"/>
                <w:highlight w:val="none"/>
                <w:lang w:val="en-US" w:eastAsia="zh-CN"/>
              </w:rPr>
              <w:t>地下水</w:t>
            </w:r>
            <w:r>
              <w:rPr>
                <w:rFonts w:hint="default" w:ascii="Times New Roman" w:hAnsi="Times New Roman" w:eastAsia="宋体" w:cs="Times New Roman"/>
                <w:sz w:val="24"/>
                <w:highlight w:val="none"/>
              </w:rPr>
              <w:t>环境》（HJ</w:t>
            </w:r>
            <w:r>
              <w:rPr>
                <w:rFonts w:hint="eastAsia" w:cs="Times New Roman"/>
                <w:sz w:val="24"/>
                <w:highlight w:val="none"/>
                <w:lang w:val="en-US" w:eastAsia="zh-CN"/>
              </w:rPr>
              <w:t>610</w:t>
            </w:r>
            <w:r>
              <w:rPr>
                <w:rFonts w:hint="default" w:ascii="Times New Roman" w:hAnsi="Times New Roman" w:eastAsia="宋体" w:cs="Times New Roman"/>
                <w:sz w:val="24"/>
                <w:highlight w:val="none"/>
              </w:rPr>
              <w:t>-201</w:t>
            </w:r>
            <w:r>
              <w:rPr>
                <w:rFonts w:hint="default" w:ascii="Times New Roman" w:hAnsi="Times New Roman" w:eastAsia="宋体" w:cs="Times New Roman"/>
                <w:sz w:val="24"/>
                <w:highlight w:val="none"/>
                <w:lang w:val="en-US" w:eastAsia="zh-CN"/>
              </w:rPr>
              <w:t>6</w:t>
            </w:r>
            <w:r>
              <w:rPr>
                <w:rFonts w:hint="default" w:ascii="Times New Roman" w:hAnsi="Times New Roman" w:eastAsia="宋体" w:cs="Times New Roman"/>
                <w:sz w:val="24"/>
                <w:highlight w:val="none"/>
              </w:rPr>
              <w:t>）</w:t>
            </w:r>
            <w:r>
              <w:rPr>
                <w:rFonts w:hint="eastAsia" w:ascii="Times New Roman" w:hAnsi="Times New Roman" w:eastAsia="宋体" w:cs="Times New Roman"/>
                <w:sz w:val="24"/>
                <w:highlight w:val="none"/>
                <w:lang w:eastAsia="zh-CN"/>
              </w:rPr>
              <w:t>，属于</w:t>
            </w:r>
            <w:r>
              <w:rPr>
                <w:rFonts w:hint="default" w:ascii="Times New Roman" w:hAnsi="Times New Roman" w:eastAsia="宋体" w:cs="Times New Roman"/>
                <w:sz w:val="24"/>
                <w:highlight w:val="none"/>
                <w:lang w:val="en-US" w:eastAsia="zh-CN"/>
              </w:rPr>
              <w:t>附录A中：</w:t>
            </w:r>
            <w:r>
              <w:rPr>
                <w:rFonts w:hint="eastAsia" w:ascii="Times New Roman" w:hAnsi="Times New Roman" w:eastAsia="宋体" w:cs="Times New Roman"/>
                <w:sz w:val="24"/>
                <w:highlight w:val="none"/>
                <w:lang w:val="en-US" w:eastAsia="zh-CN"/>
              </w:rPr>
              <w:t>24.矿产资源地质勘查（包括勘探活动），</w:t>
            </w:r>
            <w:r>
              <w:rPr>
                <w:rFonts w:hint="default" w:ascii="Times New Roman" w:hAnsi="Times New Roman" w:eastAsia="宋体" w:cs="Times New Roman"/>
                <w:sz w:val="24"/>
                <w:highlight w:val="none"/>
                <w:lang w:val="en-US" w:eastAsia="zh-CN"/>
              </w:rPr>
              <w:t>地下水环境影响评价</w:t>
            </w:r>
            <w:r>
              <w:rPr>
                <w:rFonts w:hint="eastAsia" w:ascii="Times New Roman" w:hAnsi="Times New Roman" w:eastAsia="宋体" w:cs="Times New Roman"/>
                <w:sz w:val="24"/>
                <w:highlight w:val="none"/>
                <w:lang w:val="en-US" w:eastAsia="zh-CN"/>
              </w:rPr>
              <w:t>项目</w:t>
            </w:r>
            <w:r>
              <w:rPr>
                <w:rFonts w:hint="default" w:ascii="Times New Roman" w:hAnsi="Times New Roman" w:eastAsia="宋体" w:cs="Times New Roman"/>
                <w:sz w:val="24"/>
                <w:highlight w:val="none"/>
                <w:lang w:val="en-US" w:eastAsia="zh-CN"/>
              </w:rPr>
              <w:t>类别</w:t>
            </w:r>
            <w:r>
              <w:rPr>
                <w:rFonts w:hint="eastAsia" w:ascii="Times New Roman" w:hAnsi="Times New Roman" w:eastAsia="宋体" w:cs="Times New Roman"/>
                <w:sz w:val="24"/>
                <w:highlight w:val="none"/>
                <w:lang w:val="en-US" w:eastAsia="zh-CN"/>
              </w:rPr>
              <w:t>为</w:t>
            </w:r>
            <w:r>
              <w:rPr>
                <w:rFonts w:hint="default" w:ascii="Times New Roman" w:hAnsi="Times New Roman" w:cs="Times New Roman"/>
                <w:sz w:val="24"/>
                <w:highlight w:val="none"/>
                <w:lang w:val="en-US" w:eastAsia="zh-CN"/>
              </w:rPr>
              <w:t>Ⅳ</w:t>
            </w:r>
            <w:r>
              <w:rPr>
                <w:rFonts w:hint="eastAsia" w:cs="Times New Roman"/>
                <w:sz w:val="24"/>
                <w:highlight w:val="none"/>
                <w:lang w:val="en-US" w:eastAsia="zh-CN"/>
              </w:rPr>
              <w:t>类</w:t>
            </w:r>
            <w:r>
              <w:rPr>
                <w:rFonts w:hint="default" w:ascii="Times New Roman" w:hAnsi="Times New Roman" w:eastAsia="宋体" w:cs="Times New Roman"/>
                <w:sz w:val="24"/>
                <w:highlight w:val="none"/>
                <w:lang w:val="en-US" w:eastAsia="zh-CN"/>
              </w:rPr>
              <w:t>。因此，本项目不开展地下水环境质量现状调查评价</w:t>
            </w:r>
            <w:r>
              <w:rPr>
                <w:rFonts w:hint="eastAsia" w:ascii="Times New Roman" w:hAnsi="Times New Roman" w:eastAsia="宋体" w:cs="Times New Roman"/>
                <w:sz w:val="24"/>
                <w:highlight w:val="none"/>
                <w:lang w:val="en-US" w:eastAsia="zh-CN"/>
              </w:rPr>
              <w:t>。</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6.土壤环境质量现状</w:t>
            </w:r>
          </w:p>
          <w:p>
            <w:pPr>
              <w:pStyle w:val="48"/>
              <w:keepNext w:val="0"/>
              <w:keepLines w:val="0"/>
              <w:suppressLineNumbers w:val="0"/>
              <w:bidi w:val="0"/>
              <w:spacing w:before="0" w:beforeAutospacing="0" w:after="0" w:afterAutospacing="0"/>
              <w:ind w:left="0" w:right="0"/>
              <w:rPr>
                <w:rFonts w:hint="default"/>
                <w:vertAlign w:val="superscript"/>
                <w:lang w:val="en-US" w:eastAsia="zh-CN"/>
              </w:rPr>
            </w:pPr>
            <w:r>
              <w:rPr>
                <w:rFonts w:hint="default"/>
                <w:lang w:eastAsia="zh-CN"/>
              </w:rPr>
              <w:t>根据《环境影响评价技术导则 土壤环境》（HJ964-2018），</w:t>
            </w:r>
            <w:r>
              <w:rPr>
                <w:rFonts w:hint="default"/>
                <w:lang w:val="en-US" w:eastAsia="zh-CN"/>
              </w:rPr>
              <w:t>本项目</w:t>
            </w:r>
            <w:r>
              <w:rPr>
                <w:rFonts w:hint="eastAsia"/>
                <w:lang w:val="en-US" w:eastAsia="zh-CN"/>
              </w:rPr>
              <w:t>为</w:t>
            </w:r>
            <w:r>
              <w:rPr>
                <w:rFonts w:hint="default"/>
                <w:lang w:val="en-US" w:eastAsia="zh-CN"/>
              </w:rPr>
              <w:t>地质勘探类项目</w:t>
            </w:r>
            <w:r>
              <w:rPr>
                <w:rFonts w:hint="eastAsia"/>
                <w:lang w:val="en-US" w:eastAsia="zh-CN"/>
              </w:rPr>
              <w:t>，</w:t>
            </w:r>
            <w:r>
              <w:rPr>
                <w:rFonts w:hint="default"/>
                <w:lang w:eastAsia="zh-CN"/>
              </w:rPr>
              <w:t>属于</w:t>
            </w:r>
            <w:r>
              <w:rPr>
                <w:rFonts w:hint="eastAsia"/>
                <w:lang w:eastAsia="zh-CN"/>
              </w:rPr>
              <w:t>“其他行业－</w:t>
            </w:r>
            <w:r>
              <w:rPr>
                <w:rFonts w:hint="eastAsia"/>
                <w:lang w:val="en-US" w:eastAsia="zh-CN"/>
              </w:rPr>
              <w:t>全部</w:t>
            </w:r>
            <w:r>
              <w:rPr>
                <w:rFonts w:hint="eastAsia"/>
                <w:lang w:eastAsia="zh-CN"/>
              </w:rPr>
              <w:t>”</w:t>
            </w:r>
            <w:r>
              <w:rPr>
                <w:rFonts w:hint="default"/>
                <w:lang w:eastAsia="zh-CN"/>
              </w:rPr>
              <w:t>，为</w:t>
            </w:r>
            <w:r>
              <w:rPr>
                <w:rFonts w:hint="default" w:ascii="Times New Roman" w:hAnsi="Times New Roman" w:cs="Times New Roman"/>
                <w:lang w:eastAsia="zh-CN"/>
              </w:rPr>
              <w:t>Ⅳ类项目，可不开展土壤</w:t>
            </w:r>
            <w:r>
              <w:rPr>
                <w:rFonts w:hint="default" w:ascii="Times New Roman" w:hAnsi="Times New Roman" w:cs="Times New Roman"/>
                <w:lang w:val="en-US" w:eastAsia="zh-CN"/>
              </w:rPr>
              <w:t>现状调查</w:t>
            </w:r>
            <w:r>
              <w:rPr>
                <w:rFonts w:hint="default" w:ascii="Times New Roman" w:hAnsi="Times New Roman" w:cs="Times New Roman"/>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805"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s="宋体"/>
                <w:kern w:val="0"/>
                <w:szCs w:val="21"/>
              </w:rPr>
            </w:pPr>
            <w:r>
              <w:rPr>
                <w:rFonts w:hint="eastAsia" w:ascii="宋体" w:hAnsi="宋体"/>
                <w:bCs/>
                <w:szCs w:val="21"/>
              </w:rPr>
              <w:t>与项目有关的原有环境污染和生态破坏问题</w:t>
            </w:r>
          </w:p>
        </w:tc>
        <w:tc>
          <w:tcPr>
            <w:tcW w:w="8368" w:type="dxa"/>
            <w:noWrap w:val="0"/>
            <w:vAlign w:val="center"/>
          </w:tcPr>
          <w:p>
            <w:pPr>
              <w:keepNext w:val="0"/>
              <w:keepLines w:val="0"/>
              <w:suppressLineNumbers w:val="0"/>
              <w:adjustRightInd w:val="0"/>
              <w:snapToGrid w:val="0"/>
              <w:spacing w:before="0" w:beforeAutospacing="0" w:after="0" w:afterAutospacing="0"/>
              <w:ind w:left="0" w:right="0" w:firstLine="480" w:firstLineChars="200"/>
              <w:jc w:val="center"/>
              <w:rPr>
                <w:rFonts w:hint="eastAsia"/>
                <w:lang w:val="en-US" w:eastAsia="zh-CN"/>
              </w:rPr>
            </w:pPr>
            <w:r>
              <w:rPr>
                <w:rFonts w:hint="eastAsia" w:ascii="Times New Roman" w:hAnsi="Times New Roman" w:eastAsia="宋体" w:cs="Times New Roman"/>
                <w:sz w:val="24"/>
                <w:highlight w:val="none"/>
              </w:rPr>
              <w:t>本项目属于新建项目，</w:t>
            </w:r>
            <w:r>
              <w:rPr>
                <w:rFonts w:hint="eastAsia" w:cs="Times New Roman"/>
                <w:sz w:val="24"/>
                <w:highlight w:val="none"/>
                <w:lang w:val="en-US" w:eastAsia="zh-CN"/>
              </w:rPr>
              <w:t>无原有环境污染问题。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05"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生态环境保护目标</w:t>
            </w:r>
          </w:p>
        </w:tc>
        <w:tc>
          <w:tcPr>
            <w:tcW w:w="8368" w:type="dxa"/>
            <w:noWrap w:val="0"/>
            <w:vAlign w:val="center"/>
          </w:tcPr>
          <w:p>
            <w:pPr>
              <w:pStyle w:val="4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textAlignment w:val="auto"/>
              <w:rPr>
                <w:rFonts w:hint="default"/>
                <w:lang w:val="en-US" w:eastAsia="zh-CN"/>
              </w:rPr>
            </w:pPr>
            <w:r>
              <w:rPr>
                <w:rFonts w:hint="eastAsia"/>
                <w:lang w:val="en-US" w:eastAsia="zh-CN"/>
              </w:rPr>
              <w:t>勘探</w:t>
            </w:r>
            <w:r>
              <w:rPr>
                <w:rFonts w:hint="eastAsia"/>
              </w:rPr>
              <w:t>区</w:t>
            </w:r>
            <w:r>
              <w:rPr>
                <w:rFonts w:hint="eastAsia"/>
                <w:lang w:val="en-US" w:eastAsia="zh-CN"/>
              </w:rPr>
              <w:t>位于新疆维吾尔自治区巴音郭楞蒙古自治州和硕县城东北17°方向，直线距离39千米处</w:t>
            </w:r>
            <w:r>
              <w:rPr>
                <w:rFonts w:hint="eastAsia" w:ascii="Times New Roman" w:hAnsi="Times New Roman" w:eastAsia="宋体" w:cs="Times New Roman"/>
                <w:sz w:val="24"/>
                <w:highlight w:val="none"/>
                <w:lang w:val="zh-CN" w:eastAsia="zh-CN"/>
              </w:rPr>
              <w:t>。</w:t>
            </w:r>
            <w:r>
              <w:rPr>
                <w:rFonts w:hint="eastAsia" w:ascii="Times New Roman" w:hAnsi="Times New Roman" w:eastAsia="宋体" w:cs="Times New Roman"/>
                <w:sz w:val="24"/>
                <w:highlight w:val="none"/>
                <w:lang w:val="en-US" w:eastAsia="zh-CN"/>
              </w:rPr>
              <w:t>根据《环境影响评价技术导则 生态影响》（HJ19-2022）</w:t>
            </w:r>
            <w:r>
              <w:rPr>
                <w:rFonts w:hint="eastAsia" w:cs="Times New Roman"/>
                <w:sz w:val="24"/>
                <w:highlight w:val="none"/>
                <w:lang w:val="en-US" w:eastAsia="zh-CN"/>
              </w:rPr>
              <w:t>第6章评价等级及评价范围的判定规则，本项目不在该章节a）、b）、c）、d）、e）、f）</w:t>
            </w:r>
            <w:r>
              <w:rPr>
                <w:rFonts w:hint="default" w:ascii="宋体" w:hAnsi="宋体" w:eastAsia="宋体" w:cs="宋体"/>
                <w:sz w:val="24"/>
                <w:szCs w:val="24"/>
              </w:rPr>
              <w:t>款规定的</w:t>
            </w:r>
            <w:r>
              <w:rPr>
                <w:rFonts w:hint="eastAsia" w:ascii="宋体" w:hAnsi="宋体" w:eastAsia="宋体" w:cs="宋体"/>
                <w:sz w:val="24"/>
                <w:szCs w:val="24"/>
                <w:lang w:val="en-US" w:eastAsia="zh-CN"/>
              </w:rPr>
              <w:t>评价范畴内</w:t>
            </w:r>
            <w:r>
              <w:rPr>
                <w:rFonts w:hint="eastAsia" w:cs="Times New Roman"/>
                <w:sz w:val="24"/>
                <w:highlight w:val="none"/>
                <w:lang w:val="en-US" w:eastAsia="zh-CN"/>
              </w:rPr>
              <w:t>，故生态影响评价等级定为三级，</w:t>
            </w:r>
            <w:r>
              <w:rPr>
                <w:rFonts w:hint="eastAsia" w:ascii="Times New Roman" w:hAnsi="Times New Roman" w:eastAsia="宋体" w:cs="Times New Roman"/>
                <w:sz w:val="24"/>
                <w:highlight w:val="none"/>
                <w:lang w:val="en-US" w:eastAsia="zh-CN"/>
              </w:rPr>
              <w:t>评价范围为项目占地范围内，项目</w:t>
            </w:r>
            <w:r>
              <w:rPr>
                <w:rFonts w:hint="eastAsia" w:cs="Times New Roman"/>
                <w:sz w:val="24"/>
                <w:highlight w:val="none"/>
                <w:lang w:val="en-US" w:eastAsia="zh-CN"/>
              </w:rPr>
              <w:t>占地范围内及</w:t>
            </w:r>
            <w:r>
              <w:rPr>
                <w:rFonts w:hint="eastAsia" w:ascii="Times New Roman" w:hAnsi="Times New Roman" w:eastAsia="宋体" w:cs="Times New Roman"/>
                <w:sz w:val="24"/>
                <w:highlight w:val="none"/>
                <w:lang w:val="en-US" w:eastAsia="zh-CN"/>
              </w:rPr>
              <w:t>沿线不涉及自然保护区、风景名胜</w:t>
            </w:r>
            <w:r>
              <w:rPr>
                <w:rFonts w:hint="eastAsia" w:cs="Times New Roman"/>
                <w:sz w:val="24"/>
                <w:highlight w:val="none"/>
                <w:lang w:val="en-US" w:eastAsia="zh-CN"/>
              </w:rPr>
              <w:t>区、</w:t>
            </w:r>
            <w:r>
              <w:rPr>
                <w:rFonts w:hint="eastAsia" w:ascii="Times New Roman" w:hAnsi="Times New Roman" w:eastAsia="宋体" w:cs="Times New Roman"/>
                <w:sz w:val="24"/>
                <w:highlight w:val="none"/>
                <w:lang w:val="en-US" w:eastAsia="zh-CN"/>
              </w:rPr>
              <w:t>不占基本农田</w:t>
            </w:r>
            <w:r>
              <w:rPr>
                <w:rFonts w:hint="eastAsia" w:cs="Times New Roman"/>
                <w:sz w:val="24"/>
                <w:highlight w:val="none"/>
                <w:lang w:val="en-US" w:eastAsia="zh-CN"/>
              </w:rPr>
              <w:t>、不涉及生态环境保护目标。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5" w:type="dxa"/>
            <w:noWrap w:val="0"/>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cs="宋体"/>
                <w:kern w:val="0"/>
                <w:szCs w:val="21"/>
              </w:rPr>
            </w:pPr>
            <w:r>
              <w:rPr>
                <w:rFonts w:hint="eastAsia" w:ascii="宋体" w:hAnsi="宋体" w:eastAsia="宋体" w:cs="宋体"/>
                <w:kern w:val="0"/>
                <w:szCs w:val="21"/>
              </w:rPr>
              <w:t>评价标准</w:t>
            </w:r>
          </w:p>
        </w:tc>
        <w:tc>
          <w:tcPr>
            <w:tcW w:w="8368" w:type="dxa"/>
            <w:noWrap w:val="0"/>
            <w:vAlign w:val="center"/>
          </w:tcPr>
          <w:p>
            <w:pPr>
              <w:pStyle w:val="50"/>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1.环境质量标准</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（1）环境空气</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环境空气质量执行《环境空气质量标准》（GB3095-20</w:t>
            </w:r>
            <w:r>
              <w:rPr>
                <w:rFonts w:hint="eastAsia"/>
                <w:lang w:val="en-US" w:eastAsia="zh-CN"/>
              </w:rPr>
              <w:t>26</w:t>
            </w:r>
            <w:r>
              <w:rPr>
                <w:rFonts w:hint="default"/>
                <w:lang w:val="en-US" w:eastAsia="zh-CN"/>
              </w:rPr>
              <w:t>）中过渡阶段的二级标准。</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（2）声环境</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该项目所在地声环境质量执行《声环境质量标准》（GB3096－2008）2类标准执行，即昼间≤60dB（A），夜间≤50dB（A）。</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w:t>
            </w:r>
            <w:r>
              <w:rPr>
                <w:rFonts w:hint="default"/>
                <w:lang w:val="en-US" w:eastAsia="zh-CN"/>
              </w:rPr>
              <w:t>污染物排放标准</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（1）大气污染物排放标准</w:t>
            </w:r>
          </w:p>
          <w:p>
            <w:pPr>
              <w:pStyle w:val="4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施工期：建设项目施工期场地平整、物资运输产生扬尘执行《大气污染物综合排放标准》（GB16297-19</w:t>
            </w:r>
            <w:r>
              <w:rPr>
                <w:rFonts w:hint="default"/>
                <w:lang w:val="en-US" w:eastAsia="zh-CN"/>
              </w:rPr>
              <w:t>96</w:t>
            </w:r>
            <w:r>
              <w:rPr>
                <w:rFonts w:hint="eastAsia"/>
                <w:lang w:val="en-US" w:eastAsia="zh-CN"/>
              </w:rPr>
              <w:t>）</w:t>
            </w:r>
            <w:r>
              <w:rPr>
                <w:rFonts w:hint="default"/>
                <w:lang w:val="en-US" w:eastAsia="zh-CN"/>
              </w:rPr>
              <w:t>无组织排放监控浓度限值。</w:t>
            </w:r>
          </w:p>
          <w:p>
            <w:pPr>
              <w:pStyle w:val="52"/>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表3-</w:t>
            </w:r>
            <w:r>
              <w:rPr>
                <w:rFonts w:hint="eastAsia"/>
                <w:lang w:val="en-US" w:eastAsia="zh-CN"/>
              </w:rPr>
              <w:t>6</w:t>
            </w:r>
            <w:r>
              <w:rPr>
                <w:rFonts w:hint="default"/>
                <w:lang w:val="en-US" w:eastAsia="zh-CN"/>
              </w:rPr>
              <w:t xml:space="preserve">    施工期无组织废气执行标准</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1"/>
              <w:gridCol w:w="1900"/>
              <w:gridCol w:w="3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665"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污染物</w:t>
                  </w:r>
                </w:p>
              </w:tc>
              <w:tc>
                <w:tcPr>
                  <w:tcW w:w="1167"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限值</w:t>
                  </w:r>
                </w:p>
              </w:tc>
              <w:tc>
                <w:tcPr>
                  <w:tcW w:w="2167"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665"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颗粒物</w:t>
                  </w:r>
                </w:p>
              </w:tc>
              <w:tc>
                <w:tcPr>
                  <w:tcW w:w="1167"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1mg/m</w:t>
                  </w:r>
                  <w:r>
                    <w:rPr>
                      <w:rFonts w:hint="default"/>
                      <w:vertAlign w:val="superscript"/>
                      <w:lang w:val="en-US" w:eastAsia="zh-CN"/>
                    </w:rPr>
                    <w:t>3</w:t>
                  </w:r>
                </w:p>
              </w:tc>
              <w:tc>
                <w:tcPr>
                  <w:tcW w:w="2167"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《大气污染物综合排放标准》（GB16297-1996）中表2</w:t>
                  </w:r>
                </w:p>
              </w:tc>
            </w:tr>
          </w:tbl>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勘探期：勘探过程中产生的废气执行《大气污染物综合排放标准》（GB16297-19</w:t>
            </w:r>
            <w:r>
              <w:rPr>
                <w:rFonts w:hint="default"/>
                <w:lang w:val="en-US" w:eastAsia="zh-CN"/>
              </w:rPr>
              <w:t>96</w:t>
            </w:r>
            <w:r>
              <w:rPr>
                <w:rFonts w:hint="eastAsia"/>
                <w:lang w:val="en-US" w:eastAsia="zh-CN"/>
              </w:rPr>
              <w:t>）</w:t>
            </w:r>
            <w:r>
              <w:rPr>
                <w:rFonts w:hint="default"/>
                <w:lang w:val="en-US" w:eastAsia="zh-CN"/>
              </w:rPr>
              <w:t>无组织排放监控浓度限值。</w:t>
            </w:r>
            <w:r>
              <w:rPr>
                <w:rFonts w:hint="eastAsia" w:ascii="Times New Roman" w:hAnsi="Times New Roman" w:eastAsia="宋体" w:cs="Times New Roman"/>
                <w:color w:val="auto"/>
                <w:kern w:val="0"/>
                <w:sz w:val="24"/>
                <w:lang w:val="en-US" w:eastAsia="zh-CN"/>
              </w:rPr>
              <w:t>柴油发电机烟气参照执行《非道路移动机械用柴油机排气污染物排放限值及测量方法（中国第三、四阶段）》（GB20891-2014）修改单以及《非道路柴油移动机械污染物排放控制技术要求》（HJ1014-2020）。</w:t>
            </w:r>
          </w:p>
          <w:p>
            <w:pPr>
              <w:pStyle w:val="52"/>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表3-</w:t>
            </w:r>
            <w:r>
              <w:rPr>
                <w:rFonts w:hint="eastAsia"/>
                <w:lang w:val="en-US" w:eastAsia="zh-CN"/>
              </w:rPr>
              <w:t>7</w:t>
            </w:r>
            <w:r>
              <w:rPr>
                <w:rFonts w:hint="default"/>
                <w:lang w:val="en-US" w:eastAsia="zh-CN"/>
              </w:rPr>
              <w:t xml:space="preserve">  </w:t>
            </w:r>
            <w:r>
              <w:rPr>
                <w:rFonts w:hint="eastAsia"/>
                <w:lang w:val="en-US" w:eastAsia="zh-CN"/>
              </w:rPr>
              <w:t xml:space="preserve"> </w:t>
            </w:r>
            <w:r>
              <w:rPr>
                <w:rFonts w:hint="default"/>
                <w:lang w:val="en-US" w:eastAsia="zh-CN"/>
              </w:rPr>
              <w:t xml:space="preserve"> </w:t>
            </w:r>
            <w:r>
              <w:rPr>
                <w:rFonts w:hint="eastAsia"/>
                <w:lang w:val="en-US" w:eastAsia="zh-CN"/>
              </w:rPr>
              <w:t>勘探期</w:t>
            </w:r>
            <w:r>
              <w:rPr>
                <w:rFonts w:hint="default"/>
                <w:lang w:val="en-US" w:eastAsia="zh-CN"/>
              </w:rPr>
              <w:t>无组织废气执行标准</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1337"/>
              <w:gridCol w:w="1825"/>
              <w:gridCol w:w="1378"/>
              <w:gridCol w:w="2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9" w:hRule="atLeast"/>
                <w:jc w:val="center"/>
              </w:trPr>
              <w:tc>
                <w:tcPr>
                  <w:tcW w:w="530"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工序</w:t>
                  </w:r>
                </w:p>
              </w:tc>
              <w:tc>
                <w:tcPr>
                  <w:tcW w:w="821"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污染物</w:t>
                  </w:r>
                </w:p>
              </w:tc>
              <w:tc>
                <w:tcPr>
                  <w:tcW w:w="1121"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限值</w:t>
                  </w:r>
                </w:p>
              </w:tc>
              <w:tc>
                <w:tcPr>
                  <w:tcW w:w="846"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单位</w:t>
                  </w:r>
                </w:p>
              </w:tc>
              <w:tc>
                <w:tcPr>
                  <w:tcW w:w="1680"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30"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勘探</w:t>
                  </w:r>
                </w:p>
              </w:tc>
              <w:tc>
                <w:tcPr>
                  <w:tcW w:w="821"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颗粒物</w:t>
                  </w:r>
                </w:p>
              </w:tc>
              <w:tc>
                <w:tcPr>
                  <w:tcW w:w="1121"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1</w:t>
                  </w:r>
                </w:p>
              </w:tc>
              <w:tc>
                <w:tcPr>
                  <w:tcW w:w="846"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mg/m</w:t>
                  </w:r>
                  <w:r>
                    <w:rPr>
                      <w:rFonts w:hint="default"/>
                      <w:vertAlign w:val="superscript"/>
                      <w:lang w:val="en-US" w:eastAsia="zh-CN"/>
                    </w:rPr>
                    <w:t>3</w:t>
                  </w:r>
                </w:p>
              </w:tc>
              <w:tc>
                <w:tcPr>
                  <w:tcW w:w="1680" w:type="pct"/>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《大气污染物综合排放标准》（GB</w:t>
                  </w:r>
                  <w:r>
                    <w:rPr>
                      <w:rFonts w:hint="eastAsia"/>
                      <w:lang w:val="en-US" w:eastAsia="zh-CN"/>
                    </w:rPr>
                    <w:t xml:space="preserve"> </w:t>
                  </w:r>
                  <w:r>
                    <w:rPr>
                      <w:rFonts w:hint="default"/>
                      <w:lang w:val="en-US" w:eastAsia="zh-CN"/>
                    </w:rPr>
                    <w:t>16297-1996）</w:t>
                  </w:r>
                </w:p>
              </w:tc>
            </w:tr>
          </w:tbl>
          <w:p>
            <w:pPr>
              <w:pStyle w:val="52"/>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表3-</w:t>
            </w:r>
            <w:r>
              <w:rPr>
                <w:rFonts w:hint="eastAsia"/>
                <w:lang w:val="en-US" w:eastAsia="zh-CN"/>
              </w:rPr>
              <w:t>8</w:t>
            </w:r>
            <w:r>
              <w:rPr>
                <w:rFonts w:hint="default"/>
                <w:lang w:val="en-US" w:eastAsia="zh-CN"/>
              </w:rPr>
              <w:t xml:space="preserve">  </w:t>
            </w:r>
            <w:r>
              <w:rPr>
                <w:rFonts w:hint="eastAsia"/>
                <w:lang w:val="en-US" w:eastAsia="zh-CN"/>
              </w:rPr>
              <w:t xml:space="preserve"> </w:t>
            </w:r>
            <w:r>
              <w:rPr>
                <w:rFonts w:hint="default"/>
                <w:lang w:val="en-US" w:eastAsia="zh-CN"/>
              </w:rPr>
              <w:t xml:space="preserve"> </w:t>
            </w:r>
            <w:r>
              <w:rPr>
                <w:rFonts w:hint="default" w:ascii="Times New Roman" w:hAnsi="Times New Roman" w:eastAsia="宋体" w:cs="宋体"/>
                <w:b/>
                <w:kern w:val="2"/>
                <w:sz w:val="21"/>
                <w:szCs w:val="21"/>
                <w:lang w:val="en-US" w:eastAsia="zh-CN" w:bidi="ar-SA"/>
              </w:rPr>
              <w:t>非道路移动机械用柴油机排气污染物排放限值及测量方法</w:t>
            </w:r>
          </w:p>
          <w:tbl>
            <w:tblPr>
              <w:tblStyle w:val="25"/>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1290"/>
              <w:gridCol w:w="900"/>
              <w:gridCol w:w="900"/>
              <w:gridCol w:w="1035"/>
              <w:gridCol w:w="960"/>
              <w:gridCol w:w="945"/>
              <w:gridCol w:w="810"/>
              <w:gridCol w:w="8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6" w:hRule="atLeast"/>
                <w:jc w:val="center"/>
              </w:trPr>
              <w:tc>
                <w:tcPr>
                  <w:tcW w:w="275"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阶段</w:t>
                  </w:r>
                </w:p>
              </w:tc>
              <w:tc>
                <w:tcPr>
                  <w:tcW w:w="792"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额定净功（Pmax）（kW）</w:t>
                  </w:r>
                </w:p>
              </w:tc>
              <w:tc>
                <w:tcPr>
                  <w:tcW w:w="553"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default"/>
                    </w:rPr>
                    <w:t>CO（g/kW·h）</w:t>
                  </w:r>
                </w:p>
              </w:tc>
              <w:tc>
                <w:tcPr>
                  <w:tcW w:w="553"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default"/>
                    </w:rPr>
                    <w:t>HC（g/kW·h）</w:t>
                  </w:r>
                </w:p>
              </w:tc>
              <w:tc>
                <w:tcPr>
                  <w:tcW w:w="636"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default"/>
                    </w:rPr>
                    <w:t>NOX（g/kW·h）</w:t>
                  </w:r>
                </w:p>
              </w:tc>
              <w:tc>
                <w:tcPr>
                  <w:tcW w:w="590"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default"/>
                    </w:rPr>
                    <w:t>HC+NOX（g/kW·h）</w:t>
                  </w:r>
                </w:p>
              </w:tc>
              <w:tc>
                <w:tcPr>
                  <w:tcW w:w="580"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default"/>
                    </w:rPr>
                    <w:t>PM（g/kW·h）</w:t>
                  </w:r>
                </w:p>
              </w:tc>
              <w:tc>
                <w:tcPr>
                  <w:tcW w:w="497"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default"/>
                    </w:rPr>
                    <w:t>NH</w:t>
                  </w:r>
                  <w:r>
                    <w:rPr>
                      <w:rFonts w:hint="default"/>
                      <w:vertAlign w:val="subscript"/>
                    </w:rPr>
                    <w:t>3</w:t>
                  </w:r>
                  <w:r>
                    <w:rPr>
                      <w:rFonts w:hint="default"/>
                    </w:rPr>
                    <w:t xml:space="preserve"> （ppm）</w:t>
                  </w:r>
                </w:p>
              </w:tc>
              <w:tc>
                <w:tcPr>
                  <w:tcW w:w="520"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default"/>
                    </w:rPr>
                    <w:t>PN（</w:t>
                  </w:r>
                  <w:r>
                    <w:rPr>
                      <w:rFonts w:hint="default"/>
                      <w:lang w:val="en-US" w:eastAsia="zh-CN"/>
                    </w:rPr>
                    <w:t>#</w:t>
                  </w:r>
                  <w:r>
                    <w:rPr>
                      <w:rFonts w:hint="default"/>
                    </w:rPr>
                    <w:t>/kW·h）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0" w:hRule="atLeast"/>
                <w:jc w:val="center"/>
              </w:trPr>
              <w:tc>
                <w:tcPr>
                  <w:tcW w:w="275" w:type="pct"/>
                  <w:vMerge w:val="restart"/>
                  <w:tcBorders>
                    <w:top w:val="single" w:color="auto" w:sz="4" w:space="0"/>
                    <w:left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第四阶段</w:t>
                  </w:r>
                </w:p>
              </w:tc>
              <w:tc>
                <w:tcPr>
                  <w:tcW w:w="792"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Pmax＞560</w:t>
                  </w:r>
                </w:p>
              </w:tc>
              <w:tc>
                <w:tcPr>
                  <w:tcW w:w="553"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3.5</w:t>
                  </w:r>
                </w:p>
              </w:tc>
              <w:tc>
                <w:tcPr>
                  <w:tcW w:w="553"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0.40</w:t>
                  </w:r>
                </w:p>
              </w:tc>
              <w:tc>
                <w:tcPr>
                  <w:tcW w:w="636"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3.5,0.67</w:t>
                  </w:r>
                  <w:r>
                    <w:rPr>
                      <w:rFonts w:hint="default"/>
                      <w:vertAlign w:val="superscript"/>
                      <w:lang w:val="en-US" w:eastAsia="zh-CN"/>
                    </w:rPr>
                    <w:t>a</w:t>
                  </w:r>
                </w:p>
              </w:tc>
              <w:tc>
                <w:tcPr>
                  <w:tcW w:w="590"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w:t>
                  </w:r>
                </w:p>
              </w:tc>
              <w:tc>
                <w:tcPr>
                  <w:tcW w:w="580"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0.10</w:t>
                  </w:r>
                </w:p>
              </w:tc>
              <w:tc>
                <w:tcPr>
                  <w:tcW w:w="497" w:type="pct"/>
                  <w:vMerge w:val="restart"/>
                  <w:tcBorders>
                    <w:top w:val="single" w:color="auto" w:sz="4" w:space="0"/>
                    <w:left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25</w:t>
                  </w:r>
                  <w:r>
                    <w:rPr>
                      <w:rFonts w:hint="default"/>
                      <w:vertAlign w:val="superscript"/>
                      <w:lang w:val="en-US" w:eastAsia="zh-CN"/>
                    </w:rPr>
                    <w:t>b</w:t>
                  </w:r>
                </w:p>
              </w:tc>
              <w:tc>
                <w:tcPr>
                  <w:tcW w:w="520"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0" w:hRule="atLeast"/>
                <w:jc w:val="center"/>
              </w:trPr>
              <w:tc>
                <w:tcPr>
                  <w:tcW w:w="275" w:type="pct"/>
                  <w:vMerge w:val="continue"/>
                  <w:tcBorders>
                    <w:left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p>
              </w:tc>
              <w:tc>
                <w:tcPr>
                  <w:tcW w:w="792"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130≤Pmax≤560</w:t>
                  </w:r>
                </w:p>
              </w:tc>
              <w:tc>
                <w:tcPr>
                  <w:tcW w:w="553"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3.5</w:t>
                  </w:r>
                </w:p>
              </w:tc>
              <w:tc>
                <w:tcPr>
                  <w:tcW w:w="553"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0.19</w:t>
                  </w:r>
                </w:p>
              </w:tc>
              <w:tc>
                <w:tcPr>
                  <w:tcW w:w="636"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2.0</w:t>
                  </w:r>
                </w:p>
              </w:tc>
              <w:tc>
                <w:tcPr>
                  <w:tcW w:w="590"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w:t>
                  </w:r>
                </w:p>
              </w:tc>
              <w:tc>
                <w:tcPr>
                  <w:tcW w:w="580"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0.025</w:t>
                  </w:r>
                </w:p>
              </w:tc>
              <w:tc>
                <w:tcPr>
                  <w:tcW w:w="497" w:type="pct"/>
                  <w:vMerge w:val="continue"/>
                  <w:tcBorders>
                    <w:left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p>
              </w:tc>
              <w:tc>
                <w:tcPr>
                  <w:tcW w:w="520" w:type="pct"/>
                  <w:vMerge w:val="restart"/>
                  <w:tcBorders>
                    <w:top w:val="single" w:color="auto" w:sz="4" w:space="0"/>
                    <w:left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5×1012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0" w:hRule="atLeast"/>
                <w:jc w:val="center"/>
              </w:trPr>
              <w:tc>
                <w:tcPr>
                  <w:tcW w:w="275" w:type="pct"/>
                  <w:vMerge w:val="continue"/>
                  <w:tcBorders>
                    <w:left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p>
              </w:tc>
              <w:tc>
                <w:tcPr>
                  <w:tcW w:w="792"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56≤Pmax＜130</w:t>
                  </w:r>
                </w:p>
              </w:tc>
              <w:tc>
                <w:tcPr>
                  <w:tcW w:w="553"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5.0</w:t>
                  </w:r>
                </w:p>
              </w:tc>
              <w:tc>
                <w:tcPr>
                  <w:tcW w:w="553"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0.19</w:t>
                  </w:r>
                </w:p>
              </w:tc>
              <w:tc>
                <w:tcPr>
                  <w:tcW w:w="636"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3.3</w:t>
                  </w:r>
                </w:p>
              </w:tc>
              <w:tc>
                <w:tcPr>
                  <w:tcW w:w="590"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w:t>
                  </w:r>
                </w:p>
              </w:tc>
              <w:tc>
                <w:tcPr>
                  <w:tcW w:w="580"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0.025</w:t>
                  </w:r>
                </w:p>
              </w:tc>
              <w:tc>
                <w:tcPr>
                  <w:tcW w:w="497" w:type="pct"/>
                  <w:vMerge w:val="continue"/>
                  <w:tcBorders>
                    <w:left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p>
              </w:tc>
              <w:tc>
                <w:tcPr>
                  <w:tcW w:w="520" w:type="pct"/>
                  <w:vMerge w:val="continue"/>
                  <w:tcBorders>
                    <w:left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75" w:type="pct"/>
                  <w:vMerge w:val="continue"/>
                  <w:tcBorders>
                    <w:left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p>
              </w:tc>
              <w:tc>
                <w:tcPr>
                  <w:tcW w:w="792"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37≤Pmax＜56</w:t>
                  </w:r>
                </w:p>
              </w:tc>
              <w:tc>
                <w:tcPr>
                  <w:tcW w:w="553"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5.0</w:t>
                  </w:r>
                </w:p>
              </w:tc>
              <w:tc>
                <w:tcPr>
                  <w:tcW w:w="553"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w:t>
                  </w:r>
                </w:p>
              </w:tc>
              <w:tc>
                <w:tcPr>
                  <w:tcW w:w="636"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w:t>
                  </w:r>
                </w:p>
              </w:tc>
              <w:tc>
                <w:tcPr>
                  <w:tcW w:w="590"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4.7</w:t>
                  </w:r>
                </w:p>
              </w:tc>
              <w:tc>
                <w:tcPr>
                  <w:tcW w:w="580"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0.025</w:t>
                  </w:r>
                </w:p>
              </w:tc>
              <w:tc>
                <w:tcPr>
                  <w:tcW w:w="497" w:type="pct"/>
                  <w:vMerge w:val="continue"/>
                  <w:tcBorders>
                    <w:left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p>
              </w:tc>
              <w:tc>
                <w:tcPr>
                  <w:tcW w:w="520" w:type="pct"/>
                  <w:vMerge w:val="continue"/>
                  <w:tcBorders>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0" w:hRule="atLeast"/>
                <w:jc w:val="center"/>
              </w:trPr>
              <w:tc>
                <w:tcPr>
                  <w:tcW w:w="275" w:type="pct"/>
                  <w:vMerge w:val="continue"/>
                  <w:tcBorders>
                    <w:left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p>
              </w:tc>
              <w:tc>
                <w:tcPr>
                  <w:tcW w:w="792"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Pmax＜37</w:t>
                  </w:r>
                </w:p>
              </w:tc>
              <w:tc>
                <w:tcPr>
                  <w:tcW w:w="553"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5.5</w:t>
                  </w:r>
                </w:p>
              </w:tc>
              <w:tc>
                <w:tcPr>
                  <w:tcW w:w="553"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w:t>
                  </w:r>
                </w:p>
              </w:tc>
              <w:tc>
                <w:tcPr>
                  <w:tcW w:w="636"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w:t>
                  </w:r>
                </w:p>
              </w:tc>
              <w:tc>
                <w:tcPr>
                  <w:tcW w:w="590"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7.5</w:t>
                  </w:r>
                </w:p>
              </w:tc>
              <w:tc>
                <w:tcPr>
                  <w:tcW w:w="58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default"/>
                    </w:rPr>
                    <w:t>0.60</w:t>
                  </w:r>
                </w:p>
              </w:tc>
              <w:tc>
                <w:tcPr>
                  <w:tcW w:w="497" w:type="pct"/>
                  <w:vMerge w:val="continue"/>
                  <w:tcBorders>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p>
              </w:tc>
              <w:tc>
                <w:tcPr>
                  <w:tcW w:w="520" w:type="pct"/>
                  <w:tcBorders>
                    <w:top w:val="single" w:color="auto" w:sz="4" w:space="0"/>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0" w:hRule="atLeast"/>
                <w:jc w:val="center"/>
              </w:trPr>
              <w:tc>
                <w:tcPr>
                  <w:tcW w:w="5000" w:type="pct"/>
                  <w:gridSpan w:val="9"/>
                  <w:tcBorders>
                    <w:left w:val="single" w:color="auto" w:sz="4" w:space="0"/>
                    <w:bottom w:val="single" w:color="auto" w:sz="4" w:space="0"/>
                    <w:right w:val="single" w:color="auto" w:sz="4" w:space="0"/>
                    <w:tl2br w:val="nil"/>
                    <w:tr2bl w:val="nil"/>
                  </w:tcBorders>
                  <w:noWrap w:val="0"/>
                  <w:vAlign w:val="center"/>
                </w:tcPr>
                <w:p>
                  <w:pPr>
                    <w:pStyle w:val="54"/>
                    <w:keepNext w:val="0"/>
                    <w:keepLines w:val="0"/>
                    <w:suppressLineNumbers w:val="0"/>
                    <w:bidi w:val="0"/>
                    <w:spacing w:before="0" w:beforeAutospacing="0" w:after="0" w:afterAutospacing="0"/>
                    <w:ind w:left="0" w:right="0"/>
                    <w:jc w:val="left"/>
                    <w:rPr>
                      <w:rFonts w:hint="default"/>
                    </w:rPr>
                  </w:pPr>
                  <w:r>
                    <w:rPr>
                      <w:rFonts w:hint="default"/>
                    </w:rPr>
                    <w:t>a适用于可移动式发电机组用 Pmax＞900kW 的柴油机。</w:t>
                  </w:r>
                </w:p>
                <w:p>
                  <w:pPr>
                    <w:pStyle w:val="54"/>
                    <w:keepNext w:val="0"/>
                    <w:keepLines w:val="0"/>
                    <w:suppressLineNumbers w:val="0"/>
                    <w:bidi w:val="0"/>
                    <w:spacing w:before="0" w:beforeAutospacing="0" w:after="0" w:afterAutospacing="0"/>
                    <w:ind w:left="0" w:right="0"/>
                    <w:jc w:val="left"/>
                    <w:rPr>
                      <w:rFonts w:hint="default"/>
                    </w:rPr>
                  </w:pPr>
                  <w:r>
                    <w:rPr>
                      <w:rFonts w:hint="default"/>
                    </w:rPr>
                    <w:t>b适用于使用反应剂的柴油机。</w:t>
                  </w:r>
                </w:p>
              </w:tc>
            </w:tr>
          </w:tbl>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达标要求：《非道路移动机械污染防治技术政策》提出加强非道路移动机械的维修、保养，只有按照机械说明书要求进行正常的保养、维修，才能确保在用非道路移动机械保持原有污染物排放水平；非道路移动机械需要随车携带“非道路移动机械环保信息采集卡”，并悬挂联网备案的环保号牌；在不使用时关闭机械设备。这些措施有助于追踪和管理机械的环保合规性。</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（2）废水排放标准</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生活污水排入一体化污水处理设施后，其出水标准执行《农村生活污水处理排放标准》（DB654275-2019）表2中A级标准。</w:t>
            </w:r>
          </w:p>
          <w:p>
            <w:pPr>
              <w:pStyle w:val="52"/>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表3-9    生活污水污染物排放限值</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601"/>
              <w:gridCol w:w="1628"/>
              <w:gridCol w:w="1591"/>
              <w:gridCol w:w="14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9" w:hRule="atLeast"/>
                <w:jc w:val="center"/>
              </w:trPr>
              <w:tc>
                <w:tcPr>
                  <w:tcW w:w="516"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序号</w:t>
                  </w:r>
                </w:p>
              </w:tc>
              <w:tc>
                <w:tcPr>
                  <w:tcW w:w="1597"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污染物</w:t>
                  </w:r>
                </w:p>
              </w:tc>
              <w:tc>
                <w:tcPr>
                  <w:tcW w:w="1000"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A级</w:t>
                  </w:r>
                </w:p>
              </w:tc>
              <w:tc>
                <w:tcPr>
                  <w:tcW w:w="977"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B级</w:t>
                  </w:r>
                </w:p>
              </w:tc>
              <w:tc>
                <w:tcPr>
                  <w:tcW w:w="907"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C级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16"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w:t>
                  </w:r>
                </w:p>
              </w:tc>
              <w:tc>
                <w:tcPr>
                  <w:tcW w:w="1597"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pH值</w:t>
                  </w:r>
                </w:p>
              </w:tc>
              <w:tc>
                <w:tcPr>
                  <w:tcW w:w="2885" w:type="pct"/>
                  <w:gridSpan w:val="3"/>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16"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w:t>
                  </w:r>
                </w:p>
              </w:tc>
              <w:tc>
                <w:tcPr>
                  <w:tcW w:w="1597"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化学需氧量，mg/L</w:t>
                  </w:r>
                </w:p>
              </w:tc>
              <w:tc>
                <w:tcPr>
                  <w:tcW w:w="1000"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60</w:t>
                  </w:r>
                </w:p>
              </w:tc>
              <w:tc>
                <w:tcPr>
                  <w:tcW w:w="977"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180</w:t>
                  </w:r>
                </w:p>
              </w:tc>
              <w:tc>
                <w:tcPr>
                  <w:tcW w:w="907"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16"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w:t>
                  </w:r>
                </w:p>
              </w:tc>
              <w:tc>
                <w:tcPr>
                  <w:tcW w:w="1597"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悬浮物，mg/L</w:t>
                  </w:r>
                </w:p>
              </w:tc>
              <w:tc>
                <w:tcPr>
                  <w:tcW w:w="1000"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30</w:t>
                  </w:r>
                </w:p>
              </w:tc>
              <w:tc>
                <w:tcPr>
                  <w:tcW w:w="977"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90</w:t>
                  </w:r>
                </w:p>
              </w:tc>
              <w:tc>
                <w:tcPr>
                  <w:tcW w:w="907"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16"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w:t>
                  </w:r>
                </w:p>
              </w:tc>
              <w:tc>
                <w:tcPr>
                  <w:tcW w:w="1597"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粪大肠菌群，MPN/L</w:t>
                  </w:r>
                </w:p>
              </w:tc>
              <w:tc>
                <w:tcPr>
                  <w:tcW w:w="1000"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10000</w:t>
                  </w:r>
                </w:p>
              </w:tc>
              <w:tc>
                <w:tcPr>
                  <w:tcW w:w="1884" w:type="pct"/>
                  <w:gridSpan w:val="2"/>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w:t>
                  </w:r>
                </w:p>
              </w:tc>
              <w:tc>
                <w:tcPr>
                  <w:tcW w:w="1597" w:type="pct"/>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蛔虫卵个数，个/L</w:t>
                  </w:r>
                </w:p>
              </w:tc>
              <w:tc>
                <w:tcPr>
                  <w:tcW w:w="2885" w:type="pct"/>
                  <w:gridSpan w:val="3"/>
                  <w:noWrap w:val="0"/>
                  <w:vAlign w:val="center"/>
                </w:tcPr>
                <w:p>
                  <w:pPr>
                    <w:pStyle w:val="58"/>
                    <w:keepNext w:val="0"/>
                    <w:keepLines w:val="0"/>
                    <w:suppressLineNumbers w:val="0"/>
                    <w:bidi w:val="0"/>
                    <w:spacing w:before="0" w:beforeAutospacing="0" w:after="0" w:afterAutospacing="0"/>
                    <w:ind w:left="0" w:right="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w:t>
                  </w:r>
                </w:p>
              </w:tc>
            </w:tr>
          </w:tbl>
          <w:p>
            <w:pPr>
              <w:pStyle w:val="4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（3）</w:t>
            </w:r>
            <w:r>
              <w:rPr>
                <w:rFonts w:hint="default"/>
                <w:lang w:val="en-US" w:eastAsia="zh-CN"/>
              </w:rPr>
              <w:t>噪声排放标准</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施工期和勘探期噪声排放限值执行《建筑施工噪声排放标准》（GB12523-20</w:t>
            </w:r>
            <w:r>
              <w:rPr>
                <w:rFonts w:hint="eastAsia"/>
                <w:lang w:val="en-US" w:eastAsia="zh-CN"/>
              </w:rPr>
              <w:t>25</w:t>
            </w:r>
            <w:r>
              <w:rPr>
                <w:rFonts w:hint="default"/>
                <w:lang w:val="en-US" w:eastAsia="zh-CN"/>
              </w:rPr>
              <w:t>）。</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（4）固体废弃物</w:t>
            </w:r>
          </w:p>
          <w:p>
            <w:pPr>
              <w:pStyle w:val="4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textAlignment w:val="auto"/>
              <w:rPr>
                <w:rFonts w:hint="default"/>
                <w:lang w:val="en-US" w:eastAsia="zh-CN"/>
              </w:rPr>
            </w:pPr>
            <w:r>
              <w:rPr>
                <w:rFonts w:hint="default"/>
                <w:lang w:val="en-US" w:eastAsia="zh-CN"/>
              </w:rPr>
              <w:t>本项目产生的一般固体废物执行《中华人民共和国生态环境法典》中的“固体废物污染防治”有关规定</w:t>
            </w:r>
            <w:r>
              <w:rPr>
                <w:rFonts w:hint="eastAsia"/>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11" w:hRule="atLeast"/>
          <w:jc w:val="center"/>
        </w:trPr>
        <w:tc>
          <w:tcPr>
            <w:tcW w:w="805" w:type="dxa"/>
            <w:noWrap w:val="0"/>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kern w:val="0"/>
                <w:szCs w:val="21"/>
              </w:rPr>
            </w:pPr>
            <w:r>
              <w:rPr>
                <w:rFonts w:hint="eastAsia" w:ascii="宋体" w:hAnsi="宋体" w:cs="宋体"/>
                <w:kern w:val="0"/>
                <w:szCs w:val="21"/>
              </w:rPr>
              <w:t>其他</w:t>
            </w:r>
          </w:p>
        </w:tc>
        <w:tc>
          <w:tcPr>
            <w:tcW w:w="8368" w:type="dxa"/>
            <w:noWrap w:val="0"/>
            <w:vAlign w:val="center"/>
          </w:tcPr>
          <w:p>
            <w:pPr>
              <w:pStyle w:val="48"/>
              <w:keepNext w:val="0"/>
              <w:keepLines w:val="0"/>
              <w:suppressLineNumbers w:val="0"/>
              <w:bidi w:val="0"/>
              <w:spacing w:before="0" w:beforeAutospacing="0" w:after="0" w:afterAutospacing="0"/>
              <w:ind w:left="0" w:leftChars="0" w:right="0" w:firstLine="0" w:firstLineChars="0"/>
              <w:jc w:val="center"/>
              <w:rPr>
                <w:rFonts w:hint="default" w:ascii="Times New Roman" w:hAnsi="Times New Roman" w:eastAsia="宋体" w:cs="宋体"/>
                <w:kern w:val="0"/>
                <w:sz w:val="24"/>
                <w:szCs w:val="24"/>
                <w:lang w:val="en-US" w:eastAsia="zh-CN" w:bidi="ar-SA"/>
              </w:rPr>
            </w:pPr>
            <w:r>
              <w:rPr>
                <w:rFonts w:hint="eastAsia" w:ascii="Times New Roman" w:hAnsi="Times New Roman" w:eastAsia="宋体" w:cs="宋体"/>
                <w:kern w:val="0"/>
                <w:sz w:val="24"/>
                <w:szCs w:val="24"/>
                <w:lang w:val="en-US" w:eastAsia="zh-CN" w:bidi="ar-SA"/>
              </w:rPr>
              <w:t>无</w:t>
            </w:r>
          </w:p>
        </w:tc>
      </w:tr>
    </w:tbl>
    <w:p>
      <w:pPr>
        <w:pStyle w:val="21"/>
        <w:adjustRightInd w:val="0"/>
        <w:snapToGrid w:val="0"/>
        <w:spacing w:before="0" w:beforeAutospacing="0" w:after="0" w:afterAutospacing="0" w:line="14" w:lineRule="auto"/>
        <w:jc w:val="center"/>
        <w:outlineLvl w:val="0"/>
        <w:rPr>
          <w:rFonts w:ascii="黑体" w:hAnsi="黑体" w:eastAsia="黑体"/>
          <w:snapToGrid w:val="0"/>
          <w:kern w:val="2"/>
          <w:sz w:val="36"/>
          <w:szCs w:val="36"/>
        </w:rPr>
      </w:pPr>
    </w:p>
    <w:p>
      <w:pPr>
        <w:pStyle w:val="21"/>
        <w:keepNext w:val="0"/>
        <w:keepLines w:val="0"/>
        <w:pageBreakBefore w:val="0"/>
        <w:widowControl/>
        <w:kinsoku/>
        <w:wordWrap/>
        <w:overflowPunct/>
        <w:topLinePunct w:val="0"/>
        <w:autoSpaceDE/>
        <w:autoSpaceDN/>
        <w:bidi w:val="0"/>
        <w:adjustRightInd/>
        <w:snapToGrid/>
        <w:spacing w:before="313" w:beforeLines="100" w:beforeAutospacing="0" w:after="313" w:afterLines="100" w:afterAutospacing="0"/>
        <w:jc w:val="center"/>
        <w:textAlignment w:val="auto"/>
        <w:outlineLvl w:val="0"/>
        <w:rPr>
          <w:rFonts w:ascii="黑体" w:hAnsi="黑体" w:eastAsia="黑体"/>
          <w:snapToGrid w:val="0"/>
          <w:sz w:val="30"/>
          <w:szCs w:val="30"/>
        </w:rPr>
      </w:pPr>
      <w:r>
        <w:rPr>
          <w:rFonts w:ascii="黑体" w:hAnsi="黑体" w:eastAsia="黑体"/>
          <w:snapToGrid w:val="0"/>
          <w:kern w:val="2"/>
          <w:sz w:val="36"/>
          <w:szCs w:val="36"/>
        </w:rPr>
        <w:br w:type="page"/>
      </w:r>
      <w:r>
        <w:rPr>
          <w:rFonts w:hint="eastAsia" w:ascii="黑体" w:hAnsi="黑体" w:eastAsia="黑体"/>
          <w:snapToGrid w:val="0"/>
          <w:sz w:val="30"/>
          <w:szCs w:val="30"/>
        </w:rPr>
        <w:t>四、生态环境影响分析</w:t>
      </w:r>
    </w:p>
    <w:tbl>
      <w:tblPr>
        <w:tblStyle w:val="25"/>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852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noWrap w:val="0"/>
            <w:tcMar>
              <w:left w:w="28" w:type="dxa"/>
              <w:right w:w="28" w:type="dxa"/>
            </w:tcMar>
            <w:vAlign w:val="center"/>
          </w:tcPr>
          <w:p>
            <w:pPr>
              <w:pStyle w:val="21"/>
              <w:keepNext w:val="0"/>
              <w:keepLines w:val="0"/>
              <w:suppressLineNumbers w:val="0"/>
              <w:adjustRightInd w:val="0"/>
              <w:snapToGrid w:val="0"/>
              <w:spacing w:before="0" w:beforeAutospacing="0" w:after="0" w:afterAutospacing="0"/>
              <w:ind w:left="0" w:right="0"/>
              <w:jc w:val="center"/>
              <w:rPr>
                <w:rFonts w:hint="default" w:cs="宋体"/>
                <w:bCs/>
                <w:kern w:val="2"/>
                <w:sz w:val="21"/>
                <w:szCs w:val="21"/>
              </w:rPr>
            </w:pPr>
            <w:bookmarkStart w:id="3" w:name="_Hlk49796138"/>
            <w:r>
              <w:rPr>
                <w:rFonts w:hint="eastAsia" w:cs="宋体"/>
                <w:bCs/>
                <w:spacing w:val="10"/>
                <w:kern w:val="2"/>
                <w:sz w:val="21"/>
                <w:szCs w:val="21"/>
              </w:rPr>
              <w:t>施工期生态环境影响分析</w:t>
            </w:r>
            <w:bookmarkEnd w:id="3"/>
          </w:p>
        </w:tc>
        <w:tc>
          <w:tcPr>
            <w:tcW w:w="8522" w:type="dxa"/>
            <w:noWrap w:val="0"/>
            <w:vAlign w:val="top"/>
          </w:tcPr>
          <w:p>
            <w:pPr>
              <w:pStyle w:val="48"/>
              <w:keepNext w:val="0"/>
              <w:keepLines w:val="0"/>
              <w:suppressLineNumbers w:val="0"/>
              <w:bidi w:val="0"/>
              <w:spacing w:before="0" w:beforeAutospacing="0" w:after="0" w:afterAutospacing="0"/>
              <w:ind w:left="0" w:right="0"/>
              <w:rPr>
                <w:rFonts w:hint="eastAsia"/>
                <w:lang w:eastAsia="zh-CN"/>
              </w:rPr>
            </w:pPr>
            <w:r>
              <w:rPr>
                <w:rFonts w:hint="eastAsia"/>
                <w:lang w:val="en-US" w:eastAsia="zh-CN"/>
              </w:rPr>
              <w:t>本项目为新建项目，施工期</w:t>
            </w:r>
            <w:r>
              <w:rPr>
                <w:rFonts w:hint="default"/>
              </w:rPr>
              <w:t>主要活动</w:t>
            </w:r>
            <w:r>
              <w:rPr>
                <w:rFonts w:hint="eastAsia"/>
                <w:lang w:val="en-US" w:eastAsia="zh-CN"/>
              </w:rPr>
              <w:t>为临时营地的搭建</w:t>
            </w:r>
            <w:r>
              <w:rPr>
                <w:rFonts w:hint="default"/>
              </w:rPr>
              <w:t>，</w:t>
            </w:r>
            <w:r>
              <w:rPr>
                <w:rFonts w:hint="eastAsia"/>
                <w:lang w:eastAsia="zh-CN"/>
              </w:rPr>
              <w:t>在施工过程中会有</w:t>
            </w:r>
            <w:r>
              <w:rPr>
                <w:rFonts w:hint="default"/>
              </w:rPr>
              <w:t>施工废气、施工扬尘、施工噪声</w:t>
            </w:r>
            <w:r>
              <w:rPr>
                <w:rFonts w:hint="eastAsia"/>
                <w:lang w:eastAsia="zh-CN"/>
              </w:rPr>
              <w:t>、</w:t>
            </w:r>
            <w:r>
              <w:rPr>
                <w:rFonts w:hint="eastAsia"/>
                <w:lang w:val="en-US" w:eastAsia="zh-CN"/>
              </w:rPr>
              <w:t>开挖土石方</w:t>
            </w:r>
            <w:r>
              <w:rPr>
                <w:rFonts w:hint="default"/>
              </w:rPr>
              <w:t>等产生</w:t>
            </w:r>
            <w:r>
              <w:rPr>
                <w:rFonts w:hint="eastAsia"/>
                <w:lang w:eastAsia="zh-CN"/>
              </w:rPr>
              <w:t>。</w:t>
            </w:r>
          </w:p>
          <w:p>
            <w:pPr>
              <w:pStyle w:val="50"/>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1.生态影响分析</w:t>
            </w:r>
          </w:p>
          <w:p>
            <w:pPr>
              <w:pStyle w:val="50"/>
              <w:keepNext w:val="0"/>
              <w:keepLines w:val="0"/>
              <w:suppressLineNumbers w:val="0"/>
              <w:bidi w:val="0"/>
              <w:spacing w:before="0" w:beforeAutospacing="0" w:after="0" w:afterAutospacing="0"/>
              <w:ind w:left="0" w:right="0"/>
              <w:rPr>
                <w:rFonts w:hint="eastAsia"/>
                <w:highlight w:val="none"/>
                <w:lang w:val="en-US" w:eastAsia="zh-CN"/>
              </w:rPr>
            </w:pPr>
            <w:r>
              <w:rPr>
                <w:rFonts w:hint="eastAsia"/>
                <w:lang w:val="en-US" w:eastAsia="zh-CN"/>
              </w:rPr>
              <w:t>1.1</w:t>
            </w:r>
            <w:r>
              <w:rPr>
                <w:rFonts w:hint="eastAsia"/>
                <w:highlight w:val="none"/>
                <w:lang w:val="en-US" w:eastAsia="zh-CN"/>
              </w:rPr>
              <w:t>占地影响</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项目施工期建设主要为临时生活营地的修筑，占地面积共计100m</w:t>
            </w:r>
            <w:r>
              <w:rPr>
                <w:rFonts w:hint="eastAsia"/>
                <w:vertAlign w:val="superscript"/>
                <w:lang w:val="en-US" w:eastAsia="zh-CN"/>
              </w:rPr>
              <w:t>2</w:t>
            </w:r>
            <w:r>
              <w:rPr>
                <w:rFonts w:hint="eastAsia"/>
                <w:lang w:val="en-US" w:eastAsia="zh-CN"/>
              </w:rPr>
              <w:t>，为临时占地。临时占地会改变土地原有使用功能，造成资源浪费，临时构筑物的压占会造成剥离后的表层土壤过于紧实，降低土壤的通透性和渗水性，对土壤环境、动植物以及区域景观生态产生不利的影响。</w:t>
            </w:r>
          </w:p>
          <w:p>
            <w:pPr>
              <w:pStyle w:val="50"/>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1.2土壤环境的影响</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工程施工过程中的土方开挖、回填、机械碾压对土壤的理化性质和土壤肥力会产生一定不利影响，不会彻底改变土地利用结构和功能，对区域生态系统的影响有限。</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本次施工期内临时构筑物的压占会造成剥离后的表层土壤过于紧实，降低土壤的通透性和渗水性，工程建设临时压占土地，主要是使这些土地失去原有的生物生产功能和生态服务功能，会对局部的土地利用产生一定的影响。</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1.3对植物的影响</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color w:val="auto"/>
                <w:lang w:val="en-US" w:eastAsia="zh-CN"/>
              </w:rPr>
              <w:t>本项目占地性质属于临时占地，</w:t>
            </w:r>
            <w:r>
              <w:rPr>
                <w:rFonts w:hint="eastAsia"/>
                <w:color w:val="auto"/>
                <w:highlight w:val="none"/>
                <w:lang w:val="en-US" w:eastAsia="zh-CN"/>
              </w:rPr>
              <w:t>土地利用类型为低覆盖度草地，中覆盖度草地和裸岩石砾地</w:t>
            </w:r>
            <w:r>
              <w:rPr>
                <w:rFonts w:hint="default"/>
                <w:color w:val="auto"/>
                <w:highlight w:val="none"/>
                <w:lang w:val="en-US" w:eastAsia="zh-CN"/>
              </w:rPr>
              <w:t>。</w:t>
            </w:r>
            <w:r>
              <w:rPr>
                <w:rFonts w:hint="eastAsia"/>
                <w:color w:val="auto"/>
                <w:highlight w:val="none"/>
                <w:lang w:val="en-US" w:eastAsia="zh-CN"/>
              </w:rPr>
              <w:t>项目区</w:t>
            </w:r>
            <w:r>
              <w:rPr>
                <w:rFonts w:hint="default"/>
                <w:color w:val="auto"/>
                <w:highlight w:val="none"/>
                <w:lang w:val="en-US" w:eastAsia="zh-CN"/>
              </w:rPr>
              <w:t>主要植物为</w:t>
            </w:r>
            <w:r>
              <w:rPr>
                <w:rFonts w:hint="eastAsia"/>
                <w:color w:val="auto"/>
                <w:highlight w:val="none"/>
                <w:lang w:val="en-US" w:eastAsia="zh-CN"/>
              </w:rPr>
              <w:t>沙拐枣、骆驼刺、白皮锦鸡儿和针茅</w:t>
            </w:r>
            <w:r>
              <w:rPr>
                <w:rFonts w:hint="default"/>
                <w:color w:val="auto"/>
                <w:lang w:val="en-US" w:eastAsia="zh-CN"/>
              </w:rPr>
              <w:t>。施工过程中施工机械的碾压、建筑材料的占</w:t>
            </w:r>
            <w:r>
              <w:rPr>
                <w:rFonts w:hint="default"/>
                <w:lang w:val="en-US" w:eastAsia="zh-CN"/>
              </w:rPr>
              <w:t>压、施工人员踩踏以及建筑物基础等都将不可避免对占地区域植被造成破坏性的影响。施工活动致使项目区转化为人工裸地，导致植被生产能力下降，植被覆盖度降低。</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1.4对动物的影响</w:t>
            </w:r>
          </w:p>
          <w:p>
            <w:pPr>
              <w:pStyle w:val="4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项目所涉范围内基本无大型哺乳动物分布，以小型哺乳类和爬行类为主，且数量不多。施工活动会对所在区域动物栖息环境产生扰动。施工过程中各类机械运转、人员活动等产生的噪声会使施工所在区域动物的正常生活受到暂时的轻微干扰，将会使区域内少量动物出现迁徙，使矿区生物量降低，分布、数量、生物多样性发生变化。施工时尽量避让野生动物，不追逐，不惊吓</w:t>
            </w:r>
            <w:r>
              <w:rPr>
                <w:rFonts w:hint="default"/>
                <w:lang w:val="en-US" w:eastAsia="zh-CN"/>
              </w:rPr>
              <w:t>。</w:t>
            </w:r>
          </w:p>
          <w:p>
            <w:pPr>
              <w:pStyle w:val="50"/>
              <w:keepNext w:val="0"/>
              <w:keepLines w:val="0"/>
              <w:suppressLineNumbers w:val="0"/>
              <w:bidi w:val="0"/>
              <w:spacing w:before="0" w:beforeAutospacing="0" w:after="0" w:afterAutospacing="0"/>
              <w:ind w:left="0" w:right="0"/>
              <w:rPr>
                <w:rFonts w:hint="default"/>
              </w:rPr>
            </w:pPr>
            <w:r>
              <w:rPr>
                <w:rFonts w:hint="default"/>
              </w:rPr>
              <w:t>1.</w:t>
            </w:r>
            <w:r>
              <w:rPr>
                <w:rFonts w:hint="eastAsia"/>
                <w:lang w:val="en-US" w:eastAsia="zh-CN"/>
              </w:rPr>
              <w:t>5</w:t>
            </w:r>
            <w:r>
              <w:rPr>
                <w:rFonts w:hint="default"/>
                <w:lang w:val="en-US" w:eastAsia="zh-CN"/>
              </w:rPr>
              <w:t>对</w:t>
            </w:r>
            <w:r>
              <w:rPr>
                <w:rFonts w:hint="default"/>
              </w:rPr>
              <w:t>区域景观的影响</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由于项目施工开挖等活动，会造成地表植被不同程度的破坏，在短期内成为与原有生态景观不协调的</w:t>
            </w:r>
            <w:r>
              <w:rPr>
                <w:rFonts w:hint="eastAsia"/>
                <w:lang w:val="en-US" w:eastAsia="zh-CN"/>
              </w:rPr>
              <w:t>“</w:t>
            </w:r>
            <w:r>
              <w:rPr>
                <w:rFonts w:hint="default"/>
                <w:lang w:val="en-US" w:eastAsia="zh-CN"/>
              </w:rPr>
              <w:t>裸地</w:t>
            </w:r>
            <w:r>
              <w:rPr>
                <w:rFonts w:hint="eastAsia"/>
                <w:lang w:val="en-US" w:eastAsia="zh-CN"/>
              </w:rPr>
              <w:t>”</w:t>
            </w:r>
            <w:r>
              <w:rPr>
                <w:rFonts w:hint="default"/>
                <w:lang w:val="en-US" w:eastAsia="zh-CN"/>
              </w:rPr>
              <w:t>或</w:t>
            </w:r>
            <w:r>
              <w:rPr>
                <w:rFonts w:hint="eastAsia"/>
                <w:lang w:val="en-US" w:eastAsia="zh-CN"/>
              </w:rPr>
              <w:t>“</w:t>
            </w:r>
            <w:r>
              <w:rPr>
                <w:rFonts w:hint="default"/>
                <w:lang w:val="en-US" w:eastAsia="zh-CN"/>
              </w:rPr>
              <w:t>疮疤</w:t>
            </w:r>
            <w:r>
              <w:rPr>
                <w:rFonts w:hint="eastAsia"/>
                <w:lang w:val="en-US" w:eastAsia="zh-CN"/>
              </w:rPr>
              <w:t>”</w:t>
            </w:r>
            <w:r>
              <w:rPr>
                <w:rFonts w:hint="default"/>
                <w:lang w:val="en-US" w:eastAsia="zh-CN"/>
              </w:rPr>
              <w:t>斑块，另外施工现场的暴露、建筑垃圾的堆存也影响区域景观，对整体生态景观形成不和谐的视觉效果，造成较为明显的不利影响</w:t>
            </w:r>
            <w:r>
              <w:rPr>
                <w:rFonts w:hint="eastAsia"/>
                <w:lang w:eastAsia="zh-CN"/>
              </w:rPr>
              <w:t>。</w:t>
            </w:r>
          </w:p>
          <w:p>
            <w:pPr>
              <w:pStyle w:val="50"/>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1.6对区域沙化土地的影响分析</w:t>
            </w:r>
          </w:p>
          <w:p>
            <w:pPr>
              <w:pStyle w:val="48"/>
              <w:keepNext w:val="0"/>
              <w:keepLines w:val="0"/>
              <w:suppressLineNumbers w:val="0"/>
              <w:bidi w:val="0"/>
              <w:spacing w:before="0" w:beforeAutospacing="0" w:after="0" w:afterAutospacing="0"/>
              <w:ind w:left="0" w:right="0"/>
              <w:jc w:val="both"/>
              <w:rPr>
                <w:rFonts w:hint="default"/>
                <w:lang w:val="en-US" w:eastAsia="zh-CN"/>
              </w:rPr>
            </w:pPr>
            <w:r>
              <w:rPr>
                <w:rFonts w:hint="default"/>
                <w:lang w:val="en-US" w:eastAsia="zh-CN"/>
              </w:rPr>
              <w:t>项目区属于非沙化土地，施工过程中将会破坏占地范围内的土壤表层稳定结皮和地表荒漠植被，项目所在区域具有多风、降水量偏低等气候特征，地表稳定结皮被破坏后，在大风天气条件下，施工会使占地范围内的土地就地起沙，局部从非沙化土地变成沙化土地。但是由于项目占地范围较小，施工时间短，施工结束后对场地进行平整和清理，尽量利用施工时产生的表层土对临时占地进行覆盖，采用自然恢复的方式对区域植被进行恢复。综上所述，本项目对区域土地沙化影响不大。</w:t>
            </w:r>
          </w:p>
          <w:p>
            <w:pPr>
              <w:pStyle w:val="50"/>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1.7对水土流失的影响分析</w:t>
            </w:r>
          </w:p>
          <w:p>
            <w:pPr>
              <w:pStyle w:val="65"/>
              <w:keepNext w:val="0"/>
              <w:keepLines w:val="0"/>
              <w:suppressLineNumbers w:val="0"/>
              <w:bidi w:val="0"/>
              <w:spacing w:before="0" w:beforeAutospacing="0" w:after="0" w:afterAutospacing="0"/>
              <w:ind w:left="0" w:right="0"/>
              <w:rPr>
                <w:rFonts w:hint="eastAsia"/>
                <w:lang w:eastAsia="zh-CN"/>
              </w:rPr>
            </w:pPr>
            <w:r>
              <w:rPr>
                <w:rFonts w:hint="eastAsia"/>
                <w:lang w:val="en-US" w:eastAsia="zh-CN"/>
              </w:rPr>
              <w:t>项目区水土流失情况为微度和轻度，水土流失类型包括水力侵蚀，风力侵蚀和冻融侵蚀。平整场地时将原有的表土结构完全破坏，使得具有肥力和保水保肥能力的表层土壤被剥离。搭建临时设施时，材料堆放、人员及机械的往来走动，进一步加剧了土壤的紧实度，给后续植被的扎根、生长带来了极大困难，使地表失去植被的有效保护，进而加剧水土流失。</w:t>
            </w:r>
          </w:p>
          <w:p>
            <w:pPr>
              <w:pStyle w:val="50"/>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2.大气污染物影响分析</w:t>
            </w:r>
          </w:p>
          <w:p>
            <w:pPr>
              <w:pStyle w:val="48"/>
              <w:keepNext w:val="0"/>
              <w:keepLines w:val="0"/>
              <w:suppressLineNumbers w:val="0"/>
              <w:bidi w:val="0"/>
              <w:spacing w:before="0" w:beforeAutospacing="0" w:after="0" w:afterAutospacing="0"/>
              <w:ind w:left="0" w:right="0"/>
              <w:rPr>
                <w:rFonts w:hint="eastAsia"/>
              </w:rPr>
            </w:pPr>
            <w:r>
              <w:rPr>
                <w:rFonts w:hint="eastAsia"/>
                <w:lang w:val="en-US" w:eastAsia="zh-CN"/>
              </w:rPr>
              <w:t>（1）车辆行驶</w:t>
            </w:r>
            <w:r>
              <w:rPr>
                <w:rFonts w:hint="eastAsia"/>
              </w:rPr>
              <w:t>扬尘</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在施工过程中，车辆行驶产生的扬尘量一般占施工扬尘总量的60%以上。车辆在行驶过程中产生的扬尘量，可按下列经验公式计算：</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drawing>
                <wp:anchor distT="0" distB="0" distL="114300" distR="114300" simplePos="0" relativeHeight="251660288" behindDoc="1" locked="0" layoutInCell="1" allowOverlap="1">
                  <wp:simplePos x="0" y="0"/>
                  <wp:positionH relativeFrom="column">
                    <wp:posOffset>1379855</wp:posOffset>
                  </wp:positionH>
                  <wp:positionV relativeFrom="paragraph">
                    <wp:posOffset>8255</wp:posOffset>
                  </wp:positionV>
                  <wp:extent cx="2246630" cy="448310"/>
                  <wp:effectExtent l="0" t="0" r="1270" b="0"/>
                  <wp:wrapTight wrapText="bothSides">
                    <wp:wrapPolygon>
                      <wp:start x="0" y="0"/>
                      <wp:lineTo x="0" y="20407"/>
                      <wp:lineTo x="21429" y="20407"/>
                      <wp:lineTo x="21429" y="0"/>
                      <wp:lineTo x="0" y="0"/>
                    </wp:wrapPolygon>
                  </wp:wrapTight>
                  <wp:docPr id="2" name="图片 5"/>
                  <wp:cNvGraphicFramePr/>
                  <a:graphic xmlns:a="http://schemas.openxmlformats.org/drawingml/2006/main">
                    <a:graphicData uri="http://schemas.openxmlformats.org/drawingml/2006/picture">
                      <pic:pic xmlns:pic="http://schemas.openxmlformats.org/drawingml/2006/picture">
                        <pic:nvPicPr>
                          <pic:cNvPr id="2" name="图片 5"/>
                          <pic:cNvPicPr/>
                        </pic:nvPicPr>
                        <pic:blipFill>
                          <a:blip r:embed="rId17"/>
                          <a:stretch>
                            <a:fillRect/>
                          </a:stretch>
                        </pic:blipFill>
                        <pic:spPr>
                          <a:xfrm>
                            <a:off x="0" y="0"/>
                            <a:ext cx="2246630" cy="448310"/>
                          </a:xfrm>
                          <a:prstGeom prst="rect">
                            <a:avLst/>
                          </a:prstGeom>
                          <a:noFill/>
                          <a:ln>
                            <a:noFill/>
                          </a:ln>
                        </pic:spPr>
                      </pic:pic>
                    </a:graphicData>
                  </a:graphic>
                </wp:anchor>
              </w:drawing>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式中：Q—汽车行驶的扬尘，kg/km·辆；</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V—汽车速度，km/hr；</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W—汽车载重量，t；</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P—道路表面粉尘量，kg/m</w:t>
            </w:r>
            <w:r>
              <w:rPr>
                <w:rFonts w:hint="eastAsia"/>
                <w:vertAlign w:val="superscript"/>
                <w:lang w:val="en-US" w:eastAsia="zh-CN"/>
              </w:rPr>
              <w:t>2</w:t>
            </w:r>
            <w:r>
              <w:rPr>
                <w:rFonts w:hint="eastAsia"/>
                <w:lang w:val="en-US" w:eastAsia="zh-CN"/>
              </w:rPr>
              <w:t>。</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可见，在同样的路面条件下，车速越快，扬尘量越大；在同样的车速情况下，路面越脏，扬尘量越大。因此，限制车辆行驶速度以及保持路面的清洁是减少汽车扬尘的有效手段。</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（2）施工机械尾气</w:t>
            </w:r>
          </w:p>
          <w:p>
            <w:pPr>
              <w:pStyle w:val="48"/>
              <w:keepNext w:val="0"/>
              <w:keepLines w:val="0"/>
              <w:suppressLineNumbers w:val="0"/>
              <w:bidi w:val="0"/>
              <w:spacing w:before="0" w:beforeAutospacing="0" w:after="0" w:afterAutospacing="0"/>
              <w:ind w:left="0" w:right="0"/>
              <w:jc w:val="both"/>
              <w:rPr>
                <w:rFonts w:hint="default"/>
                <w:lang w:val="en-US" w:eastAsia="zh-CN"/>
              </w:rPr>
            </w:pPr>
            <w:r>
              <w:rPr>
                <w:rFonts w:hint="default"/>
                <w:lang w:val="en-US" w:eastAsia="zh-CN"/>
              </w:rPr>
              <w:t>施工机械和运输车辆排放的尾气中含有一氧化碳</w:t>
            </w:r>
            <w:r>
              <w:rPr>
                <w:rFonts w:hint="eastAsia"/>
                <w:lang w:val="en-US" w:eastAsia="zh-CN"/>
              </w:rPr>
              <w:t>（</w:t>
            </w:r>
            <w:r>
              <w:rPr>
                <w:rFonts w:hint="default"/>
                <w:lang w:val="en-US" w:eastAsia="zh-CN"/>
              </w:rPr>
              <w:t>CO</w:t>
            </w:r>
            <w:r>
              <w:rPr>
                <w:rFonts w:hint="eastAsia"/>
                <w:lang w:val="en-US" w:eastAsia="zh-CN"/>
              </w:rPr>
              <w:t>）</w:t>
            </w:r>
            <w:r>
              <w:rPr>
                <w:rFonts w:hint="default"/>
                <w:lang w:val="en-US" w:eastAsia="zh-CN"/>
              </w:rPr>
              <w:t>、氮氧化物</w:t>
            </w:r>
            <w:r>
              <w:rPr>
                <w:rFonts w:hint="eastAsia"/>
                <w:lang w:val="en-US" w:eastAsia="zh-CN"/>
              </w:rPr>
              <w:t>（</w:t>
            </w:r>
            <w:r>
              <w:rPr>
                <w:rFonts w:hint="default"/>
                <w:lang w:val="en-US" w:eastAsia="zh-CN"/>
              </w:rPr>
              <w:t>主要以NO和NO</w:t>
            </w:r>
            <w:r>
              <w:rPr>
                <w:rFonts w:hint="default"/>
                <w:vertAlign w:val="subscript"/>
                <w:lang w:val="en-US" w:eastAsia="zh-CN"/>
              </w:rPr>
              <w:t>2</w:t>
            </w:r>
            <w:r>
              <w:rPr>
                <w:rFonts w:hint="default"/>
                <w:lang w:val="en-US" w:eastAsia="zh-CN"/>
              </w:rPr>
              <w:t>形式存在</w:t>
            </w:r>
            <w:r>
              <w:rPr>
                <w:rFonts w:hint="eastAsia"/>
                <w:lang w:val="en-US" w:eastAsia="zh-CN"/>
              </w:rPr>
              <w:t>）</w:t>
            </w:r>
            <w:r>
              <w:rPr>
                <w:rFonts w:hint="default"/>
                <w:lang w:val="en-US" w:eastAsia="zh-CN"/>
              </w:rPr>
              <w:t>和总烃</w:t>
            </w:r>
            <w:r>
              <w:rPr>
                <w:rFonts w:hint="eastAsia"/>
                <w:lang w:val="en-US" w:eastAsia="zh-CN"/>
              </w:rPr>
              <w:t>（</w:t>
            </w:r>
            <w:r>
              <w:rPr>
                <w:rFonts w:hint="default"/>
                <w:lang w:val="en-US" w:eastAsia="zh-CN"/>
              </w:rPr>
              <w:t>THC</w:t>
            </w:r>
            <w:r>
              <w:rPr>
                <w:rFonts w:hint="eastAsia"/>
                <w:lang w:val="en-US" w:eastAsia="zh-CN"/>
              </w:rPr>
              <w:t>）</w:t>
            </w:r>
            <w:r>
              <w:rPr>
                <w:rFonts w:hint="default"/>
                <w:lang w:val="en-US" w:eastAsia="zh-CN"/>
              </w:rPr>
              <w:t>等有毒有害物质。工程勘探区地形开阔，空气流通性好，排放废气中的各项污染物能够很快扩散，不会引起局部大气环境质量的恶化。加之废气排放的不连续性和工程施工期有限，排放的废气对区域的环境空气质量影响较小。</w:t>
            </w:r>
            <w:r>
              <w:rPr>
                <w:rFonts w:hint="eastAsia" w:ascii="Times New Roman" w:hAnsi="Times New Roman" w:eastAsia="宋体" w:cs="Times New Roman"/>
                <w:color w:val="000000"/>
                <w:kern w:val="0"/>
                <w:sz w:val="24"/>
                <w:szCs w:val="24"/>
                <w:lang w:val="en-US" w:eastAsia="zh-CN"/>
              </w:rPr>
              <w:t>工程施工期间，施工单位应严格遵守有关法律、法规，采取合理可行的控制措施，要求使用符合国家标准的柴油，对于故障机械及时修理，保证运行车况良好，减少因故障而造成的尾气超标排放，以减少对周围大气环境的影响。</w:t>
            </w:r>
          </w:p>
          <w:p>
            <w:pPr>
              <w:pStyle w:val="50"/>
              <w:keepNext w:val="0"/>
              <w:keepLines w:val="0"/>
              <w:suppressLineNumbers w:val="0"/>
              <w:bidi w:val="0"/>
              <w:spacing w:before="0" w:beforeAutospacing="0" w:after="0" w:afterAutospacing="0"/>
              <w:ind w:left="0" w:right="0"/>
              <w:rPr>
                <w:rFonts w:hint="default"/>
              </w:rPr>
            </w:pPr>
            <w:r>
              <w:rPr>
                <w:rFonts w:hint="eastAsia"/>
                <w:highlight w:val="none"/>
                <w:lang w:val="en-US" w:eastAsia="zh-CN"/>
              </w:rPr>
              <w:t>3.</w:t>
            </w:r>
            <w:r>
              <w:rPr>
                <w:rFonts w:hint="eastAsia"/>
                <w:highlight w:val="none"/>
              </w:rPr>
              <w:t>废水</w:t>
            </w:r>
            <w:r>
              <w:rPr>
                <w:rFonts w:hint="default"/>
                <w:highlight w:val="none"/>
              </w:rPr>
              <w:t>污染物影</w:t>
            </w:r>
            <w:r>
              <w:rPr>
                <w:rFonts w:hint="default"/>
              </w:rPr>
              <w:t>响分析</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本项目施工期施工废水沉淀后回用，不外排。由于本项目施工时间短，未涉及大规模用水环节，因此产生的生活污水排入一体化污水处理设施处理达标后，用于洒水绿化，不外排</w:t>
            </w:r>
            <w:r>
              <w:rPr>
                <w:rFonts w:hint="eastAsia"/>
                <w:shd w:val="clear" w:color="auto" w:fill="auto"/>
                <w:lang w:val="en-US" w:eastAsia="zh-CN"/>
              </w:rPr>
              <w:t>，</w:t>
            </w:r>
            <w:r>
              <w:rPr>
                <w:rFonts w:hint="eastAsia"/>
                <w:lang w:val="en-US" w:eastAsia="zh-CN"/>
              </w:rPr>
              <w:t>不会对周边水环境造成影响。</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4.</w:t>
            </w:r>
            <w:r>
              <w:rPr>
                <w:rFonts w:hint="default"/>
                <w:lang w:val="en-US" w:eastAsia="zh-CN"/>
              </w:rPr>
              <w:t>噪声</w:t>
            </w:r>
            <w:r>
              <w:rPr>
                <w:rFonts w:hint="eastAsia"/>
                <w:lang w:val="en-US" w:eastAsia="zh-CN"/>
              </w:rPr>
              <w:t>环境影响分析</w:t>
            </w:r>
          </w:p>
          <w:p>
            <w:pPr>
              <w:pStyle w:val="48"/>
              <w:keepNext w:val="0"/>
              <w:keepLines w:val="0"/>
              <w:suppressLineNumbers w:val="0"/>
              <w:bidi w:val="0"/>
              <w:spacing w:before="0" w:beforeAutospacing="0" w:after="0" w:afterAutospacing="0"/>
              <w:ind w:left="0" w:right="0"/>
              <w:rPr>
                <w:rFonts w:hint="default"/>
              </w:rPr>
            </w:pPr>
            <w:r>
              <w:rPr>
                <w:rFonts w:hint="eastAsia"/>
              </w:rPr>
              <w:t>根据工程分析可知，</w:t>
            </w:r>
            <w:r>
              <w:rPr>
                <w:rFonts w:hint="eastAsia"/>
                <w:lang w:val="en-US" w:eastAsia="zh-CN"/>
              </w:rPr>
              <w:t>施工期</w:t>
            </w:r>
            <w:r>
              <w:rPr>
                <w:rFonts w:hint="eastAsia"/>
              </w:rPr>
              <w:t>的噪声</w:t>
            </w:r>
            <w:r>
              <w:rPr>
                <w:rFonts w:hint="eastAsia"/>
                <w:lang w:val="en-US" w:eastAsia="zh-CN"/>
              </w:rPr>
              <w:t>主要</w:t>
            </w:r>
            <w:r>
              <w:rPr>
                <w:rFonts w:hint="eastAsia"/>
              </w:rPr>
              <w:t>来自</w:t>
            </w:r>
            <w:r>
              <w:rPr>
                <w:rFonts w:hint="eastAsia"/>
                <w:lang w:val="en-US" w:eastAsia="zh-CN"/>
              </w:rPr>
              <w:t>生活营地搭建</w:t>
            </w:r>
            <w:r>
              <w:rPr>
                <w:rFonts w:hint="eastAsia"/>
              </w:rPr>
              <w:t>，噪声源强一般为</w:t>
            </w:r>
            <w:r>
              <w:rPr>
                <w:rFonts w:hint="eastAsia"/>
                <w:lang w:val="en-US" w:eastAsia="zh-CN"/>
              </w:rPr>
              <w:t>80</w:t>
            </w:r>
            <w:r>
              <w:rPr>
                <w:rFonts w:hint="eastAsia"/>
              </w:rPr>
              <w:t>~</w:t>
            </w:r>
            <w:r>
              <w:rPr>
                <w:rFonts w:hint="eastAsia"/>
                <w:lang w:val="en-US" w:eastAsia="zh-CN"/>
              </w:rPr>
              <w:t>83</w:t>
            </w:r>
            <w:r>
              <w:rPr>
                <w:rFonts w:hint="default"/>
              </w:rPr>
              <w:t>dB</w:t>
            </w:r>
            <w:r>
              <w:rPr>
                <w:rFonts w:hint="eastAsia"/>
                <w:lang w:eastAsia="zh-CN"/>
              </w:rPr>
              <w:t>（</w:t>
            </w:r>
            <w:r>
              <w:rPr>
                <w:rFonts w:hint="default"/>
              </w:rPr>
              <w:t>A</w:t>
            </w:r>
            <w:r>
              <w:rPr>
                <w:rFonts w:hint="eastAsia"/>
                <w:lang w:eastAsia="zh-CN"/>
              </w:rPr>
              <w:t>）</w:t>
            </w:r>
            <w:r>
              <w:rPr>
                <w:rFonts w:hint="eastAsia"/>
              </w:rPr>
              <w:t>，特点为暂时的短期间歇性行为，无规律性。</w:t>
            </w:r>
          </w:p>
          <w:p>
            <w:pPr>
              <w:pStyle w:val="48"/>
              <w:keepNext w:val="0"/>
              <w:keepLines w:val="0"/>
              <w:suppressLineNumbers w:val="0"/>
              <w:bidi w:val="0"/>
              <w:spacing w:before="0" w:beforeAutospacing="0" w:after="0" w:afterAutospacing="0"/>
              <w:ind w:left="0" w:right="0"/>
              <w:rPr>
                <w:rFonts w:hint="default"/>
              </w:rPr>
            </w:pPr>
            <w:r>
              <w:rPr>
                <w:rFonts w:hint="eastAsia"/>
                <w:lang w:eastAsia="zh-CN"/>
              </w:rPr>
              <w:t>（</w:t>
            </w:r>
            <w:r>
              <w:rPr>
                <w:rFonts w:hint="eastAsia"/>
                <w:lang w:val="en-US" w:eastAsia="zh-CN"/>
              </w:rPr>
              <w:t>1</w:t>
            </w:r>
            <w:r>
              <w:rPr>
                <w:rFonts w:hint="eastAsia"/>
                <w:lang w:eastAsia="zh-CN"/>
              </w:rPr>
              <w:t>）</w:t>
            </w:r>
            <w:r>
              <w:rPr>
                <w:rFonts w:hint="eastAsia"/>
              </w:rPr>
              <w:t>施工噪声预测</w:t>
            </w:r>
          </w:p>
          <w:p>
            <w:pPr>
              <w:pStyle w:val="48"/>
              <w:keepNext w:val="0"/>
              <w:keepLines w:val="0"/>
              <w:suppressLineNumbers w:val="0"/>
              <w:bidi w:val="0"/>
              <w:spacing w:before="0" w:beforeAutospacing="0" w:after="0" w:afterAutospacing="0"/>
              <w:ind w:left="0" w:right="0"/>
              <w:rPr>
                <w:rFonts w:hint="default"/>
              </w:rPr>
            </w:pPr>
            <w:r>
              <w:rPr>
                <w:rFonts w:hint="eastAsia"/>
              </w:rPr>
              <w:t>施工噪声可近似视为点声源处理，其衰减模式如下：</w:t>
            </w:r>
          </w:p>
          <w:p>
            <w:pPr>
              <w:pStyle w:val="48"/>
              <w:keepNext w:val="0"/>
              <w:keepLines w:val="0"/>
              <w:suppressLineNumbers w:val="0"/>
              <w:bidi w:val="0"/>
              <w:spacing w:before="0" w:beforeAutospacing="0" w:after="0" w:afterAutospacing="0"/>
              <w:ind w:left="0" w:right="0"/>
              <w:rPr>
                <w:rFonts w:hint="default"/>
              </w:rPr>
            </w:pPr>
            <w:r>
              <w:rPr>
                <w:rFonts w:hint="eastAsia"/>
              </w:rPr>
              <w:t>Lp=Lpo-20Lg</w:t>
            </w:r>
            <w:r>
              <w:rPr>
                <w:rFonts w:hint="eastAsia"/>
                <w:lang w:eastAsia="zh-CN"/>
              </w:rPr>
              <w:t>（</w:t>
            </w:r>
            <w:r>
              <w:rPr>
                <w:rFonts w:hint="eastAsia"/>
              </w:rPr>
              <w:t>r/ro</w:t>
            </w:r>
            <w:r>
              <w:rPr>
                <w:rFonts w:hint="eastAsia"/>
                <w:lang w:eastAsia="zh-CN"/>
              </w:rPr>
              <w:t>）</w:t>
            </w:r>
            <w:r>
              <w:rPr>
                <w:rFonts w:hint="eastAsia"/>
              </w:rPr>
              <w:t>－△L</w:t>
            </w:r>
          </w:p>
          <w:p>
            <w:pPr>
              <w:pStyle w:val="48"/>
              <w:keepNext w:val="0"/>
              <w:keepLines w:val="0"/>
              <w:suppressLineNumbers w:val="0"/>
              <w:bidi w:val="0"/>
              <w:spacing w:before="0" w:beforeAutospacing="0" w:after="0" w:afterAutospacing="0"/>
              <w:ind w:left="0" w:right="0"/>
              <w:rPr>
                <w:rFonts w:hint="default"/>
              </w:rPr>
            </w:pPr>
            <w:r>
              <w:rPr>
                <w:rFonts w:hint="eastAsia"/>
              </w:rPr>
              <w:t>式中：Lp——距声源rm处的施工噪声预测值，dB</w:t>
            </w:r>
            <w:r>
              <w:rPr>
                <w:rFonts w:hint="eastAsia"/>
                <w:lang w:eastAsia="zh-CN"/>
              </w:rPr>
              <w:t>（</w:t>
            </w:r>
            <w:r>
              <w:rPr>
                <w:rFonts w:hint="eastAsia"/>
              </w:rPr>
              <w:t>A</w:t>
            </w:r>
            <w:r>
              <w:rPr>
                <w:rFonts w:hint="eastAsia"/>
                <w:lang w:eastAsia="zh-CN"/>
              </w:rPr>
              <w:t>）</w:t>
            </w:r>
            <w:r>
              <w:rPr>
                <w:rFonts w:hint="eastAsia"/>
              </w:rPr>
              <w:t>；</w:t>
            </w:r>
          </w:p>
          <w:p>
            <w:pPr>
              <w:pStyle w:val="48"/>
              <w:keepNext w:val="0"/>
              <w:keepLines w:val="0"/>
              <w:suppressLineNumbers w:val="0"/>
              <w:bidi w:val="0"/>
              <w:spacing w:before="0" w:beforeAutospacing="0" w:after="0" w:afterAutospacing="0"/>
              <w:ind w:left="0" w:right="0"/>
              <w:rPr>
                <w:rFonts w:hint="default"/>
              </w:rPr>
            </w:pPr>
            <w:r>
              <w:rPr>
                <w:rFonts w:hint="eastAsia"/>
              </w:rPr>
              <w:t xml:space="preserve">      Lpo——距声源rom处的参考声级，dB</w:t>
            </w:r>
            <w:r>
              <w:rPr>
                <w:rFonts w:hint="eastAsia"/>
                <w:lang w:eastAsia="zh-CN"/>
              </w:rPr>
              <w:t>（</w:t>
            </w:r>
            <w:r>
              <w:rPr>
                <w:rFonts w:hint="eastAsia"/>
              </w:rPr>
              <w:t>A</w:t>
            </w:r>
            <w:r>
              <w:rPr>
                <w:rFonts w:hint="eastAsia"/>
                <w:lang w:eastAsia="zh-CN"/>
              </w:rPr>
              <w:t>）</w:t>
            </w:r>
            <w:r>
              <w:rPr>
                <w:rFonts w:hint="eastAsia"/>
              </w:rPr>
              <w:t>；</w:t>
            </w:r>
          </w:p>
          <w:p>
            <w:pPr>
              <w:pStyle w:val="48"/>
              <w:keepNext w:val="0"/>
              <w:keepLines w:val="0"/>
              <w:suppressLineNumbers w:val="0"/>
              <w:bidi w:val="0"/>
              <w:spacing w:before="0" w:beforeAutospacing="0" w:after="0" w:afterAutospacing="0"/>
              <w:ind w:left="0" w:right="0" w:firstLine="1200" w:firstLineChars="500"/>
              <w:rPr>
                <w:rFonts w:hint="eastAsia" w:eastAsia="宋体"/>
                <w:lang w:eastAsia="zh-CN"/>
              </w:rPr>
            </w:pPr>
            <w:r>
              <w:rPr>
                <w:rFonts w:hint="eastAsia"/>
              </w:rPr>
              <w:t>ro——Lpo噪声的测点距离（1m），m</w:t>
            </w:r>
            <w:r>
              <w:rPr>
                <w:rFonts w:hint="eastAsia"/>
                <w:lang w:eastAsia="zh-CN"/>
              </w:rPr>
              <w:t>；</w:t>
            </w:r>
          </w:p>
          <w:p>
            <w:pPr>
              <w:pStyle w:val="48"/>
              <w:keepNext w:val="0"/>
              <w:keepLines w:val="0"/>
              <w:suppressLineNumbers w:val="0"/>
              <w:bidi w:val="0"/>
              <w:spacing w:before="0" w:beforeAutospacing="0" w:after="0" w:afterAutospacing="0"/>
              <w:ind w:left="0" w:right="0" w:firstLine="1200" w:firstLineChars="500"/>
              <w:rPr>
                <w:rFonts w:hint="default"/>
              </w:rPr>
            </w:pPr>
            <w:r>
              <w:rPr>
                <w:rFonts w:hint="eastAsia"/>
              </w:rPr>
              <w:t>△L——采取各种措施后的噪声衰减量，dB</w:t>
            </w:r>
            <w:r>
              <w:rPr>
                <w:rFonts w:hint="eastAsia"/>
                <w:lang w:eastAsia="zh-CN"/>
              </w:rPr>
              <w:t>（</w:t>
            </w:r>
            <w:r>
              <w:rPr>
                <w:rFonts w:hint="eastAsia"/>
              </w:rPr>
              <w:t>A</w:t>
            </w:r>
            <w:r>
              <w:rPr>
                <w:rFonts w:hint="eastAsia"/>
                <w:lang w:eastAsia="zh-CN"/>
              </w:rPr>
              <w:t>）</w:t>
            </w:r>
            <w:r>
              <w:rPr>
                <w:rFonts w:hint="eastAsia"/>
              </w:rPr>
              <w:t>。</w:t>
            </w:r>
          </w:p>
          <w:p>
            <w:pPr>
              <w:pStyle w:val="48"/>
              <w:keepNext w:val="0"/>
              <w:keepLines w:val="0"/>
              <w:suppressLineNumbers w:val="0"/>
              <w:bidi w:val="0"/>
              <w:spacing w:before="0" w:beforeAutospacing="0" w:after="0" w:afterAutospacing="0"/>
              <w:ind w:left="0" w:right="0"/>
              <w:rPr>
                <w:rFonts w:hint="default"/>
              </w:rPr>
            </w:pPr>
            <w:r>
              <w:rPr>
                <w:rFonts w:hint="eastAsia"/>
              </w:rPr>
              <w:t>施工期主要噪声源主要为</w:t>
            </w:r>
            <w:r>
              <w:rPr>
                <w:rFonts w:hint="eastAsia"/>
                <w:lang w:val="en-US" w:eastAsia="zh-CN"/>
              </w:rPr>
              <w:t>挖掘机、推土机等</w:t>
            </w:r>
            <w:r>
              <w:rPr>
                <w:rFonts w:hint="eastAsia"/>
              </w:rPr>
              <w:t>施工机械产生的噪声。</w:t>
            </w:r>
          </w:p>
          <w:p>
            <w:pPr>
              <w:pStyle w:val="48"/>
              <w:keepNext w:val="0"/>
              <w:keepLines w:val="0"/>
              <w:suppressLineNumbers w:val="0"/>
              <w:bidi w:val="0"/>
              <w:spacing w:before="0" w:beforeAutospacing="0" w:after="0" w:afterAutospacing="0"/>
              <w:ind w:left="0" w:right="0"/>
              <w:rPr>
                <w:rFonts w:hint="default"/>
              </w:rPr>
            </w:pPr>
            <w:r>
              <w:rPr>
                <w:rFonts w:hint="eastAsia"/>
                <w:lang w:eastAsia="zh-CN"/>
              </w:rPr>
              <w:t>（</w:t>
            </w:r>
            <w:r>
              <w:rPr>
                <w:rFonts w:hint="eastAsia"/>
                <w:lang w:val="en-US" w:eastAsia="zh-CN"/>
              </w:rPr>
              <w:t>2</w:t>
            </w:r>
            <w:r>
              <w:rPr>
                <w:rFonts w:hint="eastAsia"/>
                <w:lang w:eastAsia="zh-CN"/>
              </w:rPr>
              <w:t>）</w:t>
            </w:r>
            <w:r>
              <w:rPr>
                <w:rFonts w:hint="eastAsia"/>
              </w:rPr>
              <w:t>施工噪声预测结果及分析</w:t>
            </w:r>
          </w:p>
          <w:p>
            <w:pPr>
              <w:pStyle w:val="48"/>
              <w:keepNext w:val="0"/>
              <w:keepLines w:val="0"/>
              <w:suppressLineNumbers w:val="0"/>
              <w:bidi w:val="0"/>
              <w:spacing w:before="0" w:beforeAutospacing="0" w:after="0" w:afterAutospacing="0"/>
              <w:ind w:left="0" w:right="0"/>
              <w:rPr>
                <w:rFonts w:hint="default"/>
              </w:rPr>
            </w:pPr>
            <w:r>
              <w:rPr>
                <w:rFonts w:hint="eastAsia"/>
              </w:rPr>
              <w:t>预测结果</w:t>
            </w:r>
            <w:r>
              <w:rPr>
                <w:rFonts w:hint="eastAsia"/>
                <w:lang w:eastAsia="zh-CN"/>
              </w:rPr>
              <w:t>：</w:t>
            </w:r>
            <w:r>
              <w:rPr>
                <w:rFonts w:hint="eastAsia"/>
              </w:rPr>
              <w:t>运用上式对</w:t>
            </w:r>
            <w:r>
              <w:rPr>
                <w:rFonts w:hint="eastAsia"/>
                <w:lang w:val="en-US" w:eastAsia="zh-CN"/>
              </w:rPr>
              <w:t>施工过程中</w:t>
            </w:r>
            <w:r>
              <w:rPr>
                <w:rFonts w:hint="eastAsia"/>
              </w:rPr>
              <w:t>施工机械噪声的环境影响进行预测计算，其结果如</w:t>
            </w:r>
            <w:r>
              <w:rPr>
                <w:rFonts w:hint="eastAsia"/>
                <w:lang w:val="en-US" w:eastAsia="zh-CN"/>
              </w:rPr>
              <w:t>下</w:t>
            </w:r>
            <w:r>
              <w:rPr>
                <w:rFonts w:hint="eastAsia"/>
              </w:rPr>
              <w:t>表所示。</w:t>
            </w:r>
          </w:p>
          <w:p>
            <w:pPr>
              <w:pStyle w:val="52"/>
              <w:keepNext w:val="0"/>
              <w:keepLines w:val="0"/>
              <w:suppressLineNumbers w:val="0"/>
              <w:bidi w:val="0"/>
              <w:spacing w:before="0" w:beforeAutospacing="0" w:after="0" w:afterAutospacing="0"/>
              <w:ind w:left="0" w:right="0"/>
              <w:rPr>
                <w:rFonts w:hint="default"/>
              </w:rPr>
            </w:pPr>
            <w:r>
              <w:rPr>
                <w:rFonts w:hint="default"/>
              </w:rPr>
              <w:t>表</w:t>
            </w:r>
            <w:r>
              <w:rPr>
                <w:rFonts w:hint="default"/>
                <w:lang w:val="en-US" w:eastAsia="zh-CN"/>
              </w:rPr>
              <w:t>4-</w:t>
            </w:r>
            <w:r>
              <w:rPr>
                <w:rFonts w:hint="eastAsia"/>
                <w:lang w:val="en-US" w:eastAsia="zh-CN"/>
              </w:rPr>
              <w:t>1</w:t>
            </w:r>
            <w:r>
              <w:rPr>
                <w:rFonts w:hint="default"/>
              </w:rPr>
              <w:t xml:space="preserve"> </w:t>
            </w:r>
            <w:r>
              <w:rPr>
                <w:rFonts w:hint="eastAsia"/>
                <w:lang w:val="en-US" w:eastAsia="zh-CN"/>
              </w:rPr>
              <w:t xml:space="preserve"> </w:t>
            </w:r>
            <w:r>
              <w:rPr>
                <w:rFonts w:hint="default"/>
              </w:rPr>
              <w:t xml:space="preserve">  项目主要</w:t>
            </w:r>
            <w:r>
              <w:rPr>
                <w:rFonts w:hint="eastAsia"/>
              </w:rPr>
              <w:t>施工机械在不同距离处的噪声预测值</w:t>
            </w:r>
          </w:p>
          <w:tbl>
            <w:tblPr>
              <w:tblStyle w:val="25"/>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7"/>
              <w:gridCol w:w="531"/>
              <w:gridCol w:w="650"/>
              <w:gridCol w:w="651"/>
              <w:gridCol w:w="651"/>
              <w:gridCol w:w="694"/>
              <w:gridCol w:w="772"/>
              <w:gridCol w:w="772"/>
              <w:gridCol w:w="772"/>
              <w:gridCol w:w="773"/>
              <w:gridCol w:w="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257" w:type="dxa"/>
                  <w:vMerge w:val="restar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机械类型</w:t>
                  </w:r>
                </w:p>
              </w:tc>
              <w:tc>
                <w:tcPr>
                  <w:tcW w:w="7039" w:type="dxa"/>
                  <w:gridSpan w:val="10"/>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噪声预测值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57" w:type="dxa"/>
                  <w:vMerge w:val="continue"/>
                  <w:noWrap w:val="0"/>
                  <w:vAlign w:val="center"/>
                </w:tcPr>
                <w:p>
                  <w:pPr>
                    <w:pStyle w:val="58"/>
                    <w:keepNext w:val="0"/>
                    <w:keepLines w:val="0"/>
                    <w:suppressLineNumbers w:val="0"/>
                    <w:bidi w:val="0"/>
                    <w:spacing w:before="0" w:beforeAutospacing="0" w:after="0" w:afterAutospacing="0"/>
                    <w:ind w:left="0" w:right="0"/>
                    <w:rPr>
                      <w:rFonts w:hint="default"/>
                    </w:rPr>
                  </w:pPr>
                </w:p>
              </w:tc>
              <w:tc>
                <w:tcPr>
                  <w:tcW w:w="531"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5m</w:t>
                  </w:r>
                </w:p>
              </w:tc>
              <w:tc>
                <w:tcPr>
                  <w:tcW w:w="650"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10m</w:t>
                  </w:r>
                </w:p>
              </w:tc>
              <w:tc>
                <w:tcPr>
                  <w:tcW w:w="651"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20m</w:t>
                  </w:r>
                </w:p>
              </w:tc>
              <w:tc>
                <w:tcPr>
                  <w:tcW w:w="651"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50m</w:t>
                  </w:r>
                </w:p>
              </w:tc>
              <w:tc>
                <w:tcPr>
                  <w:tcW w:w="694"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60m</w:t>
                  </w:r>
                </w:p>
              </w:tc>
              <w:tc>
                <w:tcPr>
                  <w:tcW w:w="772"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100m</w:t>
                  </w:r>
                </w:p>
              </w:tc>
              <w:tc>
                <w:tcPr>
                  <w:tcW w:w="772"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150m</w:t>
                  </w:r>
                </w:p>
              </w:tc>
              <w:tc>
                <w:tcPr>
                  <w:tcW w:w="772"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200m</w:t>
                  </w:r>
                </w:p>
              </w:tc>
              <w:tc>
                <w:tcPr>
                  <w:tcW w:w="773"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300m</w:t>
                  </w:r>
                </w:p>
              </w:tc>
              <w:tc>
                <w:tcPr>
                  <w:tcW w:w="773"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400m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7" w:type="dxa"/>
                  <w:noWrap w:val="0"/>
                  <w:vAlign w:val="center"/>
                </w:tcPr>
                <w:p>
                  <w:pPr>
                    <w:pStyle w:val="58"/>
                    <w:keepNext w:val="0"/>
                    <w:keepLines w:val="0"/>
                    <w:suppressLineNumbers w:val="0"/>
                    <w:bidi w:val="0"/>
                    <w:spacing w:before="0" w:beforeAutospacing="0" w:after="0" w:afterAutospacing="0"/>
                    <w:ind w:left="0" w:right="0"/>
                    <w:rPr>
                      <w:rFonts w:hint="default"/>
                      <w:lang w:val="en-US"/>
                    </w:rPr>
                  </w:pPr>
                  <w:r>
                    <w:rPr>
                      <w:rFonts w:hint="eastAsia"/>
                      <w:lang w:val="en-US" w:eastAsia="zh-CN"/>
                    </w:rPr>
                    <w:t>推土机</w:t>
                  </w:r>
                </w:p>
              </w:tc>
              <w:tc>
                <w:tcPr>
                  <w:tcW w:w="531" w:type="dxa"/>
                  <w:noWrap w:val="0"/>
                  <w:vAlign w:val="center"/>
                </w:tcPr>
                <w:p>
                  <w:pPr>
                    <w:pStyle w:val="58"/>
                    <w:keepNext w:val="0"/>
                    <w:keepLines w:val="0"/>
                    <w:suppressLineNumbers w:val="0"/>
                    <w:bidi w:val="0"/>
                    <w:spacing w:before="0" w:beforeAutospacing="0" w:after="0" w:afterAutospacing="0"/>
                    <w:ind w:left="0" w:right="0"/>
                    <w:rPr>
                      <w:rFonts w:hint="eastAsia" w:eastAsia="宋体"/>
                      <w:lang w:val="en-US" w:eastAsia="zh-CN"/>
                    </w:rPr>
                  </w:pPr>
                  <w:r>
                    <w:rPr>
                      <w:rFonts w:hint="default"/>
                    </w:rPr>
                    <w:t>8</w:t>
                  </w:r>
                  <w:r>
                    <w:rPr>
                      <w:rFonts w:hint="eastAsia"/>
                      <w:lang w:val="en-US" w:eastAsia="zh-CN"/>
                    </w:rPr>
                    <w:t>3</w:t>
                  </w:r>
                </w:p>
              </w:tc>
              <w:tc>
                <w:tcPr>
                  <w:tcW w:w="650" w:type="dxa"/>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77.0</w:t>
                  </w:r>
                </w:p>
              </w:tc>
              <w:tc>
                <w:tcPr>
                  <w:tcW w:w="651" w:type="dxa"/>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71.0</w:t>
                  </w:r>
                </w:p>
              </w:tc>
              <w:tc>
                <w:tcPr>
                  <w:tcW w:w="651" w:type="dxa"/>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63.0</w:t>
                  </w:r>
                </w:p>
              </w:tc>
              <w:tc>
                <w:tcPr>
                  <w:tcW w:w="694"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61.4</w:t>
                  </w:r>
                </w:p>
              </w:tc>
              <w:tc>
                <w:tcPr>
                  <w:tcW w:w="772" w:type="dxa"/>
                  <w:noWrap w:val="0"/>
                  <w:vAlign w:val="center"/>
                </w:tcPr>
                <w:p>
                  <w:pPr>
                    <w:pStyle w:val="5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57.0</w:t>
                  </w:r>
                </w:p>
              </w:tc>
              <w:tc>
                <w:tcPr>
                  <w:tcW w:w="772"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53.5</w:t>
                  </w:r>
                </w:p>
              </w:tc>
              <w:tc>
                <w:tcPr>
                  <w:tcW w:w="772" w:type="dxa"/>
                  <w:noWrap w:val="0"/>
                  <w:vAlign w:val="center"/>
                </w:tcPr>
                <w:p>
                  <w:pPr>
                    <w:pStyle w:val="5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51.0</w:t>
                  </w:r>
                </w:p>
              </w:tc>
              <w:tc>
                <w:tcPr>
                  <w:tcW w:w="773"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47.4</w:t>
                  </w:r>
                </w:p>
              </w:tc>
              <w:tc>
                <w:tcPr>
                  <w:tcW w:w="773"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44.9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7"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挖掘机</w:t>
                  </w:r>
                </w:p>
              </w:tc>
              <w:tc>
                <w:tcPr>
                  <w:tcW w:w="531"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81</w:t>
                  </w:r>
                </w:p>
              </w:tc>
              <w:tc>
                <w:tcPr>
                  <w:tcW w:w="650"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75.0</w:t>
                  </w:r>
                </w:p>
              </w:tc>
              <w:tc>
                <w:tcPr>
                  <w:tcW w:w="651"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69.0</w:t>
                  </w:r>
                </w:p>
              </w:tc>
              <w:tc>
                <w:tcPr>
                  <w:tcW w:w="651"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61.0</w:t>
                  </w:r>
                </w:p>
              </w:tc>
              <w:tc>
                <w:tcPr>
                  <w:tcW w:w="694"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59.4</w:t>
                  </w:r>
                </w:p>
              </w:tc>
              <w:tc>
                <w:tcPr>
                  <w:tcW w:w="772"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55.0</w:t>
                  </w:r>
                </w:p>
              </w:tc>
              <w:tc>
                <w:tcPr>
                  <w:tcW w:w="772"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51.5</w:t>
                  </w:r>
                </w:p>
              </w:tc>
              <w:tc>
                <w:tcPr>
                  <w:tcW w:w="772"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49.0</w:t>
                  </w:r>
                </w:p>
              </w:tc>
              <w:tc>
                <w:tcPr>
                  <w:tcW w:w="773"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45.4</w:t>
                  </w:r>
                </w:p>
              </w:tc>
              <w:tc>
                <w:tcPr>
                  <w:tcW w:w="773"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42.9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7"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运输车辆</w:t>
                  </w:r>
                </w:p>
              </w:tc>
              <w:tc>
                <w:tcPr>
                  <w:tcW w:w="531"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80</w:t>
                  </w:r>
                </w:p>
              </w:tc>
              <w:tc>
                <w:tcPr>
                  <w:tcW w:w="650"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74.0</w:t>
                  </w:r>
                </w:p>
              </w:tc>
              <w:tc>
                <w:tcPr>
                  <w:tcW w:w="651"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68.0</w:t>
                  </w:r>
                </w:p>
              </w:tc>
              <w:tc>
                <w:tcPr>
                  <w:tcW w:w="651"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60.0</w:t>
                  </w:r>
                </w:p>
              </w:tc>
              <w:tc>
                <w:tcPr>
                  <w:tcW w:w="694"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58.4</w:t>
                  </w:r>
                </w:p>
              </w:tc>
              <w:tc>
                <w:tcPr>
                  <w:tcW w:w="772"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54.0</w:t>
                  </w:r>
                </w:p>
              </w:tc>
              <w:tc>
                <w:tcPr>
                  <w:tcW w:w="772"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50.5</w:t>
                  </w:r>
                </w:p>
              </w:tc>
              <w:tc>
                <w:tcPr>
                  <w:tcW w:w="772"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48.0</w:t>
                  </w:r>
                </w:p>
              </w:tc>
              <w:tc>
                <w:tcPr>
                  <w:tcW w:w="773"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44.4</w:t>
                  </w:r>
                </w:p>
              </w:tc>
              <w:tc>
                <w:tcPr>
                  <w:tcW w:w="773" w:type="dxa"/>
                  <w:noWrap w:val="0"/>
                  <w:vAlign w:val="center"/>
                </w:tcPr>
                <w:p>
                  <w:pPr>
                    <w:pStyle w:val="58"/>
                    <w:keepNext w:val="0"/>
                    <w:keepLines w:val="0"/>
                    <w:suppressLineNumbers w:val="0"/>
                    <w:bidi w:val="0"/>
                    <w:spacing w:before="0" w:beforeAutospacing="0" w:after="0" w:afterAutospacing="0"/>
                    <w:ind w:left="0" w:right="0"/>
                    <w:rPr>
                      <w:rFonts w:hint="default"/>
                    </w:rPr>
                  </w:pPr>
                  <w:r>
                    <w:rPr>
                      <w:rFonts w:hint="eastAsia"/>
                      <w:lang w:val="en-US" w:eastAsia="zh-CN"/>
                    </w:rPr>
                    <w:t>41.9</w:t>
                  </w:r>
                </w:p>
              </w:tc>
            </w:tr>
          </w:tbl>
          <w:p>
            <w:pPr>
              <w:pStyle w:val="48"/>
              <w:keepNext w:val="0"/>
              <w:keepLines w:val="0"/>
              <w:suppressLineNumbers w:val="0"/>
              <w:bidi w:val="0"/>
              <w:spacing w:before="0" w:beforeAutospacing="0" w:after="0" w:afterAutospacing="0"/>
              <w:ind w:left="0" w:right="0"/>
              <w:rPr>
                <w:rFonts w:hint="default"/>
                <w:lang w:val="en-US" w:eastAsia="zh-CN"/>
              </w:rPr>
            </w:pPr>
            <w:r>
              <w:rPr>
                <w:rFonts w:hint="default"/>
              </w:rPr>
              <w:t>本项目夜间不开展施工作业</w:t>
            </w:r>
            <w:r>
              <w:rPr>
                <w:rFonts w:hint="eastAsia"/>
                <w:lang w:eastAsia="zh-CN"/>
              </w:rPr>
              <w:t>，</w:t>
            </w:r>
            <w:r>
              <w:rPr>
                <w:rFonts w:hint="default"/>
              </w:rPr>
              <w:t>单台施工机械在</w:t>
            </w:r>
            <w:r>
              <w:rPr>
                <w:rFonts w:hint="eastAsia"/>
                <w:lang w:val="en-US" w:eastAsia="zh-CN"/>
              </w:rPr>
              <w:t>50</w:t>
            </w:r>
            <w:r>
              <w:rPr>
                <w:rFonts w:hint="default"/>
              </w:rPr>
              <w:t>米范围外的噪声值均符合《</w:t>
            </w:r>
            <w:r>
              <w:rPr>
                <w:rFonts w:hint="eastAsia"/>
                <w:lang w:eastAsia="zh-CN"/>
              </w:rPr>
              <w:t>建筑施工噪声排放标准</w:t>
            </w:r>
            <w:r>
              <w:rPr>
                <w:rFonts w:hint="default"/>
              </w:rPr>
              <w:t>》（GB12523－2025）</w:t>
            </w:r>
            <w:r>
              <w:rPr>
                <w:rFonts w:hint="default"/>
                <w:lang w:val="en-US" w:eastAsia="zh-CN"/>
              </w:rPr>
              <w:t>中施工噪声要求</w:t>
            </w:r>
            <w:r>
              <w:rPr>
                <w:rFonts w:hint="eastAsia"/>
                <w:lang w:val="en-US" w:eastAsia="zh-CN"/>
              </w:rPr>
              <w:t>，昼间限值为70dB(A)</w:t>
            </w:r>
            <w:r>
              <w:rPr>
                <w:rFonts w:hint="default"/>
              </w:rPr>
              <w:t>。</w:t>
            </w:r>
          </w:p>
          <w:p>
            <w:pPr>
              <w:pStyle w:val="50"/>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5.固体废物影响分析</w:t>
            </w:r>
          </w:p>
          <w:p>
            <w:pPr>
              <w:pStyle w:val="48"/>
              <w:keepNext w:val="0"/>
              <w:keepLines w:val="0"/>
              <w:suppressLineNumbers w:val="0"/>
              <w:bidi w:val="0"/>
              <w:spacing w:before="0" w:beforeAutospacing="0" w:after="0" w:afterAutospacing="0"/>
              <w:ind w:left="0" w:right="0"/>
              <w:rPr>
                <w:rFonts w:hint="eastAsia" w:eastAsia="宋体"/>
                <w:lang w:eastAsia="zh-CN"/>
              </w:rPr>
            </w:pPr>
            <w:r>
              <w:rPr>
                <w:rFonts w:hint="default"/>
              </w:rPr>
              <w:t>（1）</w:t>
            </w:r>
            <w:r>
              <w:rPr>
                <w:rFonts w:hint="eastAsia"/>
                <w:lang w:val="en-US" w:eastAsia="zh-CN"/>
              </w:rPr>
              <w:t>土石方</w:t>
            </w:r>
          </w:p>
          <w:p>
            <w:pPr>
              <w:pStyle w:val="48"/>
              <w:keepNext w:val="0"/>
              <w:keepLines w:val="0"/>
              <w:suppressLineNumbers w:val="0"/>
              <w:bidi w:val="0"/>
              <w:spacing w:before="0" w:beforeAutospacing="0" w:after="0" w:afterAutospacing="0"/>
              <w:ind w:left="0" w:right="0"/>
              <w:rPr>
                <w:rFonts w:hint="default"/>
              </w:rPr>
            </w:pPr>
            <w:r>
              <w:rPr>
                <w:rFonts w:hint="eastAsia"/>
                <w:lang w:val="en-US" w:eastAsia="zh-CN"/>
              </w:rPr>
              <w:t>根据工程分析，项目土石方仅产生于生活营地场地平整，开挖土石方临时堆存并采用防尘彩布全覆盖苫盖；施工结束后全部土石方就地回填、场地整平，实现土石方内部平衡、无弃土外运，可有效防控水土流失，土石方工程对周边环境影响较小。</w:t>
            </w:r>
          </w:p>
          <w:p>
            <w:pPr>
              <w:pStyle w:val="48"/>
              <w:keepNext w:val="0"/>
              <w:keepLines w:val="0"/>
              <w:suppressLineNumbers w:val="0"/>
              <w:bidi w:val="0"/>
              <w:spacing w:before="0" w:beforeAutospacing="0" w:after="0" w:afterAutospacing="0"/>
              <w:ind w:left="0" w:right="0"/>
              <w:rPr>
                <w:rFonts w:hint="default"/>
              </w:rPr>
            </w:pPr>
            <w:r>
              <w:rPr>
                <w:rFonts w:hint="default"/>
              </w:rPr>
              <w:t>（</w:t>
            </w:r>
            <w:r>
              <w:rPr>
                <w:rFonts w:hint="eastAsia"/>
                <w:lang w:val="en-US" w:eastAsia="zh-CN"/>
              </w:rPr>
              <w:t>2</w:t>
            </w:r>
            <w:r>
              <w:rPr>
                <w:rFonts w:hint="default"/>
              </w:rPr>
              <w:t>）生活垃圾</w:t>
            </w:r>
          </w:p>
          <w:p>
            <w:pPr>
              <w:pStyle w:val="4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highlight w:val="none"/>
              </w:rPr>
            </w:pPr>
            <w:r>
              <w:rPr>
                <w:rFonts w:hint="default"/>
              </w:rPr>
              <w:t>施工场地内生活垃圾主要包括废弃的各种生活用品以及饮食垃圾等，施工期间，每人每天产生生活垃圾以0.5kg计算，施工人员按照</w:t>
            </w:r>
            <w:r>
              <w:rPr>
                <w:rFonts w:hint="eastAsia"/>
                <w:lang w:val="en-US" w:eastAsia="zh-CN"/>
              </w:rPr>
              <w:t>6</w:t>
            </w:r>
            <w:r>
              <w:rPr>
                <w:rFonts w:hint="default"/>
              </w:rPr>
              <w:t>人计，</w:t>
            </w:r>
            <w:r>
              <w:rPr>
                <w:rFonts w:hint="eastAsia"/>
                <w:lang w:val="en-US" w:eastAsia="zh-CN"/>
              </w:rPr>
              <w:t>施工期约6</w:t>
            </w:r>
            <w:r>
              <w:rPr>
                <w:rFonts w:hint="eastAsia"/>
                <w:highlight w:val="none"/>
                <w:lang w:val="en-US" w:eastAsia="zh-CN"/>
              </w:rPr>
              <w:t>d，则</w:t>
            </w:r>
            <w:r>
              <w:rPr>
                <w:rFonts w:hint="default"/>
                <w:highlight w:val="none"/>
              </w:rPr>
              <w:t>生活垃圾产生量为</w:t>
            </w:r>
            <w:r>
              <w:rPr>
                <w:rFonts w:hint="eastAsia"/>
                <w:highlight w:val="none"/>
                <w:lang w:val="en-US" w:eastAsia="zh-CN"/>
              </w:rPr>
              <w:t>0.018</w:t>
            </w:r>
            <w:r>
              <w:rPr>
                <w:rFonts w:hint="default"/>
                <w:highlight w:val="none"/>
              </w:rPr>
              <w:t>t。</w:t>
            </w:r>
          </w:p>
          <w:p>
            <w:pPr>
              <w:pStyle w:val="48"/>
              <w:keepNext w:val="0"/>
              <w:keepLines w:val="0"/>
              <w:suppressLineNumbers w:val="0"/>
              <w:bidi w:val="0"/>
              <w:spacing w:before="0" w:beforeAutospacing="0" w:after="0" w:afterAutospacing="0"/>
              <w:ind w:left="0" w:right="0"/>
              <w:rPr>
                <w:rFonts w:hint="default"/>
                <w:shd w:val="clear" w:color="auto" w:fill="auto"/>
                <w:lang w:val="en-US" w:eastAsia="zh-CN"/>
              </w:rPr>
            </w:pPr>
            <w:r>
              <w:rPr>
                <w:rFonts w:hint="default"/>
              </w:rPr>
              <w:t>这些垃圾若处理不当，随意堆放，其中有机质会腐烂变质，发出恶臭，成为蚊蝇的</w:t>
            </w:r>
            <w:r>
              <w:rPr>
                <w:rFonts w:hint="default"/>
                <w:lang w:eastAsia="zh-CN"/>
              </w:rPr>
              <w:t>滋生地</w:t>
            </w:r>
            <w:r>
              <w:rPr>
                <w:rFonts w:hint="default"/>
              </w:rPr>
              <w:t>，传播疾病，对生活区的卫生状况危害严重。此外垃圾中的有害物质还可能渗入地下，污染环境。</w:t>
            </w:r>
            <w:r>
              <w:rPr>
                <w:rFonts w:hint="default"/>
                <w:lang w:val="en-US" w:eastAsia="zh-CN"/>
              </w:rPr>
              <w:t>施工营地内设置一定数量的垃圾桶，用于临时存放生活垃圾，</w:t>
            </w:r>
            <w:r>
              <w:rPr>
                <w:rFonts w:hint="default"/>
                <w:shd w:val="clear" w:color="auto" w:fill="auto"/>
                <w:lang w:val="en-US" w:eastAsia="zh-CN"/>
              </w:rPr>
              <w:t>最终统一收集后</w:t>
            </w:r>
            <w:r>
              <w:rPr>
                <w:rFonts w:hint="eastAsia"/>
                <w:shd w:val="clear" w:color="auto" w:fill="auto"/>
                <w:lang w:val="en-US" w:eastAsia="zh-CN"/>
              </w:rPr>
              <w:t>送至和硕县环境卫生服务中心。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noWrap w:val="0"/>
            <w:tcMar>
              <w:left w:w="28" w:type="dxa"/>
              <w:right w:w="28" w:type="dxa"/>
            </w:tcMar>
            <w:vAlign w:val="center"/>
          </w:tcPr>
          <w:p>
            <w:pPr>
              <w:pStyle w:val="21"/>
              <w:keepNext w:val="0"/>
              <w:keepLines w:val="0"/>
              <w:suppressLineNumbers w:val="0"/>
              <w:adjustRightInd w:val="0"/>
              <w:snapToGrid w:val="0"/>
              <w:spacing w:before="0" w:beforeAutospacing="0" w:after="0" w:afterAutospacing="0"/>
              <w:ind w:left="0" w:right="0"/>
              <w:jc w:val="center"/>
              <w:rPr>
                <w:rFonts w:hint="default" w:cs="宋体"/>
                <w:bCs/>
                <w:kern w:val="2"/>
                <w:sz w:val="21"/>
                <w:szCs w:val="21"/>
              </w:rPr>
            </w:pPr>
            <w:r>
              <w:rPr>
                <w:rFonts w:hint="eastAsia" w:cs="宋体"/>
                <w:bCs/>
                <w:spacing w:val="10"/>
                <w:kern w:val="2"/>
                <w:sz w:val="21"/>
                <w:szCs w:val="21"/>
                <w:lang w:eastAsia="zh-CN"/>
              </w:rPr>
              <w:t>勘探期</w:t>
            </w:r>
            <w:r>
              <w:rPr>
                <w:rFonts w:hint="eastAsia" w:cs="宋体"/>
                <w:bCs/>
                <w:spacing w:val="10"/>
                <w:kern w:val="2"/>
                <w:sz w:val="21"/>
                <w:szCs w:val="21"/>
              </w:rPr>
              <w:t>生态环境影响分析</w:t>
            </w:r>
          </w:p>
        </w:tc>
        <w:tc>
          <w:tcPr>
            <w:tcW w:w="8522" w:type="dxa"/>
            <w:noWrap w:val="0"/>
            <w:vAlign w:val="top"/>
          </w:tcPr>
          <w:p>
            <w:pPr>
              <w:pStyle w:val="50"/>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1.生态影响分析</w:t>
            </w:r>
          </w:p>
          <w:p>
            <w:pPr>
              <w:pStyle w:val="50"/>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1.1占地影响</w:t>
            </w:r>
          </w:p>
          <w:p>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520" w:lineRule="exact"/>
              <w:ind w:left="0" w:right="0" w:firstLine="480" w:firstLineChars="200"/>
              <w:jc w:val="left"/>
              <w:textAlignment w:val="auto"/>
              <w:rPr>
                <w:rFonts w:hint="default" w:cs="宋体"/>
                <w:kern w:val="0"/>
                <w:sz w:val="24"/>
                <w:szCs w:val="24"/>
                <w:highlight w:val="none"/>
                <w:lang w:val="en-US" w:eastAsia="zh-CN" w:bidi="ar-SA"/>
              </w:rPr>
            </w:pPr>
            <w:r>
              <w:rPr>
                <w:rFonts w:hint="eastAsia" w:ascii="Times New Roman" w:hAnsi="Times New Roman" w:eastAsia="宋体" w:cs="宋体"/>
                <w:kern w:val="0"/>
                <w:sz w:val="24"/>
                <w:szCs w:val="24"/>
                <w:lang w:val="en-US" w:eastAsia="zh-CN" w:bidi="ar-SA"/>
              </w:rPr>
              <w:t>探矿区占地为勘探场地和临时堆场，均为临时占地。勘探场地和临时堆场会占用一定面积，改变土地原有使用功能，造成资源浪费，勘探机械的压占会造成剥离后的表层土壤过于紧实，降低土壤的通透性和渗水性，对土壤环境、动植物以及区域景观生态产生不利的影响</w:t>
            </w:r>
            <w:r>
              <w:rPr>
                <w:rFonts w:hint="eastAsia" w:cs="宋体"/>
                <w:kern w:val="0"/>
                <w:sz w:val="24"/>
                <w:szCs w:val="24"/>
                <w:lang w:val="en-US" w:eastAsia="zh-CN" w:bidi="ar-SA"/>
              </w:rPr>
              <w:t>。</w:t>
            </w:r>
          </w:p>
          <w:p>
            <w:pPr>
              <w:pStyle w:val="50"/>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1.2土壤环境的影响</w:t>
            </w:r>
          </w:p>
          <w:p>
            <w:pPr>
              <w:pStyle w:val="48"/>
              <w:keepNext w:val="0"/>
              <w:keepLines w:val="0"/>
              <w:numPr>
                <w:ilvl w:val="0"/>
                <w:numId w:val="0"/>
              </w:numPr>
              <w:suppressLineNumbers w:val="0"/>
              <w:bidi w:val="0"/>
              <w:spacing w:before="0" w:beforeAutospacing="0" w:after="0" w:afterAutospacing="0"/>
              <w:ind w:left="-60" w:leftChars="0" w:right="0" w:firstLine="480" w:firstLineChars="200"/>
              <w:rPr>
                <w:rFonts w:hint="eastAsia"/>
              </w:rPr>
            </w:pPr>
            <w:r>
              <w:rPr>
                <w:rFonts w:hint="eastAsia" w:ascii="Times New Roman" w:hAnsi="Times New Roman" w:eastAsia="宋体" w:cs="宋体"/>
                <w:kern w:val="0"/>
                <w:sz w:val="24"/>
                <w:szCs w:val="24"/>
                <w:lang w:val="en-US" w:eastAsia="zh-CN" w:bidi="ar-SA"/>
              </w:rPr>
              <w:t>（1）</w:t>
            </w:r>
            <w:r>
              <w:rPr>
                <w:rFonts w:hint="eastAsia"/>
              </w:rPr>
              <w:t>槽探</w:t>
            </w:r>
          </w:p>
          <w:p>
            <w:pPr>
              <w:pStyle w:val="48"/>
              <w:keepNext w:val="0"/>
              <w:keepLines w:val="0"/>
              <w:numPr>
                <w:ilvl w:val="0"/>
                <w:numId w:val="0"/>
              </w:numPr>
              <w:suppressLineNumbers w:val="0"/>
              <w:bidi w:val="0"/>
              <w:spacing w:before="0" w:beforeAutospacing="0" w:after="0" w:afterAutospacing="0"/>
              <w:ind w:left="-60" w:leftChars="0" w:right="0" w:firstLine="480" w:firstLineChars="200"/>
              <w:rPr>
                <w:rFonts w:hint="eastAsia"/>
              </w:rPr>
            </w:pPr>
            <w:r>
              <w:rPr>
                <w:rFonts w:hint="eastAsia"/>
              </w:rPr>
              <w:t>本次勘探槽探总工作量</w:t>
            </w:r>
            <w:r>
              <w:rPr>
                <w:rFonts w:hint="eastAsia"/>
                <w:lang w:val="en-US" w:eastAsia="zh-CN"/>
              </w:rPr>
              <w:t>为300</w:t>
            </w:r>
            <w:r>
              <w:rPr>
                <w:rFonts w:hint="eastAsia"/>
              </w:rPr>
              <w:t>m</w:t>
            </w:r>
            <w:r>
              <w:rPr>
                <w:rFonts w:hint="eastAsia"/>
                <w:vertAlign w:val="superscript"/>
                <w:lang w:val="en-US" w:eastAsia="zh-CN"/>
              </w:rPr>
              <w:t>3</w:t>
            </w:r>
            <w:r>
              <w:rPr>
                <w:rFonts w:hint="eastAsia"/>
                <w:lang w:eastAsia="zh-CN"/>
              </w:rPr>
              <w:t>，</w:t>
            </w:r>
            <w:r>
              <w:rPr>
                <w:rFonts w:hint="eastAsia"/>
                <w:lang w:val="en-US" w:eastAsia="zh-CN"/>
              </w:rPr>
              <w:t>占地面积为150</w:t>
            </w:r>
            <w:r>
              <w:rPr>
                <w:rFonts w:hint="eastAsia"/>
              </w:rPr>
              <w:t>m</w:t>
            </w:r>
            <w:r>
              <w:rPr>
                <w:rFonts w:hint="eastAsia"/>
                <w:vertAlign w:val="superscript"/>
                <w:lang w:val="en-US" w:eastAsia="zh-CN"/>
              </w:rPr>
              <w:t>2</w:t>
            </w:r>
            <w:r>
              <w:rPr>
                <w:rFonts w:hint="eastAsia"/>
                <w:lang w:eastAsia="zh-CN"/>
              </w:rPr>
              <w:t>，</w:t>
            </w:r>
            <w:r>
              <w:rPr>
                <w:rFonts w:hint="eastAsia"/>
                <w:lang w:val="en-US" w:eastAsia="zh-CN"/>
              </w:rPr>
              <w:t>探槽开挖时，必然会对原有土壤结构形成扰动，其结果会使土壤原有的土层发生紊乱，团粒结构破坏，从而导致土壤环境恶化，进而影响地上植被的生长</w:t>
            </w:r>
            <w:r>
              <w:rPr>
                <w:rFonts w:hint="eastAsia"/>
              </w:rPr>
              <w:t>。</w:t>
            </w:r>
          </w:p>
          <w:p>
            <w:pPr>
              <w:pStyle w:val="48"/>
              <w:keepNext w:val="0"/>
              <w:keepLines w:val="0"/>
              <w:numPr>
                <w:ilvl w:val="0"/>
                <w:numId w:val="0"/>
              </w:numPr>
              <w:suppressLineNumbers w:val="0"/>
              <w:bidi w:val="0"/>
              <w:spacing w:before="0" w:beforeAutospacing="0" w:after="0" w:afterAutospacing="0"/>
              <w:ind w:left="-60" w:leftChars="0" w:right="0" w:firstLine="480" w:firstLineChars="200"/>
              <w:rPr>
                <w:rFonts w:hint="eastAsia"/>
              </w:rPr>
            </w:pPr>
            <w:r>
              <w:rPr>
                <w:rFonts w:hint="eastAsia" w:ascii="Times New Roman" w:hAnsi="Times New Roman" w:eastAsia="宋体" w:cs="宋体"/>
                <w:kern w:val="0"/>
                <w:sz w:val="24"/>
                <w:szCs w:val="24"/>
                <w:lang w:val="en-US" w:eastAsia="zh-CN" w:bidi="ar-SA"/>
              </w:rPr>
              <w:t>（</w:t>
            </w:r>
            <w:r>
              <w:rPr>
                <w:rFonts w:hint="eastAsia" w:cs="宋体"/>
                <w:kern w:val="0"/>
                <w:sz w:val="24"/>
                <w:szCs w:val="24"/>
                <w:lang w:val="en-US" w:eastAsia="zh-CN" w:bidi="ar-SA"/>
              </w:rPr>
              <w:t>2</w:t>
            </w:r>
            <w:r>
              <w:rPr>
                <w:rFonts w:hint="eastAsia" w:ascii="Times New Roman" w:hAnsi="Times New Roman" w:eastAsia="宋体" w:cs="宋体"/>
                <w:kern w:val="0"/>
                <w:sz w:val="24"/>
                <w:szCs w:val="24"/>
                <w:lang w:val="en-US" w:eastAsia="zh-CN" w:bidi="ar-SA"/>
              </w:rPr>
              <w:t>）</w:t>
            </w:r>
            <w:r>
              <w:rPr>
                <w:rFonts w:hint="eastAsia"/>
                <w:lang w:val="en-US" w:eastAsia="zh-CN"/>
              </w:rPr>
              <w:t>钻</w:t>
            </w:r>
            <w:r>
              <w:rPr>
                <w:rFonts w:hint="eastAsia"/>
              </w:rPr>
              <w:t>探</w:t>
            </w:r>
          </w:p>
          <w:p>
            <w:pPr>
              <w:pStyle w:val="48"/>
              <w:keepNext w:val="0"/>
              <w:keepLines w:val="0"/>
              <w:numPr>
                <w:ilvl w:val="0"/>
                <w:numId w:val="0"/>
              </w:numPr>
              <w:suppressLineNumbers w:val="0"/>
              <w:bidi w:val="0"/>
              <w:spacing w:before="0" w:beforeAutospacing="0" w:after="0" w:afterAutospacing="0"/>
              <w:ind w:left="-60" w:leftChars="0" w:right="0" w:firstLine="480" w:firstLineChars="200"/>
              <w:rPr>
                <w:rFonts w:hint="eastAsia"/>
              </w:rPr>
            </w:pPr>
            <w:r>
              <w:rPr>
                <w:rFonts w:hint="eastAsia"/>
                <w:lang w:val="en-US" w:eastAsia="zh-CN"/>
              </w:rPr>
              <w:t>本项目钻探工程位于槽探坡面上，不新增占地。但是钻探施工对原有土壤结构形成扰动，导致土壤原有的粘土层、亚粘土层发生紊乱，团粒结构破坏。探坑开挖破坏最大的为砂、砾层，导致原有地质结构层分布紊乱，岩层纵向分布、横向分布纹路被破坏。</w:t>
            </w:r>
          </w:p>
          <w:p>
            <w:pPr>
              <w:pStyle w:val="48"/>
              <w:keepNext w:val="0"/>
              <w:keepLines w:val="0"/>
              <w:numPr>
                <w:ilvl w:val="0"/>
                <w:numId w:val="0"/>
              </w:numPr>
              <w:suppressLineNumbers w:val="0"/>
              <w:bidi w:val="0"/>
              <w:spacing w:before="0" w:beforeAutospacing="0" w:after="0" w:afterAutospacing="0"/>
              <w:ind w:left="-60" w:leftChars="0" w:right="0" w:firstLine="480" w:firstLineChars="200"/>
              <w:rPr>
                <w:rFonts w:hint="eastAsia"/>
              </w:rPr>
            </w:pPr>
            <w:r>
              <w:rPr>
                <w:rFonts w:hint="eastAsia" w:ascii="Times New Roman" w:hAnsi="Times New Roman" w:eastAsia="宋体" w:cs="宋体"/>
                <w:kern w:val="0"/>
                <w:sz w:val="24"/>
                <w:szCs w:val="24"/>
                <w:lang w:val="en-US" w:eastAsia="zh-CN" w:bidi="ar-SA"/>
              </w:rPr>
              <w:t>（</w:t>
            </w:r>
            <w:r>
              <w:rPr>
                <w:rFonts w:hint="eastAsia" w:cs="宋体"/>
                <w:kern w:val="0"/>
                <w:sz w:val="24"/>
                <w:szCs w:val="24"/>
                <w:lang w:val="en-US" w:eastAsia="zh-CN" w:bidi="ar-SA"/>
              </w:rPr>
              <w:t>3</w:t>
            </w:r>
            <w:r>
              <w:rPr>
                <w:rFonts w:hint="eastAsia" w:ascii="Times New Roman" w:hAnsi="Times New Roman" w:eastAsia="宋体" w:cs="宋体"/>
                <w:kern w:val="0"/>
                <w:sz w:val="24"/>
                <w:szCs w:val="24"/>
                <w:lang w:val="en-US" w:eastAsia="zh-CN" w:bidi="ar-SA"/>
              </w:rPr>
              <w:t>）</w:t>
            </w:r>
            <w:r>
              <w:rPr>
                <w:rFonts w:hint="eastAsia"/>
                <w:lang w:eastAsia="zh-CN"/>
              </w:rPr>
              <w:t>临时</w:t>
            </w:r>
            <w:r>
              <w:rPr>
                <w:rFonts w:hint="eastAsia"/>
                <w:lang w:val="en-US" w:eastAsia="zh-CN"/>
              </w:rPr>
              <w:t>堆场</w:t>
            </w:r>
          </w:p>
          <w:p>
            <w:pPr>
              <w:pStyle w:val="48"/>
              <w:keepNext w:val="0"/>
              <w:keepLines w:val="0"/>
              <w:numPr>
                <w:ilvl w:val="0"/>
                <w:numId w:val="0"/>
              </w:numPr>
              <w:suppressLineNumbers w:val="0"/>
              <w:bidi w:val="0"/>
              <w:spacing w:before="0" w:beforeAutospacing="0" w:after="0" w:afterAutospacing="0"/>
              <w:ind w:left="-60" w:leftChars="0" w:right="0" w:firstLine="480" w:firstLineChars="200"/>
              <w:rPr>
                <w:rFonts w:hint="eastAsia"/>
              </w:rPr>
            </w:pPr>
            <w:r>
              <w:rPr>
                <w:rFonts w:hint="eastAsia"/>
              </w:rPr>
              <w:t>本次探矿勘探不设置固定堆渣场</w:t>
            </w:r>
            <w:r>
              <w:rPr>
                <w:rFonts w:hint="default"/>
              </w:rPr>
              <w:t>，</w:t>
            </w:r>
            <w:r>
              <w:rPr>
                <w:rFonts w:hint="eastAsia"/>
              </w:rPr>
              <w:t>堆渣均布置在</w:t>
            </w:r>
            <w:r>
              <w:rPr>
                <w:rFonts w:hint="eastAsia"/>
                <w:lang w:val="en-US" w:eastAsia="zh-CN"/>
              </w:rPr>
              <w:t>探坑区</w:t>
            </w:r>
            <w:r>
              <w:rPr>
                <w:rFonts w:hint="eastAsia"/>
              </w:rPr>
              <w:t>一侧空地上</w:t>
            </w:r>
            <w:r>
              <w:rPr>
                <w:rFonts w:hint="eastAsia"/>
                <w:lang w:eastAsia="zh-CN"/>
              </w:rPr>
              <w:t>，</w:t>
            </w:r>
            <w:r>
              <w:rPr>
                <w:rFonts w:hint="eastAsia"/>
                <w:lang w:val="en-US" w:eastAsia="zh-CN"/>
              </w:rPr>
              <w:t>占地约300m</w:t>
            </w:r>
            <w:r>
              <w:rPr>
                <w:rFonts w:hint="eastAsia"/>
                <w:vertAlign w:val="superscript"/>
                <w:lang w:val="en-US" w:eastAsia="zh-CN"/>
              </w:rPr>
              <w:t>2</w:t>
            </w:r>
            <w:r>
              <w:rPr>
                <w:rFonts w:hint="eastAsia"/>
              </w:rPr>
              <w:t>。</w:t>
            </w:r>
            <w:r>
              <w:rPr>
                <w:rFonts w:hint="eastAsia"/>
                <w:lang w:val="en-US" w:eastAsia="zh-CN"/>
              </w:rPr>
              <w:t>勘探期</w:t>
            </w:r>
            <w:r>
              <w:rPr>
                <w:rFonts w:hint="eastAsia"/>
              </w:rPr>
              <w:t>内</w:t>
            </w:r>
            <w:r>
              <w:rPr>
                <w:rFonts w:hint="eastAsia"/>
                <w:lang w:val="en-US" w:eastAsia="zh-CN"/>
              </w:rPr>
              <w:t>堆土</w:t>
            </w:r>
            <w:r>
              <w:rPr>
                <w:rFonts w:hint="eastAsia"/>
              </w:rPr>
              <w:t>的压占会造成土壤过于紧实，降低土壤的通透性和渗水性，对后期植物的生长会造成不良影响。</w:t>
            </w:r>
          </w:p>
          <w:p>
            <w:pPr>
              <w:pStyle w:val="50"/>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1.3动植物的影响</w:t>
            </w:r>
          </w:p>
          <w:p>
            <w:pPr>
              <w:pStyle w:val="65"/>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本项目占地性质属于临时占地，植被稀疏，主要植物为</w:t>
            </w:r>
            <w:r>
              <w:rPr>
                <w:rFonts w:hint="eastAsia"/>
                <w:lang w:val="en-US" w:eastAsia="zh-CN"/>
              </w:rPr>
              <w:t>沙拐枣、骆驼刺、白皮锦鸡儿和针茅</w:t>
            </w:r>
            <w:r>
              <w:rPr>
                <w:rFonts w:hint="default"/>
                <w:lang w:val="en-US" w:eastAsia="zh-CN"/>
              </w:rPr>
              <w:t>，</w:t>
            </w:r>
            <w:r>
              <w:rPr>
                <w:rFonts w:hint="eastAsia"/>
                <w:lang w:val="en-US" w:eastAsia="zh-CN"/>
              </w:rPr>
              <w:t>项目区植被大部分较为稀疏</w:t>
            </w:r>
            <w:r>
              <w:rPr>
                <w:rFonts w:hint="default"/>
                <w:lang w:val="en-US" w:eastAsia="zh-CN"/>
              </w:rPr>
              <w:t>。勘探过程中的车辆行驶、设备安装等活动会直接碾压、铲除植被，导致植被数量进一步减少。</w:t>
            </w:r>
          </w:p>
          <w:p>
            <w:pPr>
              <w:pStyle w:val="65"/>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区域内各种野生动物经过长期的适应已形成较稳定的取食、饮水、栖息活动范围和分布，勘探过程中的槽探和地面建设占地将使原有的野生动物的分布、栖息活动范围受到压缩。</w:t>
            </w:r>
          </w:p>
          <w:p>
            <w:pPr>
              <w:pStyle w:val="48"/>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lang w:val="en-US" w:eastAsia="zh-CN"/>
              </w:rPr>
            </w:pPr>
            <w:r>
              <w:rPr>
                <w:rFonts w:hint="default"/>
                <w:lang w:val="en-US" w:eastAsia="zh-CN"/>
              </w:rPr>
              <w:t>从生物损失量分析：</w:t>
            </w:r>
            <w:r>
              <w:rPr>
                <w:rFonts w:hint="eastAsia"/>
                <w:lang w:val="en-US" w:eastAsia="zh-CN"/>
              </w:rPr>
              <w:t>从区域生态现状来看，勘探工程对当地生态系统中生物物种的丰度不会产生影响，只是由于某一物种的数量减少导致各种间的相对密度变化而轻微地改变群落的异质性。区域生物量损失引用《新疆荒漠草地生物量估算及影响因素研究》按每平方米损失38.92g（项目施工期和勘探期临时占地总面积为660m</w:t>
            </w:r>
            <w:r>
              <w:rPr>
                <w:rFonts w:hint="eastAsia"/>
                <w:vertAlign w:val="superscript"/>
                <w:lang w:val="en-US" w:eastAsia="zh-CN"/>
              </w:rPr>
              <w:t>2</w:t>
            </w:r>
            <w:r>
              <w:rPr>
                <w:rFonts w:hint="eastAsia"/>
                <w:lang w:val="en-US" w:eastAsia="zh-CN"/>
              </w:rPr>
              <w:t>）进行计算，本项目勘探过程中，因场地平整、土方开挖及物料堆放等作业，需临时占用部分地表区域，造成生物量损失，生物损失量合计约0.026t。在勘探结束后，利用之前收集的表土对临时占用的土地进行覆土。对勘探场地进行回填、进行迹地清理平整，区域生态将逐步恢复。</w:t>
            </w:r>
          </w:p>
          <w:p>
            <w:pPr>
              <w:pStyle w:val="65"/>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工程占地和人类的活动将破坏野生动物赖以生存的环境。区域内各种野生动物经过长期的适应已形成较稳定的取食、饮水、栖息活动范围和分布，勘探过程中的槽探和地面建设占地将使原有的野生动物的分布、栖息活动范围受到压缩。槽探过程中会改变野生动物的行为模式。许多动物对环境变化极为敏感，施工区域周边原本活动的野生动物，会因勘探作业产生的震动和噪声，而选择主动避开该区域。</w:t>
            </w:r>
          </w:p>
          <w:p>
            <w:pPr>
              <w:pStyle w:val="50"/>
              <w:keepNext w:val="0"/>
              <w:keepLines w:val="0"/>
              <w:suppressLineNumbers w:val="0"/>
              <w:bidi w:val="0"/>
              <w:spacing w:before="0" w:beforeAutospacing="0" w:after="0" w:afterAutospacing="0"/>
              <w:ind w:left="0" w:right="0"/>
              <w:rPr>
                <w:rFonts w:hint="default"/>
              </w:rPr>
            </w:pPr>
            <w:r>
              <w:rPr>
                <w:rFonts w:hint="eastAsia"/>
                <w:lang w:val="en-US" w:eastAsia="zh-CN"/>
              </w:rPr>
              <w:t>1.4</w:t>
            </w:r>
            <w:r>
              <w:rPr>
                <w:rFonts w:hint="default"/>
              </w:rPr>
              <w:t>自然景观影响</w:t>
            </w:r>
          </w:p>
          <w:p>
            <w:pPr>
              <w:pStyle w:val="48"/>
              <w:keepNext w:val="0"/>
              <w:keepLines w:val="0"/>
              <w:suppressLineNumbers w:val="0"/>
              <w:bidi w:val="0"/>
              <w:spacing w:before="0" w:beforeAutospacing="0" w:after="0" w:afterAutospacing="0"/>
              <w:ind w:left="0" w:right="0"/>
              <w:rPr>
                <w:rFonts w:hint="eastAsia"/>
                <w:lang w:val="en-US" w:eastAsia="zh-CN"/>
              </w:rPr>
            </w:pPr>
            <w:r>
              <w:rPr>
                <w:rFonts w:hint="default"/>
                <w:lang w:val="en-US" w:eastAsia="zh-CN"/>
              </w:rPr>
              <w:t>项目评价区范围内无自然风景区和名胜古迹，矿区范围内无珍稀植物及古树名木，无风景名胜及特殊文物保护单位等视觉景观敏感点。因此对于较大范围的生态景观以及景区风貌来说，影响面很小。由于</w:t>
            </w:r>
            <w:r>
              <w:rPr>
                <w:rFonts w:hint="eastAsia"/>
                <w:lang w:val="en-US" w:eastAsia="zh-CN"/>
              </w:rPr>
              <w:t>勘探期会</w:t>
            </w:r>
            <w:r>
              <w:rPr>
                <w:rFonts w:hint="default"/>
                <w:lang w:val="en-US" w:eastAsia="zh-CN"/>
              </w:rPr>
              <w:t>破坏原有地形地貌，改变原有地表形态，破坏了原有区域自然景观的整体性，与周围自然景观环境的不协调，对区域景观生态产生暂时不利的影响。</w:t>
            </w:r>
          </w:p>
          <w:p>
            <w:pPr>
              <w:pStyle w:val="50"/>
              <w:keepNext w:val="0"/>
              <w:keepLines w:val="0"/>
              <w:suppressLineNumbers w:val="0"/>
              <w:bidi w:val="0"/>
              <w:spacing w:before="0" w:beforeAutospacing="0" w:after="0" w:afterAutospacing="0"/>
              <w:ind w:left="0" w:right="0"/>
              <w:rPr>
                <w:rFonts w:hint="eastAsia"/>
                <w:lang w:val="en-US" w:eastAsia="zh-CN"/>
              </w:rPr>
            </w:pPr>
            <w:r>
              <w:rPr>
                <w:rStyle w:val="51"/>
                <w:rFonts w:hint="eastAsia"/>
                <w:b/>
                <w:lang w:val="en-US" w:eastAsia="zh-CN"/>
              </w:rPr>
              <w:t>1.5土地沙化的影响</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勘查时，各类机械设备</w:t>
            </w:r>
            <w:r>
              <w:rPr>
                <w:rFonts w:hint="eastAsia"/>
                <w:lang w:val="en-US" w:eastAsia="zh-CN"/>
              </w:rPr>
              <w:t>的活动会</w:t>
            </w:r>
            <w:r>
              <w:rPr>
                <w:rFonts w:hint="default"/>
                <w:lang w:val="en-US" w:eastAsia="zh-CN"/>
              </w:rPr>
              <w:t>直接碾压和铲除地表植被</w:t>
            </w:r>
            <w:r>
              <w:rPr>
                <w:rFonts w:hint="eastAsia"/>
                <w:lang w:val="en-US" w:eastAsia="zh-CN"/>
              </w:rPr>
              <w:t>，</w:t>
            </w:r>
            <w:r>
              <w:rPr>
                <w:rFonts w:hint="default"/>
                <w:lang w:val="en-US" w:eastAsia="zh-CN"/>
              </w:rPr>
              <w:t>在干旱半干旱地区，植被本身就稀疏脆弱，一旦遭到破坏，地表失去植被的固沙作用，松散的土壤直接暴露</w:t>
            </w:r>
            <w:r>
              <w:rPr>
                <w:rFonts w:hint="eastAsia"/>
                <w:lang w:val="en-US" w:eastAsia="zh-CN"/>
              </w:rPr>
              <w:t>，在风力作用下加速土地沙化进程；</w:t>
            </w:r>
            <w:r>
              <w:rPr>
                <w:rFonts w:hint="default"/>
                <w:lang w:val="en-US" w:eastAsia="zh-CN"/>
              </w:rPr>
              <w:t>机械的反复碾压使</w:t>
            </w:r>
            <w:r>
              <w:rPr>
                <w:rFonts w:hint="eastAsia"/>
                <w:lang w:val="en-US" w:eastAsia="zh-CN"/>
              </w:rPr>
              <w:t>得</w:t>
            </w:r>
            <w:r>
              <w:rPr>
                <w:rFonts w:hint="default"/>
                <w:lang w:val="en-US" w:eastAsia="zh-CN"/>
              </w:rPr>
              <w:t>原本相对稳定的土壤结构遭到破坏</w:t>
            </w:r>
            <w:r>
              <w:rPr>
                <w:rFonts w:hint="eastAsia"/>
                <w:lang w:val="en-US" w:eastAsia="zh-CN"/>
              </w:rPr>
              <w:t>，</w:t>
            </w:r>
            <w:r>
              <w:rPr>
                <w:rFonts w:hint="default"/>
                <w:lang w:val="en-US" w:eastAsia="zh-CN"/>
              </w:rPr>
              <w:t>土壤孔隙度减小，通气性和透水性变差，土壤微生物活动受到抑制，进一步削弱了土壤的抗风蚀能力</w:t>
            </w:r>
            <w:r>
              <w:rPr>
                <w:rFonts w:hint="eastAsia"/>
                <w:lang w:val="en-US" w:eastAsia="zh-CN"/>
              </w:rPr>
              <w:t>；钻探、槽探等勘查活动产生大量堆土，在风力作用下，细小颗粒被吹扬，增加空气中沙尘含量，同时周边土壤被侵蚀，导致土地沙化范围扩大。</w:t>
            </w:r>
          </w:p>
          <w:p>
            <w:pPr>
              <w:pStyle w:val="50"/>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1.6水土流失的影响</w:t>
            </w:r>
          </w:p>
          <w:p>
            <w:pPr>
              <w:pStyle w:val="48"/>
              <w:keepNext w:val="0"/>
              <w:keepLines w:val="0"/>
              <w:suppressLineNumbers w:val="0"/>
              <w:bidi w:val="0"/>
              <w:spacing w:before="0" w:beforeAutospacing="0" w:after="0" w:afterAutospacing="0"/>
              <w:ind w:left="0" w:right="0"/>
              <w:rPr>
                <w:rFonts w:hint="eastAsia"/>
                <w:lang w:eastAsia="zh-CN"/>
              </w:rPr>
            </w:pPr>
            <w:r>
              <w:rPr>
                <w:rFonts w:hint="eastAsia"/>
                <w:lang w:val="en-US" w:eastAsia="zh-CN"/>
              </w:rPr>
              <w:t>项目勘查</w:t>
            </w:r>
            <w:r>
              <w:rPr>
                <w:rFonts w:hint="eastAsia"/>
              </w:rPr>
              <w:t>过程中，</w:t>
            </w:r>
            <w:r>
              <w:rPr>
                <w:rFonts w:hint="eastAsia"/>
                <w:lang w:eastAsia="zh-CN"/>
              </w:rPr>
              <w:t>钻探、</w:t>
            </w:r>
            <w:r>
              <w:rPr>
                <w:rFonts w:hint="eastAsia"/>
                <w:lang w:val="en-US" w:eastAsia="zh-CN"/>
              </w:rPr>
              <w:t>槽</w:t>
            </w:r>
            <w:r>
              <w:rPr>
                <w:rFonts w:hint="eastAsia"/>
                <w:lang w:eastAsia="zh-CN"/>
              </w:rPr>
              <w:t>探等勘查作业会产生大量的</w:t>
            </w:r>
            <w:r>
              <w:rPr>
                <w:rFonts w:hint="eastAsia"/>
                <w:lang w:val="en-US" w:eastAsia="zh-CN"/>
              </w:rPr>
              <w:t>堆土</w:t>
            </w:r>
            <w:r>
              <w:rPr>
                <w:rFonts w:hint="eastAsia"/>
                <w:lang w:eastAsia="zh-CN"/>
              </w:rPr>
              <w:t>，如果不妥善处理，随意堆放，不仅占用大量土地，还容易成为水土流失的物质源；临时堆存的弃土弃渣在降雨、风力等作用下极易发生崩塌、滑坡等现象。矿山勘查中的挖填作业改变了原有的地形地貌，使原本相对稳定的地形变得起伏不平，</w:t>
            </w:r>
            <w:r>
              <w:rPr>
                <w:rFonts w:hint="eastAsia"/>
                <w:lang w:val="en-US" w:eastAsia="zh-CN"/>
              </w:rPr>
              <w:t>可能会</w:t>
            </w:r>
            <w:r>
              <w:rPr>
                <w:rFonts w:hint="eastAsia"/>
                <w:lang w:eastAsia="zh-CN"/>
              </w:rPr>
              <w:t>造成局部地形高差增大，坡面变陡，增加了坡面径流的流速和冲刷力，使土壤侵蚀加剧。大量施工人员的活动，会对周边地表植被造成践踏破坏，降低覆盖度，使地表失去植被的有效保护，进而加剧水土流失。</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w:t>
            </w:r>
            <w:r>
              <w:rPr>
                <w:rFonts w:hint="eastAsia"/>
              </w:rPr>
              <w:t>大气环境</w:t>
            </w:r>
            <w:r>
              <w:rPr>
                <w:rFonts w:hint="eastAsia"/>
                <w:lang w:val="en-US" w:eastAsia="zh-CN"/>
              </w:rPr>
              <w:t>影响分析</w:t>
            </w:r>
          </w:p>
          <w:p>
            <w:pPr>
              <w:pStyle w:val="50"/>
              <w:keepNext w:val="0"/>
              <w:keepLines w:val="0"/>
              <w:suppressLineNumbers w:val="0"/>
              <w:bidi w:val="0"/>
              <w:spacing w:before="0" w:beforeAutospacing="0" w:after="0" w:afterAutospacing="0"/>
              <w:ind w:left="0" w:right="0"/>
              <w:rPr>
                <w:rFonts w:hint="eastAsia"/>
              </w:rPr>
            </w:pPr>
            <w:r>
              <w:rPr>
                <w:rFonts w:hint="eastAsia"/>
                <w:lang w:val="en-US" w:eastAsia="zh-CN"/>
              </w:rPr>
              <w:t>2.1勘探过程中产生的</w:t>
            </w:r>
            <w:r>
              <w:rPr>
                <w:rFonts w:hint="eastAsia"/>
              </w:rPr>
              <w:t>扬尘</w:t>
            </w:r>
          </w:p>
          <w:p>
            <w:pPr>
              <w:pStyle w:val="48"/>
              <w:keepNext w:val="0"/>
              <w:keepLines w:val="0"/>
              <w:suppressLineNumbers w:val="0"/>
              <w:bidi w:val="0"/>
              <w:spacing w:before="0" w:beforeAutospacing="0" w:after="0" w:afterAutospacing="0"/>
              <w:ind w:left="0" w:right="0"/>
              <w:rPr>
                <w:rFonts w:hint="default"/>
              </w:rPr>
            </w:pPr>
            <w:r>
              <w:rPr>
                <w:rFonts w:hint="default"/>
              </w:rPr>
              <w:t>大气污染物主要产生在工程</w:t>
            </w:r>
            <w:r>
              <w:rPr>
                <w:rFonts w:hint="eastAsia"/>
                <w:lang w:eastAsia="zh-CN"/>
              </w:rPr>
              <w:t>勘探期</w:t>
            </w:r>
            <w:r>
              <w:rPr>
                <w:rFonts w:hint="default"/>
              </w:rPr>
              <w:t>，对工程沿线及车辆运输道路附近的大气环境都会产生影响。</w:t>
            </w:r>
          </w:p>
          <w:p>
            <w:pPr>
              <w:pStyle w:val="48"/>
              <w:keepNext w:val="0"/>
              <w:keepLines w:val="0"/>
              <w:suppressLineNumbers w:val="0"/>
              <w:bidi w:val="0"/>
              <w:spacing w:before="0" w:beforeAutospacing="0" w:after="0" w:afterAutospacing="0"/>
              <w:ind w:left="0" w:right="0"/>
              <w:rPr>
                <w:rFonts w:hint="default"/>
              </w:rPr>
            </w:pPr>
            <w:r>
              <w:rPr>
                <w:rFonts w:hint="eastAsia"/>
                <w:lang w:val="en-US" w:eastAsia="zh-CN"/>
              </w:rPr>
              <w:t>勘探期</w:t>
            </w:r>
            <w:r>
              <w:rPr>
                <w:rFonts w:hint="default"/>
              </w:rPr>
              <w:t>施工及车辆运输扬尘：</w:t>
            </w:r>
            <w:r>
              <w:rPr>
                <w:rFonts w:hint="eastAsia"/>
                <w:lang w:val="en-US" w:eastAsia="zh-CN"/>
              </w:rPr>
              <w:t>勘探期</w:t>
            </w:r>
            <w:r>
              <w:rPr>
                <w:rFonts w:hint="default"/>
              </w:rPr>
              <w:t>施工开挖、勘探材料装卸等会使作业点周围200m范围内产生较大扬尘，易形成扬尘的工区主要是工作道路区等。另外，材料运输过程中公路沿线也易造成扬尘。一般来说，道路局部积尘较多的地方，载重汽车经过时会掀起较多的扬尘，影响范围大约在宽60m、高4</w:t>
            </w:r>
            <w:r>
              <w:rPr>
                <w:rFonts w:hint="eastAsia"/>
                <w:lang w:eastAsia="zh-CN"/>
              </w:rPr>
              <w:t>～</w:t>
            </w:r>
            <w:r>
              <w:rPr>
                <w:rFonts w:hint="default"/>
              </w:rPr>
              <w:t>5m的范围内。从本工程勘探场地和交通沿线的位置看，施工及车辆运输扬尘对周围环境影响较小。</w:t>
            </w:r>
          </w:p>
          <w:p>
            <w:pPr>
              <w:pStyle w:val="50"/>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2.2燃油废气</w:t>
            </w:r>
          </w:p>
          <w:p>
            <w:pPr>
              <w:pStyle w:val="48"/>
              <w:keepNext w:val="0"/>
              <w:keepLines w:val="0"/>
              <w:suppressLineNumbers w:val="0"/>
              <w:bidi w:val="0"/>
              <w:spacing w:before="0" w:beforeAutospacing="0" w:after="0" w:afterAutospacing="0"/>
              <w:ind w:left="0" w:right="0"/>
              <w:rPr>
                <w:rFonts w:hint="eastAsia"/>
              </w:rPr>
            </w:pPr>
            <w:r>
              <w:rPr>
                <w:rFonts w:hint="eastAsia"/>
                <w:lang w:val="en-US" w:eastAsia="zh-CN"/>
              </w:rPr>
              <w:t>工作区</w:t>
            </w:r>
            <w:r>
              <w:rPr>
                <w:rFonts w:hint="eastAsia"/>
              </w:rPr>
              <w:t>的燃油设备主要是</w:t>
            </w:r>
            <w:r>
              <w:rPr>
                <w:rFonts w:hint="eastAsia"/>
                <w:lang w:val="en-US" w:eastAsia="zh-CN"/>
              </w:rPr>
              <w:t>勘探</w:t>
            </w:r>
            <w:r>
              <w:rPr>
                <w:rFonts w:hint="eastAsia"/>
              </w:rPr>
              <w:t>机械和运输车辆，其排放的尾气在</w:t>
            </w:r>
            <w:r>
              <w:rPr>
                <w:rFonts w:hint="eastAsia"/>
                <w:lang w:val="en-US" w:eastAsia="zh-CN"/>
              </w:rPr>
              <w:t>勘探</w:t>
            </w:r>
            <w:r>
              <w:rPr>
                <w:rFonts w:hint="eastAsia"/>
              </w:rPr>
              <w:t>期间对</w:t>
            </w:r>
            <w:r>
              <w:rPr>
                <w:rFonts w:hint="eastAsia"/>
                <w:lang w:val="en-US" w:eastAsia="zh-CN"/>
              </w:rPr>
              <w:t>勘探</w:t>
            </w:r>
            <w:r>
              <w:rPr>
                <w:rFonts w:hint="eastAsia"/>
              </w:rPr>
              <w:t>作业点和交通道路附近大气环境造成污染。</w:t>
            </w:r>
          </w:p>
          <w:p>
            <w:pPr>
              <w:pStyle w:val="48"/>
              <w:keepNext w:val="0"/>
              <w:keepLines w:val="0"/>
              <w:suppressLineNumbers w:val="0"/>
              <w:bidi w:val="0"/>
              <w:spacing w:before="0" w:beforeAutospacing="0" w:after="0" w:afterAutospacing="0"/>
              <w:ind w:left="0" w:right="0"/>
              <w:rPr>
                <w:rFonts w:hint="eastAsia"/>
              </w:rPr>
            </w:pPr>
            <w:r>
              <w:rPr>
                <w:rFonts w:hint="eastAsia"/>
              </w:rPr>
              <w:t>运输车辆的废气是沿交通路线沿程排放，</w:t>
            </w:r>
            <w:r>
              <w:rPr>
                <w:rFonts w:hint="eastAsia"/>
                <w:lang w:val="en-US" w:eastAsia="zh-CN"/>
              </w:rPr>
              <w:t>勘探</w:t>
            </w:r>
            <w:r>
              <w:rPr>
                <w:rFonts w:hint="eastAsia"/>
              </w:rPr>
              <w:t>机械的废气基本是以点源形成排放，工程</w:t>
            </w:r>
            <w:r>
              <w:rPr>
                <w:rFonts w:hint="eastAsia"/>
                <w:lang w:val="en-US" w:eastAsia="zh-CN"/>
              </w:rPr>
              <w:t>勘探</w:t>
            </w:r>
            <w:r>
              <w:rPr>
                <w:rFonts w:hint="eastAsia"/>
              </w:rPr>
              <w:t>区地形开阔</w:t>
            </w:r>
            <w:r>
              <w:rPr>
                <w:rFonts w:hint="eastAsia"/>
                <w:lang w:eastAsia="zh-CN"/>
              </w:rPr>
              <w:t>，</w:t>
            </w:r>
            <w:r>
              <w:rPr>
                <w:rFonts w:hint="eastAsia"/>
              </w:rPr>
              <w:t>空气流通性好</w:t>
            </w:r>
            <w:r>
              <w:rPr>
                <w:rFonts w:hint="eastAsia"/>
                <w:lang w:eastAsia="zh-CN"/>
              </w:rPr>
              <w:t>，</w:t>
            </w:r>
            <w:r>
              <w:rPr>
                <w:rFonts w:hint="eastAsia"/>
              </w:rPr>
              <w:t>排放废气中的各项污染物能够很快扩散，不会引起局部大气环境质量的恶化。加之废气排放的不连续性和工程施工期有限，排放的废气对区域的环境空气质量影响较小。</w:t>
            </w:r>
          </w:p>
          <w:p>
            <w:pPr>
              <w:pStyle w:val="48"/>
              <w:keepNext w:val="0"/>
              <w:keepLines w:val="0"/>
              <w:suppressLineNumbers w:val="0"/>
              <w:bidi w:val="0"/>
              <w:spacing w:before="0" w:beforeAutospacing="0" w:after="0" w:afterAutospacing="0"/>
              <w:ind w:left="0" w:right="0"/>
              <w:rPr>
                <w:rFonts w:hint="default"/>
              </w:rPr>
            </w:pPr>
            <w:r>
              <w:rPr>
                <w:rFonts w:hint="eastAsia"/>
              </w:rPr>
              <w:t>探矿期间将在营地内布置柴油发电机供生活用电。钻机及泥浆泵动力均来自柴油机，发电机及动力机工作期间油料燃烧将排放少量的尾气。</w:t>
            </w:r>
            <w:r>
              <w:rPr>
                <w:rFonts w:hint="eastAsia"/>
                <w:lang w:val="en-US" w:eastAsia="zh-CN"/>
              </w:rPr>
              <w:t>勘探</w:t>
            </w:r>
            <w:r>
              <w:rPr>
                <w:rFonts w:hint="default"/>
              </w:rPr>
              <w:t>机械设备燃烧燃油过程中将产生CO、NOx、SO</w:t>
            </w:r>
            <w:r>
              <w:rPr>
                <w:rFonts w:hint="default"/>
                <w:vertAlign w:val="subscript"/>
              </w:rPr>
              <w:t>2</w:t>
            </w:r>
            <w:r>
              <w:rPr>
                <w:rFonts w:hint="default"/>
              </w:rPr>
              <w:t>、碳氢化合物污染物。</w:t>
            </w:r>
          </w:p>
          <w:p>
            <w:pPr>
              <w:pStyle w:val="48"/>
              <w:keepNext w:val="0"/>
              <w:keepLines w:val="0"/>
              <w:suppressLineNumbers w:val="0"/>
              <w:bidi w:val="0"/>
              <w:spacing w:before="0" w:beforeAutospacing="0" w:after="0" w:afterAutospacing="0"/>
              <w:ind w:left="0" w:right="0"/>
              <w:rPr>
                <w:rFonts w:hint="eastAsia"/>
              </w:rPr>
            </w:pPr>
            <w:r>
              <w:rPr>
                <w:rFonts w:hint="eastAsia"/>
              </w:rPr>
              <w:t>探矿期内使用柴油量约</w:t>
            </w:r>
            <w:r>
              <w:rPr>
                <w:rFonts w:hint="eastAsia"/>
                <w:highlight w:val="none"/>
                <w:lang w:val="en-US" w:eastAsia="zh-CN"/>
              </w:rPr>
              <w:t>2</w:t>
            </w:r>
            <w:r>
              <w:rPr>
                <w:rFonts w:hint="eastAsia"/>
                <w:highlight w:val="none"/>
              </w:rPr>
              <w:t>t</w:t>
            </w:r>
            <w:r>
              <w:rPr>
                <w:rFonts w:hint="eastAsia"/>
              </w:rPr>
              <w:t>，</w:t>
            </w:r>
            <w:r>
              <w:rPr>
                <w:rFonts w:hint="eastAsia"/>
                <w:lang w:val="en-US" w:eastAsia="zh-CN"/>
              </w:rPr>
              <w:t>参照同类项目，</w:t>
            </w:r>
            <w:r>
              <w:rPr>
                <w:rFonts w:hint="default"/>
              </w:rPr>
              <w:t>柴油燃烧排放有害气体量详见</w:t>
            </w:r>
            <w:r>
              <w:rPr>
                <w:rFonts w:hint="eastAsia"/>
                <w:lang w:val="en-US" w:eastAsia="zh-CN"/>
              </w:rPr>
              <w:t>下</w:t>
            </w:r>
            <w:r>
              <w:rPr>
                <w:rFonts w:hint="eastAsia"/>
              </w:rPr>
              <w:t>表</w:t>
            </w:r>
            <w:r>
              <w:rPr>
                <w:rFonts w:hint="default"/>
              </w:rPr>
              <w:t>。</w:t>
            </w:r>
          </w:p>
          <w:p>
            <w:pPr>
              <w:pStyle w:val="52"/>
              <w:keepNext w:val="0"/>
              <w:keepLines w:val="0"/>
              <w:suppressLineNumbers w:val="0"/>
              <w:bidi w:val="0"/>
              <w:spacing w:before="0" w:beforeAutospacing="0" w:after="0" w:afterAutospacing="0"/>
              <w:ind w:left="0" w:right="0"/>
              <w:rPr>
                <w:rFonts w:hint="eastAsia"/>
              </w:rPr>
            </w:pPr>
            <w:r>
              <w:rPr>
                <w:rFonts w:hint="eastAsia"/>
              </w:rPr>
              <w:t>表</w:t>
            </w:r>
            <w:r>
              <w:rPr>
                <w:rFonts w:hint="eastAsia"/>
                <w:lang w:val="en-US" w:eastAsia="zh-CN"/>
              </w:rPr>
              <w:t xml:space="preserve">4-2    </w:t>
            </w:r>
            <w:r>
              <w:rPr>
                <w:rFonts w:hint="eastAsia"/>
              </w:rPr>
              <w:t>柴油排放的有害物质表</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5"/>
              <w:gridCol w:w="1495"/>
              <w:gridCol w:w="1631"/>
              <w:gridCol w:w="1344"/>
              <w:gridCol w:w="1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48" w:type="pct"/>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有害物质</w:t>
                  </w:r>
                </w:p>
              </w:tc>
              <w:tc>
                <w:tcPr>
                  <w:tcW w:w="901" w:type="pct"/>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SO</w:t>
                  </w:r>
                  <w:r>
                    <w:rPr>
                      <w:rFonts w:hint="default"/>
                      <w:vertAlign w:val="subscript"/>
                    </w:rPr>
                    <w:t>2</w:t>
                  </w:r>
                </w:p>
              </w:tc>
              <w:tc>
                <w:tcPr>
                  <w:tcW w:w="983" w:type="pct"/>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CO</w:t>
                  </w:r>
                </w:p>
              </w:tc>
              <w:tc>
                <w:tcPr>
                  <w:tcW w:w="810" w:type="pct"/>
                  <w:noWrap w:val="0"/>
                  <w:vAlign w:val="center"/>
                </w:tcPr>
                <w:p>
                  <w:pPr>
                    <w:pStyle w:val="54"/>
                    <w:keepNext w:val="0"/>
                    <w:keepLines w:val="0"/>
                    <w:suppressLineNumbers w:val="0"/>
                    <w:bidi w:val="0"/>
                    <w:spacing w:before="0" w:beforeAutospacing="0" w:after="0" w:afterAutospacing="0"/>
                    <w:ind w:left="0" w:right="0"/>
                    <w:rPr>
                      <w:rFonts w:hint="eastAsia"/>
                      <w:lang w:val="en-US" w:eastAsia="zh-CN"/>
                    </w:rPr>
                  </w:pPr>
                  <w:r>
                    <w:rPr>
                      <w:rFonts w:hint="default"/>
                    </w:rPr>
                    <w:t>NO</w:t>
                  </w:r>
                  <w:r>
                    <w:rPr>
                      <w:rFonts w:hint="eastAsia"/>
                      <w:vertAlign w:val="subscript"/>
                      <w:lang w:val="en-US" w:eastAsia="zh-CN"/>
                    </w:rPr>
                    <w:t>X</w:t>
                  </w:r>
                </w:p>
              </w:tc>
              <w:tc>
                <w:tcPr>
                  <w:tcW w:w="1156" w:type="pct"/>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碳氢化合物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8" w:type="pct"/>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排放量（kg</w:t>
                  </w:r>
                  <w:r>
                    <w:rPr>
                      <w:rFonts w:hint="eastAsia"/>
                    </w:rPr>
                    <w:t>/t</w:t>
                  </w:r>
                  <w:r>
                    <w:rPr>
                      <w:rFonts w:hint="default"/>
                    </w:rPr>
                    <w:t>）</w:t>
                  </w:r>
                </w:p>
              </w:tc>
              <w:tc>
                <w:tcPr>
                  <w:tcW w:w="901" w:type="pct"/>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3.522</w:t>
                  </w:r>
                </w:p>
              </w:tc>
              <w:tc>
                <w:tcPr>
                  <w:tcW w:w="983" w:type="pct"/>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29.349</w:t>
                  </w:r>
                </w:p>
              </w:tc>
              <w:tc>
                <w:tcPr>
                  <w:tcW w:w="810" w:type="pct"/>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48.263</w:t>
                  </w:r>
                </w:p>
              </w:tc>
              <w:tc>
                <w:tcPr>
                  <w:tcW w:w="1156" w:type="pct"/>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4.826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148" w:type="pct"/>
                  <w:noWrap w:val="0"/>
                  <w:vAlign w:val="center"/>
                </w:tcPr>
                <w:p>
                  <w:pPr>
                    <w:pStyle w:val="54"/>
                    <w:keepNext w:val="0"/>
                    <w:keepLines w:val="0"/>
                    <w:suppressLineNumbers w:val="0"/>
                    <w:bidi w:val="0"/>
                    <w:spacing w:before="0" w:beforeAutospacing="0" w:after="0" w:afterAutospacing="0"/>
                    <w:ind w:left="0" w:right="0"/>
                    <w:rPr>
                      <w:rFonts w:hint="eastAsia"/>
                    </w:rPr>
                  </w:pPr>
                  <w:r>
                    <w:rPr>
                      <w:rFonts w:hint="eastAsia"/>
                    </w:rPr>
                    <w:t>探矿期内</w:t>
                  </w:r>
                  <w:r>
                    <w:rPr>
                      <w:rFonts w:hint="default"/>
                    </w:rPr>
                    <w:t>（kg）</w:t>
                  </w:r>
                </w:p>
              </w:tc>
              <w:tc>
                <w:tcPr>
                  <w:tcW w:w="1495" w:type="dxa"/>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7.044</w:t>
                  </w:r>
                </w:p>
              </w:tc>
              <w:tc>
                <w:tcPr>
                  <w:tcW w:w="1631" w:type="dxa"/>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73.3725</w:t>
                  </w:r>
                </w:p>
              </w:tc>
              <w:tc>
                <w:tcPr>
                  <w:tcW w:w="1344" w:type="dxa"/>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120.6575</w:t>
                  </w:r>
                </w:p>
              </w:tc>
              <w:tc>
                <w:tcPr>
                  <w:tcW w:w="1918" w:type="dxa"/>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12.065</w:t>
                  </w:r>
                </w:p>
              </w:tc>
            </w:tr>
          </w:tbl>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3.废水环境影响分析</w:t>
            </w:r>
          </w:p>
          <w:p>
            <w:pPr>
              <w:pStyle w:val="48"/>
              <w:keepNext w:val="0"/>
              <w:keepLines w:val="0"/>
              <w:suppressLineNumbers w:val="0"/>
              <w:bidi w:val="0"/>
              <w:spacing w:before="0" w:beforeAutospacing="0" w:after="0" w:afterAutospacing="0"/>
              <w:ind w:left="0" w:right="0"/>
              <w:rPr>
                <w:rFonts w:hint="eastAsia"/>
              </w:rPr>
            </w:pPr>
            <w:r>
              <w:rPr>
                <w:rFonts w:hint="eastAsia"/>
              </w:rPr>
              <w:t>（1）生活污水</w:t>
            </w:r>
          </w:p>
          <w:p>
            <w:pPr>
              <w:pStyle w:val="48"/>
              <w:keepNext w:val="0"/>
              <w:keepLines w:val="0"/>
              <w:suppressLineNumbers w:val="0"/>
              <w:bidi w:val="0"/>
              <w:spacing w:before="0" w:beforeAutospacing="0" w:after="0" w:afterAutospacing="0"/>
              <w:ind w:left="0" w:right="0"/>
              <w:rPr>
                <w:rFonts w:hint="default" w:ascii="Times New Roman" w:hAnsi="Times New Roman" w:eastAsia="宋体" w:cs="宋体"/>
                <w:i w:val="0"/>
                <w:iCs w:val="0"/>
                <w:highlight w:val="none"/>
                <w:shd w:val="clear" w:color="auto" w:fill="auto"/>
                <w:lang w:val="en-US" w:eastAsia="zh-CN"/>
              </w:rPr>
            </w:pPr>
            <w:r>
              <w:rPr>
                <w:rFonts w:hint="eastAsia"/>
                <w:highlight w:val="none"/>
              </w:rPr>
              <w:t>本次探矿野外作业人员约</w:t>
            </w:r>
            <w:r>
              <w:rPr>
                <w:rFonts w:hint="eastAsia"/>
                <w:highlight w:val="none"/>
                <w:lang w:val="en-US" w:eastAsia="zh-CN"/>
              </w:rPr>
              <w:t>6</w:t>
            </w:r>
            <w:r>
              <w:rPr>
                <w:rFonts w:hint="eastAsia"/>
                <w:highlight w:val="none"/>
              </w:rPr>
              <w:t>人。勘探人员日常洗漱</w:t>
            </w:r>
            <w:r>
              <w:rPr>
                <w:rFonts w:hint="eastAsia"/>
                <w:highlight w:val="none"/>
                <w:lang w:val="en-US" w:eastAsia="zh-CN"/>
              </w:rPr>
              <w:t>和</w:t>
            </w:r>
            <w:r>
              <w:rPr>
                <w:rFonts w:hint="eastAsia"/>
                <w:highlight w:val="none"/>
              </w:rPr>
              <w:t>生活所产生的污水间断排放，主要含COD、BOD</w:t>
            </w:r>
            <w:r>
              <w:rPr>
                <w:rFonts w:hint="eastAsia"/>
                <w:highlight w:val="none"/>
                <w:vertAlign w:val="subscript"/>
              </w:rPr>
              <w:t>5</w:t>
            </w:r>
            <w:r>
              <w:rPr>
                <w:rFonts w:hint="eastAsia"/>
                <w:highlight w:val="none"/>
              </w:rPr>
              <w:t>、SS等污染物</w:t>
            </w:r>
            <w:r>
              <w:rPr>
                <w:rFonts w:hint="eastAsia"/>
                <w:highlight w:val="none"/>
                <w:lang w:eastAsia="zh-CN"/>
              </w:rPr>
              <w:t>，</w:t>
            </w:r>
            <w:r>
              <w:rPr>
                <w:rFonts w:hint="eastAsia"/>
                <w:lang w:val="en-US" w:eastAsia="zh-CN"/>
              </w:rPr>
              <w:t>勘探期为30d，则本项目勘探期</w:t>
            </w:r>
            <w:r>
              <w:rPr>
                <w:rFonts w:hint="eastAsia"/>
                <w:highlight w:val="none"/>
              </w:rPr>
              <w:t>生活污水</w:t>
            </w:r>
            <w:r>
              <w:rPr>
                <w:rFonts w:hint="eastAsia"/>
                <w:highlight w:val="none"/>
                <w:lang w:val="en-US" w:eastAsia="zh-CN"/>
              </w:rPr>
              <w:t>排放量为4.32</w:t>
            </w:r>
            <w:r>
              <w:rPr>
                <w:rFonts w:hint="eastAsia"/>
                <w:highlight w:val="none"/>
              </w:rPr>
              <w:t>m</w:t>
            </w:r>
            <w:r>
              <w:rPr>
                <w:rFonts w:hint="eastAsia"/>
                <w:highlight w:val="none"/>
                <w:vertAlign w:val="superscript"/>
              </w:rPr>
              <w:t>3</w:t>
            </w:r>
            <w:r>
              <w:rPr>
                <w:rFonts w:hint="eastAsia"/>
                <w:highlight w:val="none"/>
              </w:rPr>
              <w:t>。生活污水包括粪便污水</w:t>
            </w:r>
            <w:r>
              <w:rPr>
                <w:rFonts w:hint="eastAsia"/>
                <w:highlight w:val="none"/>
                <w:lang w:val="en-US" w:eastAsia="zh-CN"/>
              </w:rPr>
              <w:t>和洗漱用水</w:t>
            </w:r>
            <w:r>
              <w:rPr>
                <w:rFonts w:hint="eastAsia"/>
                <w:highlight w:val="none"/>
              </w:rPr>
              <w:t>等，类比一般生活污水污染物产生浓度，主要污染物中COD、BOD</w:t>
            </w:r>
            <w:r>
              <w:rPr>
                <w:rFonts w:hint="eastAsia"/>
                <w:highlight w:val="none"/>
                <w:vertAlign w:val="subscript"/>
                <w:lang w:val="en-US" w:eastAsia="zh-CN"/>
              </w:rPr>
              <w:t>5</w:t>
            </w:r>
            <w:r>
              <w:rPr>
                <w:rFonts w:hint="eastAsia"/>
                <w:highlight w:val="none"/>
              </w:rPr>
              <w:t>、SS、NH</w:t>
            </w:r>
            <w:r>
              <w:rPr>
                <w:rFonts w:hint="eastAsia"/>
                <w:highlight w:val="none"/>
                <w:vertAlign w:val="subscript"/>
                <w:lang w:val="en-US" w:eastAsia="zh-CN"/>
              </w:rPr>
              <w:t>4</w:t>
            </w:r>
            <w:r>
              <w:rPr>
                <w:rFonts w:hint="eastAsia"/>
                <w:highlight w:val="none"/>
              </w:rPr>
              <w:t>-N、动植物油的排放浓度分别为</w:t>
            </w:r>
            <w:r>
              <w:rPr>
                <w:rFonts w:hint="eastAsia"/>
                <w:highlight w:val="none"/>
                <w:lang w:eastAsia="zh-CN"/>
              </w:rPr>
              <w:t>：</w:t>
            </w:r>
            <w:r>
              <w:rPr>
                <w:rFonts w:hint="eastAsia"/>
                <w:highlight w:val="none"/>
              </w:rPr>
              <w:t>320mg/</w:t>
            </w:r>
            <w:r>
              <w:rPr>
                <w:rFonts w:hint="eastAsia"/>
                <w:highlight w:val="none"/>
                <w:lang w:val="en-US" w:eastAsia="zh-CN"/>
              </w:rPr>
              <w:t>L</w:t>
            </w:r>
            <w:r>
              <w:rPr>
                <w:rFonts w:hint="eastAsia"/>
                <w:highlight w:val="none"/>
                <w:lang w:eastAsia="zh-CN"/>
              </w:rPr>
              <w:t>、</w:t>
            </w:r>
            <w:r>
              <w:rPr>
                <w:rFonts w:hint="eastAsia"/>
                <w:highlight w:val="none"/>
              </w:rPr>
              <w:t>200mg/</w:t>
            </w:r>
            <w:r>
              <w:rPr>
                <w:rFonts w:hint="eastAsia"/>
                <w:highlight w:val="none"/>
                <w:lang w:val="en-US" w:eastAsia="zh-CN"/>
              </w:rPr>
              <w:t>L</w:t>
            </w:r>
            <w:r>
              <w:rPr>
                <w:rFonts w:hint="eastAsia"/>
                <w:highlight w:val="none"/>
              </w:rPr>
              <w:t>、360mg/</w:t>
            </w:r>
            <w:r>
              <w:rPr>
                <w:rFonts w:hint="eastAsia"/>
                <w:highlight w:val="none"/>
                <w:lang w:val="en-US" w:eastAsia="zh-CN"/>
              </w:rPr>
              <w:t>L</w:t>
            </w:r>
            <w:r>
              <w:rPr>
                <w:rFonts w:hint="eastAsia"/>
                <w:highlight w:val="none"/>
              </w:rPr>
              <w:t>、25mg/</w:t>
            </w:r>
            <w:r>
              <w:rPr>
                <w:rFonts w:hint="eastAsia"/>
                <w:highlight w:val="none"/>
                <w:lang w:val="en-US" w:eastAsia="zh-CN"/>
              </w:rPr>
              <w:t>L</w:t>
            </w:r>
            <w:r>
              <w:rPr>
                <w:rFonts w:hint="eastAsia"/>
                <w:highlight w:val="none"/>
              </w:rPr>
              <w:t>、30mg/</w:t>
            </w:r>
            <w:r>
              <w:rPr>
                <w:rFonts w:hint="eastAsia"/>
                <w:highlight w:val="none"/>
                <w:lang w:val="en-US" w:eastAsia="zh-CN"/>
              </w:rPr>
              <w:t>L</w:t>
            </w:r>
            <w:r>
              <w:rPr>
                <w:rFonts w:hint="eastAsia"/>
                <w:i w:val="0"/>
                <w:iCs w:val="0"/>
                <w:highlight w:val="none"/>
              </w:rPr>
              <w:t>。</w:t>
            </w:r>
            <w:r>
              <w:rPr>
                <w:rFonts w:hint="eastAsia"/>
                <w:i w:val="0"/>
                <w:iCs w:val="0"/>
                <w:highlight w:val="none"/>
                <w:shd w:val="clear" w:color="auto" w:fill="auto"/>
                <w:lang w:val="en-US" w:eastAsia="zh-CN"/>
              </w:rPr>
              <w:t>生活污水排入</w:t>
            </w:r>
            <w:r>
              <w:rPr>
                <w:rFonts w:hint="eastAsia"/>
                <w:lang w:val="en-US" w:eastAsia="zh-CN"/>
              </w:rPr>
              <w:t>一体化污水处理设施</w:t>
            </w:r>
            <w:r>
              <w:rPr>
                <w:rFonts w:hint="eastAsia"/>
                <w:i w:val="0"/>
                <w:iCs w:val="0"/>
                <w:highlight w:val="none"/>
                <w:shd w:val="clear" w:color="auto" w:fill="auto"/>
                <w:lang w:val="en-US" w:eastAsia="zh-CN"/>
              </w:rPr>
              <w:t>处理达标后</w:t>
            </w:r>
            <w:r>
              <w:rPr>
                <w:rFonts w:hint="eastAsia"/>
                <w:lang w:val="en-US" w:eastAsia="zh-CN"/>
              </w:rPr>
              <w:t>（采用AO工艺，处理规模为1m</w:t>
            </w:r>
            <w:r>
              <w:rPr>
                <w:rFonts w:hint="eastAsia"/>
                <w:vertAlign w:val="superscript"/>
                <w:lang w:val="en-US" w:eastAsia="zh-CN"/>
              </w:rPr>
              <w:t>3</w:t>
            </w:r>
            <w:r>
              <w:rPr>
                <w:rFonts w:hint="eastAsia"/>
                <w:lang w:val="en-US" w:eastAsia="zh-CN"/>
              </w:rPr>
              <w:t>/d，本项目生活污水排放量约为0.144m</w:t>
            </w:r>
            <w:r>
              <w:rPr>
                <w:rFonts w:hint="eastAsia"/>
                <w:vertAlign w:val="superscript"/>
                <w:lang w:val="en-US" w:eastAsia="zh-CN"/>
              </w:rPr>
              <w:t>3</w:t>
            </w:r>
            <w:r>
              <w:rPr>
                <w:rFonts w:hint="eastAsia"/>
                <w:lang w:val="en-US" w:eastAsia="zh-CN"/>
              </w:rPr>
              <w:t>/d，处理能力可满足）</w:t>
            </w:r>
            <w:r>
              <w:rPr>
                <w:rFonts w:hint="eastAsia"/>
                <w:i w:val="0"/>
                <w:iCs w:val="0"/>
                <w:highlight w:val="none"/>
                <w:shd w:val="clear" w:color="auto" w:fill="auto"/>
                <w:lang w:val="en-US" w:eastAsia="zh-CN"/>
              </w:rPr>
              <w:t>处理达标后，其出水标准可达到《农村生活污水处理排放标准》（DB654275-2019）表2中A级标准，用于洒水绿化，不外排，不与地表水体发生水力联系，对周围环境影</w:t>
            </w:r>
            <w:r>
              <w:rPr>
                <w:rFonts w:hint="eastAsia" w:ascii="Times New Roman" w:hAnsi="Times New Roman" w:eastAsia="宋体" w:cs="宋体"/>
                <w:i w:val="0"/>
                <w:iCs w:val="0"/>
                <w:highlight w:val="none"/>
                <w:shd w:val="clear" w:color="auto" w:fill="auto"/>
                <w:lang w:val="en-US" w:eastAsia="zh-CN"/>
              </w:rPr>
              <w:t>响较小。</w:t>
            </w:r>
          </w:p>
          <w:p>
            <w:pPr>
              <w:pStyle w:val="65"/>
              <w:keepNext w:val="0"/>
              <w:keepLines w:val="0"/>
              <w:suppressLineNumbers w:val="0"/>
              <w:bidi w:val="0"/>
              <w:spacing w:before="0" w:beforeAutospacing="0" w:after="0" w:afterAutospacing="0"/>
              <w:ind w:left="0" w:right="0"/>
              <w:rPr>
                <w:rFonts w:hint="eastAsia"/>
                <w:lang w:val="en-US" w:eastAsia="zh-CN"/>
              </w:rPr>
            </w:pPr>
            <w:r>
              <w:rPr>
                <w:rFonts w:hint="eastAsia"/>
                <w:lang w:eastAsia="zh-CN"/>
              </w:rPr>
              <w:t>（</w:t>
            </w:r>
            <w:r>
              <w:rPr>
                <w:rFonts w:hint="eastAsia"/>
                <w:lang w:val="en-US" w:eastAsia="zh-CN"/>
              </w:rPr>
              <w:t>2）钻井设备冲洗水</w:t>
            </w:r>
          </w:p>
          <w:p>
            <w:pPr>
              <w:pStyle w:val="65"/>
              <w:keepNext w:val="0"/>
              <w:keepLines w:val="0"/>
              <w:suppressLineNumbers w:val="0"/>
              <w:bidi w:val="0"/>
              <w:spacing w:before="0" w:beforeAutospacing="0" w:after="0" w:afterAutospacing="0"/>
              <w:ind w:left="0" w:right="0"/>
              <w:rPr>
                <w:rFonts w:hint="default"/>
              </w:rPr>
            </w:pPr>
            <w:r>
              <w:rPr>
                <w:rFonts w:hint="eastAsia"/>
                <w:lang w:val="en-US" w:eastAsia="zh-CN"/>
              </w:rPr>
              <w:t>项目钻探过程中使用的钻井设备需清洗，勘探期产生的清洗废水经防渗沉淀池处理后用于洒水降尘，探矿期结束后自然蒸发，不外排。</w:t>
            </w:r>
          </w:p>
          <w:p>
            <w:pPr>
              <w:pStyle w:val="65"/>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（3）泥浆废水</w:t>
            </w:r>
          </w:p>
          <w:p>
            <w:pPr>
              <w:pStyle w:val="65"/>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泥浆废水经移动式防渗沉淀池处理后回用于钻孔泥浆配制，循环使用。勘查期结束后，沉淀池上清液用于洒水降尘，沉淀池内泥浆固化后拉运至一般固废处置单位统一处理。</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4.</w:t>
            </w:r>
            <w:r>
              <w:rPr>
                <w:rFonts w:hint="default"/>
                <w:lang w:val="en-US" w:eastAsia="zh-CN"/>
              </w:rPr>
              <w:t>噪声</w:t>
            </w:r>
            <w:r>
              <w:rPr>
                <w:rFonts w:hint="eastAsia"/>
                <w:lang w:val="en-US" w:eastAsia="zh-CN"/>
              </w:rPr>
              <w:t>环境影响分析</w:t>
            </w:r>
          </w:p>
          <w:p>
            <w:pPr>
              <w:pStyle w:val="48"/>
              <w:keepNext w:val="0"/>
              <w:keepLines w:val="0"/>
              <w:suppressLineNumbers w:val="0"/>
              <w:bidi w:val="0"/>
              <w:spacing w:before="0" w:beforeAutospacing="0" w:after="0" w:afterAutospacing="0"/>
              <w:ind w:left="0" w:right="0"/>
              <w:rPr>
                <w:rFonts w:hint="default"/>
              </w:rPr>
            </w:pPr>
            <w:r>
              <w:rPr>
                <w:rFonts w:hint="eastAsia"/>
              </w:rPr>
              <w:t>根据工程分析可知，</w:t>
            </w:r>
            <w:r>
              <w:rPr>
                <w:rFonts w:hint="eastAsia"/>
                <w:lang w:val="en-US" w:eastAsia="zh-CN"/>
              </w:rPr>
              <w:t>勘探</w:t>
            </w:r>
            <w:r>
              <w:rPr>
                <w:rFonts w:hint="eastAsia"/>
              </w:rPr>
              <w:t>期的噪声来自施工作业噪声、机械噪声和施工车辆噪声，噪声源强一般为</w:t>
            </w:r>
            <w:r>
              <w:rPr>
                <w:rFonts w:hint="eastAsia"/>
                <w:lang w:val="en-US" w:eastAsia="zh-CN"/>
              </w:rPr>
              <w:t>72</w:t>
            </w:r>
            <w:r>
              <w:rPr>
                <w:rFonts w:hint="eastAsia"/>
              </w:rPr>
              <w:t>~</w:t>
            </w:r>
            <w:r>
              <w:rPr>
                <w:rFonts w:hint="eastAsia"/>
                <w:lang w:val="en-US" w:eastAsia="zh-CN"/>
              </w:rPr>
              <w:t>87</w:t>
            </w:r>
            <w:r>
              <w:rPr>
                <w:rFonts w:hint="default"/>
              </w:rPr>
              <w:t>dB</w:t>
            </w:r>
            <w:r>
              <w:rPr>
                <w:rFonts w:hint="eastAsia"/>
                <w:lang w:eastAsia="zh-CN"/>
              </w:rPr>
              <w:t>（</w:t>
            </w:r>
            <w:r>
              <w:rPr>
                <w:rFonts w:hint="default"/>
              </w:rPr>
              <w:t>A</w:t>
            </w:r>
            <w:r>
              <w:rPr>
                <w:rFonts w:hint="eastAsia"/>
                <w:lang w:eastAsia="zh-CN"/>
              </w:rPr>
              <w:t>）</w:t>
            </w:r>
            <w:r>
              <w:rPr>
                <w:rFonts w:hint="eastAsia"/>
              </w:rPr>
              <w:t>，特点为暂时的短期间歇性行为，无规律性。</w:t>
            </w:r>
          </w:p>
          <w:p>
            <w:pPr>
              <w:pStyle w:val="48"/>
              <w:keepNext w:val="0"/>
              <w:keepLines w:val="0"/>
              <w:suppressLineNumbers w:val="0"/>
              <w:bidi w:val="0"/>
              <w:spacing w:before="0" w:beforeAutospacing="0" w:after="0" w:afterAutospacing="0"/>
              <w:ind w:left="0" w:right="0"/>
              <w:rPr>
                <w:rFonts w:hint="default"/>
              </w:rPr>
            </w:pPr>
            <w:r>
              <w:rPr>
                <w:rFonts w:hint="eastAsia"/>
                <w:lang w:eastAsia="zh-CN"/>
              </w:rPr>
              <w:t>（</w:t>
            </w:r>
            <w:r>
              <w:rPr>
                <w:rFonts w:hint="eastAsia"/>
                <w:lang w:val="en-US" w:eastAsia="zh-CN"/>
              </w:rPr>
              <w:t>1</w:t>
            </w:r>
            <w:r>
              <w:rPr>
                <w:rFonts w:hint="eastAsia"/>
                <w:lang w:eastAsia="zh-CN"/>
              </w:rPr>
              <w:t>）</w:t>
            </w:r>
            <w:r>
              <w:rPr>
                <w:rFonts w:hint="eastAsia"/>
                <w:lang w:val="en-US" w:eastAsia="zh-CN"/>
              </w:rPr>
              <w:t>勘探</w:t>
            </w:r>
            <w:r>
              <w:rPr>
                <w:rFonts w:hint="eastAsia"/>
              </w:rPr>
              <w:t>期施工噪声预测</w:t>
            </w:r>
          </w:p>
          <w:p>
            <w:pPr>
              <w:pStyle w:val="48"/>
              <w:keepNext w:val="0"/>
              <w:keepLines w:val="0"/>
              <w:suppressLineNumbers w:val="0"/>
              <w:bidi w:val="0"/>
              <w:spacing w:before="0" w:beforeAutospacing="0" w:after="0" w:afterAutospacing="0"/>
              <w:ind w:left="0" w:right="0"/>
              <w:rPr>
                <w:rFonts w:hint="default"/>
              </w:rPr>
            </w:pPr>
            <w:r>
              <w:rPr>
                <w:rFonts w:hint="eastAsia"/>
                <w:lang w:val="en-US" w:eastAsia="zh-CN"/>
              </w:rPr>
              <w:t>勘探</w:t>
            </w:r>
            <w:r>
              <w:rPr>
                <w:rFonts w:hint="eastAsia"/>
              </w:rPr>
              <w:t>期施工噪声可近似视为点声源处理，其衰减模式如下：</w:t>
            </w:r>
          </w:p>
          <w:p>
            <w:pPr>
              <w:pStyle w:val="48"/>
              <w:keepNext w:val="0"/>
              <w:keepLines w:val="0"/>
              <w:suppressLineNumbers w:val="0"/>
              <w:wordWrap/>
              <w:bidi w:val="0"/>
              <w:spacing w:before="0" w:beforeAutospacing="0" w:after="0" w:afterAutospacing="0"/>
              <w:ind w:left="0" w:right="0"/>
              <w:jc w:val="center"/>
              <w:rPr>
                <w:rFonts w:hint="default"/>
              </w:rPr>
            </w:pPr>
            <w:r>
              <w:rPr>
                <w:rFonts w:hint="eastAsia"/>
              </w:rPr>
              <w:t>Lp=Lpo-20Lg</w:t>
            </w:r>
            <w:r>
              <w:rPr>
                <w:rFonts w:hint="eastAsia"/>
                <w:lang w:eastAsia="zh-CN"/>
              </w:rPr>
              <w:t>（</w:t>
            </w:r>
            <w:r>
              <w:rPr>
                <w:rFonts w:hint="eastAsia"/>
              </w:rPr>
              <w:t>r/ro</w:t>
            </w:r>
            <w:r>
              <w:rPr>
                <w:rFonts w:hint="eastAsia"/>
                <w:lang w:eastAsia="zh-CN"/>
              </w:rPr>
              <w:t>）</w:t>
            </w:r>
            <w:r>
              <w:rPr>
                <w:rFonts w:hint="eastAsia"/>
              </w:rPr>
              <w:t>－△L</w:t>
            </w:r>
          </w:p>
          <w:p>
            <w:pPr>
              <w:pStyle w:val="48"/>
              <w:keepNext w:val="0"/>
              <w:keepLines w:val="0"/>
              <w:suppressLineNumbers w:val="0"/>
              <w:bidi w:val="0"/>
              <w:spacing w:before="0" w:beforeAutospacing="0" w:after="0" w:afterAutospacing="0"/>
              <w:ind w:left="0" w:right="0"/>
              <w:rPr>
                <w:rFonts w:hint="default"/>
              </w:rPr>
            </w:pPr>
            <w:r>
              <w:rPr>
                <w:rFonts w:hint="eastAsia"/>
              </w:rPr>
              <w:t>式中：Lp——距声源rm处的施工噪声预测值，dB</w:t>
            </w:r>
            <w:r>
              <w:rPr>
                <w:rFonts w:hint="eastAsia"/>
                <w:lang w:eastAsia="zh-CN"/>
              </w:rPr>
              <w:t>（</w:t>
            </w:r>
            <w:r>
              <w:rPr>
                <w:rFonts w:hint="eastAsia"/>
              </w:rPr>
              <w:t>A</w:t>
            </w:r>
            <w:r>
              <w:rPr>
                <w:rFonts w:hint="eastAsia"/>
                <w:lang w:eastAsia="zh-CN"/>
              </w:rPr>
              <w:t>）</w:t>
            </w:r>
            <w:r>
              <w:rPr>
                <w:rFonts w:hint="eastAsia"/>
              </w:rPr>
              <w:t>；</w:t>
            </w:r>
          </w:p>
          <w:p>
            <w:pPr>
              <w:pStyle w:val="48"/>
              <w:keepNext w:val="0"/>
              <w:keepLines w:val="0"/>
              <w:suppressLineNumbers w:val="0"/>
              <w:bidi w:val="0"/>
              <w:spacing w:before="0" w:beforeAutospacing="0" w:after="0" w:afterAutospacing="0"/>
              <w:ind w:left="0" w:right="0"/>
              <w:rPr>
                <w:rFonts w:hint="default"/>
              </w:rPr>
            </w:pPr>
            <w:r>
              <w:rPr>
                <w:rFonts w:hint="eastAsia"/>
              </w:rPr>
              <w:t xml:space="preserve">      Lpo——距声源rom处的参考声级，dB</w:t>
            </w:r>
            <w:r>
              <w:rPr>
                <w:rFonts w:hint="eastAsia"/>
                <w:lang w:eastAsia="zh-CN"/>
              </w:rPr>
              <w:t>（</w:t>
            </w:r>
            <w:r>
              <w:rPr>
                <w:rFonts w:hint="eastAsia"/>
              </w:rPr>
              <w:t>A</w:t>
            </w:r>
            <w:r>
              <w:rPr>
                <w:rFonts w:hint="eastAsia"/>
                <w:lang w:eastAsia="zh-CN"/>
              </w:rPr>
              <w:t>）</w:t>
            </w:r>
            <w:r>
              <w:rPr>
                <w:rFonts w:hint="eastAsia"/>
              </w:rPr>
              <w:t>；</w:t>
            </w:r>
          </w:p>
          <w:p>
            <w:pPr>
              <w:pStyle w:val="48"/>
              <w:keepNext w:val="0"/>
              <w:keepLines w:val="0"/>
              <w:suppressLineNumbers w:val="0"/>
              <w:bidi w:val="0"/>
              <w:spacing w:before="0" w:beforeAutospacing="0" w:after="0" w:afterAutospacing="0"/>
              <w:ind w:left="0" w:right="0" w:firstLine="1200" w:firstLineChars="500"/>
              <w:rPr>
                <w:rFonts w:hint="default"/>
              </w:rPr>
            </w:pPr>
            <w:r>
              <w:rPr>
                <w:rFonts w:hint="eastAsia"/>
              </w:rPr>
              <w:t>ro——Lpo噪声的测点距离（1m），m；</w:t>
            </w:r>
          </w:p>
          <w:p>
            <w:pPr>
              <w:pStyle w:val="48"/>
              <w:keepNext w:val="0"/>
              <w:keepLines w:val="0"/>
              <w:suppressLineNumbers w:val="0"/>
              <w:bidi w:val="0"/>
              <w:spacing w:before="0" w:beforeAutospacing="0" w:after="0" w:afterAutospacing="0"/>
              <w:ind w:left="0" w:right="0" w:firstLine="1200" w:firstLineChars="500"/>
              <w:rPr>
                <w:rFonts w:hint="default"/>
              </w:rPr>
            </w:pPr>
            <w:r>
              <w:rPr>
                <w:rFonts w:hint="eastAsia"/>
              </w:rPr>
              <w:t>△L——采取各种措施后的噪声衰减量，dB</w:t>
            </w:r>
            <w:r>
              <w:rPr>
                <w:rFonts w:hint="eastAsia"/>
                <w:lang w:eastAsia="zh-CN"/>
              </w:rPr>
              <w:t>（</w:t>
            </w:r>
            <w:r>
              <w:rPr>
                <w:rFonts w:hint="eastAsia"/>
              </w:rPr>
              <w:t>A</w:t>
            </w:r>
            <w:r>
              <w:rPr>
                <w:rFonts w:hint="eastAsia"/>
                <w:lang w:eastAsia="zh-CN"/>
              </w:rPr>
              <w:t>）</w:t>
            </w:r>
            <w:r>
              <w:rPr>
                <w:rFonts w:hint="eastAsia"/>
              </w:rPr>
              <w:t>。</w:t>
            </w:r>
          </w:p>
          <w:p>
            <w:pPr>
              <w:pStyle w:val="48"/>
              <w:keepNext w:val="0"/>
              <w:keepLines w:val="0"/>
              <w:suppressLineNumbers w:val="0"/>
              <w:bidi w:val="0"/>
              <w:spacing w:before="0" w:beforeAutospacing="0" w:after="0" w:afterAutospacing="0"/>
              <w:ind w:left="0" w:right="0"/>
              <w:rPr>
                <w:rFonts w:hint="default"/>
              </w:rPr>
            </w:pPr>
            <w:r>
              <w:rPr>
                <w:rFonts w:hint="eastAsia"/>
                <w:lang w:val="en-US" w:eastAsia="zh-CN"/>
              </w:rPr>
              <w:t>勘探</w:t>
            </w:r>
            <w:r>
              <w:rPr>
                <w:rFonts w:hint="eastAsia"/>
              </w:rPr>
              <w:t>期主要噪声源主要为施工机械产生的噪声。</w:t>
            </w:r>
          </w:p>
          <w:p>
            <w:pPr>
              <w:pStyle w:val="48"/>
              <w:keepNext w:val="0"/>
              <w:keepLines w:val="0"/>
              <w:suppressLineNumbers w:val="0"/>
              <w:bidi w:val="0"/>
              <w:spacing w:before="0" w:beforeAutospacing="0" w:after="0" w:afterAutospacing="0"/>
              <w:ind w:left="0" w:right="0"/>
              <w:rPr>
                <w:rFonts w:hint="default"/>
              </w:rPr>
            </w:pPr>
            <w:r>
              <w:rPr>
                <w:rFonts w:hint="eastAsia"/>
                <w:lang w:eastAsia="zh-CN"/>
              </w:rPr>
              <w:t>（</w:t>
            </w:r>
            <w:r>
              <w:rPr>
                <w:rFonts w:hint="eastAsia"/>
                <w:lang w:val="en-US" w:eastAsia="zh-CN"/>
              </w:rPr>
              <w:t>2</w:t>
            </w:r>
            <w:r>
              <w:rPr>
                <w:rFonts w:hint="eastAsia"/>
                <w:lang w:eastAsia="zh-CN"/>
              </w:rPr>
              <w:t>）</w:t>
            </w:r>
            <w:r>
              <w:rPr>
                <w:rFonts w:hint="eastAsia"/>
                <w:lang w:val="en-US" w:eastAsia="zh-CN"/>
              </w:rPr>
              <w:t>勘探</w:t>
            </w:r>
            <w:r>
              <w:rPr>
                <w:rFonts w:hint="eastAsia"/>
              </w:rPr>
              <w:t>期噪声预测结果及分析</w:t>
            </w:r>
          </w:p>
          <w:p>
            <w:pPr>
              <w:pStyle w:val="48"/>
              <w:keepNext w:val="0"/>
              <w:keepLines w:val="0"/>
              <w:suppressLineNumbers w:val="0"/>
              <w:bidi w:val="0"/>
              <w:spacing w:before="0" w:beforeAutospacing="0" w:after="0" w:afterAutospacing="0"/>
              <w:ind w:left="0" w:right="0"/>
              <w:rPr>
                <w:rFonts w:hint="default"/>
              </w:rPr>
            </w:pPr>
            <w:r>
              <w:rPr>
                <w:rFonts w:hint="eastAsia"/>
              </w:rPr>
              <w:t>①预测结果</w:t>
            </w:r>
          </w:p>
          <w:p>
            <w:pPr>
              <w:pStyle w:val="48"/>
              <w:keepNext w:val="0"/>
              <w:keepLines w:val="0"/>
              <w:suppressLineNumbers w:val="0"/>
              <w:bidi w:val="0"/>
              <w:spacing w:before="0" w:beforeAutospacing="0" w:after="0" w:afterAutospacing="0"/>
              <w:ind w:left="0" w:right="0"/>
              <w:rPr>
                <w:rFonts w:hint="default"/>
              </w:rPr>
            </w:pPr>
            <w:r>
              <w:rPr>
                <w:rFonts w:hint="eastAsia"/>
              </w:rPr>
              <w:t>运用上式对</w:t>
            </w:r>
            <w:r>
              <w:rPr>
                <w:rFonts w:hint="eastAsia"/>
                <w:lang w:val="en-US" w:eastAsia="zh-CN"/>
              </w:rPr>
              <w:t>勘探过程中</w:t>
            </w:r>
            <w:r>
              <w:rPr>
                <w:rFonts w:hint="eastAsia"/>
              </w:rPr>
              <w:t>机械噪声的环境影响进行预测计算，其结果如表</w:t>
            </w:r>
            <w:r>
              <w:rPr>
                <w:rFonts w:hint="eastAsia"/>
                <w:lang w:val="en-US" w:eastAsia="zh-CN"/>
              </w:rPr>
              <w:t>4-3</w:t>
            </w:r>
            <w:r>
              <w:rPr>
                <w:rFonts w:hint="eastAsia"/>
              </w:rPr>
              <w:t>所示。</w:t>
            </w:r>
          </w:p>
          <w:p>
            <w:pPr>
              <w:pStyle w:val="52"/>
              <w:keepNext w:val="0"/>
              <w:keepLines w:val="0"/>
              <w:suppressLineNumbers w:val="0"/>
              <w:bidi w:val="0"/>
              <w:spacing w:before="0" w:beforeAutospacing="0" w:after="0" w:afterAutospacing="0"/>
              <w:ind w:left="0" w:right="0"/>
              <w:rPr>
                <w:rFonts w:hint="default"/>
              </w:rPr>
            </w:pPr>
            <w:r>
              <w:rPr>
                <w:rFonts w:hint="default"/>
              </w:rPr>
              <w:t>表</w:t>
            </w:r>
            <w:r>
              <w:rPr>
                <w:rFonts w:hint="default"/>
                <w:lang w:val="en-US" w:eastAsia="zh-CN"/>
              </w:rPr>
              <w:t>4-</w:t>
            </w:r>
            <w:r>
              <w:rPr>
                <w:rFonts w:hint="eastAsia"/>
                <w:lang w:val="en-US" w:eastAsia="zh-CN"/>
              </w:rPr>
              <w:t>3</w:t>
            </w:r>
            <w:r>
              <w:rPr>
                <w:rFonts w:hint="default"/>
              </w:rPr>
              <w:t xml:space="preserve">  </w:t>
            </w:r>
            <w:r>
              <w:rPr>
                <w:rFonts w:hint="eastAsia"/>
                <w:lang w:val="en-US" w:eastAsia="zh-CN"/>
              </w:rPr>
              <w:t xml:space="preserve"> </w:t>
            </w:r>
            <w:r>
              <w:rPr>
                <w:rFonts w:hint="default"/>
              </w:rPr>
              <w:t xml:space="preserve"> 项目主要</w:t>
            </w:r>
            <w:r>
              <w:rPr>
                <w:rFonts w:hint="eastAsia"/>
              </w:rPr>
              <w:t>机械在不同距离处的噪声预测值</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4"/>
              <w:gridCol w:w="498"/>
              <w:gridCol w:w="609"/>
              <w:gridCol w:w="609"/>
              <w:gridCol w:w="611"/>
              <w:gridCol w:w="611"/>
              <w:gridCol w:w="717"/>
              <w:gridCol w:w="717"/>
              <w:gridCol w:w="717"/>
              <w:gridCol w:w="717"/>
              <w:gridCol w:w="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052" w:type="pct"/>
                  <w:vMerge w:val="restar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机械类型</w:t>
                  </w:r>
                </w:p>
              </w:tc>
              <w:tc>
                <w:tcPr>
                  <w:tcW w:w="3947" w:type="pct"/>
                  <w:gridSpan w:val="10"/>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噪声预测值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052" w:type="pct"/>
                  <w:vMerge w:val="continue"/>
                  <w:noWrap w:val="0"/>
                  <w:vAlign w:val="center"/>
                </w:tcPr>
                <w:p>
                  <w:pPr>
                    <w:pStyle w:val="58"/>
                    <w:keepNext w:val="0"/>
                    <w:keepLines w:val="0"/>
                    <w:suppressLineNumbers w:val="0"/>
                    <w:bidi w:val="0"/>
                    <w:spacing w:before="0" w:beforeAutospacing="0" w:after="0" w:afterAutospacing="0"/>
                    <w:ind w:left="0" w:right="0"/>
                    <w:rPr>
                      <w:rFonts w:hint="default"/>
                    </w:rPr>
                  </w:pPr>
                </w:p>
              </w:tc>
              <w:tc>
                <w:tcPr>
                  <w:tcW w:w="301"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5m</w:t>
                  </w:r>
                </w:p>
              </w:tc>
              <w:tc>
                <w:tcPr>
                  <w:tcW w:w="367"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10m</w:t>
                  </w:r>
                </w:p>
              </w:tc>
              <w:tc>
                <w:tcPr>
                  <w:tcW w:w="367"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20m</w:t>
                  </w:r>
                </w:p>
              </w:tc>
              <w:tc>
                <w:tcPr>
                  <w:tcW w:w="368"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50m</w:t>
                  </w:r>
                </w:p>
              </w:tc>
              <w:tc>
                <w:tcPr>
                  <w:tcW w:w="368"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60m</w:t>
                  </w:r>
                </w:p>
              </w:tc>
              <w:tc>
                <w:tcPr>
                  <w:tcW w:w="432"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100m</w:t>
                  </w:r>
                </w:p>
              </w:tc>
              <w:tc>
                <w:tcPr>
                  <w:tcW w:w="432"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150m</w:t>
                  </w:r>
                </w:p>
              </w:tc>
              <w:tc>
                <w:tcPr>
                  <w:tcW w:w="432"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200m</w:t>
                  </w:r>
                </w:p>
              </w:tc>
              <w:tc>
                <w:tcPr>
                  <w:tcW w:w="432"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300m</w:t>
                  </w:r>
                </w:p>
              </w:tc>
              <w:tc>
                <w:tcPr>
                  <w:tcW w:w="444" w:type="pct"/>
                  <w:noWrap w:val="0"/>
                  <w:vAlign w:val="center"/>
                </w:tcPr>
                <w:p>
                  <w:pPr>
                    <w:pStyle w:val="58"/>
                    <w:keepNext w:val="0"/>
                    <w:keepLines w:val="0"/>
                    <w:suppressLineNumbers w:val="0"/>
                    <w:bidi w:val="0"/>
                    <w:spacing w:before="0" w:beforeAutospacing="0" w:after="0" w:afterAutospacing="0"/>
                    <w:ind w:left="0" w:right="0"/>
                    <w:rPr>
                      <w:rFonts w:hint="default"/>
                    </w:rPr>
                  </w:pPr>
                  <w:r>
                    <w:rPr>
                      <w:rFonts w:hint="default"/>
                    </w:rPr>
                    <w:t>400m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052" w:type="pct"/>
                  <w:noWrap w:val="0"/>
                  <w:vAlign w:val="center"/>
                </w:tcPr>
                <w:p>
                  <w:pPr>
                    <w:pStyle w:val="54"/>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全液压岩心钻机</w:t>
                  </w:r>
                </w:p>
              </w:tc>
              <w:tc>
                <w:tcPr>
                  <w:tcW w:w="301" w:type="pct"/>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85</w:t>
                  </w:r>
                </w:p>
              </w:tc>
              <w:tc>
                <w:tcPr>
                  <w:tcW w:w="609"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79.0</w:t>
                  </w:r>
                </w:p>
              </w:tc>
              <w:tc>
                <w:tcPr>
                  <w:tcW w:w="609"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73.0</w:t>
                  </w:r>
                </w:p>
              </w:tc>
              <w:tc>
                <w:tcPr>
                  <w:tcW w:w="611"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65.0</w:t>
                  </w:r>
                </w:p>
              </w:tc>
              <w:tc>
                <w:tcPr>
                  <w:tcW w:w="611"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63.4</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59.0</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55.5</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53.0</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49.4</w:t>
                  </w:r>
                </w:p>
              </w:tc>
              <w:tc>
                <w:tcPr>
                  <w:tcW w:w="743"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46.9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1052" w:type="pct"/>
                  <w:noWrap w:val="0"/>
                  <w:vAlign w:val="center"/>
                </w:tcPr>
                <w:p>
                  <w:pPr>
                    <w:pStyle w:val="54"/>
                    <w:keepNext w:val="0"/>
                    <w:keepLines w:val="0"/>
                    <w:suppressLineNumbers w:val="0"/>
                    <w:bidi w:val="0"/>
                    <w:spacing w:before="0" w:beforeAutospacing="0" w:after="0" w:afterAutospacing="0"/>
                    <w:ind w:left="0" w:right="0"/>
                    <w:rPr>
                      <w:rFonts w:hint="eastAsia"/>
                      <w:lang w:eastAsia="zh-CN"/>
                    </w:rPr>
                  </w:pPr>
                  <w:r>
                    <w:rPr>
                      <w:rFonts w:hint="default"/>
                    </w:rPr>
                    <w:t>运输车辆</w:t>
                  </w:r>
                </w:p>
              </w:tc>
              <w:tc>
                <w:tcPr>
                  <w:tcW w:w="301" w:type="pct"/>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80</w:t>
                  </w:r>
                </w:p>
              </w:tc>
              <w:tc>
                <w:tcPr>
                  <w:tcW w:w="609"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74.0</w:t>
                  </w:r>
                </w:p>
              </w:tc>
              <w:tc>
                <w:tcPr>
                  <w:tcW w:w="609"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68.0</w:t>
                  </w:r>
                </w:p>
              </w:tc>
              <w:tc>
                <w:tcPr>
                  <w:tcW w:w="611"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60.0</w:t>
                  </w:r>
                </w:p>
              </w:tc>
              <w:tc>
                <w:tcPr>
                  <w:tcW w:w="611"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58.4</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54.0</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50.5</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48.0</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44.4</w:t>
                  </w:r>
                </w:p>
              </w:tc>
              <w:tc>
                <w:tcPr>
                  <w:tcW w:w="743"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41.9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1052" w:type="pct"/>
                  <w:noWrap w:val="0"/>
                  <w:vAlign w:val="center"/>
                </w:tcPr>
                <w:p>
                  <w:pPr>
                    <w:pStyle w:val="54"/>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岩芯切割机</w:t>
                  </w:r>
                </w:p>
              </w:tc>
              <w:tc>
                <w:tcPr>
                  <w:tcW w:w="498"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81</w:t>
                  </w:r>
                </w:p>
              </w:tc>
              <w:tc>
                <w:tcPr>
                  <w:tcW w:w="609"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75.0</w:t>
                  </w:r>
                </w:p>
              </w:tc>
              <w:tc>
                <w:tcPr>
                  <w:tcW w:w="609"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69.0</w:t>
                  </w:r>
                </w:p>
              </w:tc>
              <w:tc>
                <w:tcPr>
                  <w:tcW w:w="611"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61.0</w:t>
                  </w:r>
                </w:p>
              </w:tc>
              <w:tc>
                <w:tcPr>
                  <w:tcW w:w="611"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59.4</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55.0</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51.5</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49.0</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45.4</w:t>
                  </w:r>
                </w:p>
              </w:tc>
              <w:tc>
                <w:tcPr>
                  <w:tcW w:w="743"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42.9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052" w:type="pct"/>
                  <w:noWrap w:val="0"/>
                  <w:vAlign w:val="center"/>
                </w:tcPr>
                <w:p>
                  <w:pPr>
                    <w:pStyle w:val="54"/>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柴油发电机</w:t>
                  </w:r>
                </w:p>
              </w:tc>
              <w:tc>
                <w:tcPr>
                  <w:tcW w:w="498"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default"/>
                    </w:rPr>
                    <w:t>72</w:t>
                  </w:r>
                </w:p>
              </w:tc>
              <w:tc>
                <w:tcPr>
                  <w:tcW w:w="609"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66.0</w:t>
                  </w:r>
                </w:p>
              </w:tc>
              <w:tc>
                <w:tcPr>
                  <w:tcW w:w="609"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60.0</w:t>
                  </w:r>
                </w:p>
              </w:tc>
              <w:tc>
                <w:tcPr>
                  <w:tcW w:w="611"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52.0</w:t>
                  </w:r>
                </w:p>
              </w:tc>
              <w:tc>
                <w:tcPr>
                  <w:tcW w:w="611"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50.4</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46.0</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42.5</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40.0</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36.4</w:t>
                  </w:r>
                </w:p>
              </w:tc>
              <w:tc>
                <w:tcPr>
                  <w:tcW w:w="743"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33.9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052" w:type="pct"/>
                  <w:noWrap w:val="0"/>
                  <w:vAlign w:val="center"/>
                </w:tcPr>
                <w:p>
                  <w:pPr>
                    <w:pStyle w:val="54"/>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刻槽取样机</w:t>
                  </w:r>
                </w:p>
              </w:tc>
              <w:tc>
                <w:tcPr>
                  <w:tcW w:w="498" w:type="dxa"/>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87</w:t>
                  </w:r>
                </w:p>
              </w:tc>
              <w:tc>
                <w:tcPr>
                  <w:tcW w:w="609" w:type="dxa"/>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81.0</w:t>
                  </w:r>
                </w:p>
              </w:tc>
              <w:tc>
                <w:tcPr>
                  <w:tcW w:w="609" w:type="dxa"/>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75.0</w:t>
                  </w:r>
                </w:p>
              </w:tc>
              <w:tc>
                <w:tcPr>
                  <w:tcW w:w="611" w:type="dxa"/>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67.0</w:t>
                  </w:r>
                </w:p>
              </w:tc>
              <w:tc>
                <w:tcPr>
                  <w:tcW w:w="611" w:type="dxa"/>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65.4</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61.0</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57.5</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55.0</w:t>
                  </w:r>
                </w:p>
              </w:tc>
              <w:tc>
                <w:tcPr>
                  <w:tcW w:w="717" w:type="dxa"/>
                  <w:noWrap w:val="0"/>
                  <w:vAlign w:val="center"/>
                </w:tcPr>
                <w:p>
                  <w:pPr>
                    <w:pStyle w:val="54"/>
                    <w:keepNext w:val="0"/>
                    <w:keepLines w:val="0"/>
                    <w:suppressLineNumbers w:val="0"/>
                    <w:bidi w:val="0"/>
                    <w:spacing w:before="0" w:beforeAutospacing="0" w:after="0" w:afterAutospacing="0"/>
                    <w:ind w:left="0" w:right="0"/>
                    <w:rPr>
                      <w:rFonts w:hint="default"/>
                    </w:rPr>
                  </w:pPr>
                  <w:r>
                    <w:rPr>
                      <w:rFonts w:hint="eastAsia"/>
                      <w:lang w:val="en-US" w:eastAsia="zh-CN"/>
                    </w:rPr>
                    <w:t>51.4</w:t>
                  </w:r>
                </w:p>
              </w:tc>
              <w:tc>
                <w:tcPr>
                  <w:tcW w:w="743" w:type="dxa"/>
                  <w:noWrap w:val="0"/>
                  <w:vAlign w:val="center"/>
                </w:tcPr>
                <w:p>
                  <w:pPr>
                    <w:pStyle w:val="54"/>
                    <w:keepNext w:val="0"/>
                    <w:keepLines w:val="0"/>
                    <w:suppressLineNumbers w:val="0"/>
                    <w:bidi w:val="0"/>
                    <w:spacing w:before="0" w:beforeAutospacing="0" w:after="0" w:afterAutospacing="0"/>
                    <w:ind w:left="0" w:right="0"/>
                    <w:rPr>
                      <w:rFonts w:hint="default"/>
                      <w:lang w:val="en-US"/>
                    </w:rPr>
                  </w:pPr>
                  <w:r>
                    <w:rPr>
                      <w:rFonts w:hint="eastAsia"/>
                      <w:lang w:val="en-US" w:eastAsia="zh-CN"/>
                    </w:rPr>
                    <w:t>48.9</w:t>
                  </w:r>
                </w:p>
              </w:tc>
            </w:tr>
          </w:tbl>
          <w:p>
            <w:pPr>
              <w:pStyle w:val="48"/>
              <w:keepNext w:val="0"/>
              <w:keepLines w:val="0"/>
              <w:suppressLineNumbers w:val="0"/>
              <w:bidi w:val="0"/>
              <w:spacing w:before="0" w:beforeAutospacing="0" w:after="0" w:afterAutospacing="0"/>
              <w:ind w:left="0" w:right="0"/>
              <w:rPr>
                <w:rFonts w:hint="default"/>
              </w:rPr>
            </w:pPr>
            <w:r>
              <w:rPr>
                <w:rFonts w:hint="default"/>
              </w:rPr>
              <w:t>本项目夜间不开展施工作业。单台施工机械在50米范围外的噪声值均符合《</w:t>
            </w:r>
            <w:r>
              <w:rPr>
                <w:rFonts w:hint="eastAsia"/>
                <w:lang w:eastAsia="zh-CN"/>
              </w:rPr>
              <w:t>建筑施工噪声排放标准</w:t>
            </w:r>
            <w:r>
              <w:rPr>
                <w:rFonts w:hint="default"/>
              </w:rPr>
              <w:t>》（GB12523－2025）</w:t>
            </w:r>
            <w:r>
              <w:rPr>
                <w:rFonts w:hint="default"/>
                <w:lang w:val="en-US" w:eastAsia="zh-CN"/>
              </w:rPr>
              <w:t>中施工噪声要求，昼间限值为70dB(A)</w:t>
            </w:r>
            <w:r>
              <w:rPr>
                <w:rFonts w:hint="default"/>
              </w:rPr>
              <w:t>。</w:t>
            </w:r>
          </w:p>
          <w:p>
            <w:pPr>
              <w:pStyle w:val="50"/>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5.</w:t>
            </w:r>
            <w:r>
              <w:rPr>
                <w:rFonts w:hint="default"/>
              </w:rPr>
              <w:t>固体废物</w:t>
            </w:r>
            <w:r>
              <w:rPr>
                <w:rFonts w:hint="eastAsia"/>
                <w:lang w:val="en-US" w:eastAsia="zh-CN"/>
              </w:rPr>
              <w:t>环境影响分析</w:t>
            </w:r>
          </w:p>
          <w:p>
            <w:pPr>
              <w:pStyle w:val="48"/>
              <w:keepNext w:val="0"/>
              <w:keepLines w:val="0"/>
              <w:suppressLineNumbers w:val="0"/>
              <w:bidi w:val="0"/>
              <w:spacing w:before="0" w:beforeAutospacing="0" w:after="0" w:afterAutospacing="0"/>
              <w:ind w:left="0" w:right="0"/>
              <w:rPr>
                <w:rFonts w:hint="eastAsia"/>
              </w:rPr>
            </w:pPr>
            <w:r>
              <w:rPr>
                <w:rFonts w:hint="eastAsia"/>
              </w:rPr>
              <w:t>本项目固体废物主要为</w:t>
            </w:r>
            <w:r>
              <w:rPr>
                <w:rFonts w:hint="eastAsia"/>
                <w:lang w:eastAsia="zh-CN"/>
              </w:rPr>
              <w:t>槽探开挖</w:t>
            </w:r>
            <w:r>
              <w:rPr>
                <w:rFonts w:hint="eastAsia"/>
              </w:rPr>
              <w:t>及钻探产生的临时土石方、</w:t>
            </w:r>
            <w:r>
              <w:rPr>
                <w:rFonts w:hint="eastAsia"/>
                <w:lang w:val="en-US" w:eastAsia="zh-CN"/>
              </w:rPr>
              <w:t>钻井泥浆、</w:t>
            </w:r>
            <w:r>
              <w:rPr>
                <w:rFonts w:hint="eastAsia"/>
              </w:rPr>
              <w:t>员工的生活垃圾等。</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rPr>
              <w:t>（1）</w:t>
            </w:r>
            <w:r>
              <w:rPr>
                <w:rFonts w:hint="eastAsia"/>
                <w:lang w:val="en-US" w:eastAsia="zh-CN"/>
              </w:rPr>
              <w:t>土石方</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根据工程分析，本项目勘探期土石方主要由槽探开挖产生。开挖过程中同步采集勘探样品并外运留存，开挖土方临时堆置于探槽一侧，采用彩布条苫盖防护。勘探工作结束后，取样剩余土石方全部原位回填并平整场地，现场无弃土产生，可有效防治水土流失，对周边环境影响较小</w:t>
            </w:r>
          </w:p>
          <w:p>
            <w:pPr>
              <w:pStyle w:val="48"/>
              <w:keepNext w:val="0"/>
              <w:keepLines w:val="0"/>
              <w:suppressLineNumbers w:val="0"/>
              <w:bidi w:val="0"/>
              <w:spacing w:before="0" w:beforeAutospacing="0" w:after="0" w:afterAutospacing="0"/>
              <w:ind w:left="0" w:right="0"/>
              <w:rPr>
                <w:rFonts w:hint="eastAsia"/>
              </w:rPr>
            </w:pPr>
            <w:r>
              <w:rPr>
                <w:rFonts w:hint="eastAsia"/>
              </w:rPr>
              <w:t>（2）生活垃圾</w:t>
            </w:r>
          </w:p>
          <w:p>
            <w:pPr>
              <w:pStyle w:val="48"/>
              <w:keepNext w:val="0"/>
              <w:keepLines w:val="0"/>
              <w:suppressLineNumbers w:val="0"/>
              <w:bidi w:val="0"/>
              <w:spacing w:before="0" w:beforeAutospacing="0" w:after="0" w:afterAutospacing="0"/>
              <w:ind w:left="0" w:right="0"/>
              <w:rPr>
                <w:rFonts w:hint="eastAsia" w:eastAsia="宋体"/>
                <w:shd w:val="clear" w:color="auto" w:fill="auto"/>
                <w:lang w:eastAsia="zh-CN"/>
              </w:rPr>
            </w:pPr>
            <w:r>
              <w:rPr>
                <w:rFonts w:hint="eastAsia"/>
              </w:rPr>
              <w:t>来自勘探人员日常生活，以纸张、塑料瓶为主，属一般固废。本项目野外探矿作业人员约</w:t>
            </w:r>
            <w:r>
              <w:rPr>
                <w:rFonts w:hint="eastAsia"/>
                <w:lang w:val="en-US" w:eastAsia="zh-CN"/>
              </w:rPr>
              <w:t>6</w:t>
            </w:r>
            <w:r>
              <w:rPr>
                <w:rFonts w:hint="eastAsia"/>
              </w:rPr>
              <w:t>人，</w:t>
            </w:r>
            <w:r>
              <w:rPr>
                <w:rFonts w:hint="eastAsia"/>
                <w:lang w:val="en-US" w:eastAsia="zh-CN"/>
              </w:rPr>
              <w:t>勘探期为30</w:t>
            </w:r>
            <w:r>
              <w:rPr>
                <w:rFonts w:hint="eastAsia"/>
                <w:highlight w:val="none"/>
                <w:lang w:val="en-US" w:eastAsia="zh-CN"/>
              </w:rPr>
              <w:t>d</w:t>
            </w:r>
            <w:r>
              <w:rPr>
                <w:rFonts w:hint="eastAsia"/>
                <w:highlight w:val="none"/>
              </w:rPr>
              <w:t>。</w:t>
            </w:r>
            <w:r>
              <w:rPr>
                <w:rFonts w:hint="eastAsia"/>
              </w:rPr>
              <w:t>按每人每天产生0.5kg生活垃圾计算，则生活垃圾产生量为</w:t>
            </w:r>
            <w:r>
              <w:rPr>
                <w:rFonts w:hint="eastAsia"/>
                <w:lang w:val="en-US" w:eastAsia="zh-CN"/>
              </w:rPr>
              <w:t>0.09</w:t>
            </w:r>
            <w:r>
              <w:rPr>
                <w:rFonts w:hint="eastAsia"/>
              </w:rPr>
              <w:t>t</w:t>
            </w:r>
            <w:r>
              <w:rPr>
                <w:rFonts w:hint="eastAsia"/>
                <w:lang w:eastAsia="zh-CN"/>
              </w:rPr>
              <w:t>，施工营地内设置一定数量的垃圾桶，用于临时存放生活垃圾，</w:t>
            </w:r>
            <w:r>
              <w:rPr>
                <w:rFonts w:hint="eastAsia"/>
                <w:shd w:val="clear" w:color="auto" w:fill="auto"/>
                <w:lang w:eastAsia="zh-CN"/>
              </w:rPr>
              <w:t>最终统一收集后</w:t>
            </w:r>
            <w:r>
              <w:rPr>
                <w:rFonts w:hint="eastAsia"/>
                <w:shd w:val="clear" w:color="auto" w:fill="auto"/>
                <w:lang w:val="en-US" w:eastAsia="zh-CN"/>
              </w:rPr>
              <w:t>送至和硕县环境卫生服务中心</w:t>
            </w:r>
            <w:r>
              <w:rPr>
                <w:rFonts w:hint="eastAsia"/>
                <w:shd w:val="clear" w:color="auto" w:fill="auto"/>
                <w:lang w:eastAsia="zh-CN"/>
              </w:rPr>
              <w:t>。</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eastAsia="zh-CN"/>
              </w:rPr>
              <w:t>（</w:t>
            </w:r>
            <w:r>
              <w:rPr>
                <w:rFonts w:hint="eastAsia"/>
                <w:lang w:val="en-US" w:eastAsia="zh-CN"/>
              </w:rPr>
              <w:t>3</w:t>
            </w:r>
            <w:r>
              <w:rPr>
                <w:rFonts w:hint="eastAsia"/>
                <w:lang w:eastAsia="zh-CN"/>
              </w:rPr>
              <w:t>）</w:t>
            </w:r>
            <w:r>
              <w:rPr>
                <w:rFonts w:hint="eastAsia"/>
                <w:lang w:val="en-US" w:eastAsia="zh-CN"/>
              </w:rPr>
              <w:t>钻探岩屑</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highlight w:val="none"/>
                <w:lang w:val="en-US" w:eastAsia="zh-CN"/>
              </w:rPr>
              <w:t>本项目槽探总工作量300m</w:t>
            </w:r>
            <w:r>
              <w:rPr>
                <w:rFonts w:hint="eastAsia"/>
                <w:highlight w:val="none"/>
                <w:vertAlign w:val="superscript"/>
                <w:lang w:val="en-US" w:eastAsia="zh-CN"/>
              </w:rPr>
              <w:t>3</w:t>
            </w:r>
            <w:r>
              <w:rPr>
                <w:rFonts w:hint="eastAsia"/>
                <w:highlight w:val="none"/>
                <w:lang w:val="en-US" w:eastAsia="zh-CN"/>
              </w:rPr>
              <w:t>，钻探总工作量为2000m，</w:t>
            </w:r>
            <w:r>
              <w:rPr>
                <w:rFonts w:hint="eastAsia"/>
                <w:lang w:val="en-US" w:eastAsia="zh-CN"/>
              </w:rPr>
              <w:t>开孔直径75mm（</w:t>
            </w:r>
            <w:r>
              <w:rPr>
                <w:rFonts w:hint="default" w:ascii="Times New Roman" w:hAnsi="Times New Roman" w:cs="Times New Roman"/>
                <w:lang w:val="en-US" w:eastAsia="zh-CN"/>
              </w:rPr>
              <w:t>Φ</w:t>
            </w:r>
            <w:r>
              <w:rPr>
                <w:rFonts w:hint="eastAsia"/>
                <w:lang w:val="en-US" w:eastAsia="zh-CN"/>
              </w:rPr>
              <w:t>75mm钻头，配备</w:t>
            </w:r>
            <w:r>
              <w:rPr>
                <w:rFonts w:hint="default" w:ascii="Times New Roman" w:hAnsi="Times New Roman" w:cs="Times New Roman"/>
                <w:lang w:val="en-US" w:eastAsia="zh-CN"/>
              </w:rPr>
              <w:t>Φ</w:t>
            </w:r>
            <w:r>
              <w:rPr>
                <w:rFonts w:hint="eastAsia"/>
                <w:lang w:val="en-US" w:eastAsia="zh-CN"/>
              </w:rPr>
              <w:t>55mm岩心管）：</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钻探土石方、岩心土石方产生量参考经验公式：</w:t>
            </w:r>
          </w:p>
          <w:p>
            <w:pPr>
              <w:pStyle w:val="4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V</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=πr</w:t>
            </w:r>
            <w:r>
              <w:rPr>
                <w:rFonts w:hint="default" w:ascii="Times New Roman" w:hAnsi="Times New Roman" w:cs="Times New Roman"/>
                <w:vertAlign w:val="superscript"/>
                <w:lang w:val="en-US" w:eastAsia="zh-CN"/>
              </w:rPr>
              <w:t>2</w:t>
            </w:r>
            <w:r>
              <w:rPr>
                <w:rFonts w:hint="default" w:ascii="Times New Roman" w:hAnsi="Times New Roman" w:cs="Times New Roman"/>
                <w:lang w:val="en-US" w:eastAsia="zh-CN"/>
              </w:rPr>
              <w:t>×h</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其中：V</w:t>
            </w:r>
            <w:r>
              <w:rPr>
                <w:rFonts w:hint="eastAsia"/>
                <w:vertAlign w:val="subscript"/>
                <w:lang w:val="en-US" w:eastAsia="zh-CN"/>
              </w:rPr>
              <w:t>2</w:t>
            </w:r>
            <w:r>
              <w:rPr>
                <w:rFonts w:hint="eastAsia"/>
                <w:lang w:val="en-US" w:eastAsia="zh-CN"/>
              </w:rPr>
              <w:t>——岩心体积，m</w:t>
            </w:r>
            <w:r>
              <w:rPr>
                <w:rFonts w:hint="eastAsia"/>
                <w:vertAlign w:val="superscript"/>
                <w:lang w:val="en-US" w:eastAsia="zh-CN"/>
              </w:rPr>
              <w:t>3</w:t>
            </w:r>
            <w:r>
              <w:rPr>
                <w:rFonts w:hint="eastAsia"/>
                <w:lang w:val="en-US" w:eastAsia="zh-CN"/>
              </w:rPr>
              <w:t>；</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π——圆周率，圆的周长与直径的比值，本次取3.14；</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r——钻井半径，m；</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h——钻孔深度，2000m；</w:t>
            </w:r>
          </w:p>
          <w:p>
            <w:pPr>
              <w:pStyle w:val="48"/>
              <w:keepNext w:val="0"/>
              <w:keepLines w:val="0"/>
              <w:suppressLineNumbers w:val="0"/>
              <w:bidi w:val="0"/>
              <w:spacing w:before="0" w:beforeAutospacing="0" w:after="0" w:afterAutospacing="0"/>
              <w:ind w:left="0" w:right="0"/>
              <w:rPr>
                <w:rFonts w:hint="default"/>
                <w:vertAlign w:val="baseline"/>
                <w:lang w:val="en-US" w:eastAsia="zh-CN"/>
              </w:rPr>
            </w:pPr>
            <w:r>
              <w:rPr>
                <w:rFonts w:hint="eastAsia"/>
                <w:lang w:val="en-US" w:eastAsia="zh-CN"/>
              </w:rPr>
              <w:t>经计算，钻孔产生的土石方量为8.83m</w:t>
            </w:r>
            <w:r>
              <w:rPr>
                <w:rFonts w:hint="eastAsia"/>
                <w:vertAlign w:val="superscript"/>
                <w:lang w:val="en-US" w:eastAsia="zh-CN"/>
              </w:rPr>
              <w:t>3</w:t>
            </w:r>
            <w:r>
              <w:rPr>
                <w:rFonts w:hint="eastAsia"/>
                <w:lang w:val="en-US" w:eastAsia="zh-CN"/>
              </w:rPr>
              <w:t>，岩心产生量为4.75m</w:t>
            </w:r>
            <w:r>
              <w:rPr>
                <w:rFonts w:hint="eastAsia"/>
                <w:vertAlign w:val="superscript"/>
                <w:lang w:val="en-US" w:eastAsia="zh-CN"/>
              </w:rPr>
              <w:t>3</w:t>
            </w:r>
            <w:r>
              <w:rPr>
                <w:rFonts w:hint="eastAsia"/>
                <w:lang w:val="en-US" w:eastAsia="zh-CN"/>
              </w:rPr>
              <w:t>，则岩屑产生量为4.08m</w:t>
            </w:r>
            <w:r>
              <w:rPr>
                <w:rFonts w:hint="eastAsia"/>
                <w:vertAlign w:val="superscript"/>
                <w:lang w:val="en-US" w:eastAsia="zh-CN"/>
              </w:rPr>
              <w:t>3</w:t>
            </w:r>
            <w:r>
              <w:rPr>
                <w:rFonts w:hint="eastAsia"/>
                <w:vertAlign w:val="baseline"/>
                <w:lang w:val="en-US" w:eastAsia="zh-CN"/>
              </w:rPr>
              <w:t>。</w:t>
            </w:r>
          </w:p>
          <w:p>
            <w:pPr>
              <w:pStyle w:val="48"/>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采集的钻井岩心由地质勘探队统一收集，最终交至单位统一保管，不能随意丢弃；岩屑就地回填至钻井内。</w:t>
            </w:r>
          </w:p>
          <w:p>
            <w:pPr>
              <w:pStyle w:val="48"/>
              <w:keepNext w:val="0"/>
              <w:keepLines w:val="0"/>
              <w:suppressLineNumbers w:val="0"/>
              <w:bidi w:val="0"/>
              <w:spacing w:before="0" w:beforeAutospacing="0" w:after="0" w:afterAutospacing="0"/>
              <w:ind w:left="0" w:right="0"/>
              <w:rPr>
                <w:rFonts w:hint="default" w:eastAsia="宋体"/>
                <w:lang w:val="en-US" w:eastAsia="zh-CN"/>
              </w:rPr>
            </w:pPr>
            <w:r>
              <w:rPr>
                <w:rFonts w:hint="eastAsia"/>
                <w:lang w:val="en-US" w:eastAsia="zh-CN"/>
              </w:rPr>
              <w:t>（4）</w:t>
            </w:r>
            <w:r>
              <w:rPr>
                <w:rFonts w:hint="eastAsia"/>
              </w:rPr>
              <w:t>泥浆</w:t>
            </w:r>
            <w:r>
              <w:rPr>
                <w:rFonts w:hint="eastAsia"/>
                <w:lang w:val="en-US" w:eastAsia="zh-CN"/>
              </w:rPr>
              <w:t>和沉淀池沉渣</w:t>
            </w:r>
          </w:p>
          <w:p>
            <w:pPr>
              <w:pStyle w:val="65"/>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本项目勘探期产生固体泥浆废物约为0.6t，使用的钻井泥浆为水基泥浆，以膨润土、辅料粘土作为基础配浆材料，加入各种有机和无机材料形成的多种成分和相态共存的悬浮液，主要添加成分有聚合物、氯化钠等。膨润土的主要成分是蒙脱石。钻井泥浆中影响环境的主要成分是有机物类、无机盐类、烧碱等配浆和加重材料中的杂质。本项目采用的泥浆材料及处理剂具备无毒无害、可自然降解性能，不含易燃、易爆、有毒物质，可循环使用，钻探工程结束后利用自然条件，让泥浆中的水分通过蒸发作用逐渐散失，从而使泥浆实现固化，固化后拉运至一般固废处置单位统一处理。</w:t>
            </w:r>
          </w:p>
          <w:p>
            <w:pPr>
              <w:pStyle w:val="65"/>
              <w:keepNext w:val="0"/>
              <w:keepLines w:val="0"/>
              <w:suppressLineNumbers w:val="0"/>
              <w:bidi w:val="0"/>
              <w:spacing w:before="0" w:beforeAutospacing="0" w:after="0" w:afterAutospacing="0"/>
              <w:ind w:left="0" w:right="0"/>
              <w:rPr>
                <w:rFonts w:hint="default" w:ascii="Times New Roman" w:hAnsi="Times New Roman" w:eastAsia="宋体" w:cs="宋体"/>
                <w:lang w:val="en-US" w:eastAsia="zh-CN"/>
              </w:rPr>
            </w:pPr>
            <w:r>
              <w:rPr>
                <w:rFonts w:hint="eastAsia"/>
                <w:lang w:val="en-US" w:eastAsia="zh-CN"/>
              </w:rPr>
              <w:t>沉淀池沉渣在勘探结束后固化填埋，减少了运输过程中的环境风险和对沿途生态环境的影响。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03" w:hRule="atLeast"/>
          <w:jc w:val="center"/>
        </w:trPr>
        <w:tc>
          <w:tcPr>
            <w:tcW w:w="720" w:type="dxa"/>
            <w:noWrap w:val="0"/>
            <w:vAlign w:val="center"/>
          </w:tcPr>
          <w:p>
            <w:pPr>
              <w:pStyle w:val="21"/>
              <w:keepNext w:val="0"/>
              <w:keepLines w:val="0"/>
              <w:suppressLineNumbers w:val="0"/>
              <w:adjustRightInd w:val="0"/>
              <w:snapToGrid w:val="0"/>
              <w:spacing w:before="0" w:beforeAutospacing="0" w:after="0" w:afterAutospacing="0"/>
              <w:ind w:left="0" w:right="0"/>
              <w:jc w:val="center"/>
              <w:rPr>
                <w:rFonts w:hint="default" w:cs="宋体"/>
                <w:bCs/>
                <w:kern w:val="2"/>
                <w:sz w:val="21"/>
                <w:szCs w:val="21"/>
              </w:rPr>
            </w:pPr>
            <w:r>
              <w:rPr>
                <w:rFonts w:hint="eastAsia" w:cs="宋体"/>
                <w:bCs/>
                <w:kern w:val="2"/>
                <w:sz w:val="21"/>
                <w:szCs w:val="21"/>
              </w:rPr>
              <w:t>选址选线环境合理性分析</w:t>
            </w:r>
          </w:p>
        </w:tc>
        <w:tc>
          <w:tcPr>
            <w:tcW w:w="8522" w:type="dxa"/>
            <w:noWrap w:val="0"/>
            <w:vAlign w:val="top"/>
          </w:tcPr>
          <w:p>
            <w:pPr>
              <w:pStyle w:val="48"/>
              <w:keepNext w:val="0"/>
              <w:keepLines w:val="0"/>
              <w:suppressLineNumbers w:val="0"/>
              <w:bidi w:val="0"/>
              <w:spacing w:before="0" w:beforeAutospacing="0" w:after="0" w:afterAutospacing="0"/>
              <w:ind w:left="0" w:right="0"/>
              <w:rPr>
                <w:rFonts w:hint="eastAsia"/>
                <w:lang w:val="en-US" w:eastAsia="zh-CN"/>
              </w:rPr>
            </w:pPr>
            <w:r>
              <w:rPr>
                <w:rFonts w:hint="default" w:ascii="Times New Roman" w:hAnsi="Times New Roman" w:cs="Times New Roman"/>
                <w:highlight w:val="none"/>
                <w:lang w:val="en-US" w:eastAsia="zh-CN"/>
              </w:rPr>
              <w:t>项目位于</w:t>
            </w:r>
            <w:r>
              <w:rPr>
                <w:rFonts w:hint="eastAsia" w:cs="Times New Roman"/>
                <w:highlight w:val="none"/>
                <w:lang w:val="en-US" w:eastAsia="zh-CN"/>
              </w:rPr>
              <w:t>新疆维吾尔自治区巴音郭楞蒙古自治州和硕县城东北17°方向，直线距离39千米处</w:t>
            </w:r>
            <w:r>
              <w:rPr>
                <w:rFonts w:hint="default" w:ascii="Times New Roman" w:hAnsi="Times New Roman" w:cs="Times New Roman"/>
                <w:highlight w:val="none"/>
                <w:lang w:val="en-US" w:eastAsia="zh-CN"/>
              </w:rPr>
              <w:t>，工作区面积</w:t>
            </w:r>
            <w:r>
              <w:rPr>
                <w:rFonts w:hint="eastAsia" w:cs="Times New Roman"/>
                <w:highlight w:val="none"/>
                <w:lang w:val="en-US" w:eastAsia="zh-CN"/>
              </w:rPr>
              <w:t>15.048平方公里</w:t>
            </w:r>
            <w:r>
              <w:rPr>
                <w:rFonts w:hint="default" w:ascii="Times New Roman" w:hAnsi="Times New Roman" w:cs="Times New Roman"/>
                <w:highlight w:val="none"/>
                <w:lang w:val="en-US" w:eastAsia="zh-CN"/>
              </w:rPr>
              <w:t>。行政区划隶属</w:t>
            </w:r>
            <w:r>
              <w:rPr>
                <w:rFonts w:hint="eastAsia" w:cs="Times New Roman"/>
                <w:highlight w:val="none"/>
                <w:lang w:val="en-US" w:eastAsia="zh-CN"/>
              </w:rPr>
              <w:t>和硕县</w:t>
            </w:r>
            <w:r>
              <w:rPr>
                <w:rFonts w:hint="default" w:ascii="Times New Roman" w:hAnsi="Times New Roman" w:cs="Times New Roman"/>
                <w:highlight w:val="none"/>
                <w:lang w:val="en-US" w:eastAsia="zh-CN"/>
              </w:rPr>
              <w:t>管辖</w:t>
            </w:r>
            <w:r>
              <w:rPr>
                <w:rFonts w:hint="eastAsia" w:cs="Times New Roman"/>
                <w:highlight w:val="none"/>
                <w:lang w:val="en-US" w:eastAsia="zh-CN"/>
              </w:rPr>
              <w:t>。</w:t>
            </w:r>
            <w:r>
              <w:rPr>
                <w:rFonts w:hint="default"/>
              </w:rPr>
              <w:t>根据</w:t>
            </w:r>
            <w:r>
              <w:rPr>
                <w:rFonts w:hint="eastAsia"/>
                <w:lang w:eastAsia="zh-CN"/>
              </w:rPr>
              <w:t>《产业结构调整指导目录（2024年本）》</w:t>
            </w:r>
            <w:r>
              <w:rPr>
                <w:rFonts w:hint="default"/>
              </w:rPr>
              <w:t>，</w:t>
            </w:r>
            <w:r>
              <w:rPr>
                <w:rFonts w:hint="default"/>
                <w:lang w:val="en-US" w:eastAsia="zh-CN"/>
              </w:rPr>
              <w:t>项目属于</w:t>
            </w:r>
            <w:r>
              <w:rPr>
                <w:rFonts w:hint="eastAsia"/>
                <w:lang w:val="en-US" w:eastAsia="zh-CN"/>
              </w:rPr>
              <w:t>矿产资源地质勘查项目，</w:t>
            </w:r>
            <w:r>
              <w:rPr>
                <w:rFonts w:hint="default"/>
              </w:rPr>
              <w:t>属于</w:t>
            </w:r>
            <w:r>
              <w:rPr>
                <w:rFonts w:hint="eastAsia"/>
                <w:lang w:val="en-US" w:eastAsia="zh-CN"/>
              </w:rPr>
              <w:t>允许</w:t>
            </w:r>
            <w:r>
              <w:rPr>
                <w:rFonts w:hint="default"/>
              </w:rPr>
              <w:t>类项目</w:t>
            </w:r>
            <w:r>
              <w:rPr>
                <w:rFonts w:hint="eastAsia"/>
                <w:lang w:eastAsia="zh-CN"/>
              </w:rPr>
              <w:t>，</w:t>
            </w:r>
            <w:r>
              <w:rPr>
                <w:rFonts w:hint="default"/>
                <w:lang w:val="en-US" w:eastAsia="zh-CN"/>
              </w:rPr>
              <w:t>项目不属于高污染、高能耗行业</w:t>
            </w:r>
            <w:r>
              <w:rPr>
                <w:rFonts w:hint="eastAsia"/>
                <w:highlight w:val="none"/>
                <w:lang w:val="en-US" w:eastAsia="zh-CN"/>
              </w:rPr>
              <w:t>，</w:t>
            </w:r>
            <w:r>
              <w:rPr>
                <w:rFonts w:hint="eastAsia"/>
                <w:lang w:val="en-US" w:eastAsia="zh-CN"/>
              </w:rPr>
              <w:t>所以本项目</w:t>
            </w:r>
            <w:r>
              <w:rPr>
                <w:rFonts w:hint="default"/>
                <w:lang w:val="en-US" w:eastAsia="zh-CN"/>
              </w:rPr>
              <w:t>符合产业政策和环境准入要求。</w:t>
            </w:r>
          </w:p>
          <w:p>
            <w:pPr>
              <w:pStyle w:val="48"/>
              <w:keepNext w:val="0"/>
              <w:keepLines w:val="0"/>
              <w:suppressLineNumbers w:val="0"/>
              <w:bidi w:val="0"/>
              <w:spacing w:before="0" w:beforeAutospacing="0" w:after="0" w:afterAutospacing="0"/>
              <w:ind w:left="0" w:right="0"/>
              <w:rPr>
                <w:rFonts w:hint="default"/>
              </w:rPr>
            </w:pPr>
            <w:r>
              <w:rPr>
                <w:rFonts w:hint="default"/>
              </w:rPr>
              <w:t>根据《新疆维吾尔自治区重点行业生态环境准入条件（2024年）》</w:t>
            </w:r>
            <w:r>
              <w:rPr>
                <w:rFonts w:hint="default"/>
                <w:lang w:eastAsia="zh-CN"/>
              </w:rPr>
              <w:t>：禁止在自然保护区、世界自然遗产地、风景名胜区、森林公园、地质公园、重要湿地、饮用水水源保护区等重点保护区域内及其它法律法规禁止的区域进行污染环境的任何开发活动。</w:t>
            </w:r>
            <w:r>
              <w:rPr>
                <w:rFonts w:hint="default"/>
              </w:rPr>
              <w:t>根据现场勘查，</w:t>
            </w:r>
            <w:r>
              <w:rPr>
                <w:rFonts w:hint="default"/>
                <w:lang w:eastAsia="zh-CN"/>
              </w:rPr>
              <w:t>勘探</w:t>
            </w:r>
            <w:r>
              <w:rPr>
                <w:rFonts w:hint="default"/>
              </w:rPr>
              <w:t>区</w:t>
            </w:r>
            <w:r>
              <w:rPr>
                <w:rFonts w:hint="default"/>
                <w:lang w:eastAsia="zh-CN"/>
              </w:rPr>
              <w:t>不涉及自然保护区、世界自然遗产地、风景名胜区、森林公园、地质公园、重要湿地、饮用水水源保护区等重点保护区域，</w:t>
            </w:r>
            <w:r>
              <w:rPr>
                <w:rFonts w:hint="default"/>
              </w:rPr>
              <w:t>因此本项目选址符合《新疆维吾尔自治区重点行业生态环境准入条件（2024年）》的相关要求。</w:t>
            </w:r>
          </w:p>
          <w:p>
            <w:pPr>
              <w:pStyle w:val="48"/>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本项目符合《</w:t>
            </w:r>
            <w:r>
              <w:rPr>
                <w:rFonts w:hint="default"/>
                <w:lang w:val="en-US" w:eastAsia="zh-CN"/>
              </w:rPr>
              <w:t>新疆维吾尔自治区矿产资源总体规划（2021</w:t>
            </w:r>
            <w:r>
              <w:rPr>
                <w:rFonts w:hint="eastAsia"/>
                <w:lang w:val="en-US" w:eastAsia="zh-CN"/>
              </w:rPr>
              <w:t>—</w:t>
            </w:r>
            <w:r>
              <w:rPr>
                <w:rFonts w:hint="default"/>
                <w:lang w:val="en-US" w:eastAsia="zh-CN"/>
              </w:rPr>
              <w:t>2025年）</w:t>
            </w:r>
            <w:r>
              <w:rPr>
                <w:rFonts w:hint="eastAsia"/>
                <w:lang w:val="en-US" w:eastAsia="zh-CN"/>
              </w:rPr>
              <w:t>》基本原则（即聚焦国家、新疆紧缺矿产，以找大矿富矿为目标，加大勘查力度，突出南疆，持续推进找矿突破，助力乡村振兴，巩固脱贫攻坚成果。强化矿产资源合理开发利用与保护，不断提高资源利用水平，延伸下游产业链，为国家、自治区经济社会发展提供可靠的资源保障），且项目勘探以铜多金属矿为主攻矿种，</w:t>
            </w:r>
            <w:r>
              <w:rPr>
                <w:rFonts w:hint="eastAsia"/>
                <w:color w:val="auto"/>
                <w:lang w:val="en-US" w:eastAsia="zh-CN"/>
              </w:rPr>
              <w:t>不属于限制和禁止开采矿种</w:t>
            </w:r>
            <w:r>
              <w:rPr>
                <w:rFonts w:hint="eastAsia"/>
                <w:lang w:val="en-US" w:eastAsia="zh-CN"/>
              </w:rPr>
              <w:t>，符合《</w:t>
            </w:r>
            <w:r>
              <w:rPr>
                <w:rFonts w:hint="default"/>
                <w:lang w:val="en-US" w:eastAsia="zh-CN"/>
              </w:rPr>
              <w:t>新疆维吾尔自治区矿产资源总体规划（2021</w:t>
            </w:r>
            <w:r>
              <w:rPr>
                <w:rFonts w:hint="eastAsia"/>
                <w:lang w:val="en-US" w:eastAsia="zh-CN"/>
              </w:rPr>
              <w:t>—</w:t>
            </w:r>
            <w:r>
              <w:rPr>
                <w:rFonts w:hint="default"/>
                <w:lang w:val="en-US" w:eastAsia="zh-CN"/>
              </w:rPr>
              <w:t>2025年）</w:t>
            </w:r>
            <w:r>
              <w:rPr>
                <w:rFonts w:hint="eastAsia"/>
                <w:lang w:val="en-US" w:eastAsia="zh-CN"/>
              </w:rPr>
              <w:t>》相关要求。</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highlight w:val="none"/>
                <w:lang w:val="en-US" w:eastAsia="zh-CN"/>
              </w:rPr>
              <w:t>项目开发过程中</w:t>
            </w:r>
            <w:r>
              <w:rPr>
                <w:rFonts w:hint="eastAsia"/>
                <w:highlight w:val="none"/>
                <w:lang w:val="en-US" w:eastAsia="zh-CN"/>
              </w:rPr>
              <w:t>需</w:t>
            </w:r>
            <w:r>
              <w:rPr>
                <w:rFonts w:hint="default"/>
                <w:highlight w:val="none"/>
                <w:lang w:val="en-US" w:eastAsia="zh-CN"/>
              </w:rPr>
              <w:t>加强水土保持工作，控制人为活动造成新的水土流失。勘探区降雨量较低，基本无法形成无组织的径流</w:t>
            </w:r>
            <w:r>
              <w:rPr>
                <w:rFonts w:hint="eastAsia"/>
                <w:highlight w:val="none"/>
                <w:lang w:val="en-US" w:eastAsia="zh-CN"/>
              </w:rPr>
              <w:t>，</w:t>
            </w:r>
            <w:r>
              <w:rPr>
                <w:rFonts w:hint="default"/>
                <w:highlight w:val="none"/>
                <w:lang w:val="en-US" w:eastAsia="zh-CN"/>
              </w:rPr>
              <w:t>勘探区采用了边开挖、边回填、边复垦的勘探方式，</w:t>
            </w:r>
            <w:r>
              <w:rPr>
                <w:rFonts w:hint="default"/>
                <w:lang w:val="en-US" w:eastAsia="zh-CN"/>
              </w:rPr>
              <w:t>符合《新疆维吾尔自治区水土保持规划（2018</w:t>
            </w:r>
            <w:r>
              <w:rPr>
                <w:rFonts w:hint="eastAsia"/>
                <w:lang w:val="en-US" w:eastAsia="zh-CN"/>
              </w:rPr>
              <w:t>—</w:t>
            </w:r>
            <w:r>
              <w:rPr>
                <w:rFonts w:hint="default"/>
                <w:lang w:val="en-US" w:eastAsia="zh-CN"/>
              </w:rPr>
              <w:t>2030年）》的相关要求。</w:t>
            </w:r>
          </w:p>
          <w:p>
            <w:pPr>
              <w:pStyle w:val="48"/>
              <w:keepNext w:val="0"/>
              <w:keepLines w:val="0"/>
              <w:suppressLineNumbers w:val="0"/>
              <w:bidi w:val="0"/>
              <w:spacing w:before="0" w:beforeAutospacing="0" w:after="0" w:afterAutospacing="0"/>
              <w:ind w:left="0" w:right="0"/>
              <w:rPr>
                <w:rFonts w:hint="default"/>
                <w:lang w:eastAsia="zh-CN"/>
              </w:rPr>
            </w:pPr>
            <w:r>
              <w:rPr>
                <w:rFonts w:hint="default"/>
                <w:lang w:eastAsia="zh-CN"/>
              </w:rPr>
              <w:t>因此，本项目选址合理。</w:t>
            </w: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right="0"/>
              <w:rPr>
                <w:rFonts w:hint="default"/>
                <w:lang w:eastAsia="zh-CN"/>
              </w:rPr>
            </w:pPr>
          </w:p>
          <w:p>
            <w:pPr>
              <w:pStyle w:val="48"/>
              <w:keepNext w:val="0"/>
              <w:keepLines w:val="0"/>
              <w:suppressLineNumbers w:val="0"/>
              <w:bidi w:val="0"/>
              <w:spacing w:before="0" w:beforeAutospacing="0" w:after="0" w:afterAutospacing="0"/>
              <w:ind w:left="0" w:leftChars="0" w:right="0" w:firstLine="0" w:firstLineChars="0"/>
              <w:rPr>
                <w:rFonts w:hint="default"/>
                <w:lang w:val="en-US" w:eastAsia="zh-CN"/>
              </w:rPr>
            </w:pPr>
          </w:p>
        </w:tc>
      </w:tr>
    </w:tbl>
    <w:p>
      <w:pPr>
        <w:pStyle w:val="21"/>
        <w:jc w:val="center"/>
        <w:rPr>
          <w:rFonts w:ascii="黑体" w:hAnsi="黑体" w:eastAsia="黑体"/>
          <w:snapToGrid w:val="0"/>
          <w:sz w:val="36"/>
          <w:szCs w:val="36"/>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pPr>
        <w:pStyle w:val="21"/>
        <w:adjustRightInd w:val="0"/>
        <w:snapToGrid w:val="0"/>
        <w:spacing w:before="0" w:beforeAutospacing="0" w:after="0" w:afterAutospacing="0" w:line="14" w:lineRule="auto"/>
        <w:jc w:val="center"/>
        <w:outlineLvl w:val="0"/>
        <w:rPr>
          <w:rFonts w:hint="eastAsia" w:ascii="黑体" w:hAnsi="黑体" w:eastAsia="黑体"/>
          <w:snapToGrid w:val="0"/>
          <w:sz w:val="30"/>
          <w:szCs w:val="30"/>
        </w:rPr>
      </w:pPr>
    </w:p>
    <w:p>
      <w:pPr>
        <w:pStyle w:val="21"/>
        <w:keepNext w:val="0"/>
        <w:keepLines w:val="0"/>
        <w:pageBreakBefore w:val="0"/>
        <w:widowControl/>
        <w:kinsoku/>
        <w:wordWrap/>
        <w:overflowPunct/>
        <w:topLinePunct w:val="0"/>
        <w:autoSpaceDE/>
        <w:autoSpaceDN/>
        <w:bidi w:val="0"/>
        <w:adjustRightInd/>
        <w:snapToGrid/>
        <w:spacing w:before="313" w:beforeLines="100" w:beforeAutospacing="0" w:after="313" w:afterLines="100" w:afterAutospacing="0"/>
        <w:jc w:val="center"/>
        <w:textAlignment w:val="auto"/>
        <w:outlineLvl w:val="0"/>
        <w:rPr>
          <w:rFonts w:ascii="黑体" w:hAnsi="黑体" w:eastAsia="黑体"/>
          <w:snapToGrid w:val="0"/>
          <w:sz w:val="30"/>
          <w:szCs w:val="30"/>
        </w:rPr>
      </w:pPr>
      <w:r>
        <w:rPr>
          <w:rFonts w:hint="eastAsia" w:ascii="黑体" w:hAnsi="黑体" w:eastAsia="黑体"/>
          <w:snapToGrid w:val="0"/>
          <w:sz w:val="30"/>
          <w:szCs w:val="30"/>
        </w:rPr>
        <w:t>五、主要生态环境保护措施</w:t>
      </w:r>
    </w:p>
    <w:tbl>
      <w:tblPr>
        <w:tblStyle w:val="25"/>
        <w:tblW w:w="844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69"/>
        <w:gridCol w:w="778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95" w:hRule="atLeast"/>
          <w:jc w:val="center"/>
        </w:trPr>
        <w:tc>
          <w:tcPr>
            <w:tcW w:w="669" w:type="dxa"/>
            <w:noWrap w:val="0"/>
            <w:tcMar>
              <w:left w:w="28" w:type="dxa"/>
              <w:right w:w="28" w:type="dxa"/>
            </w:tcMar>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szCs w:val="21"/>
              </w:rPr>
            </w:pPr>
            <w:r>
              <w:rPr>
                <w:rFonts w:hint="default" w:ascii="Times New Roman" w:hAnsi="Times New Roman" w:cs="Times New Roman"/>
                <w:bCs/>
                <w:spacing w:val="10"/>
                <w:szCs w:val="21"/>
              </w:rPr>
              <w:t>施工期生态环境保护措施</w:t>
            </w:r>
          </w:p>
        </w:tc>
        <w:tc>
          <w:tcPr>
            <w:tcW w:w="7780" w:type="dxa"/>
            <w:noWrap w:val="0"/>
            <w:vAlign w:val="center"/>
          </w:tcPr>
          <w:p>
            <w:pPr>
              <w:pStyle w:val="50"/>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1.</w:t>
            </w:r>
            <w:r>
              <w:rPr>
                <w:rFonts w:hint="default"/>
              </w:rPr>
              <w:t>施工期</w:t>
            </w:r>
            <w:r>
              <w:rPr>
                <w:rFonts w:hint="default"/>
                <w:lang w:val="en-US" w:eastAsia="zh-CN"/>
              </w:rPr>
              <w:t>生态</w:t>
            </w:r>
            <w:r>
              <w:rPr>
                <w:rFonts w:hint="default"/>
              </w:rPr>
              <w:t>环境</w:t>
            </w:r>
            <w:r>
              <w:rPr>
                <w:rFonts w:hint="default"/>
                <w:lang w:val="en-US" w:eastAsia="zh-CN"/>
              </w:rPr>
              <w:t>保护措施</w:t>
            </w:r>
          </w:p>
          <w:p>
            <w:pPr>
              <w:pStyle w:val="50"/>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1.1对地表扰动的生态保护措施</w:t>
            </w:r>
          </w:p>
          <w:p>
            <w:pPr>
              <w:pStyle w:val="48"/>
              <w:keepNext w:val="0"/>
              <w:keepLines w:val="0"/>
              <w:suppressLineNumbers w:val="0"/>
              <w:spacing w:before="0" w:beforeAutospacing="0" w:after="0" w:afterAutospacing="0"/>
              <w:ind w:left="0" w:right="0"/>
              <w:rPr>
                <w:rFonts w:hint="default" w:ascii="Times New Roman" w:hAnsi="Times New Roman" w:cs="Times New Roman"/>
              </w:rPr>
            </w:pPr>
            <w:r>
              <w:rPr>
                <w:rFonts w:hint="default" w:ascii="Times New Roman" w:hAnsi="Times New Roman" w:cs="Times New Roman"/>
                <w:lang w:eastAsia="zh-CN"/>
              </w:rPr>
              <w:t>（</w:t>
            </w:r>
            <w:r>
              <w:rPr>
                <w:rFonts w:hint="default" w:ascii="Times New Roman" w:hAnsi="Times New Roman" w:cs="Times New Roman"/>
                <w:lang w:val="en-US" w:eastAsia="zh-CN"/>
              </w:rPr>
              <w:t>1</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施工期结束后及时拆除临时施工营地，</w:t>
            </w:r>
            <w:r>
              <w:rPr>
                <w:rFonts w:hint="default" w:ascii="Times New Roman" w:hAnsi="Times New Roman" w:cs="Times New Roman"/>
                <w:b w:val="0"/>
                <w:bCs w:val="0"/>
                <w:color w:val="auto"/>
                <w:lang w:val="en-US" w:eastAsia="zh-CN"/>
              </w:rPr>
              <w:t>将帐篷进行收纳和保存，不可随意丢弃。</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rPr>
              <w:t>（2）</w:t>
            </w:r>
            <w:r>
              <w:rPr>
                <w:rFonts w:hint="default" w:ascii="Times New Roman" w:hAnsi="Times New Roman" w:cs="Times New Roman"/>
                <w:lang w:val="en-US" w:eastAsia="zh-CN"/>
              </w:rPr>
              <w:t>在施工前应预先剥离表土，单独堆放并使用</w:t>
            </w:r>
            <w:r>
              <w:rPr>
                <w:rFonts w:hint="eastAsia" w:cs="Times New Roman"/>
                <w:lang w:val="en-US" w:eastAsia="zh-CN"/>
              </w:rPr>
              <w:t>彩布条</w:t>
            </w:r>
            <w:r>
              <w:rPr>
                <w:rFonts w:hint="default" w:ascii="Times New Roman" w:hAnsi="Times New Roman" w:cs="Times New Roman"/>
                <w:lang w:val="en-US" w:eastAsia="zh-CN"/>
              </w:rPr>
              <w:t>苫盖。表土剥离厚度约0.3m，尽量使用小型挖掘机械或人工作业，减少对周围环境的扰动。</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（3）</w:t>
            </w:r>
            <w:r>
              <w:rPr>
                <w:rFonts w:hint="default" w:ascii="Times New Roman" w:hAnsi="Times New Roman" w:cs="Times New Roman"/>
              </w:rPr>
              <w:t>施工结束后，及时拆除、清理临时生产设施，各类施工迹地、料场应进行清理，平整场地，使扰动过的地表与周围的景观相协调。</w:t>
            </w:r>
            <w:r>
              <w:rPr>
                <w:rFonts w:hint="default" w:ascii="Times New Roman" w:hAnsi="Times New Roman" w:cs="Times New Roman"/>
                <w:lang w:val="en-US" w:eastAsia="zh-CN"/>
              </w:rPr>
              <w:t>在土方回填施工过程中，应采取以下环境保护措施。</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①合理划定回填区域范围，确保不超过规定范围。</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②制定详细表土回用计划，明确回用时间、地点、方式及用量，确保在探矿结束后及时开展。</w:t>
            </w:r>
          </w:p>
          <w:p>
            <w:pPr>
              <w:pStyle w:val="48"/>
              <w:keepNext w:val="0"/>
              <w:keepLines w:val="0"/>
              <w:suppressLineNumbers w:val="0"/>
              <w:bidi w:val="0"/>
              <w:spacing w:before="0" w:beforeAutospacing="0" w:after="0" w:afterAutospacing="0"/>
              <w:ind w:left="0" w:right="0"/>
              <w:rPr>
                <w:rFonts w:hint="default" w:ascii="Times New Roman" w:hAnsi="Times New Roman" w:eastAsia="宋体" w:cs="Times New Roman"/>
                <w:b w:val="0"/>
                <w:kern w:val="0"/>
                <w:sz w:val="24"/>
                <w:szCs w:val="24"/>
                <w:lang w:val="en-US" w:eastAsia="zh-CN" w:bidi="ar-SA"/>
              </w:rPr>
            </w:pPr>
            <w:r>
              <w:rPr>
                <w:rFonts w:hint="default" w:ascii="Times New Roman" w:hAnsi="Times New Roman" w:eastAsia="宋体" w:cs="Times New Roman"/>
                <w:b w:val="0"/>
                <w:kern w:val="0"/>
                <w:sz w:val="24"/>
                <w:szCs w:val="24"/>
                <w:lang w:val="en-US" w:eastAsia="zh-CN" w:bidi="ar-SA"/>
              </w:rPr>
              <w:t>③回用过程中，遵循“先剥离、后回用”原则，按照原土壤层次顺序回填。采用机械与人工相结合的方式，确保回填均匀，平整周边地形，使其与周边地形地貌相协调，最终使其自然恢复。</w:t>
            </w:r>
          </w:p>
          <w:p>
            <w:pPr>
              <w:pStyle w:val="50"/>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1.2对野生动植物的保护措施</w:t>
            </w:r>
          </w:p>
          <w:p>
            <w:pPr>
              <w:pStyle w:val="48"/>
              <w:keepNext w:val="0"/>
              <w:keepLines w:val="0"/>
              <w:suppressLineNumbers w:val="0"/>
              <w:bidi w:val="0"/>
              <w:spacing w:before="0" w:beforeAutospacing="0" w:after="0" w:afterAutospacing="0"/>
              <w:ind w:left="0" w:right="0"/>
              <w:rPr>
                <w:rFonts w:hint="default" w:ascii="Times New Roman" w:hAnsi="Times New Roman" w:cs="Times New Roman"/>
              </w:rPr>
            </w:pPr>
            <w:r>
              <w:rPr>
                <w:rFonts w:hint="default" w:ascii="Times New Roman" w:hAnsi="Times New Roman" w:cs="Times New Roman"/>
                <w:lang w:val="en-US" w:eastAsia="zh-CN"/>
              </w:rPr>
              <w:t>（1）优化选择施工道路的选址</w:t>
            </w:r>
            <w:r>
              <w:rPr>
                <w:rFonts w:hint="default" w:ascii="Times New Roman" w:hAnsi="Times New Roman" w:cs="Times New Roman"/>
              </w:rPr>
              <w:t>，严格限定施工作业带范围，严格行车路线，运输车辆不得随意驶离道路或施工便道。优化施工组织，尽量减少施工过程中动用的土石方数量，减少植被破坏量。</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rPr>
              <w:t>（</w:t>
            </w:r>
            <w:r>
              <w:rPr>
                <w:rFonts w:hint="default" w:ascii="Times New Roman" w:hAnsi="Times New Roman" w:cs="Times New Roman"/>
                <w:lang w:val="en-US" w:eastAsia="zh-CN"/>
              </w:rPr>
              <w:t>2</w:t>
            </w:r>
            <w:r>
              <w:rPr>
                <w:rFonts w:hint="default" w:ascii="Times New Roman" w:hAnsi="Times New Roman" w:cs="Times New Roman"/>
              </w:rPr>
              <w:t>）</w:t>
            </w:r>
            <w:r>
              <w:rPr>
                <w:rFonts w:hint="default" w:ascii="Times New Roman" w:hAnsi="Times New Roman" w:cs="Times New Roman"/>
                <w:lang w:val="en-US" w:eastAsia="zh-CN"/>
              </w:rPr>
              <w:t>在施工道路设置</w:t>
            </w:r>
            <w:r>
              <w:rPr>
                <w:rFonts w:hint="eastAsia" w:cs="Times New Roman"/>
                <w:lang w:val="en-US" w:eastAsia="zh-CN"/>
              </w:rPr>
              <w:t>“</w:t>
            </w:r>
            <w:r>
              <w:rPr>
                <w:rFonts w:hint="default" w:ascii="Times New Roman" w:hAnsi="Times New Roman" w:cs="Times New Roman"/>
                <w:lang w:val="en-US" w:eastAsia="zh-CN"/>
              </w:rPr>
              <w:t>保护生态环境、保护野生动物</w:t>
            </w:r>
            <w:r>
              <w:rPr>
                <w:rFonts w:hint="eastAsia" w:cs="Times New Roman"/>
                <w:lang w:val="en-US" w:eastAsia="zh-CN"/>
              </w:rPr>
              <w:t>”</w:t>
            </w:r>
            <w:r>
              <w:rPr>
                <w:rFonts w:hint="default" w:ascii="Times New Roman" w:hAnsi="Times New Roman" w:cs="Times New Roman"/>
                <w:lang w:val="en-US" w:eastAsia="zh-CN"/>
              </w:rPr>
              <w:t>等警示牌，加强对施工人员进行宣传教育，强化保护野生动物的观念，不得捕猎。车辆行驶过程中不得鸣笛惊吓野生动物。</w:t>
            </w:r>
          </w:p>
          <w:p>
            <w:pPr>
              <w:pStyle w:val="48"/>
              <w:keepNext w:val="0"/>
              <w:keepLines w:val="0"/>
              <w:suppressLineNumbers w:val="0"/>
              <w:bidi w:val="0"/>
              <w:spacing w:before="0" w:beforeAutospacing="0" w:after="0" w:afterAutospacing="0"/>
              <w:ind w:left="0" w:right="0"/>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施工时，避免大型挖掘设备，尽量使用小型挖掘机械或人工作业，尽量缩短工期，减少因施工造成对</w:t>
            </w:r>
            <w:r>
              <w:rPr>
                <w:rFonts w:hint="default" w:ascii="Times New Roman" w:hAnsi="Times New Roman" w:cs="Times New Roman"/>
                <w:lang w:val="en-US" w:eastAsia="zh-CN"/>
              </w:rPr>
              <w:t>动植物</w:t>
            </w:r>
            <w:r>
              <w:rPr>
                <w:rFonts w:hint="default" w:ascii="Times New Roman" w:hAnsi="Times New Roman" w:cs="Times New Roman"/>
              </w:rPr>
              <w:t>的影响。</w:t>
            </w:r>
          </w:p>
          <w:p>
            <w:pPr>
              <w:pStyle w:val="50"/>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1.3</w:t>
            </w:r>
            <w:r>
              <w:rPr>
                <w:rFonts w:hint="default"/>
              </w:rPr>
              <w:t>施工期</w:t>
            </w:r>
            <w:r>
              <w:rPr>
                <w:rFonts w:hint="default"/>
                <w:lang w:val="en-US" w:eastAsia="zh-CN"/>
              </w:rPr>
              <w:t>防沙治沙措施</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项目施工时间短，范围小，对区域土地沙化影响较小。采取以下防沙治沙措施：</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①施工结束后对场地进行平整和清理，尽量利用施工时产生的表层土对临时占地进行覆盖。</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②合理规划机械行驶路线，避免不必要的重复碾压。</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③严禁在大风大雨天气施工。</w:t>
            </w:r>
          </w:p>
          <w:p>
            <w:pPr>
              <w:pStyle w:val="50"/>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1.4施工期水土保持措施</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项目施工过程中，各类工程活动如平整场地、搭建临时设施等会造成水土流失。采取以下水土保持措施：</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①做好施工规划工作，合理布设施工场地，减少占用土地；</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②控制人为活动，加强施工监理，防止施工人员及施工机械超范围的活动；动土作业应尽量避免大风天和雨天开展，以免造成大量水土流失。</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eastAsia="zh-CN"/>
              </w:rPr>
            </w:pPr>
            <w:r>
              <w:rPr>
                <w:rFonts w:hint="default" w:ascii="Times New Roman" w:hAnsi="Times New Roman" w:cs="Times New Roman"/>
                <w:lang w:val="en-US" w:eastAsia="zh-CN"/>
              </w:rPr>
              <w:t>③结束后要对施工迹地进行清理平整与植被恢复工作，尽可能减少对树木与植被的破坏。</w:t>
            </w:r>
          </w:p>
          <w:p>
            <w:pPr>
              <w:pStyle w:val="50"/>
              <w:keepNext w:val="0"/>
              <w:keepLines w:val="0"/>
              <w:suppressLineNumbers w:val="0"/>
              <w:bidi w:val="0"/>
              <w:spacing w:before="0" w:beforeAutospacing="0" w:after="0" w:afterAutospacing="0"/>
              <w:ind w:left="0" w:right="0"/>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施工期大气环境</w:t>
            </w:r>
            <w:r>
              <w:rPr>
                <w:rFonts w:hint="default" w:ascii="Times New Roman" w:hAnsi="Times New Roman" w:cs="Times New Roman"/>
                <w:lang w:val="en-US" w:eastAsia="zh-CN"/>
              </w:rPr>
              <w:t>保护措施</w:t>
            </w:r>
          </w:p>
          <w:p>
            <w:pPr>
              <w:pStyle w:val="48"/>
              <w:keepNext w:val="0"/>
              <w:keepLines w:val="0"/>
              <w:numPr>
                <w:ilvl w:val="0"/>
                <w:numId w:val="0"/>
              </w:numPr>
              <w:suppressLineNumbers w:val="0"/>
              <w:bidi w:val="0"/>
              <w:spacing w:before="0" w:beforeAutospacing="0" w:after="0" w:afterAutospacing="0"/>
              <w:ind w:left="0" w:right="0" w:firstLine="480" w:firstLineChars="200"/>
              <w:rPr>
                <w:rFonts w:hint="default" w:ascii="Times New Roman" w:hAnsi="Times New Roman" w:cs="Times New Roman"/>
              </w:rPr>
            </w:pPr>
            <w:r>
              <w:rPr>
                <w:rFonts w:hint="default" w:ascii="Times New Roman" w:hAnsi="Times New Roman" w:eastAsia="宋体" w:cs="Times New Roman"/>
                <w:kern w:val="0"/>
                <w:sz w:val="24"/>
                <w:szCs w:val="24"/>
                <w:lang w:val="en-US" w:eastAsia="zh-CN" w:bidi="ar-SA"/>
              </w:rPr>
              <w:t>（1）</w:t>
            </w:r>
            <w:r>
              <w:rPr>
                <w:rFonts w:hint="default" w:ascii="Times New Roman" w:hAnsi="Times New Roman" w:cs="Times New Roman"/>
              </w:rPr>
              <w:t>运输车辆应谨防运输车辆装载过满，并尽可能采取遮盖、密闭措施，苫布边缘至少要遮住槽帮上沿以下15cm，减少其沿途遗洒，及时清扫散落在路面的泥土和灰尘定时洒水压尘，减少运输过程中的扬尘，防止因速度过快导致的汽车扬尘。</w:t>
            </w:r>
          </w:p>
          <w:p>
            <w:pPr>
              <w:pStyle w:val="48"/>
              <w:keepNext w:val="0"/>
              <w:keepLines w:val="0"/>
              <w:numPr>
                <w:ilvl w:val="0"/>
                <w:numId w:val="0"/>
              </w:numPr>
              <w:suppressLineNumbers w:val="0"/>
              <w:bidi w:val="0"/>
              <w:spacing w:before="0" w:beforeAutospacing="0" w:after="0" w:afterAutospacing="0"/>
              <w:ind w:left="0" w:right="0" w:firstLine="480" w:firstLineChars="200"/>
              <w:rPr>
                <w:rFonts w:hint="default" w:ascii="Times New Roman" w:hAnsi="Times New Roman" w:cs="Times New Roman"/>
              </w:rPr>
            </w:pPr>
            <w:r>
              <w:rPr>
                <w:rFonts w:hint="default" w:ascii="Times New Roman" w:hAnsi="Times New Roman" w:cs="Times New Roman"/>
              </w:rPr>
              <w:t>（2）施工</w:t>
            </w:r>
            <w:r>
              <w:rPr>
                <w:rFonts w:hint="eastAsia" w:cs="Times New Roman"/>
                <w:lang w:eastAsia="zh-CN"/>
              </w:rPr>
              <w:t>场地</w:t>
            </w:r>
            <w:r>
              <w:rPr>
                <w:rFonts w:hint="default" w:ascii="Times New Roman" w:hAnsi="Times New Roman" w:cs="Times New Roman"/>
              </w:rPr>
              <w:t>道路积尘清理措施，定期对场区洒水，保持下垫面和空气湿润，减少起尘量，洒水频率视天气情况调整，原则上施工期每天进行4次洒水降尘。</w:t>
            </w:r>
          </w:p>
          <w:p>
            <w:pPr>
              <w:pStyle w:val="48"/>
              <w:keepNext w:val="0"/>
              <w:keepLines w:val="0"/>
              <w:numPr>
                <w:ilvl w:val="0"/>
                <w:numId w:val="0"/>
              </w:numPr>
              <w:suppressLineNumbers w:val="0"/>
              <w:bidi w:val="0"/>
              <w:spacing w:before="0" w:beforeAutospacing="0" w:after="0" w:afterAutospacing="0"/>
              <w:ind w:left="0" w:right="0" w:firstLine="480" w:firstLineChars="200"/>
              <w:rPr>
                <w:rFonts w:hint="default" w:ascii="Times New Roman" w:hAnsi="Times New Roman" w:cs="Times New Roman"/>
              </w:rPr>
            </w:pPr>
            <w:r>
              <w:rPr>
                <w:rFonts w:hint="default" w:ascii="Times New Roman" w:hAnsi="Times New Roman" w:cs="Times New Roman"/>
              </w:rPr>
              <w:t>（3）施工期间场地平整过程中，对暂时开挖的土方进行防护，使用防雨、防尘的苫</w:t>
            </w:r>
            <w:r>
              <w:rPr>
                <w:rFonts w:hint="default" w:ascii="Times New Roman" w:hAnsi="Times New Roman" w:cs="Times New Roman"/>
                <w:lang w:val="en-US" w:eastAsia="zh-CN"/>
              </w:rPr>
              <w:t>布</w:t>
            </w:r>
            <w:r>
              <w:rPr>
                <w:rFonts w:hint="default" w:ascii="Times New Roman" w:hAnsi="Times New Roman" w:cs="Times New Roman"/>
              </w:rPr>
              <w:t>遮挡，减少风力起尘。</w:t>
            </w:r>
          </w:p>
          <w:p>
            <w:pPr>
              <w:pStyle w:val="48"/>
              <w:keepNext w:val="0"/>
              <w:keepLines w:val="0"/>
              <w:numPr>
                <w:ilvl w:val="0"/>
                <w:numId w:val="0"/>
              </w:numPr>
              <w:suppressLineNumbers w:val="0"/>
              <w:bidi w:val="0"/>
              <w:spacing w:before="0" w:beforeAutospacing="0" w:after="0" w:afterAutospacing="0"/>
              <w:ind w:left="0" w:right="0" w:firstLine="480" w:firstLineChars="200"/>
              <w:rPr>
                <w:rFonts w:hint="default" w:ascii="Times New Roman" w:hAnsi="Times New Roman" w:cs="Times New Roman"/>
              </w:rPr>
            </w:pPr>
            <w:r>
              <w:rPr>
                <w:rFonts w:hint="default" w:ascii="Times New Roman" w:hAnsi="Times New Roman" w:cs="Times New Roman"/>
              </w:rPr>
              <w:t>（4）对施工人员进行环保方面的教育，提高设备原料利用率，不用设备时及时关闭，减少废气排放；在装卸进程中，禁止野蛮作业，减少作业扬尘，并为施工人员配备防尘口罩等防尘用品。</w:t>
            </w:r>
          </w:p>
          <w:p>
            <w:pPr>
              <w:pStyle w:val="48"/>
              <w:keepNext w:val="0"/>
              <w:keepLines w:val="0"/>
              <w:numPr>
                <w:ilvl w:val="0"/>
                <w:numId w:val="0"/>
              </w:numPr>
              <w:suppressLineNumbers w:val="0"/>
              <w:bidi w:val="0"/>
              <w:spacing w:before="0" w:beforeAutospacing="0" w:after="0" w:afterAutospacing="0"/>
              <w:ind w:left="0" w:right="0" w:firstLine="480" w:firstLineChars="200"/>
              <w:rPr>
                <w:rFonts w:hint="default" w:ascii="Times New Roman" w:hAnsi="Times New Roman" w:cs="Times New Roman"/>
                <w:color w:val="000000"/>
                <w:szCs w:val="24"/>
                <w:highlight w:val="none"/>
              </w:rPr>
            </w:pPr>
            <w:r>
              <w:rPr>
                <w:rFonts w:hint="default" w:ascii="Times New Roman" w:hAnsi="Times New Roman" w:cs="Times New Roman"/>
              </w:rPr>
              <w:t>（5）尽量选用低能耗、低污染排放的施工机械、车辆，加强对本项目施工期所使用的机械设备的维护及保养，尽量减少因机械、车辆状况不佳造成的空气污染，降低尾气中有害成分的浓度。</w:t>
            </w:r>
          </w:p>
          <w:p>
            <w:pPr>
              <w:pStyle w:val="50"/>
              <w:keepNext w:val="0"/>
              <w:keepLines w:val="0"/>
              <w:suppressLineNumbers w:val="0"/>
              <w:bidi w:val="0"/>
              <w:spacing w:before="0" w:beforeAutospacing="0" w:after="0" w:afterAutospacing="0"/>
              <w:ind w:left="0" w:right="0"/>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施工期水环境</w:t>
            </w:r>
            <w:r>
              <w:rPr>
                <w:rFonts w:hint="default" w:ascii="Times New Roman" w:hAnsi="Times New Roman" w:cs="Times New Roman"/>
                <w:lang w:val="en-US" w:eastAsia="zh-CN"/>
              </w:rPr>
              <w:t>保护措施</w:t>
            </w:r>
          </w:p>
          <w:p>
            <w:pPr>
              <w:pStyle w:val="48"/>
              <w:keepNext w:val="0"/>
              <w:keepLines w:val="0"/>
              <w:suppressLineNumbers w:val="0"/>
              <w:bidi w:val="0"/>
              <w:spacing w:before="0" w:beforeAutospacing="0" w:after="0" w:afterAutospacing="0"/>
              <w:ind w:left="0"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本项目施工期较短，施工废水沉淀后回用，不外排。生活污水排入一体化污水处理设施处理达标后，其出水标准可达到《农村生活污水处理排放标准》（DB654275-2019）表2中</w:t>
            </w:r>
            <w:r>
              <w:rPr>
                <w:rFonts w:hint="eastAsia" w:cs="Times New Roman"/>
                <w:color w:val="auto"/>
                <w:lang w:val="en-US" w:eastAsia="zh-CN"/>
              </w:rPr>
              <w:t>A</w:t>
            </w:r>
            <w:r>
              <w:rPr>
                <w:rFonts w:hint="default" w:ascii="Times New Roman" w:hAnsi="Times New Roman" w:cs="Times New Roman"/>
                <w:color w:val="auto"/>
                <w:lang w:val="en-US" w:eastAsia="zh-CN"/>
              </w:rPr>
              <w:t>级标准，用于洒水绿化，不外排，对环境影响不大。</w:t>
            </w:r>
          </w:p>
          <w:p>
            <w:pPr>
              <w:pStyle w:val="50"/>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4.</w:t>
            </w:r>
            <w:r>
              <w:rPr>
                <w:rFonts w:hint="default" w:ascii="Times New Roman" w:hAnsi="Times New Roman" w:cs="Times New Roman"/>
              </w:rPr>
              <w:t>施工期噪声环境</w:t>
            </w:r>
            <w:r>
              <w:rPr>
                <w:rFonts w:hint="default" w:ascii="Times New Roman" w:hAnsi="Times New Roman" w:cs="Times New Roman"/>
                <w:lang w:val="en-US" w:eastAsia="zh-CN"/>
              </w:rPr>
              <w:t>保护措施</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rPr>
              <w:t>本项目</w:t>
            </w:r>
            <w:r>
              <w:rPr>
                <w:rFonts w:hint="default" w:ascii="Times New Roman" w:hAnsi="Times New Roman" w:cs="Times New Roman"/>
                <w:lang w:val="en-US" w:eastAsia="zh-CN"/>
              </w:rPr>
              <w:t>施工期</w:t>
            </w:r>
            <w:r>
              <w:rPr>
                <w:rFonts w:hint="default" w:ascii="Times New Roman" w:hAnsi="Times New Roman" w:cs="Times New Roman"/>
              </w:rPr>
              <w:t>噪声的来源包括运输车辆</w:t>
            </w:r>
            <w:r>
              <w:rPr>
                <w:rFonts w:hint="default" w:ascii="Times New Roman" w:hAnsi="Times New Roman" w:cs="Times New Roman"/>
                <w:lang w:eastAsia="zh-CN"/>
              </w:rPr>
              <w:t>、</w:t>
            </w:r>
            <w:r>
              <w:rPr>
                <w:rFonts w:hint="default" w:ascii="Times New Roman" w:hAnsi="Times New Roman" w:cs="Times New Roman"/>
              </w:rPr>
              <w:t>挖机</w:t>
            </w:r>
            <w:r>
              <w:rPr>
                <w:rFonts w:hint="default" w:ascii="Times New Roman" w:hAnsi="Times New Roman" w:cs="Times New Roman"/>
                <w:lang w:val="en-US" w:eastAsia="zh-CN"/>
              </w:rPr>
              <w:t>等</w:t>
            </w:r>
            <w:r>
              <w:rPr>
                <w:rFonts w:hint="default" w:ascii="Times New Roman" w:hAnsi="Times New Roman" w:cs="Times New Roman"/>
              </w:rPr>
              <w:t>产生的噪声，</w:t>
            </w:r>
            <w:r>
              <w:rPr>
                <w:rFonts w:hint="default" w:ascii="Times New Roman" w:hAnsi="Times New Roman" w:cs="Times New Roman"/>
                <w:lang w:val="en-US" w:eastAsia="zh-CN"/>
              </w:rPr>
              <w:t>项目周边50m范围内无环境敏感目标，对环境影响较小</w:t>
            </w:r>
            <w:r>
              <w:rPr>
                <w:rFonts w:hint="default" w:ascii="Times New Roman" w:hAnsi="Times New Roman" w:cs="Times New Roman"/>
              </w:rPr>
              <w:t>。控制措施</w:t>
            </w:r>
            <w:r>
              <w:rPr>
                <w:rFonts w:hint="default" w:ascii="Times New Roman" w:hAnsi="Times New Roman" w:cs="Times New Roman"/>
                <w:lang w:val="en-US" w:eastAsia="zh-CN"/>
              </w:rPr>
              <w:t>如下</w:t>
            </w:r>
            <w:r>
              <w:rPr>
                <w:rFonts w:hint="default" w:ascii="Times New Roman" w:hAnsi="Times New Roman" w:cs="Times New Roman"/>
                <w:lang w:eastAsia="zh-CN"/>
              </w:rPr>
              <w:t>：</w:t>
            </w:r>
          </w:p>
          <w:p>
            <w:pPr>
              <w:pStyle w:val="48"/>
              <w:keepNext w:val="0"/>
              <w:keepLines w:val="0"/>
              <w:suppressLineNumbers w:val="0"/>
              <w:bidi w:val="0"/>
              <w:spacing w:before="0" w:beforeAutospacing="0" w:after="0" w:afterAutospacing="0"/>
              <w:ind w:left="0" w:right="0"/>
              <w:rPr>
                <w:rFonts w:hint="default" w:ascii="Times New Roman" w:hAnsi="Times New Roman" w:cs="Times New Roman"/>
              </w:rPr>
            </w:pPr>
            <w:r>
              <w:rPr>
                <w:rFonts w:hint="default" w:ascii="Times New Roman" w:hAnsi="Times New Roman" w:cs="Times New Roman"/>
              </w:rPr>
              <w:t>①从声源上控制：使用低噪声机械设备</w:t>
            </w:r>
            <w:r>
              <w:rPr>
                <w:rFonts w:hint="default" w:ascii="Times New Roman" w:hAnsi="Times New Roman" w:cs="Times New Roman"/>
                <w:lang w:eastAsia="zh-CN"/>
              </w:rPr>
              <w:t>，</w:t>
            </w:r>
            <w:r>
              <w:rPr>
                <w:rFonts w:hint="default" w:ascii="Times New Roman" w:hAnsi="Times New Roman" w:cs="Times New Roman"/>
              </w:rPr>
              <w:t>严格按操作规范使用各类机械。</w:t>
            </w:r>
          </w:p>
          <w:p>
            <w:pPr>
              <w:pStyle w:val="48"/>
              <w:keepNext w:val="0"/>
              <w:keepLines w:val="0"/>
              <w:suppressLineNumbers w:val="0"/>
              <w:bidi w:val="0"/>
              <w:spacing w:before="0" w:beforeAutospacing="0" w:after="0" w:afterAutospacing="0"/>
              <w:ind w:left="0" w:right="0"/>
              <w:rPr>
                <w:rFonts w:hint="default" w:ascii="Times New Roman" w:hAnsi="Times New Roman" w:cs="Times New Roman"/>
              </w:rPr>
            </w:pPr>
            <w:r>
              <w:rPr>
                <w:rFonts w:hint="default" w:ascii="Times New Roman" w:hAnsi="Times New Roman" w:cs="Times New Roman"/>
              </w:rPr>
              <w:t>②合理安排施工时间：首先制订施工计划时，应尽可能避免大量高噪声设备同时施工。</w:t>
            </w:r>
          </w:p>
          <w:p>
            <w:pPr>
              <w:pStyle w:val="48"/>
              <w:keepNext w:val="0"/>
              <w:keepLines w:val="0"/>
              <w:suppressLineNumbers w:val="0"/>
              <w:bidi w:val="0"/>
              <w:spacing w:before="0" w:beforeAutospacing="0" w:after="0" w:afterAutospacing="0"/>
              <w:ind w:left="0" w:right="0"/>
              <w:rPr>
                <w:rFonts w:hint="default" w:ascii="Times New Roman" w:hAnsi="Times New Roman" w:cs="Times New Roman"/>
              </w:rPr>
            </w:pPr>
            <w:r>
              <w:rPr>
                <w:rFonts w:hint="default" w:ascii="Times New Roman" w:hAnsi="Times New Roman" w:cs="Times New Roman"/>
              </w:rPr>
              <w:t>③合理布置施工现场</w:t>
            </w:r>
            <w:r>
              <w:rPr>
                <w:rFonts w:hint="default" w:ascii="Times New Roman" w:hAnsi="Times New Roman" w:cs="Times New Roman"/>
                <w:lang w:eastAsia="zh-CN"/>
              </w:rPr>
              <w:t>：</w:t>
            </w:r>
            <w:r>
              <w:rPr>
                <w:rFonts w:hint="default" w:ascii="Times New Roman" w:hAnsi="Times New Roman" w:cs="Times New Roman"/>
              </w:rPr>
              <w:t>施工现场应合理布局，将施工中的固定噪声源相对集中摆放，闲置不用的设备立即关闭，降低施工噪声对周边声环境的影响。</w:t>
            </w:r>
          </w:p>
          <w:p>
            <w:pPr>
              <w:pStyle w:val="48"/>
              <w:keepNext w:val="0"/>
              <w:keepLines w:val="0"/>
              <w:suppressLineNumbers w:val="0"/>
              <w:bidi w:val="0"/>
              <w:spacing w:before="0" w:beforeAutospacing="0" w:after="0" w:afterAutospacing="0"/>
              <w:ind w:left="0" w:right="0"/>
              <w:rPr>
                <w:rFonts w:hint="default" w:ascii="Times New Roman" w:hAnsi="Times New Roman" w:cs="Times New Roman"/>
              </w:rPr>
            </w:pPr>
            <w:r>
              <w:rPr>
                <w:rFonts w:hint="default" w:ascii="Times New Roman" w:hAnsi="Times New Roman" w:cs="Times New Roman"/>
              </w:rPr>
              <w:t>④车辆出入施工现场时应低速、禁鸣。</w:t>
            </w:r>
          </w:p>
          <w:p>
            <w:pPr>
              <w:pStyle w:val="50"/>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5.</w:t>
            </w:r>
            <w:r>
              <w:rPr>
                <w:rFonts w:hint="default" w:ascii="Times New Roman" w:hAnsi="Times New Roman" w:cs="Times New Roman"/>
              </w:rPr>
              <w:t>施工期固废</w:t>
            </w:r>
            <w:r>
              <w:rPr>
                <w:rFonts w:hint="default" w:ascii="Times New Roman" w:hAnsi="Times New Roman" w:cs="Times New Roman"/>
                <w:lang w:val="en-US" w:eastAsia="zh-CN"/>
              </w:rPr>
              <w:t>环境保护措施</w:t>
            </w:r>
          </w:p>
          <w:p>
            <w:pPr>
              <w:pStyle w:val="48"/>
              <w:keepNext w:val="0"/>
              <w:keepLines w:val="0"/>
              <w:suppressLineNumbers w:val="0"/>
              <w:bidi w:val="0"/>
              <w:spacing w:before="0" w:beforeAutospacing="0" w:after="0" w:afterAutospacing="0"/>
              <w:ind w:left="0" w:right="0"/>
              <w:rPr>
                <w:rFonts w:hint="default" w:ascii="Times New Roman" w:hAnsi="Times New Roman" w:cs="Times New Roman"/>
                <w:shd w:val="clear" w:color="auto" w:fill="auto"/>
                <w:lang w:val="en-US" w:eastAsia="zh-CN"/>
              </w:rPr>
            </w:pPr>
            <w:r>
              <w:rPr>
                <w:rFonts w:hint="default" w:ascii="Times New Roman" w:hAnsi="Times New Roman" w:cs="Times New Roman"/>
              </w:rPr>
              <w:t>施工期固体废物来自施工过程中</w:t>
            </w:r>
            <w:r>
              <w:rPr>
                <w:rFonts w:hint="default" w:ascii="Times New Roman" w:hAnsi="Times New Roman" w:cs="Times New Roman"/>
                <w:lang w:val="en-US" w:eastAsia="zh-CN"/>
              </w:rPr>
              <w:t>土地平整所开挖</w:t>
            </w:r>
            <w:r>
              <w:rPr>
                <w:rFonts w:hint="default" w:ascii="Times New Roman" w:hAnsi="Times New Roman" w:cs="Times New Roman"/>
              </w:rPr>
              <w:t>的</w:t>
            </w:r>
            <w:r>
              <w:rPr>
                <w:rFonts w:hint="default" w:ascii="Times New Roman" w:hAnsi="Times New Roman" w:cs="Times New Roman"/>
                <w:lang w:val="en-US" w:eastAsia="zh-CN"/>
              </w:rPr>
              <w:t>土石方，全部堆放在临时堆场内，待项目勘探期结束后，全部回填，恢复原有地貌</w:t>
            </w:r>
            <w:r>
              <w:rPr>
                <w:rFonts w:hint="default" w:ascii="Times New Roman" w:hAnsi="Times New Roman" w:cs="Times New Roman"/>
              </w:rPr>
              <w:t>。</w:t>
            </w:r>
          </w:p>
          <w:p>
            <w:pPr>
              <w:pStyle w:val="48"/>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土方回填施工技术要点：</w:t>
            </w:r>
          </w:p>
          <w:p>
            <w:pPr>
              <w:pStyle w:val="48"/>
              <w:keepNext w:val="0"/>
              <w:keepLines w:val="0"/>
              <w:numPr>
                <w:ilvl w:val="0"/>
                <w:numId w:val="0"/>
              </w:numPr>
              <w:suppressLineNumbers w:val="0"/>
              <w:bidi w:val="0"/>
              <w:spacing w:before="0" w:beforeAutospacing="0" w:after="0" w:afterAutospacing="0"/>
              <w:ind w:left="0" w:right="0" w:firstLine="480" w:firstLineChars="200"/>
              <w:rPr>
                <w:rFonts w:hint="default" w:ascii="Times New Roman" w:hAnsi="Times New Roman" w:cs="Times New Roman"/>
                <w:lang w:val="en-US" w:eastAsia="zh-CN"/>
              </w:rPr>
            </w:pPr>
            <w:r>
              <w:rPr>
                <w:rFonts w:hint="default" w:ascii="Times New Roman" w:hAnsi="Times New Roman" w:eastAsia="宋体" w:cs="Times New Roman"/>
                <w:kern w:val="0"/>
                <w:sz w:val="24"/>
                <w:szCs w:val="24"/>
                <w:lang w:val="en-US" w:eastAsia="zh-CN" w:bidi="ar-SA"/>
              </w:rPr>
              <w:t>（1）</w:t>
            </w:r>
            <w:r>
              <w:rPr>
                <w:rFonts w:hint="default" w:ascii="Times New Roman" w:hAnsi="Times New Roman" w:cs="Times New Roman"/>
                <w:lang w:val="en-US" w:eastAsia="zh-CN"/>
              </w:rPr>
              <w:t>土方回填施工的前提是进行土方的挖掘。在挖掘土方时，应根据工程要求确定挖土的深度和宽度。挖掘土方时应遵循顺畅、逐层递减的原则，以确保挖掘过程中的稳定与安全。</w:t>
            </w:r>
          </w:p>
          <w:p>
            <w:pPr>
              <w:pStyle w:val="48"/>
              <w:keepNext w:val="0"/>
              <w:keepLines w:val="0"/>
              <w:numPr>
                <w:ilvl w:val="0"/>
                <w:numId w:val="0"/>
              </w:numPr>
              <w:suppressLineNumbers w:val="0"/>
              <w:bidi w:val="0"/>
              <w:spacing w:before="0" w:beforeAutospacing="0" w:after="0" w:afterAutospacing="0"/>
              <w:ind w:left="0" w:right="0" w:firstLine="480" w:firstLineChars="200"/>
              <w:rPr>
                <w:rFonts w:hint="default" w:ascii="Times New Roman" w:hAnsi="Times New Roman" w:cs="Times New Roman"/>
                <w:lang w:val="en-US" w:eastAsia="zh-CN"/>
              </w:rPr>
            </w:pPr>
            <w:r>
              <w:rPr>
                <w:rFonts w:hint="default" w:ascii="Times New Roman" w:hAnsi="Times New Roman" w:eastAsia="宋体" w:cs="Times New Roman"/>
                <w:kern w:val="0"/>
                <w:sz w:val="24"/>
                <w:szCs w:val="24"/>
                <w:lang w:val="en-US" w:eastAsia="zh-CN" w:bidi="ar-SA"/>
              </w:rPr>
              <w:t>（2）</w:t>
            </w:r>
            <w:r>
              <w:rPr>
                <w:rFonts w:hint="default" w:ascii="Times New Roman" w:hAnsi="Times New Roman" w:cs="Times New Roman"/>
                <w:lang w:val="en-US" w:eastAsia="zh-CN"/>
              </w:rPr>
              <w:t>将挖掘土方进行整理、筛分、清除杂质等加工处理。处理后的土方应符合工程设计要求，具有足够的密实性和均匀性，土方处理过程中需要注意防止土方的二次污染或其他有害物质的混入。</w:t>
            </w:r>
          </w:p>
          <w:p>
            <w:pPr>
              <w:pStyle w:val="48"/>
              <w:keepNext w:val="0"/>
              <w:keepLines w:val="0"/>
              <w:numPr>
                <w:ilvl w:val="0"/>
                <w:numId w:val="0"/>
              </w:numPr>
              <w:suppressLineNumbers w:val="0"/>
              <w:bidi w:val="0"/>
              <w:spacing w:before="0" w:beforeAutospacing="0" w:after="0" w:afterAutospacing="0"/>
              <w:ind w:left="0" w:right="0" w:firstLine="480" w:firstLineChars="200"/>
              <w:rPr>
                <w:rFonts w:hint="default" w:ascii="Times New Roman" w:hAnsi="Times New Roman" w:cs="Times New Roman"/>
                <w:lang w:val="en-US" w:eastAsia="zh-CN"/>
              </w:rPr>
            </w:pPr>
            <w:r>
              <w:rPr>
                <w:rFonts w:hint="default" w:ascii="Times New Roman" w:hAnsi="Times New Roman" w:eastAsia="宋体" w:cs="Times New Roman"/>
                <w:kern w:val="0"/>
                <w:sz w:val="24"/>
                <w:szCs w:val="24"/>
                <w:shd w:val="clear" w:fill="auto"/>
                <w:lang w:val="en-US" w:eastAsia="zh-CN" w:bidi="ar-SA"/>
              </w:rPr>
              <w:t>（3）</w:t>
            </w:r>
            <w:r>
              <w:rPr>
                <w:rFonts w:hint="default" w:ascii="Times New Roman" w:hAnsi="Times New Roman" w:cs="Times New Roman"/>
                <w:lang w:val="en-US" w:eastAsia="zh-CN"/>
              </w:rPr>
              <w:t>根据工程要求和土方性质，选择合适的填筑方法；合理设置均质层，确保填筑土方具有一定的均质性和稳定性；严格各种填筑的工艺参数，如填筑厚度、均质层厚度、回填层厚度等；回填施工时需要避免水分进入土方中，以防止土方松散和沉降现象的发生。</w:t>
            </w:r>
          </w:p>
          <w:p>
            <w:pPr>
              <w:pStyle w:val="48"/>
              <w:keepNext w:val="0"/>
              <w:keepLines w:val="0"/>
              <w:numPr>
                <w:ilvl w:val="0"/>
                <w:numId w:val="0"/>
              </w:numPr>
              <w:suppressLineNumbers w:val="0"/>
              <w:bidi w:val="0"/>
              <w:spacing w:before="0" w:beforeAutospacing="0" w:after="0" w:afterAutospacing="0"/>
              <w:ind w:left="0" w:right="0" w:firstLine="480" w:firstLineChars="200"/>
              <w:rPr>
                <w:rFonts w:hint="default" w:ascii="Times New Roman" w:hAnsi="Times New Roman" w:cs="Times New Roman"/>
                <w:lang w:val="en-US" w:eastAsia="zh-CN"/>
              </w:rPr>
            </w:pPr>
            <w:r>
              <w:rPr>
                <w:rFonts w:hint="default" w:ascii="Times New Roman" w:hAnsi="Times New Roman" w:cs="Times New Roman"/>
                <w:lang w:val="en-US" w:eastAsia="zh-CN"/>
              </w:rPr>
              <w:t>（4）土方回填施工完成后，选择合适的压实机械、压实层数和压实次数，控制压实厚度和速度，提高土方的密实性和稳定性，减少土方的沉降和变形。</w:t>
            </w:r>
          </w:p>
          <w:p>
            <w:pPr>
              <w:pStyle w:val="48"/>
              <w:keepNext w:val="0"/>
              <w:keepLines w:val="0"/>
              <w:numPr>
                <w:ilvl w:val="0"/>
                <w:numId w:val="0"/>
              </w:numPr>
              <w:suppressLineNumbers w:val="0"/>
              <w:bidi w:val="0"/>
              <w:spacing w:before="0" w:beforeAutospacing="0" w:after="0" w:afterAutospacing="0"/>
              <w:ind w:left="0" w:right="0" w:firstLine="480" w:firstLineChars="200"/>
              <w:rPr>
                <w:rFonts w:hint="default" w:ascii="Times New Roman" w:hAnsi="Times New Roman" w:cs="Times New Roman"/>
                <w:shd w:val="clear" w:color="auto" w:fill="auto"/>
                <w:lang w:val="en-US" w:eastAsia="zh-CN"/>
              </w:rPr>
            </w:pPr>
            <w:r>
              <w:rPr>
                <w:rFonts w:hint="eastAsia" w:cs="Times New Roman"/>
                <w:lang w:val="en-US" w:eastAsia="zh-CN"/>
              </w:rPr>
              <w:t>生活</w:t>
            </w:r>
            <w:r>
              <w:rPr>
                <w:rFonts w:hint="default" w:ascii="Times New Roman" w:hAnsi="Times New Roman" w:cs="Times New Roman"/>
                <w:lang w:val="en-US" w:eastAsia="zh-CN"/>
              </w:rPr>
              <w:t>营地内设置一定数量的垃圾桶，用于临时存放生活垃圾，</w:t>
            </w:r>
            <w:r>
              <w:rPr>
                <w:rFonts w:hint="default" w:ascii="Times New Roman" w:hAnsi="Times New Roman" w:cs="Times New Roman"/>
                <w:shd w:val="clear" w:color="auto" w:fill="auto"/>
                <w:lang w:val="en-US" w:eastAsia="zh-CN"/>
              </w:rPr>
              <w:t>最终统一收集后送至</w:t>
            </w:r>
            <w:r>
              <w:rPr>
                <w:rFonts w:hint="eastAsia" w:cs="Times New Roman"/>
                <w:shd w:val="clear" w:color="auto" w:fill="auto"/>
                <w:lang w:val="en-US" w:eastAsia="zh-CN"/>
              </w:rPr>
              <w:t>和硕县环境卫生服务中心</w:t>
            </w:r>
            <w:r>
              <w:rPr>
                <w:rFonts w:hint="default" w:ascii="Times New Roman" w:hAnsi="Times New Roman" w:cs="Times New Roman"/>
                <w:shd w:val="clear" w:color="auto" w:fill="auto"/>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669" w:type="dxa"/>
            <w:noWrap w:val="0"/>
            <w:tcMar>
              <w:left w:w="28" w:type="dxa"/>
              <w:right w:w="28" w:type="dxa"/>
            </w:tcMar>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spacing w:val="10"/>
                <w:szCs w:val="21"/>
              </w:rPr>
            </w:pPr>
            <w:r>
              <w:rPr>
                <w:rFonts w:hint="default" w:ascii="Times New Roman" w:hAnsi="Times New Roman" w:cs="Times New Roman"/>
                <w:bCs/>
                <w:spacing w:val="10"/>
                <w:szCs w:val="21"/>
                <w:lang w:eastAsia="zh-CN"/>
              </w:rPr>
              <w:t>勘探期</w:t>
            </w:r>
            <w:r>
              <w:rPr>
                <w:rFonts w:hint="default" w:ascii="Times New Roman" w:hAnsi="Times New Roman" w:cs="Times New Roman"/>
                <w:bCs/>
                <w:spacing w:val="10"/>
                <w:szCs w:val="21"/>
              </w:rPr>
              <w:t>生态环境保护措施</w:t>
            </w:r>
          </w:p>
        </w:tc>
        <w:tc>
          <w:tcPr>
            <w:tcW w:w="7780" w:type="dxa"/>
            <w:noWrap w:val="0"/>
            <w:vAlign w:val="center"/>
          </w:tcPr>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eastAsia="宋体" w:cs="Times New Roman"/>
                <w:b/>
                <w:bCs/>
                <w:kern w:val="2"/>
                <w:szCs w:val="24"/>
                <w:lang w:val="en-US" w:eastAsia="zh-CN" w:bidi="ar-SA"/>
              </w:rPr>
              <w:t>1</w:t>
            </w:r>
            <w:r>
              <w:rPr>
                <w:rFonts w:hint="default" w:ascii="Times New Roman" w:hAnsi="Times New Roman" w:cs="Times New Roman"/>
                <w:lang w:val="en-US" w:eastAsia="zh-CN"/>
              </w:rPr>
              <w:t>.生态环境影响保护措施</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eastAsia="zh-CN"/>
              </w:rPr>
            </w:pPr>
            <w:r>
              <w:rPr>
                <w:rFonts w:hint="default" w:ascii="Times New Roman" w:hAnsi="Times New Roman" w:cs="Times New Roman"/>
                <w:lang w:val="en-US" w:eastAsia="zh-CN"/>
              </w:rPr>
              <w:t>1.1</w:t>
            </w:r>
            <w:r>
              <w:rPr>
                <w:rFonts w:hint="default" w:ascii="Times New Roman" w:hAnsi="Times New Roman" w:cs="Times New Roman"/>
                <w:lang w:eastAsia="zh-CN"/>
              </w:rPr>
              <w:t>陆生生物</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eastAsia="zh-CN"/>
              </w:rPr>
            </w:pP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1</w:t>
            </w:r>
            <w:r>
              <w:rPr>
                <w:rFonts w:hint="default" w:ascii="Times New Roman" w:hAnsi="Times New Roman" w:cs="Times New Roman"/>
                <w:highlight w:val="none"/>
                <w:lang w:eastAsia="zh-CN"/>
              </w:rPr>
              <w:t>）植物植被</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eastAsia="zh-CN"/>
              </w:rPr>
              <w:t>工作区地质活动</w:t>
            </w:r>
            <w:r>
              <w:rPr>
                <w:rFonts w:hint="default" w:ascii="Times New Roman" w:hAnsi="Times New Roman" w:cs="Times New Roman"/>
                <w:lang w:val="en-US" w:eastAsia="zh-CN"/>
              </w:rPr>
              <w:t>主要为</w:t>
            </w:r>
            <w:r>
              <w:rPr>
                <w:rFonts w:hint="default" w:ascii="Times New Roman" w:hAnsi="Times New Roman" w:cs="Times New Roman"/>
                <w:lang w:eastAsia="zh-CN"/>
              </w:rPr>
              <w:t>槽探和钻探，</w:t>
            </w:r>
            <w:r>
              <w:rPr>
                <w:rFonts w:hint="default" w:ascii="Times New Roman" w:hAnsi="Times New Roman" w:cs="Times New Roman"/>
                <w:lang w:val="en-US" w:eastAsia="zh-CN"/>
              </w:rPr>
              <w:t>运营</w:t>
            </w:r>
            <w:r>
              <w:rPr>
                <w:rFonts w:hint="default" w:ascii="Times New Roman" w:hAnsi="Times New Roman" w:cs="Times New Roman"/>
                <w:lang w:eastAsia="zh-CN"/>
              </w:rPr>
              <w:t>过程中会对原有土地造成一定程度破坏。本次工程施工场地的布置将临时改变占地区土地利用状况，同样对一些植被造成损坏。</w:t>
            </w:r>
            <w:r>
              <w:rPr>
                <w:rFonts w:hint="default" w:ascii="Times New Roman" w:hAnsi="Times New Roman" w:cs="Times New Roman"/>
              </w:rPr>
              <w:t>根据现场调查了解，矿区内自然植物类型单一，种类、数量均较少。评价区内未发现国家重点保护野生植物。由于</w:t>
            </w:r>
            <w:r>
              <w:rPr>
                <w:rFonts w:hint="default" w:ascii="Times New Roman" w:hAnsi="Times New Roman" w:cs="Times New Roman"/>
                <w:lang w:val="en-US" w:eastAsia="zh-CN"/>
              </w:rPr>
              <w:t>探矿工程施工</w:t>
            </w:r>
            <w:r>
              <w:rPr>
                <w:rFonts w:hint="default" w:ascii="Times New Roman" w:hAnsi="Times New Roman" w:cs="Times New Roman"/>
              </w:rPr>
              <w:t>，破坏了原有的植被和地貌景观，不可避免地要对地表植被造成破坏。</w:t>
            </w:r>
            <w:r>
              <w:rPr>
                <w:rFonts w:hint="default" w:ascii="Times New Roman" w:hAnsi="Times New Roman" w:cs="Times New Roman"/>
                <w:lang w:val="en-US" w:eastAsia="zh-CN"/>
              </w:rPr>
              <w:t>勘探期间应采取以下措施：</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①</w:t>
            </w:r>
            <w:r>
              <w:rPr>
                <w:rFonts w:hint="default" w:ascii="Times New Roman" w:hAnsi="Times New Roman" w:cs="Times New Roman"/>
              </w:rPr>
              <w:t>本评价要求建设单位</w:t>
            </w:r>
            <w:r>
              <w:rPr>
                <w:rFonts w:hint="default" w:ascii="Times New Roman" w:hAnsi="Times New Roman" w:cs="Times New Roman"/>
                <w:lang w:val="en-US" w:eastAsia="zh-CN"/>
              </w:rPr>
              <w:t>综合考虑地形、地质与植被分布，合理规划施工场地的布局，避免不必要的土地占用。优先选择植被覆盖度更低、生态敏感度相对较低的区域作为临时用地。</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②尽量采用对植被破坏较小的施工工艺和设备，如使用小型、轻型设备，减少重型机械的碾压。在搬运设备和材料时，避免拖拽，防止对植被造成额外的损伤。</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③</w:t>
            </w:r>
            <w:r>
              <w:rPr>
                <w:rFonts w:hint="default" w:ascii="Times New Roman" w:hAnsi="Times New Roman" w:cs="Times New Roman"/>
              </w:rPr>
              <w:t>在</w:t>
            </w:r>
            <w:r>
              <w:rPr>
                <w:rFonts w:hint="default" w:ascii="Times New Roman" w:hAnsi="Times New Roman" w:cs="Times New Roman"/>
                <w:lang w:val="en-US" w:eastAsia="zh-CN"/>
              </w:rPr>
              <w:t>勘探结束后</w:t>
            </w:r>
            <w:r>
              <w:rPr>
                <w:rFonts w:hint="default" w:ascii="Times New Roman" w:hAnsi="Times New Roman" w:cs="Times New Roman"/>
              </w:rPr>
              <w:t>，</w:t>
            </w:r>
            <w:r>
              <w:rPr>
                <w:rFonts w:hint="default" w:ascii="Times New Roman" w:hAnsi="Times New Roman" w:cs="Times New Roman"/>
                <w:lang w:val="en-US" w:eastAsia="zh-CN"/>
              </w:rPr>
              <w:t>及时开展植被恢复工作，利用之前收集的表土对临时占用的土地进行覆土。</w:t>
            </w:r>
            <w:r>
              <w:rPr>
                <w:rFonts w:hint="default" w:ascii="Times New Roman" w:hAnsi="Times New Roman" w:cs="Times New Roman"/>
              </w:rPr>
              <w:t>对</w:t>
            </w:r>
            <w:r>
              <w:rPr>
                <w:rFonts w:hint="default" w:ascii="Times New Roman" w:hAnsi="Times New Roman" w:cs="Times New Roman"/>
                <w:lang w:val="en-US" w:eastAsia="zh-CN"/>
              </w:rPr>
              <w:t>勘探场地进行回填、</w:t>
            </w:r>
            <w:r>
              <w:rPr>
                <w:rFonts w:hint="default" w:ascii="Times New Roman" w:hAnsi="Times New Roman" w:cs="Times New Roman"/>
              </w:rPr>
              <w:t>进行迹地清理平整，项目营运过程中形成的裸露地表经过一段时间后可逐渐恢复原有的生态环境，区域内生态环境能够得到改善。</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④</w:t>
            </w:r>
            <w:r>
              <w:rPr>
                <w:rFonts w:hint="default" w:ascii="Times New Roman" w:hAnsi="Times New Roman" w:cs="Times New Roman"/>
              </w:rPr>
              <w:t>勘探过程中应注意</w:t>
            </w:r>
            <w:r>
              <w:rPr>
                <w:rFonts w:hint="default" w:ascii="Times New Roman" w:hAnsi="Times New Roman" w:cs="Times New Roman"/>
                <w:lang w:eastAsia="zh-CN"/>
              </w:rPr>
              <w:t>避让</w:t>
            </w:r>
            <w:r>
              <w:rPr>
                <w:rFonts w:hint="default" w:ascii="Times New Roman" w:hAnsi="Times New Roman" w:cs="Times New Roman"/>
              </w:rPr>
              <w:t>保护植物，不因项目建设对其生境造成破坏影响。</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eastAsia="zh-CN"/>
              </w:rPr>
            </w:pPr>
            <w:r>
              <w:rPr>
                <w:rFonts w:hint="default" w:ascii="Times New Roman" w:hAnsi="Times New Roman" w:cs="Times New Roman"/>
                <w:lang w:eastAsia="zh-CN"/>
              </w:rPr>
              <w:t>（</w:t>
            </w:r>
            <w:r>
              <w:rPr>
                <w:rFonts w:hint="default" w:ascii="Times New Roman" w:hAnsi="Times New Roman" w:cs="Times New Roman"/>
                <w:lang w:val="en-US" w:eastAsia="zh-CN"/>
              </w:rPr>
              <w:t>2</w:t>
            </w:r>
            <w:r>
              <w:rPr>
                <w:rFonts w:hint="default" w:ascii="Times New Roman" w:hAnsi="Times New Roman" w:cs="Times New Roman"/>
                <w:lang w:eastAsia="zh-CN"/>
              </w:rPr>
              <w:t>）</w:t>
            </w:r>
            <w:r>
              <w:rPr>
                <w:rFonts w:hint="default" w:ascii="Times New Roman" w:hAnsi="Times New Roman" w:cs="Times New Roman"/>
                <w:lang w:val="en-US" w:eastAsia="zh-CN"/>
              </w:rPr>
              <w:t>陆生</w:t>
            </w:r>
            <w:r>
              <w:rPr>
                <w:rFonts w:hint="default" w:ascii="Times New Roman" w:hAnsi="Times New Roman" w:cs="Times New Roman"/>
                <w:lang w:eastAsia="zh-CN"/>
              </w:rPr>
              <w:t>动物</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rPr>
            </w:pPr>
            <w:r>
              <w:rPr>
                <w:rFonts w:hint="default" w:ascii="Times New Roman" w:hAnsi="Times New Roman" w:cs="Times New Roman"/>
                <w:lang w:eastAsia="zh-CN"/>
              </w:rPr>
              <w:t>经现场踏勘和资料分析，本项目</w:t>
            </w:r>
            <w:r>
              <w:rPr>
                <w:rFonts w:hint="default" w:ascii="Times New Roman" w:hAnsi="Times New Roman" w:cs="Times New Roman"/>
                <w:lang w:val="en-US" w:eastAsia="zh-CN"/>
              </w:rPr>
              <w:t>可能涉及小型野生动物的栖息地</w:t>
            </w:r>
            <w:r>
              <w:rPr>
                <w:rFonts w:hint="default" w:ascii="Times New Roman" w:hAnsi="Times New Roman" w:cs="Times New Roman"/>
                <w:lang w:eastAsia="zh-CN"/>
              </w:rPr>
              <w:t>，</w:t>
            </w:r>
            <w:r>
              <w:rPr>
                <w:rFonts w:hint="default" w:ascii="Times New Roman" w:hAnsi="Times New Roman" w:cs="Times New Roman"/>
                <w:lang w:val="en-US" w:eastAsia="zh-CN"/>
              </w:rPr>
              <w:t>槽探开挖及施工</w:t>
            </w:r>
            <w:r>
              <w:rPr>
                <w:rFonts w:hint="default" w:ascii="Times New Roman" w:hAnsi="Times New Roman" w:cs="Times New Roman"/>
              </w:rPr>
              <w:t>作业</w:t>
            </w:r>
            <w:r>
              <w:rPr>
                <w:rFonts w:hint="default" w:ascii="Times New Roman" w:hAnsi="Times New Roman" w:cs="Times New Roman"/>
                <w:lang w:val="en-US" w:eastAsia="zh-CN"/>
              </w:rPr>
              <w:t>破坏地形地貌</w:t>
            </w:r>
            <w:r>
              <w:rPr>
                <w:rFonts w:hint="default" w:ascii="Times New Roman" w:hAnsi="Times New Roman" w:cs="Times New Roman"/>
              </w:rPr>
              <w:t>的同时，也破坏了原有生态环</w:t>
            </w:r>
            <w:r>
              <w:rPr>
                <w:rFonts w:hint="default" w:ascii="Times New Roman" w:hAnsi="Times New Roman" w:cs="Times New Roman"/>
                <w:lang w:eastAsia="zh-CN"/>
              </w:rPr>
              <w:t>境和</w:t>
            </w:r>
            <w:r>
              <w:rPr>
                <w:rFonts w:hint="default" w:ascii="Times New Roman" w:hAnsi="Times New Roman" w:cs="Times New Roman"/>
              </w:rPr>
              <w:t>小型野生动物的栖息环境，加上开采机械噪声及人员活动产生的影响，</w:t>
            </w:r>
            <w:r>
              <w:rPr>
                <w:rFonts w:hint="default" w:ascii="Times New Roman" w:hAnsi="Times New Roman" w:cs="Times New Roman"/>
                <w:lang w:val="en-US" w:eastAsia="zh-CN"/>
              </w:rPr>
              <w:t>会</w:t>
            </w:r>
            <w:r>
              <w:rPr>
                <w:rFonts w:hint="default" w:ascii="Times New Roman" w:hAnsi="Times New Roman" w:cs="Times New Roman"/>
              </w:rPr>
              <w:t>对周围动物的生活造成干扰，使它们的生活受到威胁而迁徙，远离开采地周围。</w:t>
            </w:r>
            <w:r>
              <w:rPr>
                <w:rFonts w:hint="default" w:ascii="Times New Roman" w:hAnsi="Times New Roman" w:cs="Times New Roman"/>
                <w:lang w:val="en-US" w:eastAsia="zh-CN"/>
              </w:rPr>
              <w:t>勘探期间应采取以下措施：</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eastAsia="zh-CN"/>
              </w:rPr>
            </w:pPr>
            <w:r>
              <w:rPr>
                <w:rFonts w:hint="default" w:ascii="Times New Roman" w:hAnsi="Times New Roman" w:cs="Times New Roman"/>
                <w:lang w:val="en-US" w:eastAsia="zh-CN"/>
              </w:rPr>
              <w:t>①勘探期间应</w:t>
            </w:r>
            <w:r>
              <w:rPr>
                <w:rFonts w:hint="default" w:ascii="Times New Roman" w:hAnsi="Times New Roman" w:cs="Times New Roman"/>
                <w:lang w:eastAsia="zh-CN"/>
              </w:rPr>
              <w:t>严格规划行驶道路，尽可能减少对野生动物的扰动，</w:t>
            </w:r>
            <w:r>
              <w:rPr>
                <w:rFonts w:hint="default" w:ascii="Times New Roman" w:hAnsi="Times New Roman" w:cs="Times New Roman"/>
                <w:lang w:val="en-US" w:eastAsia="zh-CN"/>
              </w:rPr>
              <w:t>尽量</w:t>
            </w:r>
            <w:r>
              <w:rPr>
                <w:rFonts w:hint="default" w:ascii="Times New Roman" w:hAnsi="Times New Roman" w:cs="Times New Roman"/>
                <w:lang w:eastAsia="zh-CN"/>
              </w:rPr>
              <w:t>使用当地已有道路、牧道、不开辟新路线。对确需碾压地段，</w:t>
            </w:r>
            <w:r>
              <w:rPr>
                <w:rFonts w:hint="default" w:ascii="Times New Roman" w:hAnsi="Times New Roman" w:cs="Times New Roman"/>
                <w:lang w:val="en-US" w:eastAsia="zh-CN"/>
              </w:rPr>
              <w:t>及时</w:t>
            </w:r>
            <w:r>
              <w:rPr>
                <w:rFonts w:hint="default" w:ascii="Times New Roman" w:hAnsi="Times New Roman" w:cs="Times New Roman"/>
                <w:lang w:eastAsia="zh-CN"/>
              </w:rPr>
              <w:t>进行</w:t>
            </w:r>
            <w:r>
              <w:rPr>
                <w:rFonts w:hint="default" w:ascii="Times New Roman" w:hAnsi="Times New Roman" w:cs="Times New Roman"/>
                <w:lang w:val="en-US" w:eastAsia="zh-CN"/>
              </w:rPr>
              <w:t>迹地</w:t>
            </w:r>
            <w:r>
              <w:rPr>
                <w:rFonts w:hint="default" w:ascii="Times New Roman" w:hAnsi="Times New Roman" w:cs="Times New Roman"/>
                <w:lang w:eastAsia="zh-CN"/>
              </w:rPr>
              <w:t>的恢复治理，行驶时避让野生动物，不追逐，不惊吓。</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②</w:t>
            </w:r>
            <w:r>
              <w:rPr>
                <w:rFonts w:hint="default" w:ascii="Times New Roman" w:hAnsi="Times New Roman" w:cs="Times New Roman"/>
              </w:rPr>
              <w:t>根据调查，大部分野生动物都是夜间出没，因此</w:t>
            </w:r>
            <w:r>
              <w:rPr>
                <w:rFonts w:hint="default" w:ascii="Times New Roman" w:hAnsi="Times New Roman" w:cs="Times New Roman"/>
                <w:lang w:val="en-US" w:eastAsia="zh-CN"/>
              </w:rPr>
              <w:t>建设</w:t>
            </w:r>
            <w:r>
              <w:rPr>
                <w:rFonts w:hint="default" w:ascii="Times New Roman" w:hAnsi="Times New Roman" w:cs="Times New Roman"/>
              </w:rPr>
              <w:t>单位应该加强</w:t>
            </w:r>
            <w:r>
              <w:rPr>
                <w:rFonts w:hint="default" w:ascii="Times New Roman" w:hAnsi="Times New Roman" w:cs="Times New Roman"/>
                <w:lang w:val="en-US" w:eastAsia="zh-CN"/>
              </w:rPr>
              <w:t>开采</w:t>
            </w:r>
            <w:r>
              <w:rPr>
                <w:rFonts w:hint="default" w:ascii="Times New Roman" w:hAnsi="Times New Roman" w:cs="Times New Roman"/>
              </w:rPr>
              <w:t>管理，在</w:t>
            </w:r>
            <w:r>
              <w:rPr>
                <w:rFonts w:hint="default" w:ascii="Times New Roman" w:hAnsi="Times New Roman" w:cs="Times New Roman"/>
                <w:lang w:val="en-US" w:eastAsia="zh-CN"/>
              </w:rPr>
              <w:t>勘探</w:t>
            </w:r>
            <w:r>
              <w:rPr>
                <w:rFonts w:hint="default" w:ascii="Times New Roman" w:hAnsi="Times New Roman" w:cs="Times New Roman"/>
              </w:rPr>
              <w:t>过程中应尽量安排在白天，避免夜间</w:t>
            </w:r>
            <w:r>
              <w:rPr>
                <w:rFonts w:hint="default" w:ascii="Times New Roman" w:hAnsi="Times New Roman" w:cs="Times New Roman"/>
                <w:lang w:val="en-US" w:eastAsia="zh-CN"/>
              </w:rPr>
              <w:t>开采</w:t>
            </w:r>
            <w:r>
              <w:rPr>
                <w:rFonts w:hint="default" w:ascii="Times New Roman" w:hAnsi="Times New Roman" w:cs="Times New Roman"/>
              </w:rPr>
              <w:t>对野生动物的影响。</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③加强员工对野生动物的保护意识，禁止捕捉野生动物，避免在野生动物的繁殖期、育幼期等敏感时期进行高强度作业，减少</w:t>
            </w:r>
            <w:r>
              <w:rPr>
                <w:rFonts w:hint="default" w:ascii="Times New Roman" w:hAnsi="Times New Roman" w:cs="Times New Roman"/>
              </w:rPr>
              <w:t>作业人员在矿区作业区以外活动区域</w:t>
            </w:r>
            <w:r>
              <w:rPr>
                <w:rFonts w:hint="default" w:ascii="Times New Roman" w:hAnsi="Times New Roman" w:cs="Times New Roman"/>
                <w:lang w:eastAsia="zh-CN"/>
              </w:rPr>
              <w:t>，</w:t>
            </w:r>
            <w:r>
              <w:rPr>
                <w:rFonts w:hint="default" w:ascii="Times New Roman" w:hAnsi="Times New Roman" w:cs="Times New Roman"/>
                <w:lang w:val="en-US" w:eastAsia="zh-CN"/>
              </w:rPr>
              <w:t>避免惊吓野生动物。</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项目</w:t>
            </w:r>
            <w:r>
              <w:rPr>
                <w:rFonts w:hint="default" w:ascii="Times New Roman" w:hAnsi="Times New Roman" w:cs="Times New Roman"/>
              </w:rPr>
              <w:t>分布的小型野生动物为当地常见类型，由于当地人为活动、车辆行驶频繁，这些动物已经对人为活动有一定的适应能力，因此，项目开采不会造成该区域某一物种消失，对这些动物的生存影响较小。</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1.2土壤环境</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eastAsia="zh-CN"/>
              </w:rPr>
            </w:pPr>
            <w:r>
              <w:rPr>
                <w:rFonts w:hint="eastAsia" w:cs="Times New Roman"/>
                <w:lang w:val="en-US" w:eastAsia="zh-CN"/>
              </w:rPr>
              <w:t>和硕县</w:t>
            </w:r>
            <w:r>
              <w:rPr>
                <w:rFonts w:hint="default" w:ascii="Times New Roman" w:hAnsi="Times New Roman" w:cs="Times New Roman"/>
              </w:rPr>
              <w:t>地处欧亚大陆腹地，远离海洋，降水极少，气候干燥且多大风，属典型的暖温带极端大陆性干旱荒漠气候，全县土壤pH值多在8～9，有机质含量在1%以下，一般氮素含量在0.6～1ppm，速磷含量多在2.6～10ppm。总体评价为表层土壤有效微量元素的含量以硼、铁、铜元素较丰富，但普遍缺锌、缺锰。</w:t>
            </w:r>
            <w:r>
              <w:rPr>
                <w:rFonts w:hint="default" w:ascii="Times New Roman" w:hAnsi="Times New Roman" w:cs="Times New Roman"/>
                <w:lang w:eastAsia="zh-CN"/>
              </w:rPr>
              <w:t>工程施工过程中的土方开挖、回填、机械碾压对土壤的理化性质和土壤肥力会产生一定不利影响。</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eastAsia="zh-CN"/>
              </w:rPr>
            </w:pPr>
            <w:r>
              <w:rPr>
                <w:rFonts w:hint="default" w:ascii="Times New Roman" w:hAnsi="Times New Roman" w:cs="Times New Roman"/>
                <w:lang w:val="en-US" w:eastAsia="zh-CN"/>
              </w:rPr>
              <w:t>勘探期应严格控制施工区域，尽可能缩小施工范围，减少开挖量和生态破坏面积，从而减少开挖和恢复面积；优化土石方平衡，减少水土流失。加强机械、车辆行驶路线的管理，划定明确的作业范围和行驶路线，严禁越界施工和偏离施工便道进行无监管活动，减少</w:t>
            </w:r>
            <w:r>
              <w:rPr>
                <w:rFonts w:hint="default" w:ascii="Times New Roman" w:hAnsi="Times New Roman" w:cs="Times New Roman"/>
              </w:rPr>
              <w:t>作业人员在矿区作业区以外活动区域</w:t>
            </w:r>
            <w:r>
              <w:rPr>
                <w:rFonts w:hint="default" w:ascii="Times New Roman" w:hAnsi="Times New Roman" w:cs="Times New Roman"/>
                <w:lang w:val="en-US" w:eastAsia="zh-CN"/>
              </w:rPr>
              <w:t>。</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1.3自然</w:t>
            </w:r>
            <w:r>
              <w:rPr>
                <w:rFonts w:hint="default" w:ascii="Times New Roman" w:hAnsi="Times New Roman" w:cs="Times New Roman"/>
              </w:rPr>
              <w:t>景观</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rPr>
              <w:t>项目已制定具体的复垦方案，预留了复垦保障资金，采取边</w:t>
            </w:r>
            <w:r>
              <w:rPr>
                <w:rFonts w:hint="default" w:ascii="Times New Roman" w:hAnsi="Times New Roman" w:cs="Times New Roman"/>
                <w:lang w:val="en-US" w:eastAsia="zh-CN"/>
              </w:rPr>
              <w:t>开挖</w:t>
            </w:r>
            <w:r>
              <w:rPr>
                <w:rFonts w:hint="default" w:ascii="Times New Roman" w:hAnsi="Times New Roman" w:cs="Times New Roman"/>
              </w:rPr>
              <w:t>边恢复</w:t>
            </w:r>
            <w:r>
              <w:rPr>
                <w:rFonts w:hint="default" w:ascii="Times New Roman" w:hAnsi="Times New Roman" w:cs="Times New Roman"/>
                <w:lang w:val="en-US" w:eastAsia="zh-CN"/>
              </w:rPr>
              <w:t>开挖</w:t>
            </w:r>
            <w:r>
              <w:rPr>
                <w:rFonts w:hint="default" w:ascii="Times New Roman" w:hAnsi="Times New Roman" w:cs="Times New Roman"/>
              </w:rPr>
              <w:t>迹地的方法，</w:t>
            </w:r>
            <w:r>
              <w:rPr>
                <w:rFonts w:hint="default" w:ascii="Times New Roman" w:hAnsi="Times New Roman" w:cs="Times New Roman"/>
                <w:lang w:val="en-US" w:eastAsia="zh-CN"/>
              </w:rPr>
              <w:t>对施工迹地</w:t>
            </w:r>
            <w:r>
              <w:rPr>
                <w:rFonts w:hint="default" w:ascii="Times New Roman" w:hAnsi="Times New Roman" w:cs="Times New Roman"/>
              </w:rPr>
              <w:t>进行恢复，</w:t>
            </w:r>
            <w:r>
              <w:rPr>
                <w:rFonts w:hint="default" w:ascii="Times New Roman" w:hAnsi="Times New Roman" w:cs="Times New Roman"/>
                <w:lang w:val="en-US" w:eastAsia="zh-CN"/>
              </w:rPr>
              <w:t>确保项目区占地区域基本恢复到探矿前地貌。</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①尽量避开雨季作业，探坑需要及时进行场地清理、回填并进行植被恢复。</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②表土层的保存在剥离表面植被时要有计划地实施，做到同一时期尽量减少土地裸露面积，采取边勘探边回填的措施。加强管理，做好环境保护宣传，在探矿过程中不要随意扩大开挖面积。</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③随着工程结束，探坑将逐步回填、平整，使其与周围地貌基本一致。</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1.4</w:t>
            </w:r>
            <w:r>
              <w:rPr>
                <w:rFonts w:hint="default" w:ascii="Times New Roman" w:hAnsi="Times New Roman" w:cs="Times New Roman"/>
              </w:rPr>
              <w:t>水土流失</w:t>
            </w:r>
          </w:p>
          <w:p>
            <w:pPr>
              <w:pStyle w:val="4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jc w:val="both"/>
              <w:textAlignment w:val="auto"/>
              <w:rPr>
                <w:rFonts w:hint="default" w:ascii="Times New Roman" w:hAnsi="Times New Roman" w:cs="Times New Roman"/>
              </w:rPr>
            </w:pPr>
            <w:r>
              <w:rPr>
                <w:rFonts w:hint="default" w:ascii="Times New Roman" w:hAnsi="Times New Roman" w:cs="Times New Roman"/>
                <w:lang w:val="en-US" w:eastAsia="zh-CN"/>
              </w:rPr>
              <w:t>本项目位于</w:t>
            </w:r>
            <w:r>
              <w:rPr>
                <w:rFonts w:hint="eastAsia" w:cs="Times New Roman"/>
                <w:lang w:val="en-US" w:eastAsia="zh-CN"/>
              </w:rPr>
              <w:t>新疆维吾尔自治区巴音郭楞蒙古自治州和硕县城东北17°方向，直线距离39千米处</w:t>
            </w:r>
            <w:r>
              <w:rPr>
                <w:rFonts w:hint="default" w:ascii="Times New Roman" w:hAnsi="Times New Roman" w:cs="Times New Roman"/>
                <w:lang w:val="en-US" w:eastAsia="zh-CN"/>
              </w:rPr>
              <w:t>，</w:t>
            </w:r>
            <w:r>
              <w:rPr>
                <w:rFonts w:hint="default" w:ascii="Times New Roman" w:hAnsi="Times New Roman" w:cs="Times New Roman"/>
                <w:lang w:eastAsia="zh-CN"/>
              </w:rPr>
              <w:t>勘探</w:t>
            </w:r>
            <w:r>
              <w:rPr>
                <w:rFonts w:hint="default" w:ascii="Times New Roman" w:hAnsi="Times New Roman" w:cs="Times New Roman"/>
              </w:rPr>
              <w:t>区降雨量较低，基本无法形成无组织的径流。项目区的水土流失</w:t>
            </w:r>
            <w:r>
              <w:rPr>
                <w:rFonts w:hint="eastAsia"/>
                <w:lang w:val="en-US" w:eastAsia="zh-CN"/>
              </w:rPr>
              <w:t>类型包括水力侵蚀，风力侵蚀和冻融侵蚀</w:t>
            </w:r>
            <w:r>
              <w:rPr>
                <w:rFonts w:hint="default" w:ascii="Times New Roman" w:hAnsi="Times New Roman" w:cs="Times New Roman"/>
              </w:rPr>
              <w:t>，</w:t>
            </w:r>
            <w:r>
              <w:rPr>
                <w:rFonts w:hint="default" w:ascii="Times New Roman" w:hAnsi="Times New Roman" w:cs="Times New Roman"/>
                <w:lang w:eastAsia="zh-CN"/>
              </w:rPr>
              <w:t>勘探区</w:t>
            </w:r>
            <w:r>
              <w:rPr>
                <w:rFonts w:hint="default" w:ascii="Times New Roman" w:hAnsi="Times New Roman" w:cs="Times New Roman"/>
              </w:rPr>
              <w:t>采用了边</w:t>
            </w:r>
            <w:r>
              <w:rPr>
                <w:rFonts w:hint="default" w:ascii="Times New Roman" w:hAnsi="Times New Roman" w:cs="Times New Roman"/>
                <w:lang w:eastAsia="zh-CN"/>
              </w:rPr>
              <w:t>开挖</w:t>
            </w:r>
            <w:r>
              <w:rPr>
                <w:rFonts w:hint="default" w:ascii="Times New Roman" w:hAnsi="Times New Roman" w:cs="Times New Roman"/>
              </w:rPr>
              <w:t>、边回填、边复垦的</w:t>
            </w:r>
            <w:r>
              <w:rPr>
                <w:rFonts w:hint="default" w:ascii="Times New Roman" w:hAnsi="Times New Roman" w:cs="Times New Roman"/>
                <w:lang w:eastAsia="zh-CN"/>
              </w:rPr>
              <w:t>勘探</w:t>
            </w:r>
            <w:r>
              <w:rPr>
                <w:rFonts w:hint="default" w:ascii="Times New Roman" w:hAnsi="Times New Roman" w:cs="Times New Roman"/>
              </w:rPr>
              <w:t>方式，符合《新疆维吾尔自治区水土保持规划（2018</w:t>
            </w:r>
            <w:r>
              <w:rPr>
                <w:rFonts w:hint="eastAsia" w:cs="Times New Roman"/>
                <w:lang w:val="en-US" w:eastAsia="zh-CN"/>
              </w:rPr>
              <w:t>-</w:t>
            </w:r>
            <w:r>
              <w:rPr>
                <w:rFonts w:hint="default" w:ascii="Times New Roman" w:hAnsi="Times New Roman" w:cs="Times New Roman"/>
              </w:rPr>
              <w:t>2030年）》的相关要求。</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本项目运营过程中由于</w:t>
            </w:r>
            <w:r>
              <w:rPr>
                <w:rFonts w:hint="default" w:ascii="Times New Roman" w:hAnsi="Times New Roman" w:cs="Times New Roman"/>
                <w:lang w:eastAsia="zh-CN"/>
              </w:rPr>
              <w:t>勘探</w:t>
            </w:r>
            <w:r>
              <w:rPr>
                <w:rFonts w:hint="default" w:ascii="Times New Roman" w:hAnsi="Times New Roman" w:cs="Times New Roman"/>
              </w:rPr>
              <w:t>活动破坏了地表植被，从而使路面、坡面土壤裸露，在风蚀和水蚀的作用下，不可避免地造成一定的水土流失。为减小水土流失的影响，评价要求企业采取以下措施：</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①堆土表面采用</w:t>
            </w:r>
            <w:r>
              <w:rPr>
                <w:rFonts w:hint="eastAsia" w:cs="Times New Roman"/>
                <w:lang w:val="en-US" w:eastAsia="zh-CN"/>
              </w:rPr>
              <w:t>彩布条</w:t>
            </w:r>
            <w:r>
              <w:rPr>
                <w:rFonts w:hint="default" w:ascii="Times New Roman" w:hAnsi="Times New Roman" w:cs="Times New Roman"/>
                <w:lang w:val="en-US" w:eastAsia="zh-CN"/>
              </w:rPr>
              <w:t>苫盖，减少降雨和风力对弃渣的侵蚀。</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lang w:eastAsia="zh-CN"/>
              </w:rPr>
            </w:pPr>
            <w:r>
              <w:rPr>
                <w:rFonts w:hint="default" w:ascii="Times New Roman" w:hAnsi="Times New Roman" w:cs="Times New Roman"/>
                <w:lang w:val="en-US" w:eastAsia="zh-CN"/>
              </w:rPr>
              <w:t>②</w:t>
            </w:r>
            <w:r>
              <w:rPr>
                <w:rFonts w:hint="default" w:ascii="Times New Roman" w:hAnsi="Times New Roman" w:cs="Times New Roman"/>
              </w:rPr>
              <w:t>加强管理，大风天气、雨季不得作业</w:t>
            </w:r>
            <w:r>
              <w:rPr>
                <w:rFonts w:hint="default" w:ascii="Times New Roman" w:hAnsi="Times New Roman" w:cs="Times New Roman"/>
                <w:lang w:eastAsia="zh-CN"/>
              </w:rPr>
              <w:t>。</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eastAsia="zh-CN"/>
              </w:rPr>
              <w:t>③勘探完成</w:t>
            </w:r>
            <w:r>
              <w:rPr>
                <w:rFonts w:hint="default" w:ascii="Times New Roman" w:hAnsi="Times New Roman" w:cs="Times New Roman"/>
              </w:rPr>
              <w:t>后，将</w:t>
            </w:r>
            <w:r>
              <w:rPr>
                <w:rFonts w:hint="default" w:ascii="Times New Roman" w:hAnsi="Times New Roman" w:cs="Times New Roman"/>
                <w:lang w:eastAsia="zh-CN"/>
              </w:rPr>
              <w:t>勘探区</w:t>
            </w:r>
            <w:r>
              <w:rPr>
                <w:rFonts w:hint="default" w:ascii="Times New Roman" w:hAnsi="Times New Roman" w:cs="Times New Roman"/>
              </w:rPr>
              <w:t>土地进行复垦</w:t>
            </w:r>
            <w:r>
              <w:rPr>
                <w:rFonts w:hint="default" w:ascii="Times New Roman" w:hAnsi="Times New Roman" w:cs="Times New Roman"/>
                <w:lang w:eastAsia="zh-CN"/>
              </w:rPr>
              <w:t>，对探坑</w:t>
            </w:r>
            <w:r>
              <w:rPr>
                <w:rFonts w:hint="default" w:ascii="Times New Roman" w:hAnsi="Times New Roman" w:cs="Times New Roman"/>
              </w:rPr>
              <w:t>周边进行表层回填和迹地覆土恢复，及时对周围生态植被进行修复，增加区域防冲和固土能力，减小水土流失的影响。</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本项目在采取以上相关的水土保持措施后，可使采区内水土得以有效保持，不会对生态环境造成较大的影响。</w:t>
            </w:r>
          </w:p>
          <w:p>
            <w:pPr>
              <w:pStyle w:val="50"/>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1.5土地沙化</w:t>
            </w:r>
          </w:p>
          <w:p>
            <w:pPr>
              <w:pStyle w:val="4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矿山勘查时，各类机械设备的活动会破坏地表植被，使其失去植被的固沙作用，加快土地沙化进程；机械碾压使土壤结构遭到破坏，进一步削弱了土壤的抗风蚀能力；勘查活动产生的堆土，会增加空气中沙尘含量，同时周边土壤被侵蚀，导致土地沙化范围扩大。在勘查期采取以下防沙治沙措施：</w:t>
            </w:r>
          </w:p>
          <w:p>
            <w:pPr>
              <w:pStyle w:val="4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①在探槽附近设置临时堆场，堆土采用</w:t>
            </w:r>
            <w:r>
              <w:rPr>
                <w:rFonts w:hint="eastAsia" w:cs="Times New Roman"/>
                <w:lang w:val="en-US" w:eastAsia="zh-CN"/>
              </w:rPr>
              <w:t>彩布条</w:t>
            </w:r>
            <w:r>
              <w:rPr>
                <w:rFonts w:hint="default" w:ascii="Times New Roman" w:hAnsi="Times New Roman" w:cs="Times New Roman"/>
                <w:lang w:val="en-US" w:eastAsia="zh-CN"/>
              </w:rPr>
              <w:t>苫盖，减少风蚀。</w:t>
            </w:r>
          </w:p>
          <w:p>
            <w:pPr>
              <w:pStyle w:val="4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②在作业区域与周边植被之间设置隔离带，防止机械设备和人员误闯入造成植被破坏。</w:t>
            </w:r>
          </w:p>
          <w:p>
            <w:pPr>
              <w:pStyle w:val="4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③合理规划作业范围，在勘查结束后及时开展植被恢复工作。</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2.勘探完成时的生态环境保护及恢复措施</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根据《矿山生态环境保护与恢复治理技术规范</w:t>
            </w:r>
            <w:bookmarkStart w:id="4" w:name="_GoBack"/>
            <w:bookmarkEnd w:id="4"/>
            <w:r>
              <w:rPr>
                <w:rFonts w:hint="eastAsia" w:cs="Times New Roman"/>
                <w:lang w:val="en-US" w:eastAsia="zh-CN"/>
              </w:rPr>
              <w:t>（试行）</w:t>
            </w:r>
            <w:r>
              <w:rPr>
                <w:rFonts w:hint="default" w:ascii="Times New Roman" w:hAnsi="Times New Roman" w:cs="Times New Roman"/>
                <w:lang w:val="en-US" w:eastAsia="zh-CN"/>
              </w:rPr>
              <w:t>》(HJ651-2013)、《新疆维吾尔自治区绿色勘查工作指南（试行）》和《裸露坡面植被恢复技术规范》（GB/T38360-2019）可知，探矿完成时的保护措施及恢复如下。</w:t>
            </w:r>
          </w:p>
          <w:p>
            <w:pPr>
              <w:pStyle w:val="48"/>
              <w:keepNext w:val="0"/>
              <w:keepLines w:val="0"/>
              <w:pageBreakBefore w:val="0"/>
              <w:widowControl w:val="0"/>
              <w:numPr>
                <w:ilvl w:val="0"/>
                <w:numId w:val="2"/>
              </w:numPr>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探矿活动结束后，应根据景观相似原则，对探矿活动造成的土壤、植被和地表景观破坏进行恢复。</w:t>
            </w:r>
          </w:p>
          <w:p>
            <w:pPr>
              <w:pStyle w:val="48"/>
              <w:keepNext w:val="0"/>
              <w:keepLines w:val="0"/>
              <w:pageBreakBefore w:val="0"/>
              <w:widowControl w:val="0"/>
              <w:numPr>
                <w:ilvl w:val="0"/>
                <w:numId w:val="2"/>
              </w:numPr>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对于钻孔或坑井应予回填封闭，并恢复其原有生态功能。</w:t>
            </w:r>
          </w:p>
          <w:p>
            <w:pPr>
              <w:pStyle w:val="48"/>
              <w:keepNext w:val="0"/>
              <w:keepLines w:val="0"/>
              <w:pageBreakBefore w:val="0"/>
              <w:widowControl w:val="0"/>
              <w:numPr>
                <w:ilvl w:val="0"/>
                <w:numId w:val="2"/>
              </w:numPr>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不再使用的</w:t>
            </w:r>
            <w:r>
              <w:rPr>
                <w:rFonts w:hint="eastAsia" w:cs="Times New Roman"/>
                <w:lang w:val="en-US" w:eastAsia="zh-CN"/>
              </w:rPr>
              <w:t>帐篷</w:t>
            </w:r>
            <w:r>
              <w:rPr>
                <w:rFonts w:hint="default" w:ascii="Times New Roman" w:hAnsi="Times New Roman" w:cs="Times New Roman"/>
                <w:lang w:val="en-US" w:eastAsia="zh-CN"/>
              </w:rPr>
              <w:t>、沉淀池等各项建筑和基础设施应按照以下要求全部拆除。</w:t>
            </w:r>
          </w:p>
          <w:p>
            <w:pPr>
              <w:pStyle w:val="48"/>
              <w:keepNext w:val="0"/>
              <w:keepLines w:val="0"/>
              <w:pageBreakBefore w:val="0"/>
              <w:widowControl w:val="0"/>
              <w:numPr>
                <w:ilvl w:val="0"/>
                <w:numId w:val="0"/>
              </w:numPr>
              <w:suppressLineNumbers w:val="0"/>
              <w:kinsoku/>
              <w:wordWrap w:val="0"/>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①分类收集：将拆除产生的建筑垃圾、生活垃圾等分类收集。</w:t>
            </w:r>
          </w:p>
          <w:p>
            <w:pPr>
              <w:pStyle w:val="48"/>
              <w:keepNext w:val="0"/>
              <w:keepLines w:val="0"/>
              <w:pageBreakBefore w:val="0"/>
              <w:widowControl w:val="0"/>
              <w:numPr>
                <w:ilvl w:val="0"/>
                <w:numId w:val="0"/>
              </w:numPr>
              <w:suppressLineNumbers w:val="0"/>
              <w:kinsoku/>
              <w:wordWrap w:val="0"/>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②合规处置：建筑垃圾可回收部分送回收站，不可回收的运至指定消纳场；生活垃圾送至</w:t>
            </w:r>
            <w:r>
              <w:rPr>
                <w:rFonts w:hint="eastAsia" w:cs="Times New Roman"/>
                <w:lang w:val="en-US" w:eastAsia="zh-CN"/>
              </w:rPr>
              <w:t>和硕县环境卫生服务中心</w:t>
            </w:r>
            <w:r>
              <w:rPr>
                <w:rFonts w:hint="default" w:ascii="Times New Roman" w:hAnsi="Times New Roman" w:cs="Times New Roman"/>
                <w:lang w:val="en-US" w:eastAsia="zh-CN"/>
              </w:rPr>
              <w:t>处理。</w:t>
            </w:r>
          </w:p>
          <w:p>
            <w:pPr>
              <w:pStyle w:val="48"/>
              <w:keepNext w:val="0"/>
              <w:keepLines w:val="0"/>
              <w:pageBreakBefore w:val="0"/>
              <w:widowControl w:val="0"/>
              <w:numPr>
                <w:ilvl w:val="0"/>
                <w:numId w:val="0"/>
              </w:numPr>
              <w:suppressLineNumbers w:val="0"/>
              <w:kinsoku/>
              <w:wordWrap w:val="0"/>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③拆除作业易产生扬尘，定期洒水降尘，干燥天气增加频次，保持地面湿润。</w:t>
            </w:r>
          </w:p>
          <w:p>
            <w:pPr>
              <w:pStyle w:val="48"/>
              <w:keepNext w:val="0"/>
              <w:keepLines w:val="0"/>
              <w:pageBreakBefore w:val="0"/>
              <w:widowControl w:val="0"/>
              <w:numPr>
                <w:ilvl w:val="0"/>
                <w:numId w:val="2"/>
              </w:numPr>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专用运输道路应及时回填、平整并利用堆存的表土进行植被和景观恢复。</w:t>
            </w:r>
          </w:p>
          <w:p>
            <w:pPr>
              <w:pStyle w:val="48"/>
              <w:keepNext w:val="0"/>
              <w:keepLines w:val="0"/>
              <w:pageBreakBefore w:val="0"/>
              <w:widowControl w:val="0"/>
              <w:numPr>
                <w:ilvl w:val="0"/>
                <w:numId w:val="2"/>
              </w:numPr>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施工结束后土地应及时平整恢复，定期检查已回填恢复的探槽，尽可能恢复植被原貌。</w:t>
            </w:r>
          </w:p>
          <w:p>
            <w:pPr>
              <w:pStyle w:val="48"/>
              <w:keepNext w:val="0"/>
              <w:keepLines w:val="0"/>
              <w:pageBreakBefore w:val="0"/>
              <w:widowControl w:val="0"/>
              <w:numPr>
                <w:ilvl w:val="0"/>
                <w:numId w:val="2"/>
              </w:numPr>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勘探完成后，将勘探区土地进行复垦，对探坑周边进行表层回填和迹地覆土恢复，及时对周围生态植被进行修复，减小水土流失的影响。</w:t>
            </w:r>
          </w:p>
          <w:p>
            <w:pPr>
              <w:pStyle w:val="50"/>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3.大气环境保护措施</w:t>
            </w:r>
          </w:p>
          <w:p>
            <w:pPr>
              <w:pStyle w:val="50"/>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3.1开挖扬尘</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施工过程中扬尘污染对该点及周围环境产生一定的不利影响。为避免扬尘污染施工场地，拟提出以下防治措施：</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（1）施工前制定控制工地扬尘方案，施工期间接受相关部门的监督检查，执行施工场地的相关规定，采取有效防尘措施。</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（2）施工现场合理布局，对施工道路常洒水，对易扬尘物料加盖苫布。</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（3）为进一步降低施工扬尘，要定期对路面和施工场地洒水，保持下垫面和空气湿润，减少起尘量，洒水频率视天气情况调整，原则上晴天每天不少于4次。</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（4）4级以上大风天气，不得进行土方回填、转运以及其他可能产生扬尘污染的施工，并对施工场地做好遮掩工作。</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3.2</w:t>
            </w:r>
            <w:r>
              <w:rPr>
                <w:rFonts w:hint="default" w:ascii="Times New Roman" w:hAnsi="Times New Roman" w:cs="Times New Roman"/>
              </w:rPr>
              <w:t>燃油废气</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由于施工机械在运行过程中点源分散，燃油废气属无组织排放，主要对作业点周围和运输路线两侧局部范围产生一定影响。由于排放量不大且项目区周边均为空地，环境容量大，所以对当地环境空气质量造成的不良影响甚微。但为避免对环境造成额外负担，本环评提出防治措施如下：</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（1）使用合格的施工与运输车辆，保证汽车尾气达到国家规定的排放标准要求。</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（2）选用工艺先进、技术含量高的作业机械。</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（3）尽量避免施工机械同时运行，停止使用机械时尽可能怠速运转或熄火，避免猛踩油门增加燃油废气中有害物质的排放。</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rPr>
            </w:pPr>
            <w:r>
              <w:rPr>
                <w:rFonts w:hint="default" w:ascii="Times New Roman" w:hAnsi="Times New Roman" w:cs="Times New Roman"/>
                <w:highlight w:val="none"/>
                <w:lang w:val="en-US" w:eastAsia="zh-CN"/>
              </w:rPr>
              <w:t>4.</w:t>
            </w:r>
            <w:r>
              <w:rPr>
                <w:rFonts w:hint="default" w:ascii="Times New Roman" w:hAnsi="Times New Roman" w:cs="Times New Roman"/>
                <w:highlight w:val="none"/>
              </w:rPr>
              <w:t>水环境</w:t>
            </w:r>
            <w:r>
              <w:rPr>
                <w:rFonts w:hint="default" w:ascii="Times New Roman" w:hAnsi="Times New Roman" w:cs="Times New Roman"/>
                <w:highlight w:val="none"/>
                <w:lang w:val="en-US" w:eastAsia="zh-CN"/>
              </w:rPr>
              <w:t>保护</w:t>
            </w:r>
            <w:r>
              <w:rPr>
                <w:rFonts w:hint="default" w:ascii="Times New Roman" w:hAnsi="Times New Roman" w:cs="Times New Roman"/>
                <w:highlight w:val="none"/>
              </w:rPr>
              <w:t>措施</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（1）生活污水</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rPr>
              <w:t>本次探矿野外作业人员约</w:t>
            </w:r>
            <w:r>
              <w:rPr>
                <w:rFonts w:hint="eastAsia" w:cs="Times New Roman"/>
                <w:lang w:val="en-US" w:eastAsia="zh-CN"/>
              </w:rPr>
              <w:t>6</w:t>
            </w:r>
            <w:r>
              <w:rPr>
                <w:rFonts w:hint="default" w:ascii="Times New Roman" w:hAnsi="Times New Roman" w:cs="Times New Roman"/>
              </w:rPr>
              <w:t>人。勘探人员日常洗漱</w:t>
            </w:r>
            <w:r>
              <w:rPr>
                <w:rFonts w:hint="default" w:ascii="Times New Roman" w:hAnsi="Times New Roman" w:cs="Times New Roman"/>
                <w:lang w:val="en-US" w:eastAsia="zh-CN"/>
              </w:rPr>
              <w:t>和</w:t>
            </w:r>
            <w:r>
              <w:rPr>
                <w:rFonts w:hint="default" w:ascii="Times New Roman" w:hAnsi="Times New Roman" w:cs="Times New Roman"/>
              </w:rPr>
              <w:t>生活所产生的污水，间断排放，主要含COD、BOD</w:t>
            </w:r>
            <w:r>
              <w:rPr>
                <w:rFonts w:hint="default" w:ascii="Times New Roman" w:hAnsi="Times New Roman" w:cs="Times New Roman"/>
                <w:vertAlign w:val="subscript"/>
              </w:rPr>
              <w:t>5</w:t>
            </w:r>
            <w:r>
              <w:rPr>
                <w:rFonts w:hint="default" w:ascii="Times New Roman" w:hAnsi="Times New Roman" w:cs="Times New Roman"/>
              </w:rPr>
              <w:t>、SS等污染物</w:t>
            </w:r>
            <w:r>
              <w:rPr>
                <w:rFonts w:hint="default" w:ascii="Times New Roman" w:hAnsi="Times New Roman" w:cs="Times New Roman"/>
                <w:lang w:eastAsia="zh-CN"/>
              </w:rPr>
              <w:t>，</w:t>
            </w:r>
            <w:r>
              <w:rPr>
                <w:rFonts w:hint="eastAsia" w:cs="Times New Roman"/>
                <w:lang w:val="en-US" w:eastAsia="zh-CN"/>
              </w:rPr>
              <w:t>勘探期工作天数为30d，则勘探期</w:t>
            </w:r>
            <w:r>
              <w:rPr>
                <w:rFonts w:hint="eastAsia"/>
              </w:rPr>
              <w:t>生活污水</w:t>
            </w:r>
            <w:r>
              <w:rPr>
                <w:rFonts w:hint="eastAsia"/>
                <w:lang w:val="en-US" w:eastAsia="zh-CN"/>
              </w:rPr>
              <w:t>排放量为4.32</w:t>
            </w:r>
            <w:r>
              <w:rPr>
                <w:rFonts w:hint="eastAsia"/>
              </w:rPr>
              <w:t>m</w:t>
            </w:r>
            <w:r>
              <w:rPr>
                <w:rFonts w:hint="eastAsia"/>
                <w:vertAlign w:val="superscript"/>
              </w:rPr>
              <w:t>3</w:t>
            </w:r>
            <w:r>
              <w:rPr>
                <w:rFonts w:hint="eastAsia"/>
              </w:rPr>
              <w:t>。</w:t>
            </w:r>
            <w:r>
              <w:rPr>
                <w:rFonts w:hint="default" w:ascii="Times New Roman" w:hAnsi="Times New Roman" w:cs="Times New Roman"/>
                <w:lang w:val="en-US" w:eastAsia="zh-CN"/>
              </w:rPr>
              <w:t>生活污水产生量较少</w:t>
            </w:r>
            <w:r>
              <w:rPr>
                <w:rFonts w:hint="default" w:ascii="Times New Roman" w:hAnsi="Times New Roman" w:cs="Times New Roman"/>
              </w:rPr>
              <w:t>。生活污水包括粪便污</w:t>
            </w:r>
            <w:r>
              <w:rPr>
                <w:rFonts w:hint="default" w:ascii="Times New Roman" w:hAnsi="Times New Roman" w:cs="Times New Roman"/>
                <w:lang w:val="en-US" w:eastAsia="zh-CN"/>
              </w:rPr>
              <w:t>水和洗漱污水</w:t>
            </w:r>
            <w:r>
              <w:rPr>
                <w:rFonts w:hint="default" w:ascii="Times New Roman" w:hAnsi="Times New Roman" w:cs="Times New Roman"/>
              </w:rPr>
              <w:t>等，类比一般生活污水污染物产生浓度，主要污染物COD、BOD</w:t>
            </w:r>
            <w:r>
              <w:rPr>
                <w:rFonts w:hint="eastAsia" w:cs="Times New Roman"/>
                <w:vertAlign w:val="subscript"/>
                <w:lang w:val="en-US" w:eastAsia="zh-CN"/>
              </w:rPr>
              <w:t>5</w:t>
            </w:r>
            <w:r>
              <w:rPr>
                <w:rFonts w:hint="default" w:ascii="Times New Roman" w:hAnsi="Times New Roman" w:cs="Times New Roman"/>
              </w:rPr>
              <w:t>、SS、NH</w:t>
            </w:r>
            <w:r>
              <w:rPr>
                <w:rFonts w:hint="eastAsia" w:cs="Times New Roman"/>
                <w:vertAlign w:val="subscript"/>
                <w:lang w:val="en-US" w:eastAsia="zh-CN"/>
              </w:rPr>
              <w:t>4</w:t>
            </w:r>
            <w:r>
              <w:rPr>
                <w:rFonts w:hint="default" w:ascii="Times New Roman" w:hAnsi="Times New Roman" w:cs="Times New Roman"/>
              </w:rPr>
              <w:t>-N、动植物油的排放浓度分别为</w:t>
            </w:r>
            <w:r>
              <w:rPr>
                <w:rFonts w:hint="default" w:ascii="Times New Roman" w:hAnsi="Times New Roman" w:cs="Times New Roman"/>
                <w:lang w:eastAsia="zh-CN"/>
              </w:rPr>
              <w:t>：</w:t>
            </w:r>
            <w:r>
              <w:rPr>
                <w:rFonts w:hint="default" w:ascii="Times New Roman" w:hAnsi="Times New Roman" w:cs="Times New Roman"/>
              </w:rPr>
              <w:t>320mg/</w:t>
            </w:r>
            <w:r>
              <w:rPr>
                <w:rFonts w:hint="eastAsia" w:cs="Times New Roman"/>
                <w:lang w:val="en-US" w:eastAsia="zh-CN"/>
              </w:rPr>
              <w:t>L</w:t>
            </w:r>
            <w:r>
              <w:rPr>
                <w:rFonts w:hint="default" w:ascii="Times New Roman" w:hAnsi="Times New Roman" w:cs="Times New Roman"/>
                <w:lang w:eastAsia="zh-CN"/>
              </w:rPr>
              <w:t>、</w:t>
            </w:r>
            <w:r>
              <w:rPr>
                <w:rFonts w:hint="default" w:ascii="Times New Roman" w:hAnsi="Times New Roman" w:cs="Times New Roman"/>
              </w:rPr>
              <w:t>200mg/</w:t>
            </w:r>
            <w:r>
              <w:rPr>
                <w:rFonts w:hint="eastAsia" w:cs="Times New Roman"/>
                <w:lang w:val="en-US" w:eastAsia="zh-CN"/>
              </w:rPr>
              <w:t>L</w:t>
            </w:r>
            <w:r>
              <w:rPr>
                <w:rFonts w:hint="default" w:ascii="Times New Roman" w:hAnsi="Times New Roman" w:cs="Times New Roman"/>
              </w:rPr>
              <w:t>、360mg/</w:t>
            </w:r>
            <w:r>
              <w:rPr>
                <w:rFonts w:hint="eastAsia" w:cs="Times New Roman"/>
                <w:lang w:val="en-US" w:eastAsia="zh-CN"/>
              </w:rPr>
              <w:t>L</w:t>
            </w:r>
            <w:r>
              <w:rPr>
                <w:rFonts w:hint="default" w:ascii="Times New Roman" w:hAnsi="Times New Roman" w:cs="Times New Roman"/>
              </w:rPr>
              <w:t>、25mg/</w:t>
            </w:r>
            <w:r>
              <w:rPr>
                <w:rFonts w:hint="eastAsia" w:cs="Times New Roman"/>
                <w:lang w:val="en-US" w:eastAsia="zh-CN"/>
              </w:rPr>
              <w:t>L</w:t>
            </w:r>
            <w:r>
              <w:rPr>
                <w:rFonts w:hint="default" w:ascii="Times New Roman" w:hAnsi="Times New Roman" w:cs="Times New Roman"/>
              </w:rPr>
              <w:t>、30mg</w:t>
            </w:r>
            <w:r>
              <w:rPr>
                <w:rFonts w:hint="eastAsia" w:cs="Times New Roman"/>
                <w:lang w:val="en-US" w:eastAsia="zh-CN"/>
              </w:rPr>
              <w:t>/L</w:t>
            </w:r>
            <w:r>
              <w:rPr>
                <w:rFonts w:hint="default" w:ascii="Times New Roman" w:hAnsi="Times New Roman" w:cs="Times New Roman"/>
              </w:rPr>
              <w:t>。</w:t>
            </w:r>
            <w:r>
              <w:rPr>
                <w:rFonts w:hint="default" w:ascii="Times New Roman" w:hAnsi="Times New Roman" w:cs="Times New Roman"/>
                <w:lang w:val="en-US" w:eastAsia="zh-CN"/>
              </w:rPr>
              <w:t>生活污水排入一体化污水处理设施处理达标后，其出水标准可达到《农村生活污水处理排放标准》（DB654275-2019）表2中</w:t>
            </w:r>
            <w:r>
              <w:rPr>
                <w:rFonts w:hint="eastAsia" w:cs="Times New Roman"/>
                <w:lang w:val="en-US" w:eastAsia="zh-CN"/>
              </w:rPr>
              <w:t>A</w:t>
            </w:r>
            <w:r>
              <w:rPr>
                <w:rFonts w:hint="default" w:ascii="Times New Roman" w:hAnsi="Times New Roman" w:cs="Times New Roman"/>
                <w:lang w:val="en-US" w:eastAsia="zh-CN"/>
              </w:rPr>
              <w:t>级标准，用于洒水绿化，不外排，不与地表水体发生水力联系，对周围环境影响较小。</w:t>
            </w:r>
          </w:p>
          <w:p>
            <w:pPr>
              <w:pStyle w:val="48"/>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0" w:afterAutospacing="0"/>
              <w:ind w:left="0" w:leftChars="0" w:right="0"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（2）钻井设备冲洗水</w:t>
            </w:r>
          </w:p>
          <w:p>
            <w:pPr>
              <w:pStyle w:val="48"/>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0" w:afterAutospacing="0"/>
              <w:ind w:left="0" w:leftChars="0" w:right="0"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项目钻探过程中使用的钻井设备需清洗，勘探期产生的清洗废水经防渗沉淀池</w:t>
            </w:r>
            <w:r>
              <w:rPr>
                <w:rFonts w:hint="eastAsia" w:cs="Times New Roman"/>
                <w:lang w:val="en-US" w:eastAsia="zh-CN"/>
              </w:rPr>
              <w:t>处理后用于洒水降尘</w:t>
            </w:r>
            <w:r>
              <w:rPr>
                <w:rFonts w:hint="default" w:ascii="Times New Roman" w:hAnsi="Times New Roman" w:cs="Times New Roman"/>
                <w:lang w:val="en-US" w:eastAsia="zh-CN"/>
              </w:rPr>
              <w:t>，探矿期结束后自然蒸发，不外排。</w:t>
            </w:r>
          </w:p>
          <w:p>
            <w:pPr>
              <w:pStyle w:val="48"/>
              <w:keepNext w:val="0"/>
              <w:keepLines w:val="0"/>
              <w:pageBreakBefore w:val="0"/>
              <w:widowControl w:val="0"/>
              <w:numPr>
                <w:ilvl w:val="0"/>
                <w:numId w:val="0"/>
              </w:numPr>
              <w:suppressLineNumbers w:val="0"/>
              <w:kinsoku/>
              <w:overflowPunct/>
              <w:topLinePunct w:val="0"/>
              <w:autoSpaceDE/>
              <w:autoSpaceDN/>
              <w:bidi w:val="0"/>
              <w:adjustRightInd w:val="0"/>
              <w:snapToGrid w:val="0"/>
              <w:spacing w:before="0" w:beforeAutospacing="0" w:after="0" w:afterAutospacing="0"/>
              <w:ind w:left="0" w:leftChars="0" w:right="0" w:firstLine="48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（3）泥浆废水</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泥浆废水经防渗沉淀池处理后回用于钻孔泥浆配制，循环使用，不外排。</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5.声环境保护</w:t>
            </w:r>
            <w:r>
              <w:rPr>
                <w:rFonts w:hint="default" w:ascii="Times New Roman" w:hAnsi="Times New Roman" w:cs="Times New Roman"/>
              </w:rPr>
              <w:t>措施</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为减少本项目施工期间噪声对周边环境的影响拟采取以下防治措施：</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（1）合理安排施工时段：制定施工计划时，应尽可能避免大量噪声设备同时使用。应尽量安排在白天施工。</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（2）合理布局施工场地：避免在同一地点安排大量动力机械设备，以免局部声级过高。</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（3）降低人为噪声影响：按操作规范操作机械设备过程中减少碰撞噪声，在装卸</w:t>
            </w:r>
            <w:r>
              <w:rPr>
                <w:rFonts w:hint="default" w:ascii="Times New Roman" w:hAnsi="Times New Roman" w:cs="Times New Roman"/>
                <w:lang w:val="en-US" w:eastAsia="zh-CN"/>
              </w:rPr>
              <w:t>过</w:t>
            </w:r>
            <w:r>
              <w:rPr>
                <w:rFonts w:hint="default" w:ascii="Times New Roman" w:hAnsi="Times New Roman" w:cs="Times New Roman"/>
              </w:rPr>
              <w:t>程中，禁止野蛮作业，减少作业噪声。</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（4）管理措施：建设方应对施工单位提出明确的噪声环境要求，要求施工单位制定科学、合理的施工方案和严格的生产管理制度。</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（5）加强对设备的维护、养护，闲置设备应立即关闭。尽可能采用外加工材料，减少现场加工的工作量。</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固体废物污染防治措施</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rPr>
              <w:t>（1）</w:t>
            </w:r>
            <w:r>
              <w:rPr>
                <w:rFonts w:hint="default" w:ascii="Times New Roman" w:hAnsi="Times New Roman" w:cs="Times New Roman"/>
                <w:lang w:val="en-US" w:eastAsia="zh-CN"/>
              </w:rPr>
              <w:t>开挖临时堆土</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根据工程分析，本项目勘探期土石方主要由槽探开挖产生。开挖过程中同步采集勘探样品并外运留存，开挖土方临时堆置于探槽一侧，采用</w:t>
            </w:r>
            <w:r>
              <w:rPr>
                <w:rFonts w:hint="eastAsia" w:cs="Times New Roman"/>
                <w:lang w:val="en-US" w:eastAsia="zh-CN"/>
              </w:rPr>
              <w:t>彩布条</w:t>
            </w:r>
            <w:r>
              <w:rPr>
                <w:rFonts w:hint="default" w:ascii="Times New Roman" w:hAnsi="Times New Roman" w:cs="Times New Roman"/>
              </w:rPr>
              <w:t>苫盖防护。勘探工作结束后，取样剩余土石方全部原位回填并平整场地，现场无弃土产生，可有效防治水土流失，对周边环境影响较小。</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（2）钻井泥浆、岩屑</w:t>
            </w:r>
            <w:r>
              <w:rPr>
                <w:rFonts w:hint="default" w:ascii="Times New Roman" w:hAnsi="Times New Roman" w:cs="Times New Roman"/>
                <w:lang w:val="en-US" w:eastAsia="zh-CN"/>
              </w:rPr>
              <w:t>、沉淀池沉渣</w:t>
            </w:r>
          </w:p>
          <w:p>
            <w:pPr>
              <w:pStyle w:val="48"/>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本项</w:t>
            </w:r>
            <w:r>
              <w:rPr>
                <w:rFonts w:hint="eastAsia"/>
                <w:lang w:val="en-US" w:eastAsia="zh-CN"/>
              </w:rPr>
              <w:t>目</w:t>
            </w:r>
            <w:r>
              <w:rPr>
                <w:rFonts w:hint="default"/>
                <w:lang w:val="en-US" w:eastAsia="zh-CN"/>
              </w:rPr>
              <w:t>使用的泥浆为水基钻井泥浆，以膨润土、辅料粘土作为基础配浆材料，加入各种有机和无机材料形成的多种成分和相态共存的悬浮液。本项目采用的泥浆材料及处理剂具备无毒无害、可自然降解性能，不含易燃、易爆、有毒物质</w:t>
            </w:r>
            <w:r>
              <w:rPr>
                <w:rFonts w:hint="eastAsia"/>
                <w:lang w:val="en-US" w:eastAsia="zh-CN"/>
              </w:rPr>
              <w:t>，可</w:t>
            </w:r>
            <w:r>
              <w:rPr>
                <w:rFonts w:hint="default"/>
                <w:lang w:val="en-US" w:eastAsia="zh-CN"/>
              </w:rPr>
              <w:t>循环使用，固化后</w:t>
            </w:r>
            <w:r>
              <w:rPr>
                <w:rFonts w:hint="eastAsia"/>
                <w:lang w:val="en-US" w:eastAsia="zh-CN"/>
              </w:rPr>
              <w:t>拉运至一般固废处置单位统一处理</w:t>
            </w:r>
            <w:r>
              <w:rPr>
                <w:rFonts w:hint="default"/>
                <w:lang w:val="en-US" w:eastAsia="zh-CN"/>
              </w:rPr>
              <w:t>。岩屑用于回填</w:t>
            </w:r>
            <w:r>
              <w:rPr>
                <w:rFonts w:hint="eastAsia"/>
                <w:lang w:val="en-US" w:eastAsia="zh-CN"/>
              </w:rPr>
              <w:t>，</w:t>
            </w:r>
            <w:r>
              <w:rPr>
                <w:rFonts w:hint="default"/>
                <w:lang w:val="en-US" w:eastAsia="zh-CN"/>
              </w:rPr>
              <w:t>沉淀池沉渣采取就地掩埋的方式进行处理</w:t>
            </w:r>
            <w:r>
              <w:rPr>
                <w:rFonts w:hint="eastAsia"/>
                <w:lang w:val="en-US" w:eastAsia="zh-CN"/>
              </w:rPr>
              <w:t>，</w:t>
            </w:r>
            <w:r>
              <w:rPr>
                <w:rFonts w:hint="default"/>
                <w:lang w:val="en-US" w:eastAsia="zh-CN"/>
              </w:rPr>
              <w:t>废弃泥浆</w:t>
            </w:r>
            <w:r>
              <w:rPr>
                <w:rFonts w:hint="eastAsia"/>
                <w:lang w:val="en-US" w:eastAsia="zh-CN"/>
              </w:rPr>
              <w:t>、</w:t>
            </w:r>
            <w:r>
              <w:rPr>
                <w:rFonts w:hint="default"/>
                <w:lang w:val="en-US" w:eastAsia="zh-CN"/>
              </w:rPr>
              <w:t>岩屑</w:t>
            </w:r>
            <w:r>
              <w:rPr>
                <w:rFonts w:hint="eastAsia"/>
                <w:lang w:val="en-US" w:eastAsia="zh-CN"/>
              </w:rPr>
              <w:t>、沉淀池沉渣</w:t>
            </w:r>
            <w:r>
              <w:rPr>
                <w:rFonts w:hint="default"/>
                <w:lang w:val="en-US" w:eastAsia="zh-CN"/>
              </w:rPr>
              <w:t>的处置满足《一般工业固体废物贮存和填埋污染控制标准》（GB18599-2020）的要求。</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（3）生活垃圾</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shd w:val="clear" w:color="auto" w:fill="auto"/>
                <w:lang w:eastAsia="zh-CN"/>
              </w:rPr>
            </w:pPr>
            <w:r>
              <w:rPr>
                <w:rFonts w:hint="default" w:ascii="Times New Roman" w:hAnsi="Times New Roman" w:eastAsia="宋体" w:cs="Times New Roman"/>
                <w:lang w:val="en-US" w:eastAsia="zh-CN"/>
              </w:rPr>
              <w:t>本项目</w:t>
            </w:r>
            <w:r>
              <w:rPr>
                <w:rFonts w:hint="eastAsia" w:cs="Times New Roman"/>
                <w:lang w:val="en-US" w:eastAsia="zh-CN"/>
              </w:rPr>
              <w:t>施工期和</w:t>
            </w:r>
            <w:r>
              <w:rPr>
                <w:rFonts w:hint="default" w:ascii="Times New Roman" w:hAnsi="Times New Roman" w:eastAsia="宋体" w:cs="Times New Roman"/>
                <w:lang w:val="en-US" w:eastAsia="zh-CN"/>
              </w:rPr>
              <w:t>勘探期间施工人员生活垃圾产生总量约</w:t>
            </w:r>
            <w:r>
              <w:rPr>
                <w:rFonts w:hint="default" w:ascii="Times New Roman" w:hAnsi="Times New Roman" w:cs="Times New Roman"/>
                <w:lang w:val="en-US" w:eastAsia="zh-CN"/>
              </w:rPr>
              <w:t>为</w:t>
            </w:r>
            <w:r>
              <w:rPr>
                <w:rFonts w:hint="eastAsia" w:cs="Times New Roman"/>
                <w:lang w:val="en-US" w:eastAsia="zh-CN"/>
              </w:rPr>
              <w:t>0.108</w:t>
            </w:r>
            <w:r>
              <w:rPr>
                <w:rFonts w:hint="default" w:ascii="Times New Roman" w:hAnsi="Times New Roman" w:cs="Times New Roman"/>
                <w:highlight w:val="none"/>
                <w:lang w:val="en-US" w:eastAsia="zh-CN"/>
              </w:rPr>
              <w:t>t</w:t>
            </w:r>
            <w:r>
              <w:rPr>
                <w:rFonts w:hint="eastAsia" w:cs="Times New Roman"/>
                <w:highlight w:val="none"/>
                <w:lang w:val="en-US" w:eastAsia="zh-CN"/>
              </w:rPr>
              <w:t>，</w:t>
            </w:r>
            <w:r>
              <w:rPr>
                <w:rFonts w:hint="default" w:ascii="Times New Roman" w:hAnsi="Times New Roman" w:cs="Times New Roman"/>
                <w:lang w:val="en-US" w:eastAsia="zh-CN"/>
              </w:rPr>
              <w:t>施工营地内设置一定数量的垃圾桶，用于临时存放生活垃圾，最终统一收集后</w:t>
            </w:r>
            <w:r>
              <w:rPr>
                <w:rFonts w:hint="default" w:ascii="Times New Roman" w:hAnsi="Times New Roman" w:cs="Times New Roman"/>
                <w:shd w:val="clear" w:color="auto" w:fill="auto"/>
                <w:lang w:val="en-US" w:eastAsia="zh-CN"/>
              </w:rPr>
              <w:t>送至</w:t>
            </w:r>
            <w:r>
              <w:rPr>
                <w:rFonts w:hint="eastAsia" w:cs="Times New Roman"/>
                <w:shd w:val="clear" w:color="auto" w:fill="auto"/>
                <w:lang w:val="en-US" w:eastAsia="zh-CN"/>
              </w:rPr>
              <w:t>和硕县环境卫生服务中心</w:t>
            </w:r>
            <w:r>
              <w:rPr>
                <w:rFonts w:hint="default" w:ascii="Times New Roman" w:hAnsi="Times New Roman" w:cs="Times New Roman"/>
                <w:shd w:val="clear" w:color="auto" w:fill="auto"/>
                <w:lang w:eastAsia="zh-CN"/>
              </w:rPr>
              <w:t>。</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rPr>
              <w:t>采取以上防治措施后，探矿工作产生的固体废物对环境影响较小</w:t>
            </w:r>
            <w:r>
              <w:rPr>
                <w:rFonts w:hint="eastAsia" w:cs="Times New Roman"/>
                <w:lang w:eastAsia="zh-CN"/>
              </w:rPr>
              <w:t>，</w:t>
            </w:r>
            <w:r>
              <w:rPr>
                <w:rFonts w:hint="default" w:ascii="Times New Roman" w:hAnsi="Times New Roman" w:cs="Times New Roman"/>
              </w:rPr>
              <w:t>固废产生明细</w:t>
            </w:r>
            <w:r>
              <w:rPr>
                <w:rFonts w:hint="default" w:ascii="Times New Roman" w:hAnsi="Times New Roman" w:cs="Times New Roman"/>
                <w:lang w:eastAsia="zh-CN"/>
              </w:rPr>
              <w:t>见表</w:t>
            </w:r>
            <w:r>
              <w:rPr>
                <w:rFonts w:hint="default" w:ascii="Times New Roman" w:hAnsi="Times New Roman" w:cs="Times New Roman"/>
                <w:lang w:val="en-US" w:eastAsia="zh-CN"/>
              </w:rPr>
              <w:t>5-1。</w:t>
            </w:r>
          </w:p>
          <w:p>
            <w:pPr>
              <w:pStyle w:val="52"/>
              <w:keepNext w:val="0"/>
              <w:keepLines w:val="0"/>
              <w:suppressLineNumbers w:val="0"/>
              <w:bidi w:val="0"/>
              <w:spacing w:before="0" w:beforeAutospacing="0" w:after="0" w:afterAutospacing="0"/>
              <w:ind w:left="0" w:right="0"/>
              <w:rPr>
                <w:rFonts w:hint="default"/>
              </w:rPr>
            </w:pPr>
            <w:r>
              <w:rPr>
                <w:rFonts w:hint="default"/>
                <w:lang w:val="en-US" w:eastAsia="zh-CN"/>
              </w:rPr>
              <w:t>表5-1    项目固体废物产生情况明细</w:t>
            </w:r>
          </w:p>
          <w:tbl>
            <w:tblPr>
              <w:tblStyle w:val="26"/>
              <w:tblW w:w="50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065"/>
              <w:gridCol w:w="795"/>
              <w:gridCol w:w="1365"/>
              <w:gridCol w:w="1186"/>
              <w:gridCol w:w="663"/>
              <w:gridCol w:w="1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废物属性</w:t>
                  </w:r>
                </w:p>
              </w:tc>
              <w:tc>
                <w:tcPr>
                  <w:tcW w:w="693"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名称</w:t>
                  </w:r>
                </w:p>
              </w:tc>
              <w:tc>
                <w:tcPr>
                  <w:tcW w:w="517"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废物类别</w:t>
                  </w:r>
                </w:p>
              </w:tc>
              <w:tc>
                <w:tcPr>
                  <w:tcW w:w="888"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废物代码</w:t>
                  </w:r>
                </w:p>
              </w:tc>
              <w:tc>
                <w:tcPr>
                  <w:tcW w:w="77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产生量</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（探矿期）</w:t>
                  </w:r>
                </w:p>
              </w:tc>
              <w:tc>
                <w:tcPr>
                  <w:tcW w:w="43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危险特性</w:t>
                  </w:r>
                </w:p>
              </w:tc>
              <w:tc>
                <w:tcPr>
                  <w:tcW w:w="1276"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421" w:type="pct"/>
                  <w:vMerge w:val="restar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一般固废</w:t>
                  </w:r>
                </w:p>
              </w:tc>
              <w:tc>
                <w:tcPr>
                  <w:tcW w:w="693"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开挖土石</w:t>
                  </w:r>
                </w:p>
              </w:tc>
              <w:tc>
                <w:tcPr>
                  <w:tcW w:w="517" w:type="pct"/>
                  <w:vMerge w:val="restar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SW</w:t>
                  </w:r>
                  <w:r>
                    <w:rPr>
                      <w:rFonts w:hint="eastAsia" w:cs="Times New Roman"/>
                      <w:highlight w:val="none"/>
                      <w:lang w:val="en-US" w:eastAsia="zh-CN"/>
                    </w:rPr>
                    <w:t>59</w:t>
                  </w:r>
                </w:p>
              </w:tc>
              <w:tc>
                <w:tcPr>
                  <w:tcW w:w="888" w:type="pct"/>
                  <w:vMerge w:val="restar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900-099-S</w:t>
                  </w:r>
                  <w:r>
                    <w:rPr>
                      <w:rFonts w:hint="eastAsia" w:cs="Times New Roman"/>
                      <w:highlight w:val="none"/>
                      <w:lang w:val="en-US" w:eastAsia="zh-CN"/>
                    </w:rPr>
                    <w:t>59</w:t>
                  </w:r>
                </w:p>
              </w:tc>
              <w:tc>
                <w:tcPr>
                  <w:tcW w:w="77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eastAsia" w:cs="Times New Roman"/>
                      <w:highlight w:val="none"/>
                      <w:lang w:val="en-US" w:eastAsia="zh-CN"/>
                    </w:rPr>
                    <w:t>330</w:t>
                  </w:r>
                  <w:r>
                    <w:rPr>
                      <w:rFonts w:hint="default" w:ascii="Times New Roman" w:hAnsi="Times New Roman" w:cs="Times New Roman"/>
                      <w:highlight w:val="none"/>
                      <w:lang w:eastAsia="zh-CN"/>
                    </w:rPr>
                    <w:t>m</w:t>
                  </w:r>
                  <w:r>
                    <w:rPr>
                      <w:rFonts w:hint="default" w:ascii="Times New Roman" w:hAnsi="Times New Roman" w:cs="Times New Roman"/>
                      <w:highlight w:val="none"/>
                      <w:vertAlign w:val="superscript"/>
                      <w:lang w:eastAsia="zh-CN"/>
                    </w:rPr>
                    <w:t>3</w:t>
                  </w:r>
                </w:p>
              </w:tc>
              <w:tc>
                <w:tcPr>
                  <w:tcW w:w="43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w:t>
                  </w:r>
                </w:p>
              </w:tc>
              <w:tc>
                <w:tcPr>
                  <w:tcW w:w="1276"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探槽土石方部分就地回填，部分作为勘探样品留存外运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Merge w:val="continue"/>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p>
              </w:tc>
              <w:tc>
                <w:tcPr>
                  <w:tcW w:w="693"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eastAsia"/>
                      <w:highlight w:val="none"/>
                      <w:lang w:val="en-US" w:eastAsia="zh-CN"/>
                    </w:rPr>
                    <w:t>钻井岩屑</w:t>
                  </w:r>
                </w:p>
              </w:tc>
              <w:tc>
                <w:tcPr>
                  <w:tcW w:w="517" w:type="pct"/>
                  <w:vMerge w:val="continue"/>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kern w:val="2"/>
                      <w:sz w:val="21"/>
                      <w:szCs w:val="21"/>
                      <w:highlight w:val="none"/>
                      <w:lang w:val="en-US" w:eastAsia="zh-CN" w:bidi="ar-SA"/>
                    </w:rPr>
                  </w:pPr>
                </w:p>
              </w:tc>
              <w:tc>
                <w:tcPr>
                  <w:tcW w:w="888" w:type="pct"/>
                  <w:vMerge w:val="continue"/>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kern w:val="2"/>
                      <w:sz w:val="21"/>
                      <w:szCs w:val="21"/>
                      <w:highlight w:val="none"/>
                      <w:lang w:val="en-US" w:eastAsia="zh-CN" w:bidi="ar-SA"/>
                    </w:rPr>
                  </w:pPr>
                </w:p>
              </w:tc>
              <w:tc>
                <w:tcPr>
                  <w:tcW w:w="77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eastAsia" w:cs="Times New Roman"/>
                      <w:highlight w:val="none"/>
                      <w:lang w:val="en-US" w:eastAsia="zh-CN"/>
                    </w:rPr>
                    <w:t>4.08</w:t>
                  </w: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p>
              </w:tc>
              <w:tc>
                <w:tcPr>
                  <w:tcW w:w="43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w:t>
                  </w:r>
                </w:p>
              </w:tc>
              <w:tc>
                <w:tcPr>
                  <w:tcW w:w="1276"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回填钻孔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Merge w:val="continue"/>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p>
              </w:tc>
              <w:tc>
                <w:tcPr>
                  <w:tcW w:w="693"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钻井泥浆</w:t>
                  </w:r>
                </w:p>
              </w:tc>
              <w:tc>
                <w:tcPr>
                  <w:tcW w:w="517" w:type="pct"/>
                  <w:shd w:val="clear" w:color="auto" w:fill="auto"/>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SW71</w:t>
                  </w:r>
                </w:p>
              </w:tc>
              <w:tc>
                <w:tcPr>
                  <w:tcW w:w="888" w:type="pct"/>
                  <w:shd w:val="clear" w:color="auto" w:fill="auto"/>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900-001-S71</w:t>
                  </w:r>
                </w:p>
              </w:tc>
              <w:tc>
                <w:tcPr>
                  <w:tcW w:w="77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eastAsia" w:cs="Times New Roman"/>
                      <w:highlight w:val="none"/>
                      <w:lang w:val="en-US" w:eastAsia="zh-CN"/>
                    </w:rPr>
                    <w:t>0.6</w:t>
                  </w:r>
                  <w:r>
                    <w:rPr>
                      <w:rFonts w:hint="default" w:ascii="Times New Roman" w:hAnsi="Times New Roman" w:cs="Times New Roman"/>
                      <w:highlight w:val="none"/>
                      <w:lang w:val="en-US" w:eastAsia="zh-CN"/>
                    </w:rPr>
                    <w:t>t</w:t>
                  </w:r>
                </w:p>
              </w:tc>
              <w:tc>
                <w:tcPr>
                  <w:tcW w:w="43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w:t>
                  </w:r>
                </w:p>
              </w:tc>
              <w:tc>
                <w:tcPr>
                  <w:tcW w:w="1276"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钻井泥浆固化后</w:t>
                  </w:r>
                  <w:r>
                    <w:rPr>
                      <w:rFonts w:hint="eastAsia" w:cs="Times New Roman"/>
                      <w:highlight w:val="none"/>
                      <w:lang w:val="en-US" w:eastAsia="zh-CN"/>
                    </w:rPr>
                    <w:t>拉运至一般固废处置单位统一处理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Merge w:val="continue"/>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p>
              </w:tc>
              <w:tc>
                <w:tcPr>
                  <w:tcW w:w="693" w:type="pct"/>
                  <w:shd w:val="clear" w:color="auto" w:fill="auto"/>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沉淀池沉渣</w:t>
                  </w:r>
                </w:p>
              </w:tc>
              <w:tc>
                <w:tcPr>
                  <w:tcW w:w="517"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SW</w:t>
                  </w:r>
                  <w:r>
                    <w:rPr>
                      <w:rFonts w:hint="eastAsia" w:cs="Times New Roman"/>
                      <w:kern w:val="2"/>
                      <w:sz w:val="21"/>
                      <w:szCs w:val="21"/>
                      <w:lang w:val="en-US" w:eastAsia="zh-CN" w:bidi="ar-SA"/>
                    </w:rPr>
                    <w:t>59</w:t>
                  </w:r>
                </w:p>
              </w:tc>
              <w:tc>
                <w:tcPr>
                  <w:tcW w:w="888" w:type="pct"/>
                  <w:shd w:val="clear" w:color="auto" w:fill="auto"/>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kern w:val="2"/>
                      <w:sz w:val="21"/>
                      <w:szCs w:val="21"/>
                      <w:lang w:val="en-US" w:eastAsia="zh-CN" w:bidi="ar-SA"/>
                    </w:rPr>
                    <w:t>900-099-S</w:t>
                  </w:r>
                  <w:r>
                    <w:rPr>
                      <w:rFonts w:hint="eastAsia" w:cs="Times New Roman"/>
                      <w:kern w:val="2"/>
                      <w:sz w:val="21"/>
                      <w:szCs w:val="21"/>
                      <w:lang w:val="en-US" w:eastAsia="zh-CN" w:bidi="ar-SA"/>
                    </w:rPr>
                    <w:t>59</w:t>
                  </w:r>
                </w:p>
              </w:tc>
              <w:tc>
                <w:tcPr>
                  <w:tcW w:w="771" w:type="pct"/>
                  <w:shd w:val="clear" w:color="auto" w:fill="auto"/>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0.1t</w:t>
                  </w:r>
                </w:p>
              </w:tc>
              <w:tc>
                <w:tcPr>
                  <w:tcW w:w="431" w:type="pct"/>
                  <w:shd w:val="clear" w:color="auto" w:fill="auto"/>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w:t>
                  </w:r>
                </w:p>
              </w:tc>
              <w:tc>
                <w:tcPr>
                  <w:tcW w:w="1276" w:type="pct"/>
                  <w:shd w:val="clear" w:color="auto" w:fill="auto"/>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就地掩埋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生活垃圾</w:t>
                  </w:r>
                </w:p>
              </w:tc>
              <w:tc>
                <w:tcPr>
                  <w:tcW w:w="693"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生活垃圾</w:t>
                  </w:r>
                </w:p>
              </w:tc>
              <w:tc>
                <w:tcPr>
                  <w:tcW w:w="517"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SW61</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SW62</w:t>
                  </w:r>
                </w:p>
              </w:tc>
              <w:tc>
                <w:tcPr>
                  <w:tcW w:w="888"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900-001-S61</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900-001-S62</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900-002-S62</w:t>
                  </w:r>
                </w:p>
              </w:tc>
              <w:tc>
                <w:tcPr>
                  <w:tcW w:w="77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eastAsia" w:cs="Times New Roman"/>
                      <w:highlight w:val="none"/>
                      <w:lang w:val="en-US" w:eastAsia="zh-CN"/>
                    </w:rPr>
                    <w:t>0.108</w:t>
                  </w:r>
                  <w:r>
                    <w:rPr>
                      <w:rFonts w:hint="default" w:ascii="Times New Roman" w:hAnsi="Times New Roman" w:cs="Times New Roman"/>
                      <w:highlight w:val="none"/>
                      <w:lang w:val="en-US" w:eastAsia="zh-CN"/>
                    </w:rPr>
                    <w:t>t</w:t>
                  </w:r>
                </w:p>
              </w:tc>
              <w:tc>
                <w:tcPr>
                  <w:tcW w:w="43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w:t>
                  </w:r>
                </w:p>
              </w:tc>
              <w:tc>
                <w:tcPr>
                  <w:tcW w:w="1276"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shd w:val="clear" w:color="auto" w:fill="auto"/>
                      <w:lang w:val="en-US" w:eastAsia="zh-CN"/>
                    </w:rPr>
                    <w:t>统一收集后送至</w:t>
                  </w:r>
                  <w:r>
                    <w:rPr>
                      <w:rFonts w:hint="eastAsia" w:cs="Times New Roman"/>
                      <w:highlight w:val="none"/>
                      <w:shd w:val="clear" w:color="auto" w:fill="auto"/>
                      <w:lang w:val="en-US" w:eastAsia="zh-CN"/>
                    </w:rPr>
                    <w:t>和硕县环境卫生服务中心</w:t>
                  </w:r>
                </w:p>
              </w:tc>
            </w:tr>
          </w:tbl>
          <w:p>
            <w:pPr>
              <w:pStyle w:val="50"/>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7.监测计划</w:t>
            </w:r>
          </w:p>
          <w:p>
            <w:pPr>
              <w:pStyle w:val="65"/>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调查期的环境监测主要是对作业场所的控制监测，主要监测对象有土壤、植被、作业废气，废水和噪声等。对作业场所的控制监测可视当地具体情况、当地环保部门要求等情况而定，诸如:在人群密集区施工可进行适当噪声监测，对事故监测可根据事故性质、事故影响的大小等，视具体情况监测气、土壤、水等；生态环境监测主要监测内容为项目建设所涉及的生态环境要素、生态环境问题、生态环保措施的落实情况。具体环境监测计划见下表。</w:t>
            </w:r>
          </w:p>
          <w:p>
            <w:pPr>
              <w:pStyle w:val="52"/>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表5-</w:t>
            </w:r>
            <w:r>
              <w:rPr>
                <w:rFonts w:hint="eastAsia"/>
                <w:lang w:val="en-US" w:eastAsia="zh-CN"/>
              </w:rPr>
              <w:t>2</w:t>
            </w:r>
            <w:r>
              <w:rPr>
                <w:rFonts w:hint="default"/>
                <w:lang w:val="en-US" w:eastAsia="zh-CN"/>
              </w:rPr>
              <w:t xml:space="preserve">    环境监测计划</w:t>
            </w:r>
          </w:p>
          <w:tbl>
            <w:tblPr>
              <w:tblStyle w:val="26"/>
              <w:tblW w:w="75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968"/>
              <w:gridCol w:w="882"/>
              <w:gridCol w:w="2413"/>
              <w:gridCol w:w="15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监测内容</w:t>
                  </w:r>
                </w:p>
              </w:tc>
              <w:tc>
                <w:tcPr>
                  <w:tcW w:w="1968"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监测指标</w:t>
                  </w:r>
                </w:p>
              </w:tc>
              <w:tc>
                <w:tcPr>
                  <w:tcW w:w="88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监测位置</w:t>
                  </w:r>
                </w:p>
              </w:tc>
              <w:tc>
                <w:tcPr>
                  <w:tcW w:w="2413"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监测频次</w:t>
                  </w:r>
                </w:p>
              </w:tc>
              <w:tc>
                <w:tcPr>
                  <w:tcW w:w="1599"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执行单位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固体废物</w:t>
                  </w:r>
                </w:p>
              </w:tc>
              <w:tc>
                <w:tcPr>
                  <w:tcW w:w="1968"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生活垃圾、土石方</w:t>
                  </w:r>
                </w:p>
              </w:tc>
              <w:tc>
                <w:tcPr>
                  <w:tcW w:w="88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勘查场地</w:t>
                  </w:r>
                </w:p>
              </w:tc>
              <w:tc>
                <w:tcPr>
                  <w:tcW w:w="2413"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勘查期间进行2次</w:t>
                  </w:r>
                </w:p>
              </w:tc>
              <w:tc>
                <w:tcPr>
                  <w:tcW w:w="1599"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建设单位环境管理工作负责</w:t>
                  </w:r>
                  <w:r>
                    <w:rPr>
                      <w:rFonts w:hint="eastAsia"/>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废气</w:t>
                  </w:r>
                </w:p>
              </w:tc>
              <w:tc>
                <w:tcPr>
                  <w:tcW w:w="1968"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总悬浮颗粒物</w:t>
                  </w:r>
                </w:p>
              </w:tc>
              <w:tc>
                <w:tcPr>
                  <w:tcW w:w="88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勘查场地</w:t>
                  </w:r>
                </w:p>
              </w:tc>
              <w:tc>
                <w:tcPr>
                  <w:tcW w:w="2413"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年/次</w:t>
                  </w:r>
                </w:p>
              </w:tc>
              <w:tc>
                <w:tcPr>
                  <w:tcW w:w="1599"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建设单位环境管理工作负责</w:t>
                  </w:r>
                  <w:r>
                    <w:rPr>
                      <w:rFonts w:hint="eastAsia"/>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事故性检测</w:t>
                  </w:r>
                </w:p>
              </w:tc>
              <w:tc>
                <w:tcPr>
                  <w:tcW w:w="1968"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根据事故性质，影响大小，判断监测气、</w:t>
                  </w:r>
                  <w:r>
                    <w:rPr>
                      <w:rFonts w:hint="eastAsia"/>
                      <w:lang w:val="en-US" w:eastAsia="zh-CN"/>
                    </w:rPr>
                    <w:t>土</w:t>
                  </w:r>
                  <w:r>
                    <w:rPr>
                      <w:rFonts w:hint="default"/>
                      <w:lang w:val="en-US" w:eastAsia="zh-CN"/>
                    </w:rPr>
                    <w:t>、水等</w:t>
                  </w:r>
                </w:p>
              </w:tc>
              <w:tc>
                <w:tcPr>
                  <w:tcW w:w="88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事故发生地</w:t>
                  </w:r>
                </w:p>
              </w:tc>
              <w:tc>
                <w:tcPr>
                  <w:tcW w:w="2413"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事故发生时</w:t>
                  </w:r>
                </w:p>
              </w:tc>
              <w:tc>
                <w:tcPr>
                  <w:tcW w:w="1599"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建设单位委托有资质单位监测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勘查现场</w:t>
                  </w:r>
                  <w:r>
                    <w:rPr>
                      <w:rFonts w:hint="eastAsia"/>
                      <w:lang w:val="en-US" w:eastAsia="zh-CN"/>
                    </w:rPr>
                    <w:t>清理</w:t>
                  </w:r>
                </w:p>
              </w:tc>
              <w:tc>
                <w:tcPr>
                  <w:tcW w:w="1968"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勘查现场的弃土、石、</w:t>
                  </w:r>
                  <w:r>
                    <w:rPr>
                      <w:rFonts w:hint="eastAsia"/>
                      <w:lang w:val="en-US" w:eastAsia="zh-CN"/>
                    </w:rPr>
                    <w:t>渣等</w:t>
                  </w:r>
                </w:p>
              </w:tc>
              <w:tc>
                <w:tcPr>
                  <w:tcW w:w="88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勘查场地</w:t>
                  </w:r>
                </w:p>
              </w:tc>
              <w:tc>
                <w:tcPr>
                  <w:tcW w:w="2413"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勘查结束后</w:t>
                  </w:r>
                </w:p>
              </w:tc>
              <w:tc>
                <w:tcPr>
                  <w:tcW w:w="1599"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建设单位环境管理工作负责</w:t>
                  </w:r>
                  <w:r>
                    <w:rPr>
                      <w:rFonts w:hint="eastAsia"/>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临时占地</w:t>
                  </w:r>
                </w:p>
              </w:tc>
              <w:tc>
                <w:tcPr>
                  <w:tcW w:w="1968"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土层保护、施工结束后覆土回填，恢复至与原有地貌协调</w:t>
                  </w:r>
                </w:p>
              </w:tc>
              <w:tc>
                <w:tcPr>
                  <w:tcW w:w="88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临时用地</w:t>
                  </w:r>
                </w:p>
              </w:tc>
              <w:tc>
                <w:tcPr>
                  <w:tcW w:w="2413"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施工结束、勘查结束后</w:t>
                  </w:r>
                </w:p>
              </w:tc>
              <w:tc>
                <w:tcPr>
                  <w:tcW w:w="1599"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建设单位环境管理工作负责</w:t>
                  </w:r>
                  <w:r>
                    <w:rPr>
                      <w:rFonts w:hint="eastAsia"/>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地下水</w:t>
                  </w:r>
                </w:p>
              </w:tc>
              <w:tc>
                <w:tcPr>
                  <w:tcW w:w="1968"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pH、氨氮、硝酸盐、亚硝酸盐、挥发性酚类、氰化物、</w:t>
                  </w:r>
                  <w:r>
                    <w:rPr>
                      <w:rFonts w:hint="eastAsia"/>
                      <w:lang w:val="en-US" w:eastAsia="zh-CN"/>
                    </w:rPr>
                    <w:t>砷</w:t>
                  </w:r>
                  <w:r>
                    <w:rPr>
                      <w:rFonts w:hint="default"/>
                      <w:lang w:val="en-US" w:eastAsia="zh-CN"/>
                    </w:rPr>
                    <w:t>、汞、六价铬、总硬度、铅、氟化物、镉、铁、锰、溶解性总固体、耗氧量、硫酸盐、氯化物、总大肠菌群、菌落总数、石油类、铜等</w:t>
                  </w:r>
                </w:p>
              </w:tc>
              <w:tc>
                <w:tcPr>
                  <w:tcW w:w="88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临时用地</w:t>
                  </w:r>
                </w:p>
              </w:tc>
              <w:tc>
                <w:tcPr>
                  <w:tcW w:w="2413"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本项目钻探未揭穿包气带，不会揭露地下水位，不存在污染地下水的途径。在探矿施工过程中，若实际钻进深度意外揭露地下水位，则在揭露点下游1~2米处增设临时地下水监测孔。勘查结束后丰水期、枯水期各1次，每年至少2次。</w:t>
                  </w:r>
                </w:p>
              </w:tc>
              <w:tc>
                <w:tcPr>
                  <w:tcW w:w="1599"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建设单位环境管理工作负责</w:t>
                  </w:r>
                  <w:r>
                    <w:rPr>
                      <w:rFonts w:hint="eastAsia"/>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生活污水</w:t>
                  </w:r>
                </w:p>
              </w:tc>
              <w:tc>
                <w:tcPr>
                  <w:tcW w:w="1968"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pH、化学需氧量、悬浮物、粪大肠菌群、蛔虫卵个数</w:t>
                  </w:r>
                </w:p>
              </w:tc>
              <w:tc>
                <w:tcPr>
                  <w:tcW w:w="882"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eastAsia"/>
                      <w:lang w:val="en-US" w:eastAsia="zh-CN"/>
                    </w:rPr>
                    <w:t>临时用地</w:t>
                  </w:r>
                </w:p>
              </w:tc>
              <w:tc>
                <w:tcPr>
                  <w:tcW w:w="2413"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年/次</w:t>
                  </w:r>
                </w:p>
              </w:tc>
              <w:tc>
                <w:tcPr>
                  <w:tcW w:w="1599" w:type="dxa"/>
                  <w:vAlign w:val="center"/>
                </w:tcPr>
                <w:p>
                  <w:pPr>
                    <w:pStyle w:val="54"/>
                    <w:keepNext w:val="0"/>
                    <w:keepLines w:val="0"/>
                    <w:suppressLineNumbers w:val="0"/>
                    <w:bidi w:val="0"/>
                    <w:spacing w:before="0" w:beforeAutospacing="0" w:after="0" w:afterAutospacing="0"/>
                    <w:ind w:left="0" w:right="0"/>
                    <w:jc w:val="center"/>
                    <w:rPr>
                      <w:rFonts w:hint="default"/>
                      <w:lang w:val="en-US" w:eastAsia="zh-CN"/>
                    </w:rPr>
                  </w:pPr>
                  <w:r>
                    <w:rPr>
                      <w:rFonts w:hint="default"/>
                      <w:lang w:val="en-US" w:eastAsia="zh-CN"/>
                    </w:rPr>
                    <w:t>建设单位环境管理工作负责</w:t>
                  </w:r>
                  <w:r>
                    <w:rPr>
                      <w:rFonts w:hint="eastAsia"/>
                      <w:lang w:val="en-US" w:eastAsia="zh-CN"/>
                    </w:rPr>
                    <w:t>人</w:t>
                  </w:r>
                </w:p>
              </w:tc>
            </w:tr>
          </w:tbl>
          <w:p>
            <w:pPr>
              <w:pStyle w:val="50"/>
              <w:keepNext w:val="0"/>
              <w:keepLines w:val="0"/>
              <w:suppressLineNumbers w:val="0"/>
              <w:bidi w:val="0"/>
              <w:spacing w:before="0" w:beforeAutospacing="0" w:after="0" w:afterAutospacing="0"/>
              <w:ind w:left="0" w:right="0"/>
              <w:rPr>
                <w:rFonts w:hint="default"/>
              </w:rPr>
            </w:pPr>
            <w:r>
              <w:rPr>
                <w:rFonts w:hint="eastAsia"/>
                <w:lang w:val="en-US" w:eastAsia="zh-CN"/>
              </w:rPr>
              <w:t>8</w:t>
            </w:r>
            <w:r>
              <w:rPr>
                <w:rFonts w:hint="default"/>
                <w:lang w:val="en-US" w:eastAsia="zh-CN"/>
              </w:rPr>
              <w:t>.</w:t>
            </w:r>
            <w:r>
              <w:rPr>
                <w:rFonts w:hint="default"/>
              </w:rPr>
              <w:t>环境风险分析</w:t>
            </w:r>
          </w:p>
          <w:p>
            <w:pPr>
              <w:pStyle w:val="50"/>
              <w:keepNext w:val="0"/>
              <w:keepLines w:val="0"/>
              <w:suppressLineNumbers w:val="0"/>
              <w:bidi w:val="0"/>
              <w:spacing w:before="0" w:beforeAutospacing="0" w:after="0" w:afterAutospacing="0"/>
              <w:ind w:left="0" w:right="0"/>
              <w:rPr>
                <w:rFonts w:hint="default"/>
              </w:rPr>
            </w:pPr>
            <w:r>
              <w:rPr>
                <w:rFonts w:hint="eastAsia"/>
                <w:lang w:val="en-US" w:eastAsia="zh-CN"/>
              </w:rPr>
              <w:t>8</w:t>
            </w:r>
            <w:r>
              <w:rPr>
                <w:rFonts w:hint="default"/>
                <w:lang w:val="en-US" w:eastAsia="zh-CN"/>
              </w:rPr>
              <w:t>.1</w:t>
            </w:r>
            <w:r>
              <w:rPr>
                <w:rFonts w:hint="default"/>
              </w:rPr>
              <w:t>风险识别</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cs="Times New Roman"/>
                <w:kern w:val="0"/>
                <w:sz w:val="24"/>
                <w:szCs w:val="24"/>
              </w:rPr>
            </w:pPr>
            <w:r>
              <w:rPr>
                <w:rStyle w:val="49"/>
                <w:rFonts w:hint="default" w:ascii="Times New Roman" w:hAnsi="Times New Roman" w:cs="Times New Roman"/>
              </w:rPr>
              <w:t>环境风险是指</w:t>
            </w:r>
            <w:r>
              <w:rPr>
                <w:rStyle w:val="49"/>
                <w:rFonts w:hint="eastAsia" w:cs="Times New Roman"/>
                <w:lang w:val="en-US" w:eastAsia="zh-CN"/>
              </w:rPr>
              <w:t>突发性事故对环境造成的危害程度及可能性，</w:t>
            </w:r>
            <w:r>
              <w:rPr>
                <w:rStyle w:val="49"/>
                <w:rFonts w:hint="default" w:ascii="Times New Roman" w:hAnsi="Times New Roman" w:cs="Times New Roman"/>
              </w:rPr>
              <w:t>其特点是危害大、影响范围广、发生概率具有很大的不确定性。环境风险评价的目的是分析和预测项目存在的潜在危险、有害因素，项目建设和运行期间可能发生的突发性事件或事故（一般不包括人为破坏及自然灾害），引起有毒有害和易燃易爆等物质泄漏，针对所造成的人身安全、环境影响及其损害程度，提出合理可行的防范、应急与减缓措施，以使建设项目事故率、损失和环境影响达到可接受水平</w:t>
            </w:r>
            <w:r>
              <w:rPr>
                <w:rFonts w:hint="default" w:ascii="Times New Roman" w:hAnsi="Times New Roman" w:cs="Times New Roman"/>
                <w:kern w:val="0"/>
                <w:sz w:val="24"/>
                <w:szCs w:val="24"/>
              </w:rPr>
              <w:t>。</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矿区勘探不涉及爆破，项目运营过程中存在钻探诱发地质灾害的环境风险。在钻探过程中，若分层高度过大，受到大气降水、岩层中的裂隙等因素的综合影响，可能在钻探边坡上诱发和加剧掉块、崩塌等地质灾害，勘探区遭遇百年洪水灾害或其他不可抗力的自然灾害，危害工作人员及设备等。</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rPr>
              <w:t>项目区设</w:t>
            </w:r>
            <w:r>
              <w:rPr>
                <w:rFonts w:hint="default" w:ascii="Times New Roman" w:hAnsi="Times New Roman" w:eastAsia="宋体" w:cs="Times New Roman"/>
                <w:bCs/>
                <w:kern w:val="0"/>
                <w:sz w:val="24"/>
                <w:szCs w:val="24"/>
                <w:lang w:val="en-US" w:eastAsia="zh-CN"/>
              </w:rPr>
              <w:t>有</w:t>
            </w:r>
            <w:r>
              <w:rPr>
                <w:rFonts w:hint="default" w:ascii="Times New Roman" w:hAnsi="Times New Roman" w:eastAsia="宋体" w:cs="Times New Roman"/>
                <w:bCs/>
                <w:kern w:val="0"/>
                <w:sz w:val="24"/>
                <w:szCs w:val="24"/>
              </w:rPr>
              <w:t>柴油存放区，</w:t>
            </w:r>
            <w:r>
              <w:rPr>
                <w:rFonts w:hint="default" w:ascii="Times New Roman" w:hAnsi="Times New Roman" w:eastAsia="宋体" w:cs="Times New Roman"/>
                <w:bCs/>
                <w:kern w:val="0"/>
                <w:sz w:val="24"/>
                <w:szCs w:val="24"/>
                <w:lang w:val="en-US" w:eastAsia="zh-CN"/>
              </w:rPr>
              <w:t>柴油属于风险物质，</w:t>
            </w:r>
            <w:r>
              <w:rPr>
                <w:rFonts w:hint="default" w:ascii="Times New Roman" w:hAnsi="Times New Roman" w:eastAsia="宋体" w:cs="Times New Roman"/>
                <w:bCs/>
                <w:kern w:val="0"/>
                <w:sz w:val="24"/>
                <w:szCs w:val="24"/>
                <w:lang w:eastAsia="zh-CN"/>
              </w:rPr>
              <w:t>危险物质及分布情况见</w:t>
            </w:r>
            <w:r>
              <w:rPr>
                <w:rFonts w:hint="default" w:ascii="Times New Roman" w:hAnsi="Times New Roman" w:eastAsia="宋体" w:cs="Times New Roman"/>
                <w:bCs/>
                <w:kern w:val="0"/>
                <w:sz w:val="24"/>
                <w:szCs w:val="24"/>
                <w:lang w:val="en-US" w:eastAsia="zh-CN"/>
              </w:rPr>
              <w:t>下</w:t>
            </w:r>
            <w:r>
              <w:rPr>
                <w:rFonts w:hint="default" w:ascii="Times New Roman" w:hAnsi="Times New Roman" w:eastAsia="宋体" w:cs="Times New Roman"/>
                <w:bCs/>
                <w:kern w:val="0"/>
                <w:sz w:val="24"/>
                <w:szCs w:val="24"/>
                <w:lang w:eastAsia="zh-CN"/>
              </w:rPr>
              <w:t>表。</w:t>
            </w:r>
          </w:p>
          <w:p>
            <w:pPr>
              <w:pStyle w:val="52"/>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表5-</w:t>
            </w:r>
            <w:r>
              <w:rPr>
                <w:rFonts w:hint="eastAsia"/>
                <w:lang w:val="en-US" w:eastAsia="zh-CN"/>
              </w:rPr>
              <w:t>3</w:t>
            </w:r>
            <w:r>
              <w:rPr>
                <w:rFonts w:hint="default"/>
                <w:lang w:val="en-US" w:eastAsia="zh-CN"/>
              </w:rPr>
              <w:t xml:space="preserve">    危险物质及分布情况</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7"/>
              <w:gridCol w:w="2003"/>
              <w:gridCol w:w="1302"/>
              <w:gridCol w:w="1239"/>
              <w:gridCol w:w="1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24"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危险物质</w:t>
                  </w:r>
                </w:p>
              </w:tc>
              <w:tc>
                <w:tcPr>
                  <w:tcW w:w="1326"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最大储存量</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w:t>
                  </w:r>
                  <w:r>
                    <w:rPr>
                      <w:rFonts w:hint="eastAsia" w:cs="Times New Roman"/>
                      <w:lang w:val="en-US" w:eastAsia="zh-CN"/>
                    </w:rPr>
                    <w:t>探矿期</w:t>
                  </w:r>
                  <w:r>
                    <w:rPr>
                      <w:rFonts w:hint="default" w:ascii="Times New Roman" w:hAnsi="Times New Roman" w:cs="Times New Roman"/>
                      <w:lang w:val="en-US" w:eastAsia="zh-CN"/>
                    </w:rPr>
                    <w:t>）</w:t>
                  </w:r>
                </w:p>
              </w:tc>
              <w:tc>
                <w:tcPr>
                  <w:tcW w:w="862"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储存方式</w:t>
                  </w:r>
                </w:p>
              </w:tc>
              <w:tc>
                <w:tcPr>
                  <w:tcW w:w="82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临界量（t）</w:t>
                  </w:r>
                </w:p>
              </w:tc>
              <w:tc>
                <w:tcPr>
                  <w:tcW w:w="966"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Q</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4"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柴油</w:t>
                  </w:r>
                </w:p>
              </w:tc>
              <w:tc>
                <w:tcPr>
                  <w:tcW w:w="1326"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eastAsia" w:cs="Times New Roman"/>
                      <w:lang w:val="en-US" w:eastAsia="zh-CN"/>
                    </w:rPr>
                    <w:t>2</w:t>
                  </w:r>
                </w:p>
              </w:tc>
              <w:tc>
                <w:tcPr>
                  <w:tcW w:w="862"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桶装</w:t>
                  </w:r>
                </w:p>
              </w:tc>
              <w:tc>
                <w:tcPr>
                  <w:tcW w:w="82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2500</w:t>
                  </w:r>
                </w:p>
              </w:tc>
              <w:tc>
                <w:tcPr>
                  <w:tcW w:w="966"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eastAsia" w:cs="Times New Roman"/>
                      <w:lang w:val="en-US" w:eastAsia="zh-CN"/>
                    </w:rPr>
                    <w:t>8</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w:t>
                  </w:r>
                  <w:r>
                    <w:rPr>
                      <w:rFonts w:hint="eastAsia" w:cs="Times New Roman"/>
                      <w:vertAlign w:val="superscript"/>
                      <w:lang w:val="en-US" w:eastAsia="zh-CN"/>
                    </w:rPr>
                    <w:t>4</w:t>
                  </w:r>
                </w:p>
              </w:tc>
            </w:tr>
          </w:tbl>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本项目危险物质理化性质见下表。</w:t>
            </w:r>
          </w:p>
          <w:p>
            <w:pPr>
              <w:pStyle w:val="52"/>
              <w:keepNext w:val="0"/>
              <w:keepLines w:val="0"/>
              <w:suppressLineNumbers w:val="0"/>
              <w:bidi w:val="0"/>
              <w:spacing w:before="0" w:beforeAutospacing="0" w:after="0" w:afterAutospacing="0"/>
              <w:ind w:left="0" w:right="0"/>
              <w:rPr>
                <w:rFonts w:hint="default"/>
              </w:rPr>
            </w:pPr>
            <w:r>
              <w:rPr>
                <w:rFonts w:hint="default"/>
                <w:lang w:val="en-US" w:eastAsia="zh-CN"/>
              </w:rPr>
              <w:t>表5-</w:t>
            </w:r>
            <w:r>
              <w:rPr>
                <w:rFonts w:hint="eastAsia"/>
                <w:lang w:val="en-US" w:eastAsia="zh-CN"/>
              </w:rPr>
              <w:t>4</w:t>
            </w:r>
            <w:r>
              <w:rPr>
                <w:rFonts w:hint="default"/>
                <w:lang w:val="en-US" w:eastAsia="zh-CN"/>
              </w:rPr>
              <w:t xml:space="preserve">    </w:t>
            </w:r>
            <w:r>
              <w:rPr>
                <w:rFonts w:hint="default"/>
              </w:rPr>
              <w:t>物质危险性分析</w:t>
            </w:r>
          </w:p>
          <w:tbl>
            <w:tblPr>
              <w:tblStyle w:val="25"/>
              <w:tblW w:w="5051"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57" w:type="dxa"/>
                <w:bottom w:w="0" w:type="dxa"/>
                <w:right w:w="57" w:type="dxa"/>
              </w:tblCellMar>
            </w:tblPr>
            <w:tblGrid>
              <w:gridCol w:w="579"/>
              <w:gridCol w:w="1566"/>
              <w:gridCol w:w="515"/>
              <w:gridCol w:w="4113"/>
              <w:gridCol w:w="86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cantSplit/>
                <w:trHeight w:val="337" w:hRule="atLeast"/>
                <w:jc w:val="center"/>
              </w:trPr>
              <w:tc>
                <w:tcPr>
                  <w:tcW w:w="379" w:type="pct"/>
                  <w:noWrap w:val="0"/>
                  <w:tcMar>
                    <w:left w:w="6" w:type="dxa"/>
                    <w:right w:w="6" w:type="dxa"/>
                  </w:tcMar>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物质名称</w:t>
                  </w:r>
                </w:p>
              </w:tc>
              <w:tc>
                <w:tcPr>
                  <w:tcW w:w="1025" w:type="pct"/>
                  <w:noWrap w:val="0"/>
                  <w:tcMar>
                    <w:left w:w="6" w:type="dxa"/>
                    <w:right w:w="6" w:type="dxa"/>
                  </w:tcMar>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理化性质</w:t>
                  </w:r>
                </w:p>
              </w:tc>
              <w:tc>
                <w:tcPr>
                  <w:tcW w:w="337" w:type="pct"/>
                  <w:noWrap w:val="0"/>
                  <w:tcMar>
                    <w:left w:w="6" w:type="dxa"/>
                    <w:right w:w="6" w:type="dxa"/>
                  </w:tcMar>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物质类型</w:t>
                  </w:r>
                </w:p>
              </w:tc>
              <w:tc>
                <w:tcPr>
                  <w:tcW w:w="2693" w:type="pct"/>
                  <w:noWrap w:val="0"/>
                  <w:tcMar>
                    <w:left w:w="6" w:type="dxa"/>
                    <w:right w:w="6" w:type="dxa"/>
                  </w:tcMar>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危险性描述</w:t>
                  </w:r>
                </w:p>
              </w:tc>
              <w:tc>
                <w:tcPr>
                  <w:tcW w:w="564" w:type="pct"/>
                  <w:noWrap w:val="0"/>
                  <w:tcMar>
                    <w:left w:w="6" w:type="dxa"/>
                    <w:right w:w="6" w:type="dxa"/>
                  </w:tcMar>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生产或使用环节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cantSplit/>
                <w:trHeight w:val="1479" w:hRule="atLeast"/>
                <w:jc w:val="center"/>
              </w:trPr>
              <w:tc>
                <w:tcPr>
                  <w:tcW w:w="379" w:type="pct"/>
                  <w:noWrap w:val="0"/>
                  <w:tcMar>
                    <w:left w:w="6" w:type="dxa"/>
                    <w:right w:w="6" w:type="dxa"/>
                  </w:tcMar>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柴油</w:t>
                  </w:r>
                </w:p>
              </w:tc>
              <w:tc>
                <w:tcPr>
                  <w:tcW w:w="1025" w:type="pct"/>
                  <w:noWrap w:val="0"/>
                  <w:tcMar>
                    <w:left w:w="6" w:type="dxa"/>
                    <w:right w:w="6" w:type="dxa"/>
                  </w:tcMar>
                  <w:vAlign w:val="center"/>
                </w:tcPr>
                <w:p>
                  <w:pPr>
                    <w:pStyle w:val="5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常温下为稍有粘性的棕色的液体，相对密度（水=1）：0.845，闪点：56℃，引燃温度：257℃。</w:t>
                  </w:r>
                </w:p>
              </w:tc>
              <w:tc>
                <w:tcPr>
                  <w:tcW w:w="337" w:type="pct"/>
                  <w:noWrap w:val="0"/>
                  <w:tcMar>
                    <w:left w:w="6" w:type="dxa"/>
                    <w:right w:w="6" w:type="dxa"/>
                  </w:tcMar>
                  <w:vAlign w:val="center"/>
                </w:tcPr>
                <w:p>
                  <w:pPr>
                    <w:pStyle w:val="5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易燃液体</w:t>
                  </w:r>
                </w:p>
              </w:tc>
              <w:tc>
                <w:tcPr>
                  <w:tcW w:w="2693" w:type="pct"/>
                  <w:noWrap w:val="0"/>
                  <w:tcMar>
                    <w:left w:w="6" w:type="dxa"/>
                    <w:right w:w="6" w:type="dxa"/>
                  </w:tcMar>
                  <w:vAlign w:val="center"/>
                </w:tcPr>
                <w:p>
                  <w:pPr>
                    <w:pStyle w:val="5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燃烧爆炸特性：遇明火、高热或与强氧化剂接触，易引起燃烧爆炸的危险。若遇高热，容器内压增大，有开裂和爆炸的危险，燃烧分解为一氧化碳、二氧化碳。健康危害：皮肤接触可引起接触性皮炎、油性痤疮，吸入可引起吸入性肺炎。能经胎盘进入胎儿血中。柴油废气可引起眼、鼻刺激症状，头晕及头痛。</w:t>
                  </w:r>
                </w:p>
              </w:tc>
              <w:tc>
                <w:tcPr>
                  <w:tcW w:w="564" w:type="pct"/>
                  <w:noWrap w:val="0"/>
                  <w:tcMar>
                    <w:left w:w="6" w:type="dxa"/>
                    <w:right w:w="6" w:type="dxa"/>
                  </w:tcMar>
                  <w:vAlign w:val="center"/>
                </w:tcPr>
                <w:p>
                  <w:pPr>
                    <w:pStyle w:val="5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柴油发电机液体燃料，用于整个钻井过程</w:t>
                  </w:r>
                </w:p>
              </w:tc>
            </w:tr>
          </w:tbl>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val="en-US" w:eastAsia="zh-CN"/>
              </w:rPr>
            </w:pPr>
            <w:r>
              <w:rPr>
                <w:rFonts w:hint="eastAsia" w:cs="Times New Roman"/>
                <w:lang w:val="en-US" w:eastAsia="zh-CN"/>
              </w:rPr>
              <w:t>8</w:t>
            </w:r>
            <w:r>
              <w:rPr>
                <w:rFonts w:hint="default" w:ascii="Times New Roman" w:hAnsi="Times New Roman" w:cs="Times New Roman"/>
                <w:lang w:val="en-US" w:eastAsia="zh-CN"/>
              </w:rPr>
              <w:t>.2环境风险潜势与评价等级</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（1）环境风险潜势划分</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根据《建设项目环境风险评价技术导则》（HJ169-2018），建设项目环境风险潜势划分为Ⅰ、Ⅱ、Ⅲ、Ⅳ/Ⅳ+级。根据建设项目涉及的物质和工艺系统的危险性及其所在地的环境敏感程度，结合事故情形下环境影响途径，对建设项目潜在环境危害程度进行概化分析，按照下表确定环境风险潜势。</w:t>
            </w:r>
          </w:p>
          <w:p>
            <w:pPr>
              <w:pStyle w:val="52"/>
              <w:keepNext w:val="0"/>
              <w:keepLines w:val="0"/>
              <w:suppressLineNumbers w:val="0"/>
              <w:bidi w:val="0"/>
              <w:spacing w:before="0" w:beforeAutospacing="0" w:after="0" w:afterAutospacing="0"/>
              <w:ind w:left="0" w:right="0"/>
              <w:rPr>
                <w:rFonts w:hint="default"/>
              </w:rPr>
            </w:pPr>
            <w:r>
              <w:rPr>
                <w:rFonts w:hint="default"/>
              </w:rPr>
              <w:t>表</w:t>
            </w:r>
            <w:r>
              <w:rPr>
                <w:rFonts w:hint="default"/>
                <w:lang w:val="en-US" w:eastAsia="zh-CN"/>
              </w:rPr>
              <w:t>5-</w:t>
            </w:r>
            <w:r>
              <w:rPr>
                <w:rFonts w:hint="eastAsia"/>
                <w:lang w:val="en-US" w:eastAsia="zh-CN"/>
              </w:rPr>
              <w:t>5</w:t>
            </w:r>
            <w:r>
              <w:rPr>
                <w:rFonts w:hint="default"/>
              </w:rPr>
              <w:t xml:space="preserve">  </w:t>
            </w:r>
            <w:r>
              <w:rPr>
                <w:rFonts w:hint="default"/>
                <w:lang w:val="en-US" w:eastAsia="zh-CN"/>
              </w:rPr>
              <w:t xml:space="preserve"> </w:t>
            </w:r>
            <w:r>
              <w:rPr>
                <w:rFonts w:hint="default"/>
              </w:rPr>
              <w:t xml:space="preserve"> 建设项目环境风险潜势划分</w:t>
            </w:r>
          </w:p>
          <w:tbl>
            <w:tblPr>
              <w:tblStyle w:val="6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4" w:type="dxa"/>
                <w:left w:w="108" w:type="dxa"/>
                <w:bottom w:w="0" w:type="dxa"/>
                <w:right w:w="2" w:type="dxa"/>
              </w:tblCellMar>
            </w:tblPr>
            <w:tblGrid>
              <w:gridCol w:w="2056"/>
              <w:gridCol w:w="1371"/>
              <w:gridCol w:w="1358"/>
              <w:gridCol w:w="1359"/>
              <w:gridCol w:w="14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trPr>
              <w:tc>
                <w:tcPr>
                  <w:tcW w:w="1361" w:type="pct"/>
                  <w:vMerge w:val="restar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环境敏感程度（E）</w:t>
                  </w:r>
                </w:p>
              </w:tc>
              <w:tc>
                <w:tcPr>
                  <w:tcW w:w="3638" w:type="pct"/>
                  <w:gridSpan w:val="4"/>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危险物质及工艺系统危险性（P）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4" w:type="dxa"/>
                  <w:left w:w="108" w:type="dxa"/>
                  <w:bottom w:w="0" w:type="dxa"/>
                  <w:right w:w="2" w:type="dxa"/>
                </w:tblCellMar>
              </w:tblPrEx>
              <w:trPr>
                <w:trHeight w:val="282" w:hRule="atLeast"/>
              </w:trPr>
              <w:tc>
                <w:tcPr>
                  <w:tcW w:w="1361" w:type="pct"/>
                  <w:vMerge w:val="continue"/>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p>
              </w:tc>
              <w:tc>
                <w:tcPr>
                  <w:tcW w:w="908"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极高危害（P1）</w:t>
                  </w:r>
                </w:p>
              </w:tc>
              <w:tc>
                <w:tcPr>
                  <w:tcW w:w="89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高度危害（P2）</w:t>
                  </w:r>
                </w:p>
              </w:tc>
              <w:tc>
                <w:tcPr>
                  <w:tcW w:w="90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中度危害（P3）</w:t>
                  </w:r>
                </w:p>
              </w:tc>
              <w:tc>
                <w:tcPr>
                  <w:tcW w:w="93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轻度危害（P4）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2" w:hRule="atLeast"/>
              </w:trPr>
              <w:tc>
                <w:tcPr>
                  <w:tcW w:w="136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环境高度敏感区（E1）</w:t>
                  </w:r>
                </w:p>
              </w:tc>
              <w:tc>
                <w:tcPr>
                  <w:tcW w:w="908"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Ⅳ+</w:t>
                  </w:r>
                </w:p>
              </w:tc>
              <w:tc>
                <w:tcPr>
                  <w:tcW w:w="89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Ⅳ</w:t>
                  </w:r>
                </w:p>
              </w:tc>
              <w:tc>
                <w:tcPr>
                  <w:tcW w:w="90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Ⅲ</w:t>
                  </w:r>
                </w:p>
              </w:tc>
              <w:tc>
                <w:tcPr>
                  <w:tcW w:w="93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4" w:type="dxa"/>
                  <w:left w:w="108" w:type="dxa"/>
                  <w:bottom w:w="0" w:type="dxa"/>
                  <w:right w:w="2" w:type="dxa"/>
                </w:tblCellMar>
              </w:tblPrEx>
              <w:trPr>
                <w:trHeight w:val="283" w:hRule="atLeast"/>
              </w:trPr>
              <w:tc>
                <w:tcPr>
                  <w:tcW w:w="136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lang w:eastAsia="zh-CN"/>
                    </w:rPr>
                  </w:pPr>
                  <w:r>
                    <w:rPr>
                      <w:rFonts w:hint="default" w:ascii="Times New Roman" w:hAnsi="Times New Roman" w:cs="Times New Roman"/>
                    </w:rPr>
                    <w:t>环境中度敏感区（E2</w:t>
                  </w:r>
                  <w:r>
                    <w:rPr>
                      <w:rFonts w:hint="default" w:ascii="Times New Roman" w:hAnsi="Times New Roman" w:cs="Times New Roman"/>
                      <w:lang w:eastAsia="zh-CN"/>
                    </w:rPr>
                    <w:t>）</w:t>
                  </w:r>
                </w:p>
              </w:tc>
              <w:tc>
                <w:tcPr>
                  <w:tcW w:w="908"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Ⅳ</w:t>
                  </w:r>
                </w:p>
              </w:tc>
              <w:tc>
                <w:tcPr>
                  <w:tcW w:w="89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Ⅲ</w:t>
                  </w:r>
                </w:p>
              </w:tc>
              <w:tc>
                <w:tcPr>
                  <w:tcW w:w="90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Ⅲ</w:t>
                  </w:r>
                </w:p>
              </w:tc>
              <w:tc>
                <w:tcPr>
                  <w:tcW w:w="93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2" w:hRule="atLeast"/>
              </w:trPr>
              <w:tc>
                <w:tcPr>
                  <w:tcW w:w="1361"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环境低度敏感区（E3）</w:t>
                  </w:r>
                </w:p>
              </w:tc>
              <w:tc>
                <w:tcPr>
                  <w:tcW w:w="908"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Ⅲ</w:t>
                  </w:r>
                </w:p>
              </w:tc>
              <w:tc>
                <w:tcPr>
                  <w:tcW w:w="89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Ⅲ</w:t>
                  </w:r>
                </w:p>
              </w:tc>
              <w:tc>
                <w:tcPr>
                  <w:tcW w:w="90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Ⅱ</w:t>
                  </w:r>
                </w:p>
              </w:tc>
              <w:tc>
                <w:tcPr>
                  <w:tcW w:w="93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2" w:hRule="atLeast"/>
              </w:trPr>
              <w:tc>
                <w:tcPr>
                  <w:tcW w:w="5000" w:type="pct"/>
                  <w:gridSpan w:val="5"/>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注：Ⅳ+为极高环境风险</w:t>
                  </w:r>
                </w:p>
              </w:tc>
            </w:tr>
          </w:tbl>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根据上表可知，风险潜势由危险物质及工艺系统危险性（P）与环境敏感程度（E）共同确定，而P的分级由风险物质数量与临界量的比值（Q）和所属行业及生产工艺特点（M）共同确定。临界量比值（Q）为每种风险物质在厂界内的最大存在总量与其在《建设项目环境风险评价技术导则》（HJ169-2018）附录B中对应临界量的比值。</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本项目</w:t>
            </w:r>
            <w:r>
              <w:rPr>
                <w:rFonts w:hint="default" w:ascii="Times New Roman" w:hAnsi="Times New Roman" w:eastAsia="宋体" w:cs="Times New Roman"/>
                <w:bCs/>
                <w:kern w:val="0"/>
                <w:sz w:val="24"/>
                <w:szCs w:val="24"/>
                <w:lang w:eastAsia="zh-CN"/>
              </w:rPr>
              <w:t>柴油为</w:t>
            </w:r>
            <w:r>
              <w:rPr>
                <w:rFonts w:hint="default" w:ascii="Times New Roman" w:hAnsi="Times New Roman" w:eastAsia="宋体" w:cs="Times New Roman"/>
                <w:bCs/>
                <w:kern w:val="0"/>
                <w:sz w:val="24"/>
                <w:szCs w:val="24"/>
              </w:rPr>
              <w:t>风险物质，Q值</w:t>
            </w:r>
            <w:r>
              <w:rPr>
                <w:rFonts w:hint="default" w:ascii="Times New Roman" w:hAnsi="Times New Roman" w:eastAsia="宋体" w:cs="Times New Roman"/>
                <w:bCs/>
                <w:kern w:val="0"/>
                <w:sz w:val="24"/>
                <w:szCs w:val="24"/>
                <w:lang w:eastAsia="zh-CN"/>
              </w:rPr>
              <w:t>小于</w:t>
            </w:r>
            <w:r>
              <w:rPr>
                <w:rFonts w:hint="default" w:ascii="Times New Roman" w:hAnsi="Times New Roman" w:eastAsia="宋体" w:cs="Times New Roman"/>
                <w:bCs/>
                <w:kern w:val="0"/>
                <w:sz w:val="24"/>
                <w:szCs w:val="24"/>
                <w:lang w:val="en-US" w:eastAsia="zh-CN"/>
              </w:rPr>
              <w:t>1</w:t>
            </w:r>
            <w:r>
              <w:rPr>
                <w:rFonts w:hint="default" w:ascii="Times New Roman" w:hAnsi="Times New Roman" w:eastAsia="宋体" w:cs="Times New Roman"/>
                <w:bCs/>
                <w:kern w:val="0"/>
                <w:sz w:val="24"/>
                <w:szCs w:val="24"/>
              </w:rPr>
              <w:t>，风险潜势为I。</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（2）评价等级</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rPr>
              <w:t>环境风险评价工作等级划分为一级、二级、三级。根据建设项目涉及的物质及工艺系统危险性和所在地的环境敏感性确定环境风险潜势，按照下表确定评价工作等级。风险潜势为Ⅳ及以上，进行一级评价；风险潜势为Ⅲ，进行二级评价；风险潜势为Ⅱ，进行三级评价；风险潜势为Ⅰ</w:t>
            </w:r>
            <w:r>
              <w:rPr>
                <w:rFonts w:hint="default" w:ascii="Times New Roman" w:hAnsi="Times New Roman" w:eastAsia="宋体" w:cs="Times New Roman"/>
                <w:bCs/>
                <w:kern w:val="0"/>
                <w:sz w:val="24"/>
                <w:szCs w:val="24"/>
                <w:lang w:eastAsia="zh-CN"/>
              </w:rPr>
              <w:t>，</w:t>
            </w:r>
            <w:r>
              <w:rPr>
                <w:rFonts w:hint="default" w:ascii="Times New Roman" w:hAnsi="Times New Roman" w:eastAsia="宋体" w:cs="Times New Roman"/>
                <w:bCs/>
                <w:kern w:val="0"/>
                <w:sz w:val="24"/>
                <w:szCs w:val="24"/>
              </w:rPr>
              <w:t>可开展简单分析。具体</w:t>
            </w:r>
            <w:r>
              <w:rPr>
                <w:rFonts w:hint="default" w:ascii="Times New Roman" w:hAnsi="Times New Roman" w:eastAsia="宋体" w:cs="Times New Roman"/>
                <w:bCs/>
                <w:kern w:val="0"/>
                <w:sz w:val="24"/>
                <w:szCs w:val="24"/>
                <w:lang w:val="en-US" w:eastAsia="zh-CN"/>
              </w:rPr>
              <w:t>见下表</w:t>
            </w:r>
            <w:r>
              <w:rPr>
                <w:rFonts w:hint="default" w:ascii="Times New Roman" w:hAnsi="Times New Roman" w:eastAsia="宋体" w:cs="Times New Roman"/>
                <w:bCs/>
                <w:kern w:val="0"/>
                <w:sz w:val="24"/>
                <w:szCs w:val="24"/>
                <w:lang w:eastAsia="zh-CN"/>
              </w:rPr>
              <w:t>。</w:t>
            </w:r>
          </w:p>
          <w:p>
            <w:pPr>
              <w:pStyle w:val="52"/>
              <w:keepNext w:val="0"/>
              <w:keepLines w:val="0"/>
              <w:suppressLineNumbers w:val="0"/>
              <w:bidi w:val="0"/>
              <w:spacing w:before="0" w:beforeAutospacing="0" w:after="0" w:afterAutospacing="0"/>
              <w:ind w:left="0" w:right="0"/>
              <w:rPr>
                <w:rFonts w:hint="default"/>
              </w:rPr>
            </w:pPr>
            <w:r>
              <w:rPr>
                <w:rFonts w:hint="default"/>
              </w:rPr>
              <w:t>表</w:t>
            </w:r>
            <w:r>
              <w:rPr>
                <w:rFonts w:hint="default"/>
                <w:lang w:val="en-US" w:eastAsia="zh-CN"/>
              </w:rPr>
              <w:t>5-</w:t>
            </w:r>
            <w:r>
              <w:rPr>
                <w:rFonts w:hint="eastAsia"/>
                <w:lang w:val="en-US" w:eastAsia="zh-CN"/>
              </w:rPr>
              <w:t>6</w:t>
            </w:r>
            <w:r>
              <w:rPr>
                <w:rFonts w:hint="default"/>
              </w:rPr>
              <w:t xml:space="preserve">  </w:t>
            </w:r>
            <w:r>
              <w:rPr>
                <w:rFonts w:hint="default"/>
                <w:lang w:val="en-US" w:eastAsia="zh-CN"/>
              </w:rPr>
              <w:t xml:space="preserve"> </w:t>
            </w:r>
            <w:r>
              <w:rPr>
                <w:rFonts w:hint="default"/>
              </w:rPr>
              <w:t xml:space="preserve"> 评价工作等级划分</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9"/>
              <w:gridCol w:w="1509"/>
              <w:gridCol w:w="1512"/>
              <w:gridCol w:w="1511"/>
              <w:gridCol w:w="1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noWrap w:val="0"/>
                  <w:vAlign w:val="top"/>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环境风险潜势</w:t>
                  </w:r>
                </w:p>
              </w:tc>
              <w:tc>
                <w:tcPr>
                  <w:tcW w:w="999" w:type="pct"/>
                  <w:noWrap w:val="0"/>
                  <w:vAlign w:val="top"/>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eastAsia="zh-CN"/>
                    </w:rPr>
                    <w:t>Ⅳ</w:t>
                  </w:r>
                  <w:r>
                    <w:rPr>
                      <w:rFonts w:hint="default" w:ascii="Times New Roman" w:hAnsi="Times New Roman" w:cs="Times New Roman"/>
                    </w:rPr>
                    <w:t>、IV+</w:t>
                  </w:r>
                </w:p>
              </w:tc>
              <w:tc>
                <w:tcPr>
                  <w:tcW w:w="1001" w:type="pct"/>
                  <w:noWrap w:val="0"/>
                  <w:vAlign w:val="top"/>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eastAsia="zh-CN"/>
                    </w:rPr>
                    <w:t>Ⅲ</w:t>
                  </w:r>
                </w:p>
              </w:tc>
              <w:tc>
                <w:tcPr>
                  <w:tcW w:w="1000" w:type="pct"/>
                  <w:noWrap w:val="0"/>
                  <w:vAlign w:val="top"/>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II</w:t>
                  </w:r>
                </w:p>
              </w:tc>
              <w:tc>
                <w:tcPr>
                  <w:tcW w:w="1001" w:type="pct"/>
                  <w:noWrap w:val="0"/>
                  <w:vAlign w:val="top"/>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9" w:type="pct"/>
                  <w:noWrap w:val="0"/>
                  <w:vAlign w:val="top"/>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评价工作等级</w:t>
                  </w:r>
                </w:p>
              </w:tc>
              <w:tc>
                <w:tcPr>
                  <w:tcW w:w="999" w:type="pct"/>
                  <w:noWrap w:val="0"/>
                  <w:vAlign w:val="top"/>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一</w:t>
                  </w:r>
                </w:p>
              </w:tc>
              <w:tc>
                <w:tcPr>
                  <w:tcW w:w="1001" w:type="pct"/>
                  <w:noWrap w:val="0"/>
                  <w:vAlign w:val="top"/>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二</w:t>
                  </w:r>
                </w:p>
              </w:tc>
              <w:tc>
                <w:tcPr>
                  <w:tcW w:w="1000" w:type="pct"/>
                  <w:noWrap w:val="0"/>
                  <w:vAlign w:val="top"/>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三</w:t>
                  </w:r>
                </w:p>
              </w:tc>
              <w:tc>
                <w:tcPr>
                  <w:tcW w:w="1001" w:type="pct"/>
                  <w:noWrap w:val="0"/>
                  <w:vAlign w:val="top"/>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简单分析*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noWrap w:val="0"/>
                  <w:vAlign w:val="top"/>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*是相对于详细评价工作内容而言，在描述危险物质、环境影响途径、环境危害后果、风险防范措施等</w:t>
                  </w:r>
                  <w:r>
                    <w:rPr>
                      <w:rFonts w:hint="default" w:ascii="Times New Roman" w:hAnsi="Times New Roman" w:cs="Times New Roman"/>
                      <w:lang w:eastAsia="zh-CN"/>
                    </w:rPr>
                    <w:t>方</w:t>
                  </w:r>
                  <w:r>
                    <w:rPr>
                      <w:rFonts w:hint="default" w:ascii="Times New Roman" w:hAnsi="Times New Roman" w:cs="Times New Roman"/>
                    </w:rPr>
                    <w:t>面给出定性的说明。</w:t>
                  </w:r>
                </w:p>
              </w:tc>
            </w:tr>
          </w:tbl>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rPr>
              <w:t>本项目风险潜势为I，故本项目需进行简单分析。</w:t>
            </w:r>
          </w:p>
          <w:p>
            <w:pPr>
              <w:pStyle w:val="50"/>
              <w:keepNext w:val="0"/>
              <w:keepLines w:val="0"/>
              <w:suppressLineNumbers w:val="0"/>
              <w:bidi w:val="0"/>
              <w:spacing w:before="0" w:beforeAutospacing="0" w:after="0" w:afterAutospacing="0"/>
              <w:ind w:left="0" w:right="0"/>
              <w:rPr>
                <w:rFonts w:hint="default"/>
              </w:rPr>
            </w:pPr>
            <w:r>
              <w:rPr>
                <w:rFonts w:hint="eastAsia"/>
                <w:lang w:val="en-US" w:eastAsia="zh-CN"/>
              </w:rPr>
              <w:t>8</w:t>
            </w:r>
            <w:r>
              <w:rPr>
                <w:rFonts w:hint="default"/>
                <w:lang w:val="en-US" w:eastAsia="zh-CN"/>
              </w:rPr>
              <w:t>.3</w:t>
            </w:r>
            <w:r>
              <w:rPr>
                <w:rFonts w:hint="default"/>
              </w:rPr>
              <w:t>风险防范措施</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eastAsia="zh-CN"/>
              </w:rPr>
              <w:t>（</w:t>
            </w:r>
            <w:r>
              <w:rPr>
                <w:rFonts w:hint="default" w:ascii="Times New Roman" w:hAnsi="Times New Roman" w:eastAsia="宋体" w:cs="Times New Roman"/>
                <w:bCs/>
                <w:kern w:val="0"/>
                <w:sz w:val="24"/>
                <w:szCs w:val="24"/>
                <w:lang w:val="en-US" w:eastAsia="zh-CN"/>
              </w:rPr>
              <w:t>1）柴油使用油桶盛装，存放在生活营地内设的柴油贮存</w:t>
            </w:r>
            <w:r>
              <w:rPr>
                <w:rFonts w:hint="default" w:ascii="Times New Roman" w:hAnsi="Times New Roman" w:cs="Times New Roman"/>
                <w:bCs/>
                <w:kern w:val="0"/>
                <w:sz w:val="24"/>
                <w:szCs w:val="24"/>
                <w:lang w:val="en-US" w:eastAsia="zh-CN"/>
              </w:rPr>
              <w:t>点</w:t>
            </w:r>
            <w:r>
              <w:rPr>
                <w:rFonts w:hint="default" w:ascii="Times New Roman" w:hAnsi="Times New Roman" w:eastAsia="宋体" w:cs="Times New Roman"/>
                <w:bCs/>
                <w:kern w:val="0"/>
                <w:sz w:val="24"/>
                <w:szCs w:val="24"/>
                <w:lang w:val="en-US" w:eastAsia="zh-CN"/>
              </w:rPr>
              <w:t>，安排专人管理，贮存区地面简单铺设防渗</w:t>
            </w:r>
            <w:r>
              <w:rPr>
                <w:rFonts w:hint="eastAsia" w:cs="Times New Roman"/>
                <w:bCs/>
                <w:kern w:val="0"/>
                <w:sz w:val="24"/>
                <w:szCs w:val="24"/>
                <w:lang w:val="en-US" w:eastAsia="zh-CN"/>
              </w:rPr>
              <w:t>托盘</w:t>
            </w:r>
            <w:r>
              <w:rPr>
                <w:rFonts w:hint="default" w:ascii="Times New Roman" w:hAnsi="Times New Roman" w:eastAsia="宋体" w:cs="Times New Roman"/>
                <w:bCs/>
                <w:kern w:val="0"/>
                <w:sz w:val="24"/>
                <w:szCs w:val="24"/>
                <w:lang w:val="en-US" w:eastAsia="zh-CN"/>
              </w:rPr>
              <w:t>。满足相应防</w:t>
            </w:r>
            <w:r>
              <w:rPr>
                <w:rFonts w:hint="default" w:ascii="Times New Roman" w:hAnsi="Times New Roman" w:cs="Times New Roman"/>
                <w:bCs/>
                <w:kern w:val="0"/>
                <w:sz w:val="24"/>
                <w:szCs w:val="24"/>
                <w:lang w:val="en-US" w:eastAsia="zh-CN"/>
              </w:rPr>
              <w:t>日晒</w:t>
            </w:r>
            <w:r>
              <w:rPr>
                <w:rFonts w:hint="default" w:ascii="Times New Roman" w:hAnsi="Times New Roman" w:eastAsia="宋体" w:cs="Times New Roman"/>
                <w:bCs/>
                <w:kern w:val="0"/>
                <w:sz w:val="24"/>
                <w:szCs w:val="24"/>
                <w:lang w:val="en-US" w:eastAsia="zh-CN"/>
              </w:rPr>
              <w:t>、防</w:t>
            </w:r>
            <w:r>
              <w:rPr>
                <w:rFonts w:hint="default" w:ascii="Times New Roman" w:hAnsi="Times New Roman" w:cs="Times New Roman"/>
                <w:bCs/>
                <w:kern w:val="0"/>
                <w:sz w:val="24"/>
                <w:szCs w:val="24"/>
                <w:lang w:val="en-US" w:eastAsia="zh-CN"/>
              </w:rPr>
              <w:t>雨淋</w:t>
            </w:r>
            <w:r>
              <w:rPr>
                <w:rFonts w:hint="default" w:ascii="Times New Roman" w:hAnsi="Times New Roman" w:eastAsia="宋体" w:cs="Times New Roman"/>
                <w:bCs/>
                <w:kern w:val="0"/>
                <w:sz w:val="24"/>
                <w:szCs w:val="24"/>
                <w:lang w:val="en-US" w:eastAsia="zh-CN"/>
              </w:rPr>
              <w:t>、防渗漏及其他环境污染防控要求</w:t>
            </w:r>
            <w:r>
              <w:rPr>
                <w:rFonts w:hint="default" w:ascii="Times New Roman" w:hAnsi="Times New Roman" w:cs="Times New Roman"/>
                <w:bCs/>
                <w:kern w:val="0"/>
                <w:sz w:val="24"/>
                <w:szCs w:val="24"/>
                <w:lang w:val="en-US" w:eastAsia="zh-CN"/>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w:t>
            </w:r>
            <w:r>
              <w:rPr>
                <w:rFonts w:hint="default" w:ascii="Times New Roman" w:hAnsi="Times New Roman" w:eastAsia="宋体" w:cs="Times New Roman"/>
                <w:bCs/>
                <w:kern w:val="0"/>
                <w:sz w:val="24"/>
                <w:szCs w:val="24"/>
                <w:lang w:val="en-US" w:eastAsia="zh-CN"/>
              </w:rPr>
              <w:t>2</w:t>
            </w:r>
            <w:r>
              <w:rPr>
                <w:rFonts w:hint="default" w:ascii="Times New Roman" w:hAnsi="Times New Roman" w:eastAsia="宋体" w:cs="Times New Roman"/>
                <w:bCs/>
                <w:kern w:val="0"/>
                <w:sz w:val="24"/>
                <w:szCs w:val="24"/>
                <w:lang w:eastAsia="zh-CN"/>
              </w:rPr>
              <w:t>）加强柴油管理，使用时远离火源。</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eastAsia="zh-CN"/>
              </w:rPr>
              <w:t>（</w:t>
            </w:r>
            <w:r>
              <w:rPr>
                <w:rFonts w:hint="default" w:ascii="Times New Roman" w:hAnsi="Times New Roman" w:eastAsia="宋体" w:cs="Times New Roman"/>
                <w:bCs/>
                <w:kern w:val="0"/>
                <w:sz w:val="24"/>
                <w:szCs w:val="24"/>
                <w:lang w:val="en-US" w:eastAsia="zh-CN"/>
              </w:rPr>
              <w:t>3）油品</w:t>
            </w:r>
            <w:r>
              <w:rPr>
                <w:rFonts w:hint="default" w:ascii="Times New Roman" w:hAnsi="Times New Roman" w:eastAsia="宋体" w:cs="Times New Roman"/>
                <w:bCs/>
                <w:kern w:val="0"/>
                <w:sz w:val="24"/>
                <w:szCs w:val="24"/>
                <w:lang w:eastAsia="zh-CN"/>
              </w:rPr>
              <w:t>发生泄漏时，及时用吸油毡吸附并放置到密闭的容器中储存，防止接触火源引发火灾。</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w:t>
            </w:r>
            <w:r>
              <w:rPr>
                <w:rFonts w:hint="default" w:ascii="Times New Roman" w:hAnsi="Times New Roman" w:eastAsia="宋体" w:cs="Times New Roman"/>
                <w:bCs/>
                <w:kern w:val="0"/>
                <w:sz w:val="24"/>
                <w:szCs w:val="24"/>
                <w:lang w:val="en-US" w:eastAsia="zh-CN"/>
              </w:rPr>
              <w:t>4）</w:t>
            </w:r>
            <w:r>
              <w:rPr>
                <w:rFonts w:hint="default" w:ascii="Times New Roman" w:hAnsi="Times New Roman" w:eastAsia="宋体" w:cs="Times New Roman"/>
                <w:bCs/>
                <w:kern w:val="0"/>
                <w:sz w:val="24"/>
                <w:szCs w:val="24"/>
              </w:rPr>
              <w:t>制定事故应急救援方案，发生事故时，及时采取应急行动，保护工作人员及周边人员安全，并防止事故扩大，最大限度地减少事故损失。</w:t>
            </w:r>
          </w:p>
          <w:p>
            <w:pPr>
              <w:pStyle w:val="50"/>
              <w:keepNext w:val="0"/>
              <w:keepLines w:val="0"/>
              <w:suppressLineNumbers w:val="0"/>
              <w:bidi w:val="0"/>
              <w:spacing w:before="0" w:beforeAutospacing="0" w:after="0" w:afterAutospacing="0"/>
              <w:ind w:left="0" w:right="0"/>
              <w:rPr>
                <w:rFonts w:hint="default"/>
              </w:rPr>
            </w:pPr>
            <w:r>
              <w:rPr>
                <w:rFonts w:hint="eastAsia"/>
                <w:lang w:val="en-US" w:eastAsia="zh-CN"/>
              </w:rPr>
              <w:t>8</w:t>
            </w:r>
            <w:r>
              <w:rPr>
                <w:rFonts w:hint="default"/>
                <w:lang w:val="en-US" w:eastAsia="zh-CN"/>
              </w:rPr>
              <w:t>.4</w:t>
            </w:r>
            <w:r>
              <w:rPr>
                <w:rFonts w:hint="default"/>
              </w:rPr>
              <w:t>环境风险评价结论</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本项目环境风险开展简单分析。具体内容</w:t>
            </w:r>
            <w:r>
              <w:rPr>
                <w:rFonts w:hint="default" w:ascii="Times New Roman" w:hAnsi="Times New Roman" w:eastAsia="宋体" w:cs="Times New Roman"/>
                <w:bCs/>
                <w:kern w:val="0"/>
                <w:sz w:val="24"/>
                <w:szCs w:val="24"/>
                <w:lang w:val="en-US" w:eastAsia="zh-CN"/>
              </w:rPr>
              <w:t>见下表</w:t>
            </w:r>
            <w:r>
              <w:rPr>
                <w:rFonts w:hint="default" w:ascii="Times New Roman" w:hAnsi="Times New Roman" w:eastAsia="宋体" w:cs="Times New Roman"/>
                <w:bCs/>
                <w:kern w:val="0"/>
                <w:sz w:val="24"/>
                <w:szCs w:val="24"/>
              </w:rPr>
              <w:t>。</w:t>
            </w:r>
          </w:p>
          <w:p>
            <w:pPr>
              <w:pStyle w:val="52"/>
              <w:keepNext w:val="0"/>
              <w:keepLines w:val="0"/>
              <w:suppressLineNumbers w:val="0"/>
              <w:bidi w:val="0"/>
              <w:spacing w:before="0" w:beforeAutospacing="0" w:after="0" w:afterAutospacing="0"/>
              <w:ind w:left="0" w:right="0"/>
              <w:rPr>
                <w:rFonts w:hint="default"/>
              </w:rPr>
            </w:pPr>
            <w:r>
              <w:rPr>
                <w:rFonts w:hint="default"/>
              </w:rPr>
              <w:t>表</w:t>
            </w:r>
            <w:r>
              <w:rPr>
                <w:rFonts w:hint="default"/>
                <w:lang w:val="en-US" w:eastAsia="zh-CN"/>
              </w:rPr>
              <w:t>5-</w:t>
            </w:r>
            <w:r>
              <w:rPr>
                <w:rFonts w:hint="eastAsia"/>
                <w:lang w:val="en-US" w:eastAsia="zh-CN"/>
              </w:rPr>
              <w:t>7</w:t>
            </w:r>
            <w:r>
              <w:rPr>
                <w:rFonts w:hint="default"/>
              </w:rPr>
              <w:t xml:space="preserve">   </w:t>
            </w:r>
            <w:r>
              <w:rPr>
                <w:rFonts w:hint="eastAsia"/>
                <w:lang w:val="en-US" w:eastAsia="zh-CN"/>
              </w:rPr>
              <w:t xml:space="preserve"> </w:t>
            </w:r>
            <w:r>
              <w:rPr>
                <w:rFonts w:hint="default"/>
              </w:rPr>
              <w:t>建设项目环境风险简单分析内容表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6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01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建设项目名称</w:t>
                  </w:r>
                </w:p>
              </w:tc>
              <w:tc>
                <w:tcPr>
                  <w:tcW w:w="398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rPr>
                  </w:pPr>
                  <w:r>
                    <w:rPr>
                      <w:rFonts w:hint="eastAsia" w:cs="Times New Roman"/>
                      <w:highlight w:val="none"/>
                      <w:lang w:val="en-US" w:eastAsia="zh-CN"/>
                    </w:rPr>
                    <w:t>新疆和硕县绰汗哈尔肯铜多金属矿勘探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1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建设地点</w:t>
                  </w:r>
                </w:p>
              </w:tc>
              <w:tc>
                <w:tcPr>
                  <w:tcW w:w="398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eastAsia="zh-CN"/>
                    </w:rPr>
                  </w:pPr>
                  <w:r>
                    <w:rPr>
                      <w:rFonts w:hint="eastAsia" w:cs="Times New Roman"/>
                      <w:highlight w:val="none"/>
                      <w:lang w:val="en-US" w:eastAsia="zh-CN"/>
                    </w:rPr>
                    <w:t>新疆维吾尔自治区巴音郭楞蒙古自治州和硕县城东北17°方向，直线距离39千米处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1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地理坐标</w:t>
                  </w:r>
                </w:p>
              </w:tc>
              <w:tc>
                <w:tcPr>
                  <w:tcW w:w="3980"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1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主要危险物质及分布</w:t>
                  </w:r>
                </w:p>
              </w:tc>
              <w:tc>
                <w:tcPr>
                  <w:tcW w:w="398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eastAsia="zh-CN"/>
                    </w:rPr>
                    <w:t>柴油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1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环境影响途径及危害后果（大气、地表水、地下水）</w:t>
                  </w:r>
                </w:p>
              </w:tc>
              <w:tc>
                <w:tcPr>
                  <w:tcW w:w="398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eastAsia="zh-CN"/>
                    </w:rPr>
                    <w:t>勘探</w:t>
                  </w:r>
                  <w:r>
                    <w:rPr>
                      <w:rFonts w:hint="default" w:ascii="Times New Roman" w:hAnsi="Times New Roman" w:cs="Times New Roman"/>
                    </w:rPr>
                    <w:t>过程</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lang w:eastAsia="zh-CN"/>
                    </w:rPr>
                    <w:t>勘探</w:t>
                  </w:r>
                  <w:r>
                    <w:rPr>
                      <w:rFonts w:hint="default" w:ascii="Times New Roman" w:hAnsi="Times New Roman" w:cs="Times New Roman"/>
                    </w:rPr>
                    <w:t>过程引发自然地质灾害。</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lang w:val="en-US" w:eastAsia="zh-CN"/>
                    </w:rPr>
                  </w:pPr>
                  <w:r>
                    <w:rPr>
                      <w:rFonts w:hint="default" w:ascii="Times New Roman" w:hAnsi="Times New Roman" w:cs="Times New Roman"/>
                      <w:lang w:eastAsia="zh-CN"/>
                    </w:rPr>
                    <w:t>（</w:t>
                  </w:r>
                  <w:r>
                    <w:rPr>
                      <w:rFonts w:hint="default" w:ascii="Times New Roman" w:hAnsi="Times New Roman" w:cs="Times New Roman"/>
                      <w:lang w:val="en-US" w:eastAsia="zh-CN"/>
                    </w:rPr>
                    <w:t>2）泄漏</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油桶破损导致柴油泄漏，污染周边地下水和土壤。</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（2）火灾</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火灾的危害主要来自三方面，一是火源</w:t>
                  </w:r>
                  <w:r>
                    <w:rPr>
                      <w:rFonts w:hint="default" w:ascii="Times New Roman" w:hAnsi="Times New Roman" w:cs="Times New Roman"/>
                      <w:lang w:eastAsia="zh-CN"/>
                    </w:rPr>
                    <w:t>失去</w:t>
                  </w:r>
                  <w:r>
                    <w:rPr>
                      <w:rFonts w:hint="default" w:ascii="Times New Roman" w:hAnsi="Times New Roman" w:cs="Times New Roman"/>
                    </w:rPr>
                    <w:t>控制蔓延发展造成损失，另一方面是烟雾的快速、大方面扩散造成损失。最后是灭火过程中大量消耗消防用水，产生大量消防废水，可能污染地面土壤和地下水。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1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风险防范措施要求</w:t>
                  </w:r>
                </w:p>
              </w:tc>
              <w:tc>
                <w:tcPr>
                  <w:tcW w:w="398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（1）制定环境风险管理制度</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建设单位需制定《环境保护责任制》《安全环保风险管理制度》，可满足企业环境风险管理要求，但是制度需要在执行中检验其可操作性。</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（2）风险防控及应急措施</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为防止可能出现的风险事故，项目需在总图布局、工艺技术与自动控制、电气配置等方面采取风险防范措施，需制定应急处理及救援预案。</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（3）环境应急资源</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应按照制定的《安全环保风险管理制度》购置相应的环境风险应急资源，成立应急救援队伍。</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（4）环境风险演练和培训</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项目建成后，需对应急救援队伍进行培训，并定期进行环境风险应急演练。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2"/>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填表说明：</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根据本项目污染物特性，本项目应建立独立的环境风险应急预案，并</w:t>
                  </w:r>
                  <w:r>
                    <w:rPr>
                      <w:rFonts w:hint="default" w:ascii="Times New Roman" w:hAnsi="Times New Roman" w:cs="Times New Roman"/>
                      <w:lang w:eastAsia="zh-CN"/>
                    </w:rPr>
                    <w:t>报当</w:t>
                  </w:r>
                  <w:r>
                    <w:rPr>
                      <w:rFonts w:hint="default" w:ascii="Times New Roman" w:hAnsi="Times New Roman" w:cs="Times New Roman"/>
                    </w:rPr>
                    <w:t>地环境主管部门备案。</w:t>
                  </w:r>
                </w:p>
              </w:tc>
            </w:tr>
          </w:tbl>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cs="Times New Roman"/>
                <w:sz w:val="24"/>
                <w:highlight w:val="none"/>
                <w:lang w:eastAsia="zh-CN"/>
              </w:rPr>
            </w:pPr>
            <w:r>
              <w:rPr>
                <w:rFonts w:hint="default" w:ascii="Times New Roman" w:hAnsi="Times New Roman" w:eastAsia="宋体" w:cs="Times New Roman"/>
                <w:bCs/>
                <w:kern w:val="0"/>
                <w:sz w:val="24"/>
                <w:szCs w:val="24"/>
              </w:rPr>
              <w:t>根据上述分析，本项目环境风险是可防控的。</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eastAsia="zh-CN"/>
              </w:rPr>
            </w:pPr>
            <w:r>
              <w:rPr>
                <w:rFonts w:hint="eastAsia" w:cs="Times New Roman"/>
                <w:lang w:val="en-US" w:eastAsia="zh-CN"/>
              </w:rPr>
              <w:t>9</w:t>
            </w:r>
            <w:r>
              <w:rPr>
                <w:rFonts w:hint="default" w:ascii="Times New Roman" w:hAnsi="Times New Roman" w:cs="Times New Roman"/>
                <w:lang w:val="en-US" w:eastAsia="zh-CN"/>
              </w:rPr>
              <w:t>.</w:t>
            </w:r>
            <w:r>
              <w:rPr>
                <w:rFonts w:hint="default" w:ascii="Times New Roman" w:hAnsi="Times New Roman" w:cs="Times New Roman"/>
                <w:lang w:eastAsia="zh-CN"/>
              </w:rPr>
              <w:t>勘</w:t>
            </w:r>
            <w:r>
              <w:rPr>
                <w:rFonts w:hint="default" w:ascii="Times New Roman" w:hAnsi="Times New Roman" w:cs="Times New Roman"/>
                <w:lang w:val="en-US" w:eastAsia="zh-CN"/>
              </w:rPr>
              <w:t>查</w:t>
            </w:r>
            <w:r>
              <w:rPr>
                <w:rFonts w:hint="default" w:ascii="Times New Roman" w:hAnsi="Times New Roman" w:cs="Times New Roman"/>
                <w:lang w:eastAsia="zh-CN"/>
              </w:rPr>
              <w:t>期环境影响综合结论</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eastAsia="zh-CN"/>
              </w:rPr>
            </w:pPr>
            <w:r>
              <w:rPr>
                <w:rFonts w:hint="default" w:ascii="Times New Roman" w:hAnsi="Times New Roman" w:cs="Times New Roman"/>
                <w:lang w:eastAsia="zh-CN"/>
              </w:rPr>
              <w:t>综上所述，勘查期产生的污染物，对区域的生态环境、空气环境、声环境、地表水环境的影响是不可避免的。但由于本项目工程量较小，不会改变区域环境功能，对周围环境的影响较小，而且其影响是暂时的、局部的，其影响将随勘查工作的结束而消失。</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eastAsia="zh-CN"/>
              </w:rPr>
            </w:pPr>
            <w:r>
              <w:rPr>
                <w:rFonts w:hint="eastAsia" w:cs="Times New Roman"/>
                <w:lang w:val="en-US" w:eastAsia="zh-CN"/>
              </w:rPr>
              <w:t>10</w:t>
            </w:r>
            <w:r>
              <w:rPr>
                <w:rFonts w:hint="default" w:ascii="Times New Roman" w:hAnsi="Times New Roman" w:cs="Times New Roman"/>
                <w:lang w:val="en-US" w:eastAsia="zh-CN"/>
              </w:rPr>
              <w:t>.</w:t>
            </w:r>
            <w:r>
              <w:rPr>
                <w:rFonts w:hint="default" w:ascii="Times New Roman" w:hAnsi="Times New Roman" w:cs="Times New Roman"/>
                <w:lang w:eastAsia="zh-CN"/>
              </w:rPr>
              <w:t>生态影响恢复措施的合理性和可行性分析</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eastAsia="zh-CN"/>
              </w:rPr>
            </w:pPr>
            <w:r>
              <w:rPr>
                <w:rFonts w:hint="default" w:ascii="Times New Roman" w:hAnsi="Times New Roman" w:cs="Times New Roman"/>
                <w:lang w:eastAsia="zh-CN"/>
              </w:rPr>
              <w:t>由于本项目位于高海拔地区，生态环境较脆弱，应特别注重勘探区的生态恢复。探槽开挖的临时弃土就地堆放在探槽</w:t>
            </w:r>
            <w:r>
              <w:rPr>
                <w:rFonts w:hint="default" w:ascii="Times New Roman" w:hAnsi="Times New Roman" w:cs="Times New Roman"/>
                <w:lang w:val="en-US" w:eastAsia="zh-CN"/>
              </w:rPr>
              <w:t>一</w:t>
            </w:r>
            <w:r>
              <w:rPr>
                <w:rFonts w:hint="default" w:ascii="Times New Roman" w:hAnsi="Times New Roman" w:cs="Times New Roman"/>
                <w:lang w:eastAsia="zh-CN"/>
              </w:rPr>
              <w:t>侧，并用</w:t>
            </w:r>
            <w:r>
              <w:rPr>
                <w:rFonts w:hint="eastAsia" w:cs="Times New Roman"/>
                <w:lang w:val="en-US" w:eastAsia="zh-CN"/>
              </w:rPr>
              <w:t>彩布条</w:t>
            </w:r>
            <w:r>
              <w:rPr>
                <w:rFonts w:hint="default" w:ascii="Times New Roman" w:hAnsi="Times New Roman" w:cs="Times New Roman"/>
                <w:lang w:val="en-US" w:eastAsia="zh-CN"/>
              </w:rPr>
              <w:t>苫盖</w:t>
            </w:r>
            <w:r>
              <w:rPr>
                <w:rFonts w:hint="default" w:ascii="Times New Roman" w:hAnsi="Times New Roman" w:cs="Times New Roman"/>
                <w:lang w:eastAsia="zh-CN"/>
              </w:rPr>
              <w:t>，工程完成后立即回填。探坑开挖的土临时堆放在探坑一侧，采样完成后立即回填。合理进行探矿布置，精心组织，严格控制探矿活动范围。</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eastAsia="zh-CN"/>
              </w:rPr>
            </w:pPr>
            <w:r>
              <w:rPr>
                <w:rFonts w:hint="default" w:ascii="Times New Roman" w:hAnsi="Times New Roman" w:cs="Times New Roman"/>
                <w:lang w:eastAsia="zh-CN"/>
              </w:rPr>
              <w:t>（1）经济可行性</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eastAsia="zh-CN"/>
              </w:rPr>
            </w:pPr>
            <w:r>
              <w:rPr>
                <w:rFonts w:hint="default" w:ascii="Times New Roman" w:hAnsi="Times New Roman" w:cs="Times New Roman"/>
                <w:lang w:eastAsia="zh-CN"/>
              </w:rPr>
              <w:t>本项目生态恢复措施</w:t>
            </w:r>
            <w:r>
              <w:rPr>
                <w:rFonts w:hint="default" w:ascii="Times New Roman" w:hAnsi="Times New Roman" w:cs="Times New Roman"/>
                <w:lang w:val="en-US" w:eastAsia="zh-CN"/>
              </w:rPr>
              <w:t>主要为</w:t>
            </w:r>
            <w:r>
              <w:rPr>
                <w:rFonts w:hint="default" w:ascii="Times New Roman" w:hAnsi="Times New Roman" w:cs="Times New Roman"/>
                <w:lang w:eastAsia="zh-CN"/>
              </w:rPr>
              <w:t>工程措施，对临时堆土采用</w:t>
            </w:r>
            <w:r>
              <w:rPr>
                <w:rFonts w:hint="eastAsia" w:cs="Times New Roman"/>
                <w:lang w:val="en-US" w:eastAsia="zh-CN"/>
              </w:rPr>
              <w:t>彩布条</w:t>
            </w:r>
            <w:r>
              <w:rPr>
                <w:rFonts w:hint="default" w:ascii="Times New Roman" w:hAnsi="Times New Roman" w:cs="Times New Roman"/>
                <w:lang w:val="en-US" w:eastAsia="zh-CN"/>
              </w:rPr>
              <w:t>苫盖</w:t>
            </w:r>
            <w:r>
              <w:rPr>
                <w:rFonts w:hint="default" w:ascii="Times New Roman" w:hAnsi="Times New Roman" w:cs="Times New Roman"/>
                <w:lang w:eastAsia="zh-CN"/>
              </w:rPr>
              <w:t>。工程完成后，对施工迹地和</w:t>
            </w:r>
            <w:r>
              <w:rPr>
                <w:rFonts w:hint="default" w:ascii="Times New Roman" w:hAnsi="Times New Roman" w:cs="Times New Roman"/>
                <w:lang w:val="en-US" w:eastAsia="zh-CN"/>
              </w:rPr>
              <w:t>临时堆土区进行土地平整，恢复原有地貌。</w:t>
            </w:r>
            <w:r>
              <w:rPr>
                <w:rFonts w:hint="default" w:ascii="Times New Roman" w:hAnsi="Times New Roman" w:cs="Times New Roman"/>
                <w:lang w:eastAsia="zh-CN"/>
              </w:rPr>
              <w:t>工程措施简单易行，所需设备材料价格合理。</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eastAsia="zh-CN"/>
              </w:rPr>
            </w:pPr>
            <w:r>
              <w:rPr>
                <w:rFonts w:hint="default" w:ascii="Times New Roman" w:hAnsi="Times New Roman" w:cs="Times New Roman"/>
                <w:highlight w:val="none"/>
                <w:lang w:val="en-US" w:eastAsia="zh-CN"/>
              </w:rPr>
              <w:t>项目总投资为</w:t>
            </w:r>
            <w:r>
              <w:rPr>
                <w:rFonts w:hint="eastAsia" w:cs="Times New Roman"/>
                <w:highlight w:val="none"/>
                <w:lang w:val="en-US" w:eastAsia="zh-CN"/>
              </w:rPr>
              <w:t>388.74</w:t>
            </w:r>
            <w:r>
              <w:rPr>
                <w:rFonts w:hint="default" w:ascii="Times New Roman" w:hAnsi="Times New Roman" w:cs="Times New Roman"/>
                <w:highlight w:val="none"/>
                <w:lang w:val="en-US" w:eastAsia="zh-CN"/>
              </w:rPr>
              <w:t>万元，环保投资为</w:t>
            </w:r>
            <w:r>
              <w:rPr>
                <w:rFonts w:hint="eastAsia" w:cs="Times New Roman"/>
                <w:highlight w:val="none"/>
                <w:lang w:val="en-US" w:eastAsia="zh-CN"/>
              </w:rPr>
              <w:t>15.7</w:t>
            </w:r>
            <w:r>
              <w:rPr>
                <w:rFonts w:hint="default" w:ascii="Times New Roman" w:hAnsi="Times New Roman" w:cs="Times New Roman"/>
                <w:highlight w:val="none"/>
                <w:lang w:val="en-US" w:eastAsia="zh-CN"/>
              </w:rPr>
              <w:t>万元</w:t>
            </w:r>
            <w:r>
              <w:rPr>
                <w:rFonts w:hint="default" w:ascii="Times New Roman" w:hAnsi="Times New Roman" w:cs="Times New Roman"/>
                <w:highlight w:val="none"/>
                <w:lang w:eastAsia="zh-CN"/>
              </w:rPr>
              <w:t>，环保投资占总投资的</w:t>
            </w:r>
            <w:r>
              <w:rPr>
                <w:rFonts w:hint="eastAsia" w:cs="Times New Roman"/>
                <w:highlight w:val="none"/>
                <w:lang w:val="en-US" w:eastAsia="zh-CN"/>
              </w:rPr>
              <w:t>4.04</w:t>
            </w:r>
            <w:r>
              <w:rPr>
                <w:rFonts w:hint="default" w:ascii="Times New Roman" w:hAnsi="Times New Roman" w:cs="Times New Roman"/>
                <w:highlight w:val="none"/>
                <w:lang w:val="en-US" w:eastAsia="zh-CN"/>
              </w:rPr>
              <w:t>%</w:t>
            </w:r>
            <w:r>
              <w:rPr>
                <w:rFonts w:hint="default" w:ascii="Times New Roman" w:hAnsi="Times New Roman" w:cs="Times New Roman"/>
                <w:highlight w:val="none"/>
                <w:lang w:eastAsia="zh-CN"/>
              </w:rPr>
              <w:t>。</w:t>
            </w:r>
            <w:r>
              <w:rPr>
                <w:rFonts w:hint="default" w:ascii="Times New Roman" w:hAnsi="Times New Roman" w:cs="Times New Roman"/>
                <w:lang w:eastAsia="zh-CN"/>
              </w:rPr>
              <w:t>项目的生态恢复措施投资额度在经济上是可接受的，能在一定经济基础上完成对生态环境最大程度上的恢复工作。因此，本项目生态恢复措施在经济上是可行的。</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eastAsia="zh-CN"/>
              </w:rPr>
            </w:pPr>
            <w:r>
              <w:rPr>
                <w:rFonts w:hint="default" w:ascii="Times New Roman" w:hAnsi="Times New Roman" w:cs="Times New Roman"/>
                <w:lang w:eastAsia="zh-CN"/>
              </w:rPr>
              <w:t>（2）技术可行性</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lang w:eastAsia="zh-CN"/>
              </w:rPr>
            </w:pPr>
            <w:r>
              <w:rPr>
                <w:rFonts w:hint="default" w:ascii="Times New Roman" w:hAnsi="Times New Roman" w:cs="Times New Roman"/>
                <w:lang w:eastAsia="zh-CN"/>
              </w:rPr>
              <w:t>工程措施施工技术较简单，易操作，所需设备材料易取，对生态恢复的效果明显，</w:t>
            </w:r>
            <w:r>
              <w:rPr>
                <w:rFonts w:hint="default" w:ascii="Times New Roman" w:hAnsi="Times New Roman" w:cs="Times New Roman"/>
                <w:lang w:val="en-US" w:eastAsia="zh-CN"/>
              </w:rPr>
              <w:t>且</w:t>
            </w:r>
            <w:r>
              <w:rPr>
                <w:rFonts w:hint="default" w:ascii="Times New Roman" w:hAnsi="Times New Roman" w:cs="Times New Roman"/>
                <w:lang w:eastAsia="zh-CN"/>
              </w:rPr>
              <w:t>施工简单，</w:t>
            </w:r>
            <w:r>
              <w:rPr>
                <w:rFonts w:hint="default" w:ascii="Times New Roman" w:hAnsi="Times New Roman" w:cs="Times New Roman"/>
                <w:lang w:val="en-US" w:eastAsia="zh-CN"/>
              </w:rPr>
              <w:t>植被自然恢复后</w:t>
            </w:r>
            <w:r>
              <w:rPr>
                <w:rFonts w:hint="default" w:ascii="Times New Roman" w:hAnsi="Times New Roman" w:cs="Times New Roman"/>
                <w:lang w:eastAsia="zh-CN"/>
              </w:rPr>
              <w:t>对生态环境的恢复起到比较明显的效果。因此本项目生态恢复措施在技术上是可行的。</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eastAsia" w:cs="Times New Roman"/>
                <w:lang w:val="en-US" w:eastAsia="zh-CN"/>
              </w:rPr>
              <w:t>11</w:t>
            </w:r>
            <w:r>
              <w:rPr>
                <w:rFonts w:hint="default" w:ascii="Times New Roman" w:hAnsi="Times New Roman" w:cs="Times New Roman"/>
                <w:lang w:val="en-US" w:eastAsia="zh-CN"/>
              </w:rPr>
              <w:t>.</w:t>
            </w:r>
            <w:r>
              <w:rPr>
                <w:rFonts w:hint="default" w:ascii="Times New Roman" w:hAnsi="Times New Roman" w:cs="Times New Roman"/>
              </w:rPr>
              <w:t>环境管理计划</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eastAsia" w:cs="Times New Roman"/>
                <w:lang w:val="en-US" w:eastAsia="zh-CN"/>
              </w:rPr>
              <w:t>1</w:t>
            </w:r>
            <w:r>
              <w:rPr>
                <w:rFonts w:hint="default" w:ascii="Times New Roman" w:hAnsi="Times New Roman" w:cs="Times New Roman"/>
                <w:lang w:val="en-US" w:eastAsia="zh-CN"/>
              </w:rPr>
              <w:t>.1</w:t>
            </w:r>
            <w:r>
              <w:rPr>
                <w:rFonts w:hint="default" w:ascii="Times New Roman" w:hAnsi="Times New Roman" w:cs="Times New Roman"/>
              </w:rPr>
              <w:t>环境管理职责</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（1）最高管理者的职责</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根据国家、自治区及地方各项环保政策、法规、标准制定环境方针；明确规定管理者代表的作用、职责权限，为环境管理工作提供包括人力、财力、技术等方面资源。</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（2）管理者代表的职责</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在环境管理事务中代表最高管理者行使职权，监督环境管理体系的实施。其职责主要包括：</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①贯彻执行国家相关的法律法规，根据本企业实际，编制环境保护规划和实施细则，并组织实施，监督执行。</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②负责采矿区环境统计工作，污染源建档，定期进行</w:t>
            </w:r>
            <w:r>
              <w:rPr>
                <w:rFonts w:hint="default" w:ascii="Times New Roman" w:hAnsi="Times New Roman" w:cs="Times New Roman"/>
                <w:lang w:eastAsia="zh-CN"/>
              </w:rPr>
              <w:t>“</w:t>
            </w:r>
            <w:r>
              <w:rPr>
                <w:rFonts w:hint="default" w:ascii="Times New Roman" w:hAnsi="Times New Roman" w:cs="Times New Roman"/>
              </w:rPr>
              <w:t>三废</w:t>
            </w:r>
            <w:r>
              <w:rPr>
                <w:rFonts w:hint="default" w:ascii="Times New Roman" w:hAnsi="Times New Roman" w:cs="Times New Roman"/>
                <w:lang w:eastAsia="zh-CN"/>
              </w:rPr>
              <w:t>”</w:t>
            </w:r>
            <w:r>
              <w:rPr>
                <w:rFonts w:hint="default" w:ascii="Times New Roman" w:hAnsi="Times New Roman" w:cs="Times New Roman"/>
              </w:rPr>
              <w:t>排放及噪声的监测，掌握厂内污染源</w:t>
            </w:r>
            <w:r>
              <w:rPr>
                <w:rFonts w:hint="default" w:ascii="Times New Roman" w:hAnsi="Times New Roman" w:cs="Times New Roman"/>
                <w:lang w:eastAsia="zh-CN"/>
              </w:rPr>
              <w:t>“</w:t>
            </w:r>
            <w:r>
              <w:rPr>
                <w:rFonts w:hint="default" w:ascii="Times New Roman" w:hAnsi="Times New Roman" w:cs="Times New Roman"/>
              </w:rPr>
              <w:t>三废</w:t>
            </w:r>
            <w:r>
              <w:rPr>
                <w:rFonts w:hint="default" w:ascii="Times New Roman" w:hAnsi="Times New Roman" w:cs="Times New Roman"/>
                <w:lang w:eastAsia="zh-CN"/>
              </w:rPr>
              <w:t>”</w:t>
            </w:r>
            <w:r>
              <w:rPr>
                <w:rFonts w:hint="default" w:ascii="Times New Roman" w:hAnsi="Times New Roman" w:cs="Times New Roman"/>
              </w:rPr>
              <w:t>排放动态，编制环境监测报告等，为环境管理和污染防治提供依据。</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③制定切实可行的</w:t>
            </w:r>
            <w:r>
              <w:rPr>
                <w:rFonts w:hint="default" w:ascii="Times New Roman" w:hAnsi="Times New Roman" w:cs="Times New Roman"/>
                <w:lang w:eastAsia="zh-CN"/>
              </w:rPr>
              <w:t>“</w:t>
            </w:r>
            <w:r>
              <w:rPr>
                <w:rFonts w:hint="default" w:ascii="Times New Roman" w:hAnsi="Times New Roman" w:cs="Times New Roman"/>
              </w:rPr>
              <w:t>三废</w:t>
            </w:r>
            <w:r>
              <w:rPr>
                <w:rFonts w:hint="default" w:ascii="Times New Roman" w:hAnsi="Times New Roman" w:cs="Times New Roman"/>
                <w:lang w:eastAsia="zh-CN"/>
              </w:rPr>
              <w:t>”</w:t>
            </w:r>
            <w:r>
              <w:rPr>
                <w:rFonts w:hint="default" w:ascii="Times New Roman" w:hAnsi="Times New Roman" w:cs="Times New Roman"/>
              </w:rPr>
              <w:t>排放控制指标，环保治理设施运行考核指标，组织落实实施，定期进行考核。</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④组织和管理采矿区污染治理工作，</w:t>
            </w:r>
            <w:r>
              <w:rPr>
                <w:rFonts w:hint="eastAsia" w:cs="Times New Roman"/>
                <w:lang w:val="en-US" w:eastAsia="zh-CN"/>
              </w:rPr>
              <w:t>负责环境</w:t>
            </w:r>
            <w:r>
              <w:rPr>
                <w:rFonts w:hint="default" w:ascii="Times New Roman" w:hAnsi="Times New Roman" w:cs="Times New Roman"/>
              </w:rPr>
              <w:t>治理设施的运行及管理工作，建立污染物浓度和排放总量双项控制制度，做到达标排放。</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⑤通过工程建设，不断提高治理设施的水平和可操作性。将在环境管理体系运行中所掌握的情况及时向最高管理者汇报，并提出建议。</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（3）全体员工职责</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全体员工应以对环境负责的态度和方式从事自己的工作，并在各自的岗位上承担有关环境责任。</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eastAsia" w:cs="Times New Roman"/>
                <w:lang w:val="en-US" w:eastAsia="zh-CN"/>
              </w:rPr>
              <w:t>1</w:t>
            </w:r>
            <w:r>
              <w:rPr>
                <w:rFonts w:hint="default" w:ascii="Times New Roman" w:hAnsi="Times New Roman" w:cs="Times New Roman"/>
                <w:lang w:val="en-US" w:eastAsia="zh-CN"/>
              </w:rPr>
              <w:t>.2</w:t>
            </w:r>
            <w:r>
              <w:rPr>
                <w:rFonts w:hint="default" w:ascii="Times New Roman" w:hAnsi="Times New Roman" w:cs="Times New Roman"/>
              </w:rPr>
              <w:t>环境管理的目标</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本项目环境管理的目标应达到国家规定的水、气、声、渣等污染物排放标准，确保环境管理的持续改进。</w:t>
            </w:r>
          </w:p>
          <w:p>
            <w:pPr>
              <w:pStyle w:val="50"/>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eastAsia" w:cs="Times New Roman"/>
                <w:lang w:val="en-US" w:eastAsia="zh-CN"/>
              </w:rPr>
              <w:t>1</w:t>
            </w:r>
            <w:r>
              <w:rPr>
                <w:rFonts w:hint="default" w:ascii="Times New Roman" w:hAnsi="Times New Roman" w:cs="Times New Roman"/>
                <w:lang w:val="en-US" w:eastAsia="zh-CN"/>
              </w:rPr>
              <w:t>.3</w:t>
            </w:r>
            <w:r>
              <w:rPr>
                <w:rFonts w:hint="default" w:ascii="Times New Roman" w:hAnsi="Times New Roman" w:cs="Times New Roman"/>
              </w:rPr>
              <w:t>环境管理的主要内容</w:t>
            </w:r>
          </w:p>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本项目针对不同工作阶段，制定环境管理工作计划，项目建设管理工作计划见</w:t>
            </w:r>
            <w:r>
              <w:rPr>
                <w:rFonts w:hint="default" w:ascii="Times New Roman" w:hAnsi="Times New Roman" w:cs="Times New Roman"/>
                <w:lang w:val="en-US" w:eastAsia="zh-CN"/>
              </w:rPr>
              <w:t>下表</w:t>
            </w:r>
            <w:r>
              <w:rPr>
                <w:rFonts w:hint="default" w:ascii="Times New Roman" w:hAnsi="Times New Roman" w:cs="Times New Roman"/>
              </w:rPr>
              <w:t>。</w:t>
            </w:r>
          </w:p>
          <w:p>
            <w:pPr>
              <w:pStyle w:val="52"/>
              <w:keepNext w:val="0"/>
              <w:keepLines w:val="0"/>
              <w:suppressLineNumbers w:val="0"/>
              <w:bidi w:val="0"/>
              <w:spacing w:before="0" w:beforeAutospacing="0" w:after="0" w:afterAutospacing="0"/>
              <w:ind w:left="0" w:right="0"/>
              <w:rPr>
                <w:rFonts w:hint="default"/>
              </w:rPr>
            </w:pPr>
            <w:r>
              <w:rPr>
                <w:rFonts w:hint="default"/>
                <w:lang w:val="en-US" w:eastAsia="zh-CN"/>
              </w:rPr>
              <w:t>表5-</w:t>
            </w:r>
            <w:r>
              <w:rPr>
                <w:rFonts w:hint="eastAsia"/>
                <w:lang w:val="en-US" w:eastAsia="zh-CN"/>
              </w:rPr>
              <w:t>8</w:t>
            </w:r>
            <w:r>
              <w:rPr>
                <w:rFonts w:hint="default"/>
                <w:lang w:val="en-US" w:eastAsia="zh-CN"/>
              </w:rPr>
              <w:t xml:space="preserve">    </w:t>
            </w:r>
            <w:r>
              <w:rPr>
                <w:rFonts w:hint="default"/>
              </w:rPr>
              <w:t>各阶段环境管理工作主要内容</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66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阶段</w:t>
                  </w:r>
                </w:p>
              </w:tc>
              <w:tc>
                <w:tcPr>
                  <w:tcW w:w="436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环境管理工作计划的具体内容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63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环境管理机构职能</w:t>
                  </w:r>
                </w:p>
              </w:tc>
              <w:tc>
                <w:tcPr>
                  <w:tcW w:w="436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根据国家建设项目环境管理规定，认真落实各项环保手续，完成各级主管部门对本企业提出的环境管理要求，对本企业内部各项管理计划的执行及完成情况进行监督、控制，确保环境管理工作真正发挥作用。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准备阶段</w:t>
                  </w:r>
                </w:p>
              </w:tc>
              <w:tc>
                <w:tcPr>
                  <w:tcW w:w="436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（1）与项目可行性研究同期，委托持有</w:t>
                  </w:r>
                  <w:r>
                    <w:rPr>
                      <w:rFonts w:hint="default" w:ascii="Times New Roman" w:hAnsi="Times New Roman" w:cs="Times New Roman"/>
                      <w:lang w:eastAsia="zh-CN"/>
                    </w:rPr>
                    <w:t>“</w:t>
                  </w:r>
                  <w:r>
                    <w:rPr>
                      <w:rFonts w:hint="default" w:ascii="Times New Roman" w:hAnsi="Times New Roman" w:cs="Times New Roman"/>
                    </w:rPr>
                    <w:t>建设项目环境影响评价资质证书</w:t>
                  </w:r>
                  <w:r>
                    <w:rPr>
                      <w:rFonts w:hint="default" w:ascii="Times New Roman" w:hAnsi="Times New Roman" w:cs="Times New Roman"/>
                      <w:lang w:eastAsia="zh-CN"/>
                    </w:rPr>
                    <w:t>”</w:t>
                  </w:r>
                  <w:r>
                    <w:rPr>
                      <w:rFonts w:hint="default" w:ascii="Times New Roman" w:hAnsi="Times New Roman" w:cs="Times New Roman"/>
                    </w:rPr>
                    <w:t>的环评单位进行项目的环境影响评价工作；</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（2）积极配合可研和环评工作所需进行现场调研；</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（3）针对项目具体情况，制定本企业所必需的环境管理与监测制度；</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rPr>
                    <w:t>（4）对</w:t>
                  </w:r>
                  <w:r>
                    <w:rPr>
                      <w:rFonts w:hint="default" w:ascii="Times New Roman" w:hAnsi="Times New Roman" w:cs="Times New Roman"/>
                      <w:lang w:val="en-US" w:eastAsia="zh-CN"/>
                    </w:rPr>
                    <w:t>聘用的员工</w:t>
                  </w:r>
                  <w:r>
                    <w:rPr>
                      <w:rFonts w:hint="default" w:ascii="Times New Roman" w:hAnsi="Times New Roman" w:cs="Times New Roman"/>
                    </w:rPr>
                    <w:t>进行岗位培训。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trPr>
              <w:tc>
                <w:tcPr>
                  <w:tcW w:w="63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eastAsia" w:cs="Times New Roman"/>
                      <w:lang w:val="en-US" w:eastAsia="zh-CN"/>
                    </w:rPr>
                    <w:t>勘探阶段</w:t>
                  </w:r>
                </w:p>
              </w:tc>
              <w:tc>
                <w:tcPr>
                  <w:tcW w:w="436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eastAsia" w:cs="Times New Roman"/>
                      <w:lang w:val="en-US" w:eastAsia="zh-CN"/>
                    </w:rPr>
                    <w:t>施工过程严控槽探开挖范围，分层剥离堆存表土，</w:t>
                  </w:r>
                  <w:r>
                    <w:rPr>
                      <w:rFonts w:hint="default" w:ascii="Times New Roman" w:hAnsi="Times New Roman" w:cs="Times New Roman"/>
                    </w:rPr>
                    <w:t>物料堆放覆盖，运输车辆加盖篷布，减少扬尘；</w:t>
                  </w:r>
                  <w:r>
                    <w:rPr>
                      <w:rFonts w:hint="eastAsia" w:cs="Times New Roman"/>
                      <w:lang w:val="en-US" w:eastAsia="zh-CN"/>
                    </w:rPr>
                    <w:t>规范处置泥浆、岩屑、生活垃圾等各类污染物。</w:t>
                  </w:r>
                  <w:r>
                    <w:rPr>
                      <w:rFonts w:hint="default" w:ascii="Times New Roman" w:hAnsi="Times New Roman" w:cs="Times New Roman"/>
                    </w:rPr>
                    <w:t>明确环保责任人，实行“谁作业、谁保护、谁修复”责任制。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3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rPr>
                    <w:t>生产运行阶段</w:t>
                  </w:r>
                </w:p>
              </w:tc>
              <w:tc>
                <w:tcPr>
                  <w:tcW w:w="436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0"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rPr>
                  </w:pPr>
                  <w:r>
                    <w:rPr>
                      <w:rFonts w:hint="default" w:ascii="Times New Roman" w:hAnsi="Times New Roman" w:cs="Times New Roman"/>
                      <w:lang w:val="en-US" w:eastAsia="zh-CN"/>
                    </w:rPr>
                    <w:t>生态恢复阶段</w:t>
                  </w:r>
                </w:p>
              </w:tc>
              <w:tc>
                <w:tcPr>
                  <w:tcW w:w="4369" w:type="pct"/>
                  <w:noWrap w:val="0"/>
                  <w:vAlign w:val="center"/>
                </w:tcPr>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lang w:eastAsia="zh-CN"/>
                    </w:rPr>
                  </w:pPr>
                  <w:r>
                    <w:rPr>
                      <w:rFonts w:hint="default" w:ascii="Times New Roman" w:hAnsi="Times New Roman" w:cs="Times New Roman"/>
                    </w:rPr>
                    <w:t>（1）</w:t>
                  </w:r>
                  <w:r>
                    <w:rPr>
                      <w:rFonts w:hint="default" w:ascii="Times New Roman" w:hAnsi="Times New Roman" w:cs="Times New Roman"/>
                      <w:lang w:eastAsia="zh-CN"/>
                    </w:rPr>
                    <w:t>勘探工作完成后</w:t>
                  </w:r>
                  <w:r>
                    <w:rPr>
                      <w:rFonts w:hint="default" w:ascii="Times New Roman" w:hAnsi="Times New Roman" w:cs="Times New Roman"/>
                    </w:rPr>
                    <w:t>，应</w:t>
                  </w:r>
                  <w:r>
                    <w:rPr>
                      <w:rFonts w:hint="default" w:ascii="Times New Roman" w:hAnsi="Times New Roman" w:cs="Times New Roman"/>
                      <w:lang w:eastAsia="zh-CN"/>
                    </w:rPr>
                    <w:t>及时回填并恢复原有地貌</w:t>
                  </w:r>
                  <w:r>
                    <w:rPr>
                      <w:rFonts w:hint="default" w:ascii="Times New Roman" w:hAnsi="Times New Roman" w:cs="Times New Roman"/>
                    </w:rPr>
                    <w:t>，及时进行生态恢复</w:t>
                  </w:r>
                  <w:r>
                    <w:rPr>
                      <w:rFonts w:hint="default" w:ascii="Times New Roman" w:hAnsi="Times New Roman" w:cs="Times New Roman"/>
                      <w:lang w:eastAsia="zh-CN"/>
                    </w:rPr>
                    <w:t>；</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lang w:eastAsia="zh-CN"/>
                    </w:rPr>
                  </w:pPr>
                  <w:r>
                    <w:rPr>
                      <w:rFonts w:hint="default" w:ascii="Times New Roman" w:hAnsi="Times New Roman" w:cs="Times New Roman"/>
                    </w:rPr>
                    <w:t>（2）落实专项资金、加强监督管理</w:t>
                  </w:r>
                  <w:r>
                    <w:rPr>
                      <w:rFonts w:hint="default" w:ascii="Times New Roman" w:hAnsi="Times New Roman" w:cs="Times New Roman"/>
                      <w:lang w:eastAsia="zh-CN"/>
                    </w:rPr>
                    <w:t>；</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lang w:eastAsia="zh-CN"/>
                    </w:rPr>
                  </w:pPr>
                  <w:r>
                    <w:rPr>
                      <w:rFonts w:hint="default" w:ascii="Times New Roman" w:hAnsi="Times New Roman" w:cs="Times New Roman"/>
                      <w:lang w:eastAsia="zh-CN"/>
                    </w:rPr>
                    <w:t>（</w:t>
                  </w:r>
                  <w:r>
                    <w:rPr>
                      <w:rFonts w:hint="default" w:ascii="Times New Roman" w:hAnsi="Times New Roman" w:cs="Times New Roman"/>
                      <w:lang w:val="en-US" w:eastAsia="zh-CN"/>
                    </w:rPr>
                    <w:t>3</w:t>
                  </w:r>
                  <w:r>
                    <w:rPr>
                      <w:rFonts w:hint="default" w:ascii="Times New Roman" w:hAnsi="Times New Roman" w:cs="Times New Roman"/>
                      <w:lang w:eastAsia="zh-CN"/>
                    </w:rPr>
                    <w:t>）</w:t>
                  </w:r>
                  <w:r>
                    <w:rPr>
                      <w:rFonts w:hint="default" w:ascii="Times New Roman" w:hAnsi="Times New Roman" w:cs="Times New Roman"/>
                    </w:rPr>
                    <w:t>认真落实已编制的生态环境恢复治理方案，</w:t>
                  </w:r>
                  <w:r>
                    <w:rPr>
                      <w:rFonts w:hint="default" w:ascii="Times New Roman" w:hAnsi="Times New Roman" w:cs="Times New Roman"/>
                      <w:lang w:eastAsia="zh-CN"/>
                    </w:rPr>
                    <w:t>做好地质普查后</w:t>
                  </w:r>
                  <w:r>
                    <w:rPr>
                      <w:rFonts w:hint="default" w:ascii="Times New Roman" w:hAnsi="Times New Roman" w:cs="Times New Roman"/>
                    </w:rPr>
                    <w:t>环境整治及土地复垦等工作</w:t>
                  </w:r>
                  <w:r>
                    <w:rPr>
                      <w:rFonts w:hint="default" w:ascii="Times New Roman" w:hAnsi="Times New Roman" w:cs="Times New Roman"/>
                      <w:lang w:eastAsia="zh-CN"/>
                    </w:rPr>
                    <w:t>；</w:t>
                  </w:r>
                </w:p>
                <w:p>
                  <w:pPr>
                    <w:pStyle w:val="5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rPr>
                  </w:pPr>
                  <w:r>
                    <w:rPr>
                      <w:rFonts w:hint="default" w:ascii="Times New Roman" w:hAnsi="Times New Roman" w:cs="Times New Roman"/>
                      <w:lang w:eastAsia="zh-CN"/>
                    </w:rPr>
                    <w:t>（</w:t>
                  </w:r>
                  <w:r>
                    <w:rPr>
                      <w:rFonts w:hint="default" w:ascii="Times New Roman" w:hAnsi="Times New Roman" w:cs="Times New Roman"/>
                      <w:lang w:val="en-US" w:eastAsia="zh-CN"/>
                    </w:rPr>
                    <w:t>4</w:t>
                  </w:r>
                  <w:r>
                    <w:rPr>
                      <w:rFonts w:hint="default" w:ascii="Times New Roman" w:hAnsi="Times New Roman" w:cs="Times New Roman"/>
                      <w:lang w:eastAsia="zh-CN"/>
                    </w:rPr>
                    <w:t>）</w:t>
                  </w:r>
                  <w:r>
                    <w:rPr>
                      <w:rFonts w:hint="default" w:ascii="Times New Roman" w:hAnsi="Times New Roman" w:cs="Times New Roman"/>
                    </w:rPr>
                    <w:t>建立环保设施档案，主动接受</w:t>
                  </w:r>
                  <w:r>
                    <w:rPr>
                      <w:rFonts w:hint="default" w:ascii="Times New Roman" w:hAnsi="Times New Roman" w:cs="Times New Roman"/>
                      <w:lang w:val="en-US" w:eastAsia="zh-CN"/>
                    </w:rPr>
                    <w:t>生态环境主管部门</w:t>
                  </w:r>
                  <w:r>
                    <w:rPr>
                      <w:rFonts w:hint="default" w:ascii="Times New Roman" w:hAnsi="Times New Roman" w:cs="Times New Roman"/>
                    </w:rPr>
                    <w:t>监督，配合</w:t>
                  </w:r>
                  <w:r>
                    <w:rPr>
                      <w:rFonts w:hint="default" w:ascii="Times New Roman" w:hAnsi="Times New Roman" w:cs="Times New Roman"/>
                      <w:lang w:val="en-US" w:eastAsia="zh-CN"/>
                    </w:rPr>
                    <w:t>生态环境主管部门</w:t>
                  </w:r>
                  <w:r>
                    <w:rPr>
                      <w:rFonts w:hint="default" w:ascii="Times New Roman" w:hAnsi="Times New Roman" w:cs="Times New Roman"/>
                    </w:rPr>
                    <w:t>的检查、验收。</w:t>
                  </w:r>
                </w:p>
              </w:tc>
            </w:tr>
          </w:tbl>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leftChars="0" w:right="0" w:firstLine="0" w:firstLineChars="0"/>
              <w:textAlignment w:val="auto"/>
              <w:rPr>
                <w:rFonts w:hint="default" w:ascii="Times New Roman" w:hAnsi="Times New Roman" w:cs="Times New Roman"/>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2" w:hRule="atLeast"/>
          <w:jc w:val="center"/>
        </w:trPr>
        <w:tc>
          <w:tcPr>
            <w:tcW w:w="669" w:type="dxa"/>
            <w:noWrap w:val="0"/>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spacing w:val="10"/>
                <w:szCs w:val="21"/>
              </w:rPr>
            </w:pPr>
            <w:r>
              <w:rPr>
                <w:rFonts w:hint="default" w:ascii="Times New Roman" w:hAnsi="Times New Roman" w:cs="Times New Roman"/>
                <w:bCs/>
                <w:szCs w:val="21"/>
              </w:rPr>
              <w:t>其他</w:t>
            </w:r>
          </w:p>
        </w:tc>
        <w:tc>
          <w:tcPr>
            <w:tcW w:w="7780" w:type="dxa"/>
            <w:noWrap w:val="0"/>
            <w:vAlign w:val="center"/>
          </w:tcPr>
          <w:p>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spacing w:val="10"/>
                <w:szCs w:val="21"/>
                <w:lang w:val="en-US" w:eastAsia="zh-CN"/>
              </w:rPr>
            </w:pPr>
            <w:r>
              <w:rPr>
                <w:rFonts w:hint="default" w:ascii="Times New Roman" w:hAnsi="Times New Roman" w:cs="Times New Roman"/>
                <w:bCs/>
                <w:spacing w:val="10"/>
                <w:szCs w:val="21"/>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96" w:hRule="atLeast"/>
          <w:jc w:val="center"/>
        </w:trPr>
        <w:tc>
          <w:tcPr>
            <w:tcW w:w="669" w:type="dxa"/>
            <w:shd w:val="clear" w:color="auto" w:fill="auto"/>
            <w:noWrap w:val="0"/>
            <w:vAlign w:val="center"/>
          </w:tcPr>
          <w:p>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bCs/>
                <w:spacing w:val="10"/>
                <w:kern w:val="2"/>
                <w:sz w:val="21"/>
                <w:szCs w:val="21"/>
                <w:lang w:val="en-US" w:eastAsia="zh-CN" w:bidi="ar-SA"/>
              </w:rPr>
            </w:pPr>
            <w:r>
              <w:rPr>
                <w:rFonts w:hint="default" w:ascii="Times New Roman" w:hAnsi="Times New Roman" w:cs="Times New Roman"/>
                <w:bCs/>
                <w:szCs w:val="21"/>
              </w:rPr>
              <w:t>环保投资</w:t>
            </w:r>
          </w:p>
        </w:tc>
        <w:tc>
          <w:tcPr>
            <w:tcW w:w="7780" w:type="dxa"/>
            <w:shd w:val="clear" w:color="auto" w:fill="auto"/>
            <w:noWrap w:val="0"/>
            <w:vAlign w:val="top"/>
          </w:tcPr>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项目总投资为</w:t>
            </w:r>
            <w:r>
              <w:rPr>
                <w:rFonts w:hint="eastAsia" w:cs="Times New Roman"/>
                <w:color w:val="auto"/>
                <w:lang w:val="en-US" w:eastAsia="zh-CN"/>
              </w:rPr>
              <w:t>388.74</w:t>
            </w:r>
            <w:r>
              <w:rPr>
                <w:rFonts w:hint="default" w:ascii="Times New Roman" w:hAnsi="Times New Roman" w:cs="Times New Roman"/>
                <w:color w:val="auto"/>
                <w:highlight w:val="none"/>
                <w:lang w:val="en-US" w:eastAsia="zh-CN"/>
              </w:rPr>
              <w:t>万元，环保投资为</w:t>
            </w:r>
            <w:r>
              <w:rPr>
                <w:rFonts w:hint="eastAsia" w:cs="Times New Roman"/>
                <w:color w:val="auto"/>
                <w:highlight w:val="none"/>
                <w:lang w:val="en-US" w:eastAsia="zh-CN"/>
              </w:rPr>
              <w:t>15.7</w:t>
            </w:r>
            <w:r>
              <w:rPr>
                <w:rFonts w:hint="default" w:ascii="Times New Roman" w:hAnsi="Times New Roman" w:cs="Times New Roman"/>
                <w:color w:val="auto"/>
                <w:highlight w:val="none"/>
                <w:lang w:val="en-US" w:eastAsia="zh-CN"/>
              </w:rPr>
              <w:t>万元，占总投资的</w:t>
            </w:r>
            <w:r>
              <w:rPr>
                <w:rFonts w:hint="eastAsia" w:cs="Times New Roman"/>
                <w:color w:val="auto"/>
                <w:highlight w:val="none"/>
                <w:lang w:val="en-US" w:eastAsia="zh-CN"/>
              </w:rPr>
              <w:t>4.04</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lang w:val="en-US" w:eastAsia="zh-CN"/>
              </w:rPr>
              <w:t>，具体环保投资见下表。</w:t>
            </w:r>
          </w:p>
          <w:p>
            <w:pPr>
              <w:pStyle w:val="52"/>
              <w:keepNext w:val="0"/>
              <w:keepLines w:val="0"/>
              <w:suppressLineNumbers w:val="0"/>
              <w:bidi w:val="0"/>
              <w:spacing w:before="0" w:beforeAutospacing="0" w:after="0" w:afterAutospacing="0"/>
              <w:ind w:left="0" w:right="0"/>
              <w:rPr>
                <w:rFonts w:hint="default"/>
                <w:lang w:eastAsia="zh-CN"/>
              </w:rPr>
            </w:pPr>
            <w:r>
              <w:rPr>
                <w:rFonts w:hint="default"/>
                <w:lang w:val="en-US" w:eastAsia="zh-CN"/>
              </w:rPr>
              <w:t>表5-</w:t>
            </w:r>
            <w:r>
              <w:rPr>
                <w:rFonts w:hint="eastAsia"/>
                <w:lang w:val="en-US" w:eastAsia="zh-CN"/>
              </w:rPr>
              <w:t>9</w:t>
            </w:r>
            <w:r>
              <w:rPr>
                <w:rFonts w:hint="default"/>
                <w:lang w:val="en-US" w:eastAsia="zh-CN"/>
              </w:rPr>
              <w:t xml:space="preserve">    </w:t>
            </w:r>
            <w:r>
              <w:rPr>
                <w:rFonts w:hint="default"/>
              </w:rPr>
              <w:t>环保设施（措施）及投资估算一览表</w:t>
            </w:r>
            <w:r>
              <w:rPr>
                <w:rFonts w:hint="default"/>
                <w:lang w:val="en-US" w:eastAsia="zh-CN"/>
              </w:rPr>
              <w:t xml:space="preserve">     单位：</w:t>
            </w:r>
            <w:r>
              <w:rPr>
                <w:rFonts w:hint="default"/>
                <w:lang w:eastAsia="zh-CN"/>
              </w:rPr>
              <w:t>（</w:t>
            </w:r>
            <w:r>
              <w:rPr>
                <w:rFonts w:hint="default"/>
                <w:lang w:val="en-US" w:eastAsia="zh-CN"/>
              </w:rPr>
              <w:t>万元</w:t>
            </w:r>
            <w:r>
              <w:rPr>
                <w:rFonts w:hint="default"/>
                <w:lang w:eastAsia="zh-CN"/>
              </w:rPr>
              <w:t>）</w:t>
            </w:r>
          </w:p>
          <w:tbl>
            <w:tblPr>
              <w:tblStyle w:val="25"/>
              <w:tblW w:w="7621"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1" w:type="dxa"/>
                <w:bottom w:w="0" w:type="dxa"/>
                <w:right w:w="11" w:type="dxa"/>
              </w:tblCellMar>
            </w:tblPr>
            <w:tblGrid>
              <w:gridCol w:w="572"/>
              <w:gridCol w:w="616"/>
              <w:gridCol w:w="1264"/>
              <w:gridCol w:w="4577"/>
              <w:gridCol w:w="59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 w:type="dxa"/>
                  <w:bottom w:w="0" w:type="dxa"/>
                  <w:right w:w="11" w:type="dxa"/>
                </w:tblCellMar>
              </w:tblPrEx>
              <w:trPr>
                <w:trHeight w:val="104" w:hRule="atLeast"/>
                <w:tblHeader/>
              </w:trPr>
              <w:tc>
                <w:tcPr>
                  <w:tcW w:w="376"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rPr>
                    <w:t>工程类别</w:t>
                  </w:r>
                </w:p>
              </w:tc>
              <w:tc>
                <w:tcPr>
                  <w:tcW w:w="404"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rPr>
                    <w:t>污染类别</w:t>
                  </w:r>
                </w:p>
              </w:tc>
              <w:tc>
                <w:tcPr>
                  <w:tcW w:w="828"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rPr>
                    <w:t>污染源</w:t>
                  </w:r>
                </w:p>
              </w:tc>
              <w:tc>
                <w:tcPr>
                  <w:tcW w:w="3002"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rPr>
                    <w:t>环保设施</w:t>
                  </w:r>
                </w:p>
              </w:tc>
              <w:tc>
                <w:tcPr>
                  <w:tcW w:w="388"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rPr>
                    <w:t>投资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 w:type="dxa"/>
                  <w:bottom w:w="0" w:type="dxa"/>
                  <w:right w:w="11" w:type="dxa"/>
                </w:tblCellMar>
              </w:tblPrEx>
              <w:trPr>
                <w:trHeight w:val="337" w:hRule="atLeast"/>
                <w:tblHeader/>
              </w:trPr>
              <w:tc>
                <w:tcPr>
                  <w:tcW w:w="376" w:type="pct"/>
                  <w:vMerge w:val="restar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eastAsia="zh-CN"/>
                    </w:rPr>
                  </w:pPr>
                  <w:r>
                    <w:rPr>
                      <w:rFonts w:hint="default" w:ascii="Times New Roman" w:hAnsi="Times New Roman" w:cs="Times New Roman"/>
                      <w:color w:val="auto"/>
                      <w:lang w:eastAsia="zh-CN"/>
                    </w:rPr>
                    <w:t>施工期</w:t>
                  </w:r>
                </w:p>
              </w:tc>
              <w:tc>
                <w:tcPr>
                  <w:tcW w:w="404" w:type="pct"/>
                  <w:vMerge w:val="restar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lang w:eastAsia="zh-CN"/>
                    </w:rPr>
                    <w:t>废气</w:t>
                  </w:r>
                </w:p>
              </w:tc>
              <w:tc>
                <w:tcPr>
                  <w:tcW w:w="828"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lang w:eastAsia="zh-CN"/>
                    </w:rPr>
                    <w:t>施工扬尘</w:t>
                  </w:r>
                </w:p>
              </w:tc>
              <w:tc>
                <w:tcPr>
                  <w:tcW w:w="3002"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val="en-US"/>
                    </w:rPr>
                  </w:pPr>
                  <w:r>
                    <w:rPr>
                      <w:rFonts w:hint="eastAsia" w:cs="Times New Roman"/>
                      <w:color w:val="auto"/>
                      <w:lang w:val="en-US" w:eastAsia="zh-CN"/>
                    </w:rPr>
                    <w:t>彩布条</w:t>
                  </w:r>
                  <w:r>
                    <w:rPr>
                      <w:rFonts w:hint="default" w:ascii="Times New Roman" w:hAnsi="Times New Roman" w:cs="Times New Roman"/>
                      <w:color w:val="auto"/>
                      <w:lang w:val="en-US" w:eastAsia="zh-CN"/>
                    </w:rPr>
                    <w:t>苫盖</w:t>
                  </w:r>
                </w:p>
              </w:tc>
              <w:tc>
                <w:tcPr>
                  <w:tcW w:w="388" w:type="pct"/>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color w:val="auto"/>
                      <w:lang w:val="en-US" w:eastAsia="zh-CN"/>
                    </w:rPr>
                  </w:pPr>
                  <w:r>
                    <w:rPr>
                      <w:rFonts w:hint="default" w:ascii="Times New Roman" w:hAnsi="Times New Roman" w:cs="Times New Roman"/>
                      <w:i w:val="0"/>
                      <w:iCs w:val="0"/>
                      <w:color w:val="auto"/>
                      <w:kern w:val="0"/>
                      <w:sz w:val="21"/>
                      <w:szCs w:val="21"/>
                      <w:u w:val="none"/>
                      <w:lang w:val="en-US" w:eastAsia="zh-CN" w:bidi="ar"/>
                    </w:rPr>
                    <w:t>0.5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37" w:hRule="atLeast"/>
                <w:tblHeader/>
              </w:trPr>
              <w:tc>
                <w:tcPr>
                  <w:tcW w:w="376"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eastAsia="zh-CN"/>
                    </w:rPr>
                  </w:pPr>
                </w:p>
              </w:tc>
              <w:tc>
                <w:tcPr>
                  <w:tcW w:w="404"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eastAsia="zh-CN"/>
                    </w:rPr>
                  </w:pPr>
                </w:p>
              </w:tc>
              <w:tc>
                <w:tcPr>
                  <w:tcW w:w="828"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燃油废气</w:t>
                  </w:r>
                </w:p>
              </w:tc>
              <w:tc>
                <w:tcPr>
                  <w:tcW w:w="3002"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对柴油发电机及运输车辆定期维护保养，使用正品燃油，减少尾气排放</w:t>
                  </w:r>
                </w:p>
              </w:tc>
              <w:tc>
                <w:tcPr>
                  <w:tcW w:w="388" w:type="pct"/>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color w:val="auto"/>
                      <w:lang w:val="en-US" w:eastAsia="zh-CN"/>
                    </w:rPr>
                  </w:pPr>
                  <w:r>
                    <w:rPr>
                      <w:rFonts w:hint="eastAsia" w:cs="Times New Roman"/>
                      <w:i w:val="0"/>
                      <w:iCs w:val="0"/>
                      <w:color w:val="auto"/>
                      <w:kern w:val="0"/>
                      <w:sz w:val="21"/>
                      <w:szCs w:val="21"/>
                      <w:u w:val="none"/>
                      <w:lang w:val="en-US" w:eastAsia="zh-CN" w:bidi="ar"/>
                    </w:rPr>
                    <w:t>0.5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37" w:hRule="atLeast"/>
                <w:tblHeader/>
              </w:trPr>
              <w:tc>
                <w:tcPr>
                  <w:tcW w:w="376"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eastAsia="zh-CN"/>
                    </w:rPr>
                  </w:pPr>
                </w:p>
              </w:tc>
              <w:tc>
                <w:tcPr>
                  <w:tcW w:w="404"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废水</w:t>
                  </w:r>
                </w:p>
              </w:tc>
              <w:tc>
                <w:tcPr>
                  <w:tcW w:w="828"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生活污水</w:t>
                  </w:r>
                </w:p>
              </w:tc>
              <w:tc>
                <w:tcPr>
                  <w:tcW w:w="3002"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生活污水排入一体化污水处理设施处理达标后，用于洒水绿化，不外排</w:t>
                  </w:r>
                </w:p>
              </w:tc>
              <w:tc>
                <w:tcPr>
                  <w:tcW w:w="388" w:type="pct"/>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37" w:hRule="atLeast"/>
                <w:tblHeader/>
              </w:trPr>
              <w:tc>
                <w:tcPr>
                  <w:tcW w:w="376"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eastAsia="zh-CN"/>
                    </w:rPr>
                  </w:pPr>
                </w:p>
              </w:tc>
              <w:tc>
                <w:tcPr>
                  <w:tcW w:w="404"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噪声</w:t>
                  </w:r>
                </w:p>
              </w:tc>
              <w:tc>
                <w:tcPr>
                  <w:tcW w:w="828"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施工噪声</w:t>
                  </w:r>
                </w:p>
              </w:tc>
              <w:tc>
                <w:tcPr>
                  <w:tcW w:w="3002"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对连续接触高噪声源的操作人员，采取防护措施</w:t>
                  </w:r>
                </w:p>
              </w:tc>
              <w:tc>
                <w:tcPr>
                  <w:tcW w:w="388" w:type="pct"/>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color w:val="auto"/>
                      <w:lang w:val="en-US" w:eastAsia="zh-CN"/>
                    </w:rPr>
                  </w:pPr>
                  <w:r>
                    <w:rPr>
                      <w:rFonts w:hint="default" w:ascii="Times New Roman" w:hAnsi="Times New Roman" w:cs="Times New Roman"/>
                      <w:i w:val="0"/>
                      <w:iCs w:val="0"/>
                      <w:color w:val="auto"/>
                      <w:kern w:val="0"/>
                      <w:sz w:val="21"/>
                      <w:szCs w:val="21"/>
                      <w:u w:val="none"/>
                      <w:lang w:val="en-US" w:eastAsia="zh-CN" w:bidi="ar"/>
                    </w:rPr>
                    <w:t>0.5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37" w:hRule="atLeast"/>
                <w:tblHeader/>
              </w:trPr>
              <w:tc>
                <w:tcPr>
                  <w:tcW w:w="376"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eastAsia="zh-CN"/>
                    </w:rPr>
                  </w:pPr>
                </w:p>
              </w:tc>
              <w:tc>
                <w:tcPr>
                  <w:tcW w:w="404"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固废</w:t>
                  </w:r>
                </w:p>
              </w:tc>
              <w:tc>
                <w:tcPr>
                  <w:tcW w:w="828"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生活垃圾</w:t>
                  </w:r>
                </w:p>
              </w:tc>
              <w:tc>
                <w:tcPr>
                  <w:tcW w:w="3002"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设置一定数量的垃圾桶，统一收集后送至</w:t>
                  </w:r>
                  <w:r>
                    <w:rPr>
                      <w:rFonts w:hint="eastAsia" w:cs="Times New Roman"/>
                      <w:color w:val="auto"/>
                      <w:lang w:val="en-US" w:eastAsia="zh-CN"/>
                    </w:rPr>
                    <w:t>和硕县环境卫生服务中心</w:t>
                  </w:r>
                </w:p>
              </w:tc>
              <w:tc>
                <w:tcPr>
                  <w:tcW w:w="388" w:type="pct"/>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color w:val="auto"/>
                      <w:lang w:val="en-US" w:eastAsia="zh-CN"/>
                    </w:rPr>
                  </w:pPr>
                  <w:r>
                    <w:rPr>
                      <w:rFonts w:hint="eastAsia" w:cs="Times New Roman"/>
                      <w:i w:val="0"/>
                      <w:iCs w:val="0"/>
                      <w:color w:val="auto"/>
                      <w:kern w:val="0"/>
                      <w:sz w:val="21"/>
                      <w:szCs w:val="21"/>
                      <w:u w:val="none"/>
                      <w:lang w:val="en-US" w:eastAsia="zh-CN" w:bidi="ar"/>
                    </w:rPr>
                    <w:t>0.2</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37" w:hRule="atLeast"/>
                <w:tblHeader/>
              </w:trPr>
              <w:tc>
                <w:tcPr>
                  <w:tcW w:w="376" w:type="pct"/>
                  <w:vMerge w:val="restar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eastAsia="zh-CN"/>
                    </w:rPr>
                  </w:pPr>
                  <w:r>
                    <w:rPr>
                      <w:rFonts w:hint="default" w:ascii="Times New Roman" w:hAnsi="Times New Roman" w:cs="Times New Roman"/>
                      <w:color w:val="auto"/>
                      <w:lang w:eastAsia="zh-CN"/>
                    </w:rPr>
                    <w:t>探矿期</w:t>
                  </w:r>
                </w:p>
              </w:tc>
              <w:tc>
                <w:tcPr>
                  <w:tcW w:w="404" w:type="pct"/>
                  <w:vMerge w:val="restar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rPr>
                    <w:t>废气</w:t>
                  </w:r>
                </w:p>
              </w:tc>
              <w:tc>
                <w:tcPr>
                  <w:tcW w:w="828"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lang w:eastAsia="zh-CN"/>
                    </w:rPr>
                  </w:pPr>
                  <w:r>
                    <w:rPr>
                      <w:rFonts w:hint="default" w:ascii="Times New Roman" w:hAnsi="Times New Roman" w:cs="Times New Roman"/>
                      <w:color w:val="auto"/>
                      <w:lang w:val="en-US" w:eastAsia="zh-CN"/>
                    </w:rPr>
                    <w:t>扬尘</w:t>
                  </w:r>
                </w:p>
              </w:tc>
              <w:tc>
                <w:tcPr>
                  <w:tcW w:w="3002"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rPr>
                    <w:t>洒水抑尘设施</w:t>
                  </w:r>
                  <w:r>
                    <w:rPr>
                      <w:rFonts w:hint="eastAsia"/>
                      <w:lang w:eastAsia="zh-CN"/>
                    </w:rPr>
                    <w:t>、</w:t>
                  </w:r>
                  <w:r>
                    <w:rPr>
                      <w:rFonts w:hint="eastAsia"/>
                      <w:lang w:val="en-US" w:eastAsia="zh-CN"/>
                    </w:rPr>
                    <w:t>彩条布苫盖</w:t>
                  </w:r>
                </w:p>
              </w:tc>
              <w:tc>
                <w:tcPr>
                  <w:tcW w:w="388" w:type="pct"/>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color w:val="auto"/>
                      <w:lang w:val="en-US" w:eastAsia="zh-CN"/>
                    </w:rPr>
                  </w:pPr>
                  <w:r>
                    <w:rPr>
                      <w:rFonts w:hint="eastAsia" w:cs="Times New Roman"/>
                      <w:color w:val="auto"/>
                      <w:lang w:val="en-US" w:eastAsia="zh-CN"/>
                    </w:rPr>
                    <w:t>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37" w:hRule="atLeast"/>
                <w:tblHeader/>
              </w:trPr>
              <w:tc>
                <w:tcPr>
                  <w:tcW w:w="376"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eastAsia="zh-CN"/>
                    </w:rPr>
                  </w:pPr>
                </w:p>
              </w:tc>
              <w:tc>
                <w:tcPr>
                  <w:tcW w:w="404"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p>
              </w:tc>
              <w:tc>
                <w:tcPr>
                  <w:tcW w:w="828"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燃油废气</w:t>
                  </w:r>
                </w:p>
              </w:tc>
              <w:tc>
                <w:tcPr>
                  <w:tcW w:w="3002"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对柴油发电机及运输车辆定期维护保养，使用正品燃油，减少尾气排放</w:t>
                  </w:r>
                </w:p>
              </w:tc>
              <w:tc>
                <w:tcPr>
                  <w:tcW w:w="388" w:type="pct"/>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37" w:hRule="atLeast"/>
                <w:tblHeader/>
              </w:trPr>
              <w:tc>
                <w:tcPr>
                  <w:tcW w:w="376"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eastAsia="zh-CN"/>
                    </w:rPr>
                  </w:pPr>
                </w:p>
              </w:tc>
              <w:tc>
                <w:tcPr>
                  <w:tcW w:w="404"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噪声</w:t>
                  </w:r>
                </w:p>
              </w:tc>
              <w:tc>
                <w:tcPr>
                  <w:tcW w:w="828"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钻井设备噪声</w:t>
                  </w:r>
                </w:p>
              </w:tc>
              <w:tc>
                <w:tcPr>
                  <w:tcW w:w="3002"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对连续接触高噪声源的操作人员，采取防护措施</w:t>
                  </w:r>
                </w:p>
              </w:tc>
              <w:tc>
                <w:tcPr>
                  <w:tcW w:w="388" w:type="pct"/>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color w:val="auto"/>
                      <w:lang w:val="en-US" w:eastAsia="zh-CN"/>
                    </w:rPr>
                  </w:pPr>
                  <w:r>
                    <w:rPr>
                      <w:rFonts w:hint="default" w:ascii="Times New Roman" w:hAnsi="Times New Roman" w:cs="Times New Roman"/>
                      <w:i w:val="0"/>
                      <w:iCs w:val="0"/>
                      <w:color w:val="auto"/>
                      <w:kern w:val="0"/>
                      <w:sz w:val="21"/>
                      <w:szCs w:val="21"/>
                      <w:u w:val="none"/>
                      <w:lang w:val="en-US" w:eastAsia="zh-CN" w:bidi="ar"/>
                    </w:rPr>
                    <w:t>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37" w:hRule="atLeast"/>
                <w:tblHeader/>
              </w:trPr>
              <w:tc>
                <w:tcPr>
                  <w:tcW w:w="376"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p>
              </w:tc>
              <w:tc>
                <w:tcPr>
                  <w:tcW w:w="404" w:type="pct"/>
                  <w:vMerge w:val="restar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rPr>
                    <w:t>废水</w:t>
                  </w:r>
                </w:p>
              </w:tc>
              <w:tc>
                <w:tcPr>
                  <w:tcW w:w="828"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eastAsia="zh-CN"/>
                    </w:rPr>
                  </w:pPr>
                  <w:r>
                    <w:rPr>
                      <w:rFonts w:hint="default" w:ascii="Times New Roman" w:hAnsi="Times New Roman" w:cs="Times New Roman"/>
                      <w:color w:val="auto"/>
                    </w:rPr>
                    <w:t>生活</w:t>
                  </w:r>
                  <w:r>
                    <w:rPr>
                      <w:rFonts w:hint="default" w:ascii="Times New Roman" w:hAnsi="Times New Roman" w:cs="Times New Roman"/>
                      <w:color w:val="auto"/>
                      <w:lang w:val="en-US" w:eastAsia="zh-CN"/>
                    </w:rPr>
                    <w:t>污水</w:t>
                  </w:r>
                </w:p>
              </w:tc>
              <w:tc>
                <w:tcPr>
                  <w:tcW w:w="3002"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生活污水排入一体化污水处理设施处理达标后，用于洒水绿化，不外排</w:t>
                  </w:r>
                </w:p>
              </w:tc>
              <w:tc>
                <w:tcPr>
                  <w:tcW w:w="388" w:type="pct"/>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color w:val="auto"/>
                      <w:lang w:val="en-US" w:eastAsia="zh-CN"/>
                    </w:rPr>
                  </w:pPr>
                  <w:r>
                    <w:rPr>
                      <w:rFonts w:hint="default" w:ascii="Times New Roman" w:hAnsi="Times New Roman" w:cs="Times New Roman"/>
                      <w:i w:val="0"/>
                      <w:iCs w:val="0"/>
                      <w:color w:val="auto"/>
                      <w:kern w:val="0"/>
                      <w:sz w:val="21"/>
                      <w:szCs w:val="21"/>
                      <w:u w:val="none"/>
                      <w:lang w:val="en-US" w:eastAsia="zh-CN" w:bidi="ar"/>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265" w:hRule="atLeast"/>
                <w:tblHeader/>
              </w:trPr>
              <w:tc>
                <w:tcPr>
                  <w:tcW w:w="376"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p>
              </w:tc>
              <w:tc>
                <w:tcPr>
                  <w:tcW w:w="404"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p>
              </w:tc>
              <w:tc>
                <w:tcPr>
                  <w:tcW w:w="828" w:type="pct"/>
                  <w:tcBorders>
                    <w:bottom w:val="single" w:color="auto" w:sz="4" w:space="0"/>
                  </w:tcBorders>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钻井设备冲洗水</w:t>
                  </w:r>
                </w:p>
              </w:tc>
              <w:tc>
                <w:tcPr>
                  <w:tcW w:w="3002" w:type="pct"/>
                  <w:tcBorders>
                    <w:bottom w:val="single" w:color="auto" w:sz="4" w:space="0"/>
                  </w:tcBorders>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排入冲洗水防渗</w:t>
                  </w:r>
                  <w:r>
                    <w:rPr>
                      <w:rFonts w:hint="default" w:ascii="Times New Roman" w:hAnsi="Times New Roman" w:cs="Times New Roman"/>
                      <w:color w:val="auto"/>
                      <w:lang w:eastAsia="zh-CN"/>
                    </w:rPr>
                    <w:t>沉淀池</w:t>
                  </w:r>
                </w:p>
              </w:tc>
              <w:tc>
                <w:tcPr>
                  <w:tcW w:w="388" w:type="pct"/>
                  <w:tcBorders>
                    <w:bottom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37" w:hRule="atLeast"/>
                <w:tblHeader/>
              </w:trPr>
              <w:tc>
                <w:tcPr>
                  <w:tcW w:w="376"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p>
              </w:tc>
              <w:tc>
                <w:tcPr>
                  <w:tcW w:w="404"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p>
              </w:tc>
              <w:tc>
                <w:tcPr>
                  <w:tcW w:w="828"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泥浆调配水</w:t>
                  </w:r>
                </w:p>
              </w:tc>
              <w:tc>
                <w:tcPr>
                  <w:tcW w:w="3002"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排入泥浆调配用水防渗池</w:t>
                  </w:r>
                </w:p>
              </w:tc>
              <w:tc>
                <w:tcPr>
                  <w:tcW w:w="388" w:type="pct"/>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37" w:hRule="atLeast"/>
                <w:tblHeader/>
              </w:trPr>
              <w:tc>
                <w:tcPr>
                  <w:tcW w:w="376"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p>
              </w:tc>
              <w:tc>
                <w:tcPr>
                  <w:tcW w:w="404" w:type="pct"/>
                  <w:vMerge w:val="restar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rPr>
                    <w:t>固废</w:t>
                  </w:r>
                </w:p>
              </w:tc>
              <w:tc>
                <w:tcPr>
                  <w:tcW w:w="828"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lang w:val="en-US" w:eastAsia="zh-CN"/>
                    </w:rPr>
                  </w:pPr>
                  <w:r>
                    <w:rPr>
                      <w:rFonts w:hint="default" w:ascii="Times New Roman" w:hAnsi="Times New Roman" w:cs="Times New Roman"/>
                      <w:color w:val="auto"/>
                    </w:rPr>
                    <w:t>生活垃圾</w:t>
                  </w:r>
                </w:p>
              </w:tc>
              <w:tc>
                <w:tcPr>
                  <w:tcW w:w="3002" w:type="pct"/>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rPr>
                    <w:t>施工营地内设置一定数量的垃圾桶，用于临时存放生活垃圾</w:t>
                  </w:r>
                  <w:r>
                    <w:rPr>
                      <w:rFonts w:hint="default" w:ascii="Times New Roman" w:hAnsi="Times New Roman" w:cs="Times New Roman"/>
                      <w:color w:val="auto"/>
                      <w:lang w:eastAsia="zh-CN"/>
                    </w:rPr>
                    <w:t>，</w:t>
                  </w:r>
                  <w:r>
                    <w:rPr>
                      <w:rFonts w:hint="default" w:ascii="Times New Roman" w:hAnsi="Times New Roman" w:cs="Times New Roman"/>
                      <w:color w:val="auto"/>
                    </w:rPr>
                    <w:t>统一收集后</w:t>
                  </w:r>
                  <w:r>
                    <w:rPr>
                      <w:rFonts w:hint="default" w:ascii="Times New Roman" w:hAnsi="Times New Roman" w:cs="Times New Roman"/>
                      <w:color w:val="auto"/>
                      <w:shd w:val="clear" w:color="auto" w:fill="auto"/>
                      <w:lang w:val="en-US" w:eastAsia="zh-CN"/>
                    </w:rPr>
                    <w:t>送至</w:t>
                  </w:r>
                  <w:r>
                    <w:rPr>
                      <w:rFonts w:hint="eastAsia" w:cs="Times New Roman"/>
                      <w:color w:val="auto"/>
                      <w:shd w:val="clear" w:color="auto" w:fill="auto"/>
                      <w:lang w:val="en-US" w:eastAsia="zh-CN"/>
                    </w:rPr>
                    <w:t>和硕县环境卫生服务中心</w:t>
                  </w:r>
                </w:p>
              </w:tc>
              <w:tc>
                <w:tcPr>
                  <w:tcW w:w="388" w:type="pct"/>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color w:val="auto"/>
                      <w:lang w:val="en-US" w:eastAsia="zh-CN"/>
                    </w:rPr>
                  </w:pPr>
                  <w:r>
                    <w:rPr>
                      <w:rFonts w:hint="default" w:ascii="Times New Roman" w:hAnsi="Times New Roman" w:cs="Times New Roman"/>
                      <w:i w:val="0"/>
                      <w:iCs w:val="0"/>
                      <w:color w:val="auto"/>
                      <w:kern w:val="0"/>
                      <w:sz w:val="21"/>
                      <w:szCs w:val="21"/>
                      <w:u w:val="none"/>
                      <w:lang w:val="en-US" w:eastAsia="zh-CN" w:bidi="ar"/>
                    </w:rPr>
                    <w:t>0.7</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823" w:hRule="atLeast"/>
                <w:tblHeader/>
              </w:trPr>
              <w:tc>
                <w:tcPr>
                  <w:tcW w:w="376"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p>
              </w:tc>
              <w:tc>
                <w:tcPr>
                  <w:tcW w:w="404"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p>
              </w:tc>
              <w:tc>
                <w:tcPr>
                  <w:tcW w:w="828" w:type="pct"/>
                  <w:shd w:val="clear" w:color="auto" w:fill="auto"/>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lang w:val="en-US" w:eastAsia="zh-CN"/>
                    </w:rPr>
                    <w:t>泥浆、岩屑及沉淀池沉渣</w:t>
                  </w:r>
                </w:p>
              </w:tc>
              <w:tc>
                <w:tcPr>
                  <w:tcW w:w="3002" w:type="pct"/>
                  <w:shd w:val="clear" w:color="auto" w:fill="auto"/>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lang w:val="en-US" w:eastAsia="zh-CN"/>
                    </w:rPr>
                    <w:t>泥浆固化后</w:t>
                  </w:r>
                  <w:r>
                    <w:rPr>
                      <w:rFonts w:hint="eastAsia" w:cs="Times New Roman"/>
                      <w:color w:val="auto"/>
                      <w:lang w:val="en-US" w:eastAsia="zh-CN"/>
                    </w:rPr>
                    <w:t>拉运至一般固废处置单位统一处理</w:t>
                  </w:r>
                  <w:r>
                    <w:rPr>
                      <w:rFonts w:hint="default" w:ascii="Times New Roman" w:hAnsi="Times New Roman" w:cs="Times New Roman"/>
                      <w:color w:val="auto"/>
                      <w:lang w:val="en-US" w:eastAsia="zh-CN"/>
                    </w:rPr>
                    <w:t>，岩屑用于回填封孔，沉淀池沉渣就地掩埋</w:t>
                  </w:r>
                </w:p>
              </w:tc>
              <w:tc>
                <w:tcPr>
                  <w:tcW w:w="388" w:type="pct"/>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0.</w:t>
                  </w:r>
                  <w:r>
                    <w:rPr>
                      <w:rFonts w:hint="eastAsia" w:ascii="Times New Roman" w:hAnsi="Times New Roman" w:cs="Times New Roman"/>
                      <w:i w:val="0"/>
                      <w:iCs w:val="0"/>
                      <w:color w:val="auto"/>
                      <w:kern w:val="0"/>
                      <w:sz w:val="21"/>
                      <w:szCs w:val="21"/>
                      <w:u w:val="none"/>
                      <w:lang w:val="en-US" w:eastAsia="zh-CN" w:bidi="ar"/>
                    </w:rPr>
                    <w:t>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37" w:hRule="atLeast"/>
              </w:trPr>
              <w:tc>
                <w:tcPr>
                  <w:tcW w:w="376" w:type="pct"/>
                  <w:vMerge w:val="continue"/>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lang w:eastAsia="zh-CN"/>
                    </w:rPr>
                  </w:pPr>
                </w:p>
              </w:tc>
              <w:tc>
                <w:tcPr>
                  <w:tcW w:w="1232" w:type="pct"/>
                  <w:gridSpan w:val="2"/>
                  <w:tcBorders>
                    <w:left w:val="single" w:color="auto" w:sz="4" w:space="0"/>
                    <w:right w:val="single" w:color="auto" w:sz="4" w:space="0"/>
                  </w:tcBorders>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rPr>
                    <w:t>生态保护与恢复措施</w:t>
                  </w:r>
                </w:p>
              </w:tc>
              <w:tc>
                <w:tcPr>
                  <w:tcW w:w="3002" w:type="pct"/>
                  <w:tcBorders>
                    <w:left w:val="single" w:color="auto" w:sz="4" w:space="0"/>
                  </w:tcBorders>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rPr>
                    <w:t>勘探工作完成后，拆除临时设施，及时回填并恢复原有地貌，后期采取自然恢复</w:t>
                  </w:r>
                </w:p>
              </w:tc>
              <w:tc>
                <w:tcPr>
                  <w:tcW w:w="388" w:type="pct"/>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90" w:hRule="atLeast"/>
              </w:trPr>
              <w:tc>
                <w:tcPr>
                  <w:tcW w:w="1609" w:type="pct"/>
                  <w:gridSpan w:val="3"/>
                  <w:tcBorders>
                    <w:right w:val="single" w:color="auto" w:sz="4" w:space="0"/>
                  </w:tcBorders>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highlight w:val="none"/>
                      <w:lang w:val="en-US" w:eastAsia="zh-CN"/>
                    </w:rPr>
                    <w:t>环境风险防范工程</w:t>
                  </w:r>
                </w:p>
              </w:tc>
              <w:tc>
                <w:tcPr>
                  <w:tcW w:w="3002" w:type="pct"/>
                  <w:tcBorders>
                    <w:left w:val="single" w:color="auto" w:sz="4" w:space="0"/>
                  </w:tcBorders>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rPr>
                  </w:pPr>
                  <w:r>
                    <w:rPr>
                      <w:rFonts w:hint="default" w:ascii="Times New Roman" w:hAnsi="Times New Roman" w:cs="Times New Roman"/>
                      <w:color w:val="auto"/>
                      <w:highlight w:val="none"/>
                      <w:lang w:val="en-US" w:eastAsia="zh-CN"/>
                    </w:rPr>
                    <w:t>制定环境风险管理制度、设置铺有防渗</w:t>
                  </w:r>
                  <w:r>
                    <w:rPr>
                      <w:rFonts w:hint="eastAsia" w:cs="Times New Roman"/>
                      <w:color w:val="auto"/>
                      <w:highlight w:val="none"/>
                      <w:lang w:val="en-US" w:eastAsia="zh-CN"/>
                    </w:rPr>
                    <w:t>托盘</w:t>
                  </w:r>
                  <w:r>
                    <w:rPr>
                      <w:rFonts w:hint="default" w:ascii="Times New Roman" w:hAnsi="Times New Roman" w:cs="Times New Roman"/>
                      <w:color w:val="auto"/>
                      <w:highlight w:val="none"/>
                      <w:lang w:val="en-US" w:eastAsia="zh-CN"/>
                    </w:rPr>
                    <w:t>的柴油贮存区</w:t>
                  </w:r>
                </w:p>
              </w:tc>
              <w:tc>
                <w:tcPr>
                  <w:tcW w:w="388" w:type="pct"/>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cs="Times New Roman"/>
                      <w:color w:val="auto"/>
                      <w:lang w:val="en-US" w:eastAsia="zh-CN"/>
                    </w:rPr>
                  </w:pPr>
                  <w:r>
                    <w:rPr>
                      <w:rFonts w:hint="default" w:ascii="Times New Roman" w:hAnsi="Times New Roman" w:cs="Times New Roman"/>
                      <w:i w:val="0"/>
                      <w:iCs w:val="0"/>
                      <w:color w:val="auto"/>
                      <w:kern w:val="0"/>
                      <w:sz w:val="21"/>
                      <w:szCs w:val="21"/>
                      <w:u w:val="none"/>
                      <w:lang w:val="en-US" w:eastAsia="zh-CN" w:bidi="ar"/>
                    </w:rPr>
                    <w:t>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72" w:hRule="atLeast"/>
              </w:trPr>
              <w:tc>
                <w:tcPr>
                  <w:tcW w:w="4611" w:type="pct"/>
                  <w:gridSpan w:val="4"/>
                  <w:shd w:val="clear" w:color="auto" w:fill="auto"/>
                  <w:noWrap w:val="0"/>
                  <w:vAlign w:val="center"/>
                </w:tcPr>
                <w:p>
                  <w:pPr>
                    <w:pStyle w:val="5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rPr>
                    <w:t>合计</w:t>
                  </w:r>
                </w:p>
              </w:tc>
              <w:tc>
                <w:tcPr>
                  <w:tcW w:w="388"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15.7</w:t>
                  </w:r>
                </w:p>
              </w:tc>
            </w:tr>
          </w:tbl>
          <w:p>
            <w:pPr>
              <w:pStyle w:val="48"/>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kern w:val="0"/>
                <w:sz w:val="24"/>
                <w:szCs w:val="24"/>
                <w:lang w:val="en-US" w:eastAsia="zh-CN" w:bidi="ar-SA"/>
              </w:rPr>
            </w:pPr>
          </w:p>
        </w:tc>
      </w:tr>
    </w:tbl>
    <w:p>
      <w:pPr>
        <w:sectPr>
          <w:pgSz w:w="11907" w:h="16840"/>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p>
    <w:p>
      <w:pPr>
        <w:pStyle w:val="21"/>
        <w:keepNext w:val="0"/>
        <w:keepLines w:val="0"/>
        <w:pageBreakBefore w:val="0"/>
        <w:widowControl/>
        <w:kinsoku/>
        <w:wordWrap/>
        <w:overflowPunct/>
        <w:topLinePunct w:val="0"/>
        <w:autoSpaceDE/>
        <w:autoSpaceDN/>
        <w:bidi w:val="0"/>
        <w:adjustRightInd/>
        <w:snapToGrid/>
        <w:spacing w:before="313" w:beforeLines="100" w:beforeAutospacing="0" w:after="313" w:afterLines="100" w:afterAutospacing="0"/>
        <w:jc w:val="center"/>
        <w:textAlignment w:val="auto"/>
        <w:outlineLvl w:val="0"/>
        <w:rPr>
          <w:rFonts w:ascii="黑体" w:hAnsi="黑体" w:eastAsia="黑体"/>
          <w:snapToGrid w:val="0"/>
          <w:sz w:val="30"/>
          <w:szCs w:val="30"/>
        </w:rPr>
      </w:pPr>
      <w:r>
        <w:rPr>
          <w:rFonts w:hint="eastAsia" w:ascii="黑体" w:hAnsi="黑体" w:eastAsia="黑体"/>
          <w:snapToGrid w:val="0"/>
          <w:sz w:val="30"/>
          <w:szCs w:val="30"/>
        </w:rPr>
        <w:t>六、生态环境保护措施监督检查清单</w:t>
      </w:r>
    </w:p>
    <w:tbl>
      <w:tblPr>
        <w:tblStyle w:val="2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1982"/>
        <w:gridCol w:w="1413"/>
        <w:gridCol w:w="2320"/>
        <w:gridCol w:w="170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7" w:type="pct"/>
            <w:vMerge w:val="restart"/>
            <w:tcBorders>
              <w:tl2br w:val="single" w:color="auto" w:sz="4" w:space="0"/>
            </w:tcBorders>
            <w:noWrap w:val="0"/>
            <w:vAlign w:val="top"/>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 xml:space="preserve">    内容</w:t>
            </w:r>
          </w:p>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left"/>
              <w:textAlignment w:val="auto"/>
              <w:rPr>
                <w:rFonts w:hint="eastAsia"/>
              </w:rPr>
            </w:pPr>
            <w:r>
              <w:rPr>
                <w:rFonts w:hint="eastAsia"/>
              </w:rPr>
              <w:t>要素</w:t>
            </w:r>
          </w:p>
        </w:tc>
        <w:tc>
          <w:tcPr>
            <w:tcW w:w="1991" w:type="pct"/>
            <w:gridSpan w:val="2"/>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施工期</w:t>
            </w:r>
          </w:p>
        </w:tc>
        <w:tc>
          <w:tcPr>
            <w:tcW w:w="2360" w:type="pct"/>
            <w:gridSpan w:val="2"/>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eastAsia"/>
                <w:lang w:eastAsia="zh-CN"/>
              </w:rPr>
            </w:pPr>
            <w:r>
              <w:rPr>
                <w:rFonts w:hint="eastAsia"/>
                <w:lang w:eastAsia="zh-CN"/>
              </w:rPr>
              <w:t>勘探期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7" w:type="pct"/>
            <w:vMerge w:val="continue"/>
            <w:noWrap w:val="0"/>
            <w:vAlign w:val="top"/>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p>
        </w:tc>
        <w:tc>
          <w:tcPr>
            <w:tcW w:w="1162"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环境保护措施</w:t>
            </w:r>
          </w:p>
        </w:tc>
        <w:tc>
          <w:tcPr>
            <w:tcW w:w="82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验收要求</w:t>
            </w:r>
          </w:p>
        </w:tc>
        <w:tc>
          <w:tcPr>
            <w:tcW w:w="1361"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环境保护措施</w:t>
            </w:r>
          </w:p>
        </w:tc>
        <w:tc>
          <w:tcPr>
            <w:tcW w:w="99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验收要求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47"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陆生生态</w:t>
            </w:r>
          </w:p>
        </w:tc>
        <w:tc>
          <w:tcPr>
            <w:tcW w:w="1162"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rPr>
              <w:t>合理设置临时堆放场，减少临时占地</w:t>
            </w:r>
            <w:r>
              <w:rPr>
                <w:rFonts w:hint="default"/>
                <w:lang w:eastAsia="zh-CN"/>
              </w:rPr>
              <w:t>。</w:t>
            </w:r>
            <w:r>
              <w:rPr>
                <w:rFonts w:hint="default"/>
              </w:rPr>
              <w:t>减少对植被的破坏</w:t>
            </w:r>
            <w:r>
              <w:rPr>
                <w:rFonts w:hint="default"/>
                <w:lang w:eastAsia="zh-CN"/>
              </w:rPr>
              <w:t>。</w:t>
            </w:r>
            <w:r>
              <w:rPr>
                <w:rFonts w:hint="default"/>
              </w:rPr>
              <w:t>施工结束后土地应及时平整恢复</w:t>
            </w:r>
            <w:r>
              <w:rPr>
                <w:rFonts w:hint="default"/>
                <w:lang w:eastAsia="zh-CN"/>
              </w:rPr>
              <w:t>，尽可能恢复植被原貌</w:t>
            </w:r>
          </w:p>
        </w:tc>
        <w:tc>
          <w:tcPr>
            <w:tcW w:w="82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lang w:val="en-US" w:eastAsia="zh-CN"/>
              </w:rPr>
            </w:pPr>
            <w:r>
              <w:rPr>
                <w:rFonts w:hint="eastAsia"/>
                <w:lang w:val="en-US" w:eastAsia="zh-CN"/>
              </w:rPr>
              <w:t>/</w:t>
            </w:r>
          </w:p>
        </w:tc>
        <w:tc>
          <w:tcPr>
            <w:tcW w:w="1361"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rPr>
              <w:t>合理设置临时堆放场，减少临时占地</w:t>
            </w:r>
            <w:r>
              <w:rPr>
                <w:rFonts w:hint="default"/>
                <w:lang w:eastAsia="zh-CN"/>
              </w:rPr>
              <w:t>。</w:t>
            </w:r>
            <w:r>
              <w:rPr>
                <w:rFonts w:hint="default"/>
              </w:rPr>
              <w:t>减少对植被的破坏</w:t>
            </w:r>
            <w:r>
              <w:rPr>
                <w:rFonts w:hint="default"/>
                <w:lang w:eastAsia="zh-CN"/>
              </w:rPr>
              <w:t>。</w:t>
            </w:r>
            <w:r>
              <w:rPr>
                <w:rFonts w:hint="default"/>
              </w:rPr>
              <w:t>施工结束后土地应及时平整恢复</w:t>
            </w:r>
            <w:r>
              <w:rPr>
                <w:rFonts w:hint="default"/>
                <w:lang w:eastAsia="zh-CN"/>
              </w:rPr>
              <w:t>，定期检查已回填恢复的探槽，尽可能恢复植被原貌</w:t>
            </w:r>
          </w:p>
        </w:tc>
        <w:tc>
          <w:tcPr>
            <w:tcW w:w="99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eastAsia"/>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47"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水生生态</w:t>
            </w:r>
          </w:p>
        </w:tc>
        <w:tc>
          <w:tcPr>
            <w:tcW w:w="1162"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eastAsia"/>
                <w:lang w:val="en-US" w:eastAsia="zh-CN"/>
              </w:rPr>
              <w:t>/</w:t>
            </w:r>
          </w:p>
        </w:tc>
        <w:tc>
          <w:tcPr>
            <w:tcW w:w="82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eastAsia"/>
                <w:lang w:val="en-US" w:eastAsia="zh-CN"/>
              </w:rPr>
              <w:t>/</w:t>
            </w:r>
          </w:p>
        </w:tc>
        <w:tc>
          <w:tcPr>
            <w:tcW w:w="1361"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eastAsia"/>
                <w:lang w:val="en-US" w:eastAsia="zh-CN"/>
              </w:rPr>
              <w:t>/</w:t>
            </w:r>
          </w:p>
        </w:tc>
        <w:tc>
          <w:tcPr>
            <w:tcW w:w="99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eastAsia"/>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47"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地表水环境</w:t>
            </w:r>
          </w:p>
        </w:tc>
        <w:tc>
          <w:tcPr>
            <w:tcW w:w="1162"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lang w:val="en-US"/>
              </w:rPr>
            </w:pPr>
            <w:r>
              <w:rPr>
                <w:rFonts w:hint="eastAsia"/>
                <w:highlight w:val="none"/>
                <w:lang w:val="en-US" w:eastAsia="zh-CN"/>
              </w:rPr>
              <w:t>施工期施工废水沉淀后回用，不外排</w:t>
            </w:r>
            <w:r>
              <w:rPr>
                <w:rFonts w:hint="eastAsia"/>
                <w:lang w:val="en-US" w:eastAsia="zh-CN"/>
              </w:rPr>
              <w:t>；生活污水排入一体化污水处理设施处理达标后，用于洒水绿化，不外排</w:t>
            </w:r>
          </w:p>
        </w:tc>
        <w:tc>
          <w:tcPr>
            <w:tcW w:w="82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lang w:val="en-US" w:eastAsia="zh-CN"/>
              </w:rPr>
              <w:t>/</w:t>
            </w:r>
          </w:p>
        </w:tc>
        <w:tc>
          <w:tcPr>
            <w:tcW w:w="1361" w:type="pct"/>
            <w:noWrap w:val="0"/>
            <w:vAlign w:val="center"/>
          </w:tcPr>
          <w:p>
            <w:pPr>
              <w:pStyle w:val="54"/>
              <w:keepNext w:val="0"/>
              <w:keepLines w:val="0"/>
              <w:suppressLineNumbers w:val="0"/>
              <w:bidi w:val="0"/>
              <w:spacing w:before="0" w:beforeAutospacing="0" w:after="0" w:afterAutospacing="0"/>
              <w:ind w:left="0" w:right="0"/>
              <w:jc w:val="center"/>
              <w:rPr>
                <w:rFonts w:hint="default"/>
                <w:lang w:val="en-US"/>
              </w:rPr>
            </w:pPr>
            <w:r>
              <w:rPr>
                <w:rFonts w:hint="eastAsia"/>
                <w:lang w:val="en-US" w:eastAsia="zh-CN"/>
              </w:rPr>
              <w:t>生活污水排入一体化污水处理设施处理达标后，用于洒水绿化，不外排；钻井设备冲洗水经沉淀池处理后洒水降尘，不外排；泥浆废水经泥浆沉淀池处理后全部回用于泥浆配制</w:t>
            </w:r>
          </w:p>
        </w:tc>
        <w:tc>
          <w:tcPr>
            <w:tcW w:w="99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47"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地下水及土壤环境</w:t>
            </w:r>
          </w:p>
        </w:tc>
        <w:tc>
          <w:tcPr>
            <w:tcW w:w="1162"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lang w:val="en-US" w:eastAsia="zh-CN"/>
              </w:rPr>
              <w:t>/</w:t>
            </w:r>
          </w:p>
        </w:tc>
        <w:tc>
          <w:tcPr>
            <w:tcW w:w="82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lang w:val="en-US" w:eastAsia="zh-CN"/>
              </w:rPr>
              <w:t>/</w:t>
            </w:r>
          </w:p>
        </w:tc>
        <w:tc>
          <w:tcPr>
            <w:tcW w:w="1361"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lang w:val="en-US" w:eastAsia="zh-CN"/>
              </w:rPr>
              <w:t>/</w:t>
            </w:r>
          </w:p>
        </w:tc>
        <w:tc>
          <w:tcPr>
            <w:tcW w:w="99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47"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声环境</w:t>
            </w:r>
          </w:p>
        </w:tc>
        <w:tc>
          <w:tcPr>
            <w:tcW w:w="1162"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eastAsia"/>
                <w:lang w:eastAsia="zh-CN"/>
              </w:rPr>
              <w:t>（</w:t>
            </w:r>
            <w:r>
              <w:rPr>
                <w:rFonts w:hint="default"/>
              </w:rPr>
              <w:t>1</w:t>
            </w:r>
            <w:r>
              <w:rPr>
                <w:rFonts w:hint="eastAsia"/>
                <w:lang w:eastAsia="zh-CN"/>
              </w:rPr>
              <w:t>）</w:t>
            </w:r>
            <w:r>
              <w:rPr>
                <w:rFonts w:hint="default"/>
              </w:rPr>
              <w:t>合理安排施工时间、合理规划施工场地，合理分布施工机械；</w:t>
            </w:r>
          </w:p>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lang w:val="en-US" w:eastAsia="zh-CN"/>
              </w:rPr>
            </w:pPr>
            <w:r>
              <w:rPr>
                <w:rFonts w:hint="default"/>
              </w:rPr>
              <w:t>（2）施工单位应采用噪声水平满足国家相应标准的施工机械设备，加强施工机械的维修、管理，保证施工机械处于低噪声、高效率的良好工作状态</w:t>
            </w:r>
          </w:p>
        </w:tc>
        <w:tc>
          <w:tcPr>
            <w:tcW w:w="82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lang w:val="en-US" w:eastAsia="zh-CN"/>
              </w:rPr>
            </w:pPr>
            <w:r>
              <w:rPr>
                <w:rFonts w:hint="default"/>
              </w:rPr>
              <w:t>执行《</w:t>
            </w:r>
            <w:r>
              <w:rPr>
                <w:rFonts w:hint="eastAsia"/>
                <w:lang w:eastAsia="zh-CN"/>
              </w:rPr>
              <w:t>建筑施工噪声排放标准</w:t>
            </w:r>
            <w:r>
              <w:rPr>
                <w:rFonts w:hint="default"/>
              </w:rPr>
              <w:t>》（GB12523-20</w:t>
            </w:r>
            <w:r>
              <w:rPr>
                <w:rFonts w:hint="eastAsia"/>
                <w:lang w:val="en-US" w:eastAsia="zh-CN"/>
              </w:rPr>
              <w:t>25</w:t>
            </w:r>
            <w:r>
              <w:rPr>
                <w:rFonts w:hint="default"/>
              </w:rPr>
              <w:t>）</w:t>
            </w:r>
          </w:p>
        </w:tc>
        <w:tc>
          <w:tcPr>
            <w:tcW w:w="1361"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eastAsia"/>
                <w:lang w:eastAsia="zh-CN"/>
              </w:rPr>
              <w:t>（</w:t>
            </w:r>
            <w:r>
              <w:rPr>
                <w:rFonts w:hint="default"/>
              </w:rPr>
              <w:t>1</w:t>
            </w:r>
            <w:r>
              <w:rPr>
                <w:rFonts w:hint="eastAsia"/>
                <w:lang w:eastAsia="zh-CN"/>
              </w:rPr>
              <w:t>）</w:t>
            </w:r>
            <w:r>
              <w:rPr>
                <w:rFonts w:hint="default"/>
              </w:rPr>
              <w:t>合理安排施工时间、合理规划施工场地，合理分布施工机械；</w:t>
            </w:r>
          </w:p>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lang w:val="en-US" w:eastAsia="zh-CN"/>
              </w:rPr>
            </w:pPr>
            <w:r>
              <w:rPr>
                <w:rFonts w:hint="default"/>
              </w:rPr>
              <w:t>（2）施工单位应采用噪声水平满足国家相应标准的施工机械设备，加强施工机械的维修、管理，保证施工机械处于低噪声、高效率的良好工作状态</w:t>
            </w:r>
          </w:p>
        </w:tc>
        <w:tc>
          <w:tcPr>
            <w:tcW w:w="99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lang w:val="en-US" w:eastAsia="zh-CN"/>
              </w:rPr>
            </w:pPr>
            <w:r>
              <w:rPr>
                <w:rFonts w:hint="eastAsia"/>
                <w:lang w:eastAsia="zh-CN"/>
              </w:rPr>
              <w:t>执行《建筑施工噪声排放标准》（GB12523-20</w:t>
            </w:r>
            <w:r>
              <w:rPr>
                <w:rFonts w:hint="eastAsia"/>
                <w:lang w:val="en-US" w:eastAsia="zh-CN"/>
              </w:rPr>
              <w:t>25</w:t>
            </w:r>
            <w:r>
              <w:rPr>
                <w:rFonts w:hint="eastAsia"/>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47"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振动</w:t>
            </w:r>
          </w:p>
        </w:tc>
        <w:tc>
          <w:tcPr>
            <w:tcW w:w="1162"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lang w:val="en-US" w:eastAsia="zh-CN"/>
              </w:rPr>
            </w:pPr>
            <w:r>
              <w:rPr>
                <w:rFonts w:hint="default"/>
                <w:lang w:val="en-US" w:eastAsia="zh-CN"/>
              </w:rPr>
              <w:t>/</w:t>
            </w:r>
          </w:p>
        </w:tc>
        <w:tc>
          <w:tcPr>
            <w:tcW w:w="82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lang w:val="en-US" w:eastAsia="zh-CN"/>
              </w:rPr>
            </w:pPr>
            <w:r>
              <w:rPr>
                <w:rFonts w:hint="default"/>
                <w:lang w:val="en-US" w:eastAsia="zh-CN"/>
              </w:rPr>
              <w:t>/</w:t>
            </w:r>
          </w:p>
        </w:tc>
        <w:tc>
          <w:tcPr>
            <w:tcW w:w="1361"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lang w:val="en-US" w:eastAsia="zh-CN"/>
              </w:rPr>
            </w:pPr>
            <w:r>
              <w:rPr>
                <w:rFonts w:hint="default"/>
                <w:lang w:val="en-US" w:eastAsia="zh-CN"/>
              </w:rPr>
              <w:t>/</w:t>
            </w:r>
          </w:p>
        </w:tc>
        <w:tc>
          <w:tcPr>
            <w:tcW w:w="99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lang w:val="en-US" w:eastAsia="zh-CN"/>
              </w:rPr>
            </w:pPr>
            <w:r>
              <w:rPr>
                <w:rFonts w:hint="default"/>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47"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大气环境</w:t>
            </w:r>
          </w:p>
        </w:tc>
        <w:tc>
          <w:tcPr>
            <w:tcW w:w="1162"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rPr>
              <w:t>开挖土</w:t>
            </w:r>
            <w:r>
              <w:rPr>
                <w:rFonts w:hint="eastAsia"/>
                <w:lang w:val="en-US" w:eastAsia="zh-CN"/>
              </w:rPr>
              <w:t>石</w:t>
            </w:r>
            <w:r>
              <w:rPr>
                <w:rFonts w:hint="default"/>
              </w:rPr>
              <w:t>方</w:t>
            </w:r>
            <w:r>
              <w:rPr>
                <w:rFonts w:hint="eastAsia"/>
                <w:lang w:val="en-US" w:eastAsia="zh-CN"/>
              </w:rPr>
              <w:t>堆放在临时堆场，</w:t>
            </w:r>
            <w:r>
              <w:rPr>
                <w:rFonts w:hint="default"/>
              </w:rPr>
              <w:t>使用</w:t>
            </w:r>
            <w:r>
              <w:rPr>
                <w:rFonts w:hint="eastAsia"/>
                <w:lang w:val="en-US" w:eastAsia="zh-CN"/>
              </w:rPr>
              <w:t>彩布条</w:t>
            </w:r>
            <w:r>
              <w:rPr>
                <w:rFonts w:hint="default"/>
                <w:lang w:val="en-US" w:eastAsia="zh-CN"/>
              </w:rPr>
              <w:t>苫盖</w:t>
            </w:r>
            <w:r>
              <w:rPr>
                <w:rFonts w:hint="eastAsia"/>
                <w:lang w:eastAsia="zh-CN"/>
              </w:rPr>
              <w:t>；</w:t>
            </w:r>
            <w:r>
              <w:rPr>
                <w:rFonts w:hint="eastAsia"/>
                <w:lang w:val="en-US" w:eastAsia="zh-CN"/>
              </w:rPr>
              <w:t>对柴油发电机及运输车辆定期维护保养，使用正品燃油，减少尾气排放</w:t>
            </w:r>
          </w:p>
        </w:tc>
        <w:tc>
          <w:tcPr>
            <w:tcW w:w="82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eastAsia"/>
                <w:lang w:eastAsia="zh-CN"/>
              </w:rPr>
              <w:t>满足</w:t>
            </w:r>
            <w:r>
              <w:rPr>
                <w:rFonts w:hint="default"/>
              </w:rPr>
              <w:t>《大气污染物综合排放标准》（GB16297-1996）表2中的无组织排放监控浓度限值</w:t>
            </w:r>
          </w:p>
        </w:tc>
        <w:tc>
          <w:tcPr>
            <w:tcW w:w="1361"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rPr>
              <w:t>开挖土</w:t>
            </w:r>
            <w:r>
              <w:rPr>
                <w:rFonts w:hint="eastAsia"/>
                <w:lang w:val="en-US" w:eastAsia="zh-CN"/>
              </w:rPr>
              <w:t>石</w:t>
            </w:r>
            <w:r>
              <w:rPr>
                <w:rFonts w:hint="default"/>
              </w:rPr>
              <w:t>方使用</w:t>
            </w:r>
            <w:r>
              <w:rPr>
                <w:rFonts w:hint="eastAsia"/>
                <w:lang w:val="en-US" w:eastAsia="zh-CN"/>
              </w:rPr>
              <w:t>彩布条</w:t>
            </w:r>
            <w:r>
              <w:rPr>
                <w:rFonts w:hint="default"/>
                <w:lang w:val="en-US" w:eastAsia="zh-CN"/>
              </w:rPr>
              <w:t>苫盖</w:t>
            </w:r>
            <w:r>
              <w:rPr>
                <w:rFonts w:hint="eastAsia"/>
                <w:lang w:eastAsia="zh-CN"/>
              </w:rPr>
              <w:t>；</w:t>
            </w:r>
            <w:r>
              <w:rPr>
                <w:rFonts w:hint="eastAsia"/>
                <w:lang w:val="en-US" w:eastAsia="zh-CN"/>
              </w:rPr>
              <w:t>对柴油发电机及运输车辆定期维护保养，使用正品燃油，减少尾气排放</w:t>
            </w:r>
          </w:p>
        </w:tc>
        <w:tc>
          <w:tcPr>
            <w:tcW w:w="99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lang w:val="en-US" w:eastAsia="zh-CN"/>
              </w:rPr>
              <w:t>粉尘排放满足《大气污染物综合排放标准》（GB16297-1996）表2中的无组织排放监控浓度限值</w:t>
            </w:r>
            <w:r>
              <w:rPr>
                <w:rFonts w:hint="eastAsia"/>
                <w:lang w:val="en-US" w:eastAsia="zh-CN"/>
              </w:rPr>
              <w:t>，柴油发电机烟气参照执行《非道路移动机械用柴油机排气污染物排放限值及测量方法（中国第三、四阶段）》（GB20891-2014）修改单以及《非道路柴油移动机械污染物排放控制技术要求》（HJ1014-2020）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47"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固体废物</w:t>
            </w:r>
          </w:p>
        </w:tc>
        <w:tc>
          <w:tcPr>
            <w:tcW w:w="1162"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lang w:val="en-US" w:eastAsia="zh-CN"/>
              </w:rPr>
            </w:pPr>
            <w:r>
              <w:rPr>
                <w:rFonts w:hint="default"/>
              </w:rPr>
              <w:t>施工期固体废物来自施工过程中</w:t>
            </w:r>
            <w:r>
              <w:rPr>
                <w:rFonts w:hint="default"/>
                <w:lang w:val="en-US" w:eastAsia="zh-CN"/>
              </w:rPr>
              <w:t>土地平整所开挖</w:t>
            </w:r>
            <w:r>
              <w:rPr>
                <w:rFonts w:hint="default"/>
              </w:rPr>
              <w:t>的</w:t>
            </w:r>
            <w:r>
              <w:rPr>
                <w:rFonts w:hint="default"/>
                <w:lang w:val="en-US" w:eastAsia="zh-CN"/>
              </w:rPr>
              <w:t>土石方，全部堆放在临时堆场内，待项目施工期结束后，全部回填，恢复原有地貌</w:t>
            </w:r>
          </w:p>
        </w:tc>
        <w:tc>
          <w:tcPr>
            <w:tcW w:w="82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lang w:val="en-US" w:eastAsia="zh-CN"/>
              </w:rPr>
            </w:pPr>
            <w:r>
              <w:rPr>
                <w:rFonts w:hint="eastAsia"/>
                <w:lang w:eastAsia="zh-CN"/>
              </w:rPr>
              <w:t>工业</w:t>
            </w:r>
            <w:r>
              <w:rPr>
                <w:rFonts w:hint="eastAsia"/>
                <w:lang w:val="en-US" w:eastAsia="zh-CN"/>
              </w:rPr>
              <w:t>固体废物应</w:t>
            </w:r>
            <w:r>
              <w:rPr>
                <w:rFonts w:hint="default"/>
                <w:lang w:val="en-US" w:eastAsia="zh-CN"/>
              </w:rPr>
              <w:t>符合</w:t>
            </w:r>
            <w:r>
              <w:rPr>
                <w:rFonts w:hint="eastAsia"/>
                <w:lang w:val="en-US" w:eastAsia="zh-CN"/>
              </w:rPr>
              <w:t>《一般工业固体废物贮存和填埋污染控制标准》（GB18599-2020）</w:t>
            </w:r>
            <w:r>
              <w:rPr>
                <w:rFonts w:hint="default"/>
                <w:lang w:val="en-US" w:eastAsia="zh-CN"/>
              </w:rPr>
              <w:t>要求</w:t>
            </w:r>
          </w:p>
        </w:tc>
        <w:tc>
          <w:tcPr>
            <w:tcW w:w="1361"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eastAsia="宋体"/>
                <w:lang w:val="en-US" w:eastAsia="zh-CN"/>
              </w:rPr>
            </w:pPr>
            <w:r>
              <w:rPr>
                <w:rFonts w:hint="default"/>
              </w:rPr>
              <w:t>槽探产生的土石方就近堆存并覆盖</w:t>
            </w:r>
            <w:r>
              <w:rPr>
                <w:rFonts w:hint="eastAsia"/>
                <w:lang w:val="en-US" w:eastAsia="zh-CN"/>
              </w:rPr>
              <w:t>彩布条</w:t>
            </w:r>
            <w:r>
              <w:rPr>
                <w:rFonts w:hint="default"/>
              </w:rPr>
              <w:t>，在勘探期结束后全部回填至开挖地。岩心、样品交至单位统一保管，</w:t>
            </w:r>
            <w:r>
              <w:rPr>
                <w:rFonts w:hint="default"/>
                <w:lang w:val="en-US" w:eastAsia="zh-CN"/>
              </w:rPr>
              <w:t>临时占地应及时恢复</w:t>
            </w:r>
            <w:r>
              <w:rPr>
                <w:rFonts w:hint="eastAsia"/>
                <w:lang w:val="en-US" w:eastAsia="zh-CN"/>
              </w:rPr>
              <w:t>；</w:t>
            </w:r>
            <w:r>
              <w:rPr>
                <w:rFonts w:hint="default"/>
              </w:rPr>
              <w:t>施工营地内设置一定数量的垃圾桶，用于临时存放生活垃圾，统一收集后</w:t>
            </w:r>
            <w:r>
              <w:rPr>
                <w:rFonts w:hint="default"/>
                <w:lang w:val="en-US" w:eastAsia="zh-CN"/>
              </w:rPr>
              <w:t>送至</w:t>
            </w:r>
            <w:r>
              <w:rPr>
                <w:rFonts w:hint="eastAsia"/>
                <w:lang w:val="en-US" w:eastAsia="zh-CN"/>
              </w:rPr>
              <w:t>和硕县环境卫生服务中心；</w:t>
            </w:r>
            <w:r>
              <w:rPr>
                <w:rFonts w:hint="default"/>
              </w:rPr>
              <w:t>钻井泥浆固化后</w:t>
            </w:r>
            <w:r>
              <w:rPr>
                <w:rFonts w:hint="eastAsia"/>
                <w:lang w:val="en-US" w:eastAsia="zh-CN"/>
              </w:rPr>
              <w:t>拉运至</w:t>
            </w:r>
            <w:r>
              <w:rPr>
                <w:rFonts w:hint="default"/>
                <w:lang w:val="en-US" w:eastAsia="zh-CN"/>
              </w:rPr>
              <w:t>一般固废处置单位统一处理</w:t>
            </w:r>
            <w:r>
              <w:rPr>
                <w:rFonts w:hint="eastAsia"/>
                <w:lang w:eastAsia="zh-CN"/>
              </w:rPr>
              <w:t>；</w:t>
            </w:r>
            <w:r>
              <w:rPr>
                <w:rFonts w:hint="eastAsia"/>
                <w:lang w:val="en-US" w:eastAsia="zh-CN"/>
              </w:rPr>
              <w:t>岩屑回填钻孔；沉淀池沉渣就地掩埋</w:t>
            </w:r>
          </w:p>
        </w:tc>
        <w:tc>
          <w:tcPr>
            <w:tcW w:w="99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lang w:val="en-US" w:eastAsia="zh-CN"/>
              </w:rPr>
            </w:pPr>
            <w:r>
              <w:rPr>
                <w:rFonts w:hint="eastAsia"/>
                <w:lang w:val="en-US" w:eastAsia="zh-CN"/>
              </w:rPr>
              <w:t>一般固废执行</w:t>
            </w:r>
            <w:r>
              <w:rPr>
                <w:rFonts w:hint="default"/>
                <w:lang w:val="en-US" w:eastAsia="zh-CN"/>
              </w:rPr>
              <w:t>《中华人民共和国生态环境法典》中的“固体废物污染防治”有关规定</w:t>
            </w:r>
            <w:r>
              <w:rPr>
                <w:rFonts w:hint="eastAsia"/>
                <w:lang w:val="en-US" w:eastAsia="zh-CN"/>
              </w:rPr>
              <w:t>。废弃泥浆及岩屑的处置满足《一般工业固体废物贮存和填埋污染控制标准》（GB18599-2020）的要求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47"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default"/>
              </w:rPr>
            </w:pPr>
            <w:r>
              <w:rPr>
                <w:rFonts w:hint="eastAsia"/>
              </w:rPr>
              <w:t>电磁环境</w:t>
            </w:r>
          </w:p>
        </w:tc>
        <w:tc>
          <w:tcPr>
            <w:tcW w:w="1162"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lang w:val="en-US" w:eastAsia="zh-CN"/>
              </w:rPr>
              <w:t>/</w:t>
            </w:r>
          </w:p>
        </w:tc>
        <w:tc>
          <w:tcPr>
            <w:tcW w:w="82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lang w:val="en-US" w:eastAsia="zh-CN"/>
              </w:rPr>
              <w:t>/</w:t>
            </w:r>
          </w:p>
        </w:tc>
        <w:tc>
          <w:tcPr>
            <w:tcW w:w="1361"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lang w:val="en-US" w:eastAsia="zh-CN"/>
              </w:rPr>
              <w:t>/</w:t>
            </w:r>
          </w:p>
        </w:tc>
        <w:tc>
          <w:tcPr>
            <w:tcW w:w="999" w:type="pct"/>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rPr>
            </w:pPr>
            <w:r>
              <w:rPr>
                <w:rFonts w:hint="default"/>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47"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环境风险</w:t>
            </w:r>
          </w:p>
        </w:tc>
        <w:tc>
          <w:tcPr>
            <w:tcW w:w="1162" w:type="pct"/>
            <w:noWrap w:val="0"/>
            <w:vAlign w:val="center"/>
          </w:tcPr>
          <w:p>
            <w:pPr>
              <w:pStyle w:val="58"/>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p>
        </w:tc>
        <w:tc>
          <w:tcPr>
            <w:tcW w:w="829" w:type="pct"/>
            <w:noWrap w:val="0"/>
            <w:vAlign w:val="center"/>
          </w:tcPr>
          <w:p>
            <w:pPr>
              <w:pStyle w:val="58"/>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361" w:type="pct"/>
            <w:noWrap w:val="0"/>
            <w:vAlign w:val="center"/>
          </w:tcPr>
          <w:p>
            <w:pPr>
              <w:pStyle w:val="58"/>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建立健全突发环境事件应急预案；加强设备保养，保证设备设施的正常运行</w:t>
            </w:r>
          </w:p>
        </w:tc>
        <w:tc>
          <w:tcPr>
            <w:tcW w:w="999" w:type="pct"/>
            <w:noWrap w:val="0"/>
            <w:vAlign w:val="center"/>
          </w:tcPr>
          <w:p>
            <w:pPr>
              <w:pStyle w:val="58"/>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47" w:type="pct"/>
            <w:noWrap w:val="0"/>
            <w:vAlign w:val="center"/>
          </w:tcPr>
          <w:p>
            <w:pPr>
              <w:pStyle w:val="58"/>
              <w:keepNext w:val="0"/>
              <w:keepLines w:val="0"/>
              <w:suppressLineNumbers w:val="0"/>
              <w:bidi w:val="0"/>
              <w:spacing w:before="0" w:beforeAutospacing="0" w:after="0" w:afterAutospacing="0"/>
              <w:ind w:left="0"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环境监测</w:t>
            </w:r>
          </w:p>
        </w:tc>
        <w:tc>
          <w:tcPr>
            <w:tcW w:w="1162" w:type="pct"/>
            <w:noWrap w:val="0"/>
            <w:vAlign w:val="center"/>
          </w:tcPr>
          <w:p>
            <w:pPr>
              <w:pStyle w:val="58"/>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w:t>
            </w:r>
          </w:p>
        </w:tc>
        <w:tc>
          <w:tcPr>
            <w:tcW w:w="829" w:type="pct"/>
            <w:noWrap w:val="0"/>
            <w:vAlign w:val="center"/>
          </w:tcPr>
          <w:p>
            <w:pPr>
              <w:pStyle w:val="58"/>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w:t>
            </w:r>
          </w:p>
        </w:tc>
        <w:tc>
          <w:tcPr>
            <w:tcW w:w="1361" w:type="pct"/>
            <w:noWrap w:val="0"/>
            <w:vAlign w:val="center"/>
          </w:tcPr>
          <w:p>
            <w:pPr>
              <w:pStyle w:val="58"/>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w:t>
            </w:r>
          </w:p>
        </w:tc>
        <w:tc>
          <w:tcPr>
            <w:tcW w:w="999" w:type="pct"/>
            <w:noWrap w:val="0"/>
            <w:vAlign w:val="center"/>
          </w:tcPr>
          <w:p>
            <w:pPr>
              <w:pStyle w:val="58"/>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23" w:hRule="atLeast"/>
          <w:jc w:val="center"/>
        </w:trPr>
        <w:tc>
          <w:tcPr>
            <w:tcW w:w="647" w:type="pct"/>
            <w:shd w:val="clear" w:color="auto" w:fill="auto"/>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textAlignment w:val="auto"/>
              <w:rPr>
                <w:rFonts w:hint="eastAsia" w:ascii="Times New Roman" w:hAnsi="Times New Roman" w:eastAsia="宋体" w:cs="Times New Roman"/>
                <w:kern w:val="2"/>
                <w:sz w:val="21"/>
                <w:szCs w:val="21"/>
                <w:lang w:val="en-US" w:eastAsia="zh-CN" w:bidi="ar-SA"/>
              </w:rPr>
            </w:pPr>
            <w:r>
              <w:rPr>
                <w:rFonts w:hint="eastAsia"/>
              </w:rPr>
              <w:t>其他</w:t>
            </w:r>
          </w:p>
        </w:tc>
        <w:tc>
          <w:tcPr>
            <w:tcW w:w="1162" w:type="pct"/>
            <w:shd w:val="clear" w:color="auto" w:fill="auto"/>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lang w:val="en-US" w:eastAsia="zh-CN"/>
              </w:rPr>
              <w:t>/</w:t>
            </w:r>
          </w:p>
        </w:tc>
        <w:tc>
          <w:tcPr>
            <w:tcW w:w="829" w:type="pct"/>
            <w:shd w:val="clear" w:color="auto" w:fill="auto"/>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kern w:val="2"/>
                <w:sz w:val="21"/>
                <w:szCs w:val="21"/>
                <w:lang w:val="en-US" w:eastAsia="zh-CN" w:bidi="ar-SA"/>
              </w:rPr>
            </w:pPr>
            <w:r>
              <w:rPr>
                <w:rFonts w:hint="eastAsia"/>
                <w:lang w:val="en-US" w:eastAsia="zh-CN"/>
              </w:rPr>
              <w:t>/</w:t>
            </w:r>
          </w:p>
        </w:tc>
        <w:tc>
          <w:tcPr>
            <w:tcW w:w="1361" w:type="pct"/>
            <w:shd w:val="clear" w:color="auto" w:fill="auto"/>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lang w:val="en-US" w:eastAsia="zh-CN"/>
              </w:rPr>
              <w:t>/</w:t>
            </w:r>
          </w:p>
        </w:tc>
        <w:tc>
          <w:tcPr>
            <w:tcW w:w="999" w:type="pct"/>
            <w:shd w:val="clear" w:color="auto" w:fill="auto"/>
            <w:noWrap w:val="0"/>
            <w:vAlign w:val="center"/>
          </w:tcPr>
          <w:p>
            <w:pPr>
              <w:pStyle w:val="5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kern w:val="2"/>
                <w:sz w:val="21"/>
                <w:szCs w:val="21"/>
                <w:lang w:val="en-US" w:eastAsia="zh-CN" w:bidi="ar-SA"/>
              </w:rPr>
            </w:pPr>
            <w:r>
              <w:rPr>
                <w:rFonts w:hint="default"/>
                <w:lang w:val="en-US" w:eastAsia="zh-CN"/>
              </w:rPr>
              <w:t>/</w:t>
            </w:r>
          </w:p>
        </w:tc>
      </w:tr>
    </w:tbl>
    <w:p>
      <w:pPr>
        <w:rPr>
          <w:rFonts w:hint="eastAsia" w:ascii="黑体" w:hAnsi="黑体" w:eastAsia="黑体"/>
          <w:snapToGrid w:val="0"/>
          <w:sz w:val="30"/>
          <w:szCs w:val="30"/>
        </w:rPr>
      </w:pPr>
      <w:r>
        <w:rPr>
          <w:rFonts w:hint="eastAsia" w:ascii="黑体" w:hAnsi="黑体" w:eastAsia="黑体"/>
          <w:snapToGrid w:val="0"/>
          <w:sz w:val="30"/>
          <w:szCs w:val="30"/>
        </w:rPr>
        <w:br w:type="page"/>
      </w:r>
    </w:p>
    <w:p>
      <w:pPr>
        <w:pStyle w:val="21"/>
        <w:keepNext w:val="0"/>
        <w:keepLines w:val="0"/>
        <w:pageBreakBefore w:val="0"/>
        <w:widowControl/>
        <w:kinsoku/>
        <w:wordWrap/>
        <w:overflowPunct/>
        <w:topLinePunct w:val="0"/>
        <w:autoSpaceDE/>
        <w:autoSpaceDN/>
        <w:bidi w:val="0"/>
        <w:adjustRightInd/>
        <w:snapToGrid/>
        <w:spacing w:before="313" w:beforeLines="100" w:beforeAutospacing="0" w:after="313" w:afterLines="100" w:afterAutospacing="0"/>
        <w:jc w:val="center"/>
        <w:textAlignment w:val="auto"/>
        <w:outlineLvl w:val="0"/>
        <w:rPr>
          <w:rFonts w:ascii="黑体" w:hAnsi="黑体" w:eastAsia="黑体"/>
          <w:snapToGrid w:val="0"/>
          <w:sz w:val="30"/>
          <w:szCs w:val="30"/>
        </w:rPr>
      </w:pPr>
      <w:r>
        <w:rPr>
          <w:rFonts w:hint="eastAsia" w:ascii="黑体" w:hAnsi="黑体" w:eastAsia="黑体"/>
          <w:snapToGrid w:val="0"/>
          <w:sz w:val="30"/>
          <w:szCs w:val="30"/>
        </w:rPr>
        <w:t>七、结论</w:t>
      </w:r>
    </w:p>
    <w:tbl>
      <w:tblPr>
        <w:tblStyle w:val="25"/>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04" w:hRule="atLeast"/>
          <w:jc w:val="center"/>
        </w:trPr>
        <w:tc>
          <w:tcPr>
            <w:tcW w:w="9289" w:type="dxa"/>
            <w:noWrap w:val="0"/>
            <w:vAlign w:val="top"/>
          </w:tcPr>
          <w:p>
            <w:pPr>
              <w:pStyle w:val="48"/>
              <w:keepNext w:val="0"/>
              <w:keepLines w:val="0"/>
              <w:suppressLineNumbers w:val="0"/>
              <w:bidi w:val="0"/>
              <w:spacing w:before="0" w:beforeAutospacing="0" w:after="0" w:afterAutospacing="0"/>
              <w:ind w:left="0" w:right="0"/>
              <w:jc w:val="left"/>
              <w:rPr>
                <w:rFonts w:hint="default" w:ascii="宋体" w:hAnsi="宋体" w:cs="宋体"/>
                <w:szCs w:val="21"/>
              </w:rPr>
            </w:pPr>
            <w:r>
              <w:rPr>
                <w:rFonts w:hint="default"/>
              </w:rPr>
              <w:t>综合上述，项目方应严格实施本环评报告提出的各项环保措施和建议，做到污染物达标排放，做好</w:t>
            </w:r>
            <w:r>
              <w:rPr>
                <w:rFonts w:hint="eastAsia"/>
                <w:lang w:eastAsia="zh-CN"/>
              </w:rPr>
              <w:t>生态环境保护</w:t>
            </w:r>
            <w:r>
              <w:rPr>
                <w:rFonts w:hint="default"/>
              </w:rPr>
              <w:t>与恢复。在严格落实本环评提出的各项污染物治理和生态保护措施的前提下，该项目的建设不会对区域环境质量及生态</w:t>
            </w:r>
            <w:r>
              <w:rPr>
                <w:rFonts w:hint="eastAsia"/>
              </w:rPr>
              <w:t>环境</w:t>
            </w:r>
            <w:r>
              <w:rPr>
                <w:rFonts w:hint="default"/>
              </w:rPr>
              <w:t>产生大的影响，从环境保护角度分析，本项</w:t>
            </w:r>
            <w:r>
              <w:rPr>
                <w:rFonts w:hint="eastAsia"/>
                <w:lang w:eastAsia="zh-CN"/>
              </w:rPr>
              <w:t>目环境影响</w:t>
            </w:r>
            <w:r>
              <w:rPr>
                <w:rFonts w:hint="default"/>
              </w:rPr>
              <w:t>可行。</w:t>
            </w:r>
          </w:p>
        </w:tc>
      </w:tr>
    </w:tbl>
    <w:p>
      <w:pPr>
        <w:adjustRightInd w:val="0"/>
        <w:snapToGrid w:val="0"/>
        <w:spacing w:before="192" w:beforeLines="80"/>
        <w:rPr>
          <w:rFonts w:ascii="宋体"/>
        </w:rPr>
      </w:pPr>
    </w:p>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F9A3C70-679E-4420-BFB8-04691134C5AC}"/>
  </w:font>
  <w:font w:name="黑体">
    <w:panose1 w:val="02010609060101010101"/>
    <w:charset w:val="86"/>
    <w:family w:val="auto"/>
    <w:pitch w:val="default"/>
    <w:sig w:usb0="800002BF" w:usb1="38CF7CFA" w:usb2="00000016" w:usb3="00000000" w:csb0="00040001" w:csb1="00000000"/>
    <w:embedRegular r:id="rId2" w:fontKey="{2A7AC71E-B779-48CE-AEAE-FFA1D5F495C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embedRegular r:id="rId3" w:fontKey="{3D2AE823-04C8-4F59-9F21-FDB2B63C2313}"/>
  </w:font>
  <w:font w:name="仿宋">
    <w:panose1 w:val="02010609060101010101"/>
    <w:charset w:val="86"/>
    <w:family w:val="auto"/>
    <w:pitch w:val="default"/>
    <w:sig w:usb0="800002BF" w:usb1="38CF7CFA" w:usb2="00000016" w:usb3="00000000" w:csb0="00040001" w:csb1="00000000"/>
    <w:embedRegular r:id="rId4" w:fontKey="{757F3C48-5453-419E-A110-D0B68702B912}"/>
  </w:font>
  <w:font w:name="仿宋_GB2312">
    <w:panose1 w:val="02010609030101010101"/>
    <w:charset w:val="86"/>
    <w:family w:val="modern"/>
    <w:pitch w:val="default"/>
    <w:sig w:usb0="00000001" w:usb1="080E0000" w:usb2="00000000" w:usb3="00000000" w:csb0="00040000" w:csb1="00000000"/>
    <w:embedRegular r:id="rId5" w:fontKey="{A20C1729-D46C-456E-85DD-7533F6AEFD1E}"/>
  </w:font>
  <w:font w:name="方正小标宋_GBK">
    <w:panose1 w:val="03000509000000000000"/>
    <w:charset w:val="86"/>
    <w:family w:val="script"/>
    <w:pitch w:val="default"/>
    <w:sig w:usb0="00000001" w:usb1="080E0000" w:usb2="00000000" w:usb3="00000000" w:csb0="00040000" w:csb1="00000000"/>
    <w:embedRegular r:id="rId6" w:fontKey="{84A61740-25F3-480F-8F10-A71481155931}"/>
  </w:font>
  <w:font w:name="华文仿宋">
    <w:panose1 w:val="02010600040101010101"/>
    <w:charset w:val="86"/>
    <w:family w:val="auto"/>
    <w:pitch w:val="default"/>
    <w:sig w:usb0="00000287" w:usb1="080F0000" w:usb2="00000000" w:usb3="00000000" w:csb0="0004009F" w:csb1="DFD70000"/>
    <w:embedRegular r:id="rId7" w:fontKey="{B29654E2-D111-4130-BA8A-04FB7DFE0F1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right="360" w:firstLine="360"/>
      <w:jc w:val="left"/>
      <w:rPr>
        <w:rFonts w:ascii="Times New Roman" w:hAnsi="Times New Roman" w:eastAsia="宋体" w:cs="Times New Roman"/>
        <w:kern w:val="0"/>
        <w:sz w:val="18"/>
        <w:szCs w:val="20"/>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val="0"/>
      <w:tabs>
        <w:tab w:val="center" w:pos="4153"/>
        <w:tab w:val="right" w:pos="8306"/>
      </w:tabs>
      <w:snapToGrid w:val="0"/>
      <w:jc w:val="left"/>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0"/>
        <w:sz w:val="18"/>
        <w:szCs w:val="20"/>
        <w:lang w:val="en-US" w:eastAsia="zh-CN" w:bidi="ar-SA"/>
      </w:rPr>
      <w:fldChar w:fldCharType="end"/>
    </w:r>
  </w:p>
  <w:p>
    <w:pPr>
      <w:widowControl w:val="0"/>
      <w:tabs>
        <w:tab w:val="center" w:pos="4153"/>
        <w:tab w:val="right" w:pos="8306"/>
      </w:tabs>
      <w:snapToGrid w:val="0"/>
      <w:ind w:right="360" w:firstLine="360"/>
      <w:jc w:val="left"/>
      <w:rPr>
        <w:rFonts w:ascii="Times New Roman" w:hAnsi="Times New Roman" w:eastAsia="宋体" w:cs="Times New Roman"/>
        <w:kern w:val="0"/>
        <w:sz w:val="18"/>
        <w:szCs w:val="20"/>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8"/>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4C6B7A"/>
    <w:multiLevelType w:val="singleLevel"/>
    <w:tmpl w:val="BC4C6B7A"/>
    <w:lvl w:ilvl="0" w:tentative="0">
      <w:start w:val="1"/>
      <w:numFmt w:val="decimal"/>
      <w:suff w:val="nothing"/>
      <w:lvlText w:val="%1"/>
      <w:lvlJc w:val="center"/>
      <w:pPr>
        <w:ind w:left="0" w:firstLine="0"/>
      </w:pPr>
      <w:rPr>
        <w:rFonts w:hint="default"/>
      </w:rPr>
    </w:lvl>
  </w:abstractNum>
  <w:abstractNum w:abstractNumId="1">
    <w:nsid w:val="5BA5D222"/>
    <w:multiLevelType w:val="singleLevel"/>
    <w:tmpl w:val="5BA5D22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36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5NTNhOWMzNThmMTgxMjhlYmYwYmRlODczZGZjNDkifQ=="/>
  </w:docVars>
  <w:rsids>
    <w:rsidRoot w:val="00A1494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002E"/>
    <w:rsid w:val="000F4452"/>
    <w:rsid w:val="000F6DA1"/>
    <w:rsid w:val="000F701B"/>
    <w:rsid w:val="001056A0"/>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57C7"/>
    <w:rsid w:val="002367C4"/>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01EC"/>
    <w:rsid w:val="003A1948"/>
    <w:rsid w:val="003B152A"/>
    <w:rsid w:val="003B545B"/>
    <w:rsid w:val="003D3EE9"/>
    <w:rsid w:val="003E7681"/>
    <w:rsid w:val="003F0809"/>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EB4"/>
    <w:rsid w:val="004A3823"/>
    <w:rsid w:val="004A59BB"/>
    <w:rsid w:val="004B43A3"/>
    <w:rsid w:val="004B4C49"/>
    <w:rsid w:val="004B58A5"/>
    <w:rsid w:val="004B63D9"/>
    <w:rsid w:val="004C0882"/>
    <w:rsid w:val="004C55BE"/>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53FE"/>
    <w:rsid w:val="005D7A0F"/>
    <w:rsid w:val="005E0438"/>
    <w:rsid w:val="005E1791"/>
    <w:rsid w:val="005E2CE6"/>
    <w:rsid w:val="005E6324"/>
    <w:rsid w:val="005F228B"/>
    <w:rsid w:val="005F29CD"/>
    <w:rsid w:val="005F4DFB"/>
    <w:rsid w:val="005F6CC0"/>
    <w:rsid w:val="00603E5B"/>
    <w:rsid w:val="00604BC8"/>
    <w:rsid w:val="00615B4C"/>
    <w:rsid w:val="00615B5D"/>
    <w:rsid w:val="0062146F"/>
    <w:rsid w:val="006343AF"/>
    <w:rsid w:val="0063634A"/>
    <w:rsid w:val="0064250D"/>
    <w:rsid w:val="006535EB"/>
    <w:rsid w:val="00663016"/>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06406"/>
    <w:rsid w:val="0081293E"/>
    <w:rsid w:val="00814FFB"/>
    <w:rsid w:val="00820568"/>
    <w:rsid w:val="00831A80"/>
    <w:rsid w:val="008332C8"/>
    <w:rsid w:val="00833743"/>
    <w:rsid w:val="008340A4"/>
    <w:rsid w:val="00836799"/>
    <w:rsid w:val="00837028"/>
    <w:rsid w:val="00837131"/>
    <w:rsid w:val="00845F57"/>
    <w:rsid w:val="008521E0"/>
    <w:rsid w:val="008525B0"/>
    <w:rsid w:val="00860F24"/>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B4B70"/>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5FBE"/>
    <w:rsid w:val="00A9708D"/>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C019DE"/>
    <w:rsid w:val="00C02111"/>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56178"/>
    <w:rsid w:val="00D56CF0"/>
    <w:rsid w:val="00D56F5C"/>
    <w:rsid w:val="00D65C66"/>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AA7"/>
    <w:rsid w:val="00F9212D"/>
    <w:rsid w:val="00FA301A"/>
    <w:rsid w:val="00FA406A"/>
    <w:rsid w:val="00FA5CB6"/>
    <w:rsid w:val="00FC66AC"/>
    <w:rsid w:val="00FD18F4"/>
    <w:rsid w:val="00FD74B4"/>
    <w:rsid w:val="00FF6FCE"/>
    <w:rsid w:val="00FF7518"/>
    <w:rsid w:val="00FF7FD8"/>
    <w:rsid w:val="010D427B"/>
    <w:rsid w:val="010F53D5"/>
    <w:rsid w:val="01196E52"/>
    <w:rsid w:val="011D7843"/>
    <w:rsid w:val="012C1A19"/>
    <w:rsid w:val="01320EC9"/>
    <w:rsid w:val="01582470"/>
    <w:rsid w:val="015C1523"/>
    <w:rsid w:val="015E6B1D"/>
    <w:rsid w:val="01655E65"/>
    <w:rsid w:val="01857C73"/>
    <w:rsid w:val="018B21C1"/>
    <w:rsid w:val="019978BC"/>
    <w:rsid w:val="01B42207"/>
    <w:rsid w:val="01BA61B0"/>
    <w:rsid w:val="01C16C2C"/>
    <w:rsid w:val="01C66596"/>
    <w:rsid w:val="01D82621"/>
    <w:rsid w:val="01FD7E4B"/>
    <w:rsid w:val="02110AC4"/>
    <w:rsid w:val="021653B1"/>
    <w:rsid w:val="021C128D"/>
    <w:rsid w:val="022E14F7"/>
    <w:rsid w:val="02323E22"/>
    <w:rsid w:val="023E1FBC"/>
    <w:rsid w:val="02490F73"/>
    <w:rsid w:val="025905B8"/>
    <w:rsid w:val="025E2CEB"/>
    <w:rsid w:val="02973D5F"/>
    <w:rsid w:val="02A4476B"/>
    <w:rsid w:val="02A8142E"/>
    <w:rsid w:val="02B66AA6"/>
    <w:rsid w:val="02BE026D"/>
    <w:rsid w:val="02D44580"/>
    <w:rsid w:val="02E244D2"/>
    <w:rsid w:val="02E52166"/>
    <w:rsid w:val="030C3E9B"/>
    <w:rsid w:val="03173601"/>
    <w:rsid w:val="03256780"/>
    <w:rsid w:val="03517621"/>
    <w:rsid w:val="035A31DA"/>
    <w:rsid w:val="036C4379"/>
    <w:rsid w:val="03773579"/>
    <w:rsid w:val="039105B6"/>
    <w:rsid w:val="039849B2"/>
    <w:rsid w:val="03AC4D56"/>
    <w:rsid w:val="03C17E7E"/>
    <w:rsid w:val="03E73206"/>
    <w:rsid w:val="04026C8D"/>
    <w:rsid w:val="042F3D71"/>
    <w:rsid w:val="04432C66"/>
    <w:rsid w:val="04584E73"/>
    <w:rsid w:val="04632D76"/>
    <w:rsid w:val="046C750A"/>
    <w:rsid w:val="046D11DF"/>
    <w:rsid w:val="04A02746"/>
    <w:rsid w:val="050E75A9"/>
    <w:rsid w:val="05104806"/>
    <w:rsid w:val="051B38A9"/>
    <w:rsid w:val="051F41C0"/>
    <w:rsid w:val="051F7A75"/>
    <w:rsid w:val="053E7690"/>
    <w:rsid w:val="05447C28"/>
    <w:rsid w:val="05605B0F"/>
    <w:rsid w:val="05742AC8"/>
    <w:rsid w:val="058E0B21"/>
    <w:rsid w:val="05926C4E"/>
    <w:rsid w:val="05BB42A5"/>
    <w:rsid w:val="05C55E8E"/>
    <w:rsid w:val="05D642CE"/>
    <w:rsid w:val="05EC0669"/>
    <w:rsid w:val="062C6F51"/>
    <w:rsid w:val="06352F05"/>
    <w:rsid w:val="063A0FE6"/>
    <w:rsid w:val="063C333F"/>
    <w:rsid w:val="063E7D85"/>
    <w:rsid w:val="06683799"/>
    <w:rsid w:val="069409F0"/>
    <w:rsid w:val="06B536D7"/>
    <w:rsid w:val="06CA61A3"/>
    <w:rsid w:val="06CC2DD0"/>
    <w:rsid w:val="06D8396E"/>
    <w:rsid w:val="06EE502E"/>
    <w:rsid w:val="06F22278"/>
    <w:rsid w:val="070875E0"/>
    <w:rsid w:val="0716462A"/>
    <w:rsid w:val="07293586"/>
    <w:rsid w:val="07295285"/>
    <w:rsid w:val="075208D7"/>
    <w:rsid w:val="076444C8"/>
    <w:rsid w:val="076E638B"/>
    <w:rsid w:val="07770C56"/>
    <w:rsid w:val="07A5586E"/>
    <w:rsid w:val="07C76659"/>
    <w:rsid w:val="07CC09EB"/>
    <w:rsid w:val="08002443"/>
    <w:rsid w:val="08065580"/>
    <w:rsid w:val="081E0B1B"/>
    <w:rsid w:val="082D5987"/>
    <w:rsid w:val="082E17EA"/>
    <w:rsid w:val="08377FAD"/>
    <w:rsid w:val="08387E2F"/>
    <w:rsid w:val="084B2F0B"/>
    <w:rsid w:val="086A00E6"/>
    <w:rsid w:val="088B4C81"/>
    <w:rsid w:val="08997FC4"/>
    <w:rsid w:val="08AE049D"/>
    <w:rsid w:val="08B86155"/>
    <w:rsid w:val="08CF48B6"/>
    <w:rsid w:val="08D97D1B"/>
    <w:rsid w:val="08EF10FC"/>
    <w:rsid w:val="08F63846"/>
    <w:rsid w:val="091457BC"/>
    <w:rsid w:val="091D7619"/>
    <w:rsid w:val="092217DD"/>
    <w:rsid w:val="093A7294"/>
    <w:rsid w:val="093D20B4"/>
    <w:rsid w:val="094D790A"/>
    <w:rsid w:val="094E63E5"/>
    <w:rsid w:val="094F10C7"/>
    <w:rsid w:val="09523CDC"/>
    <w:rsid w:val="095C780C"/>
    <w:rsid w:val="09607FAA"/>
    <w:rsid w:val="096A6D08"/>
    <w:rsid w:val="097B5CAC"/>
    <w:rsid w:val="09991B08"/>
    <w:rsid w:val="09A314F6"/>
    <w:rsid w:val="09D879EF"/>
    <w:rsid w:val="0A073817"/>
    <w:rsid w:val="0A147B34"/>
    <w:rsid w:val="0A1F4703"/>
    <w:rsid w:val="0A231EDD"/>
    <w:rsid w:val="0A6E0464"/>
    <w:rsid w:val="0A721F4B"/>
    <w:rsid w:val="0A767C87"/>
    <w:rsid w:val="0A9A7AEB"/>
    <w:rsid w:val="0B071D3B"/>
    <w:rsid w:val="0B1A18FA"/>
    <w:rsid w:val="0B4A156F"/>
    <w:rsid w:val="0B8C2821"/>
    <w:rsid w:val="0B9B2926"/>
    <w:rsid w:val="0BB166B1"/>
    <w:rsid w:val="0BB747ED"/>
    <w:rsid w:val="0BC55E7E"/>
    <w:rsid w:val="0BC95F15"/>
    <w:rsid w:val="0BD04096"/>
    <w:rsid w:val="0BD27BF6"/>
    <w:rsid w:val="0BE90AC2"/>
    <w:rsid w:val="0BFD6797"/>
    <w:rsid w:val="0C0221CB"/>
    <w:rsid w:val="0C032AB2"/>
    <w:rsid w:val="0C037555"/>
    <w:rsid w:val="0C3A0244"/>
    <w:rsid w:val="0C452B1A"/>
    <w:rsid w:val="0C554291"/>
    <w:rsid w:val="0C581A09"/>
    <w:rsid w:val="0C601A20"/>
    <w:rsid w:val="0C676F35"/>
    <w:rsid w:val="0C820FC8"/>
    <w:rsid w:val="0CB34CF4"/>
    <w:rsid w:val="0CBD30F1"/>
    <w:rsid w:val="0CD43E9E"/>
    <w:rsid w:val="0CD62D8F"/>
    <w:rsid w:val="0CDD691A"/>
    <w:rsid w:val="0CF109A7"/>
    <w:rsid w:val="0D04290B"/>
    <w:rsid w:val="0D1169EC"/>
    <w:rsid w:val="0D301348"/>
    <w:rsid w:val="0D3B62E5"/>
    <w:rsid w:val="0D3C2711"/>
    <w:rsid w:val="0D3D5014"/>
    <w:rsid w:val="0D405695"/>
    <w:rsid w:val="0D471D25"/>
    <w:rsid w:val="0D5C4BD0"/>
    <w:rsid w:val="0D7F3E0A"/>
    <w:rsid w:val="0DB07359"/>
    <w:rsid w:val="0DB96E36"/>
    <w:rsid w:val="0DCA3C27"/>
    <w:rsid w:val="0DD11376"/>
    <w:rsid w:val="0DE03144"/>
    <w:rsid w:val="0DED3F7D"/>
    <w:rsid w:val="0DF149A6"/>
    <w:rsid w:val="0E110D06"/>
    <w:rsid w:val="0E130311"/>
    <w:rsid w:val="0E266AC3"/>
    <w:rsid w:val="0E2A1FC8"/>
    <w:rsid w:val="0E572FD9"/>
    <w:rsid w:val="0E62253D"/>
    <w:rsid w:val="0EAA2B43"/>
    <w:rsid w:val="0EAE684C"/>
    <w:rsid w:val="0EDD0135"/>
    <w:rsid w:val="0EF949B1"/>
    <w:rsid w:val="0F13775A"/>
    <w:rsid w:val="0F164A98"/>
    <w:rsid w:val="0F607C6B"/>
    <w:rsid w:val="0F7428EE"/>
    <w:rsid w:val="0F791001"/>
    <w:rsid w:val="0F9A112B"/>
    <w:rsid w:val="0FFA6753"/>
    <w:rsid w:val="102939BE"/>
    <w:rsid w:val="103B55CC"/>
    <w:rsid w:val="1058689E"/>
    <w:rsid w:val="106D2F64"/>
    <w:rsid w:val="107439CE"/>
    <w:rsid w:val="10757746"/>
    <w:rsid w:val="108A7467"/>
    <w:rsid w:val="10B63710"/>
    <w:rsid w:val="10D23005"/>
    <w:rsid w:val="10E130BF"/>
    <w:rsid w:val="10E20B40"/>
    <w:rsid w:val="11072A94"/>
    <w:rsid w:val="11182474"/>
    <w:rsid w:val="111C2F7A"/>
    <w:rsid w:val="112002C2"/>
    <w:rsid w:val="112924B4"/>
    <w:rsid w:val="113013DE"/>
    <w:rsid w:val="11380256"/>
    <w:rsid w:val="11446485"/>
    <w:rsid w:val="114678B8"/>
    <w:rsid w:val="114D134F"/>
    <w:rsid w:val="116427AF"/>
    <w:rsid w:val="118F65E6"/>
    <w:rsid w:val="11A7236D"/>
    <w:rsid w:val="11AB65BF"/>
    <w:rsid w:val="11B8015A"/>
    <w:rsid w:val="11C46F35"/>
    <w:rsid w:val="11C743A6"/>
    <w:rsid w:val="11D93DA0"/>
    <w:rsid w:val="11E15093"/>
    <w:rsid w:val="11E84674"/>
    <w:rsid w:val="11EA051C"/>
    <w:rsid w:val="11EA29C0"/>
    <w:rsid w:val="11EF5056"/>
    <w:rsid w:val="11FC011F"/>
    <w:rsid w:val="12023727"/>
    <w:rsid w:val="122072AA"/>
    <w:rsid w:val="12267B49"/>
    <w:rsid w:val="122B06C2"/>
    <w:rsid w:val="123D74D6"/>
    <w:rsid w:val="12445229"/>
    <w:rsid w:val="124F51D5"/>
    <w:rsid w:val="12502C70"/>
    <w:rsid w:val="12605BA3"/>
    <w:rsid w:val="12613C54"/>
    <w:rsid w:val="12736E94"/>
    <w:rsid w:val="1279351E"/>
    <w:rsid w:val="128F2D41"/>
    <w:rsid w:val="129077DE"/>
    <w:rsid w:val="12960DCE"/>
    <w:rsid w:val="12C60256"/>
    <w:rsid w:val="12CE4E68"/>
    <w:rsid w:val="12D3750A"/>
    <w:rsid w:val="12EF6AB8"/>
    <w:rsid w:val="13286CF2"/>
    <w:rsid w:val="134E5C22"/>
    <w:rsid w:val="13775B99"/>
    <w:rsid w:val="138A1793"/>
    <w:rsid w:val="138B18F3"/>
    <w:rsid w:val="13951726"/>
    <w:rsid w:val="13A15444"/>
    <w:rsid w:val="13BC5A7B"/>
    <w:rsid w:val="13ED5118"/>
    <w:rsid w:val="13F50E66"/>
    <w:rsid w:val="141A01E7"/>
    <w:rsid w:val="14377E57"/>
    <w:rsid w:val="14396509"/>
    <w:rsid w:val="143E60BA"/>
    <w:rsid w:val="1447165C"/>
    <w:rsid w:val="14475755"/>
    <w:rsid w:val="145255D4"/>
    <w:rsid w:val="14556DB3"/>
    <w:rsid w:val="145E70D4"/>
    <w:rsid w:val="146B50E8"/>
    <w:rsid w:val="14750D5A"/>
    <w:rsid w:val="147E33C3"/>
    <w:rsid w:val="14870A36"/>
    <w:rsid w:val="149A2AF2"/>
    <w:rsid w:val="149C34F4"/>
    <w:rsid w:val="14E86BD0"/>
    <w:rsid w:val="14FC21E4"/>
    <w:rsid w:val="15205755"/>
    <w:rsid w:val="152C7305"/>
    <w:rsid w:val="154701F2"/>
    <w:rsid w:val="15581F72"/>
    <w:rsid w:val="155B0F75"/>
    <w:rsid w:val="15604521"/>
    <w:rsid w:val="15646E47"/>
    <w:rsid w:val="15BA00E1"/>
    <w:rsid w:val="15CC2176"/>
    <w:rsid w:val="15CD25E7"/>
    <w:rsid w:val="15CE4223"/>
    <w:rsid w:val="15CE5420"/>
    <w:rsid w:val="15DA4676"/>
    <w:rsid w:val="161B6867"/>
    <w:rsid w:val="16220563"/>
    <w:rsid w:val="162623BA"/>
    <w:rsid w:val="162952E3"/>
    <w:rsid w:val="162C3809"/>
    <w:rsid w:val="16361310"/>
    <w:rsid w:val="164D0F49"/>
    <w:rsid w:val="164D1686"/>
    <w:rsid w:val="1691733D"/>
    <w:rsid w:val="1695644C"/>
    <w:rsid w:val="16C17BF4"/>
    <w:rsid w:val="16D01BC9"/>
    <w:rsid w:val="16D108B7"/>
    <w:rsid w:val="16F65FFD"/>
    <w:rsid w:val="170D06D9"/>
    <w:rsid w:val="170F179D"/>
    <w:rsid w:val="171A0D87"/>
    <w:rsid w:val="171C08A1"/>
    <w:rsid w:val="1724463E"/>
    <w:rsid w:val="17277927"/>
    <w:rsid w:val="173D173B"/>
    <w:rsid w:val="1764623E"/>
    <w:rsid w:val="176B1EA6"/>
    <w:rsid w:val="17735226"/>
    <w:rsid w:val="17754F34"/>
    <w:rsid w:val="177C3206"/>
    <w:rsid w:val="178611DC"/>
    <w:rsid w:val="17902473"/>
    <w:rsid w:val="17991C3C"/>
    <w:rsid w:val="17C11909"/>
    <w:rsid w:val="17C528EE"/>
    <w:rsid w:val="17CE1006"/>
    <w:rsid w:val="17D3708B"/>
    <w:rsid w:val="17D77582"/>
    <w:rsid w:val="17E41539"/>
    <w:rsid w:val="18112FB1"/>
    <w:rsid w:val="181459D7"/>
    <w:rsid w:val="18214C5F"/>
    <w:rsid w:val="183A374F"/>
    <w:rsid w:val="18420856"/>
    <w:rsid w:val="18666832"/>
    <w:rsid w:val="18832596"/>
    <w:rsid w:val="18955D8E"/>
    <w:rsid w:val="189844C9"/>
    <w:rsid w:val="18A36F6F"/>
    <w:rsid w:val="18AD6F38"/>
    <w:rsid w:val="18C15C1F"/>
    <w:rsid w:val="18C96881"/>
    <w:rsid w:val="18DA672E"/>
    <w:rsid w:val="18FD3358"/>
    <w:rsid w:val="1906512C"/>
    <w:rsid w:val="190A44F3"/>
    <w:rsid w:val="191653D9"/>
    <w:rsid w:val="19481E9C"/>
    <w:rsid w:val="19616ABA"/>
    <w:rsid w:val="196216A7"/>
    <w:rsid w:val="198549D1"/>
    <w:rsid w:val="199454D6"/>
    <w:rsid w:val="199832CB"/>
    <w:rsid w:val="199E4403"/>
    <w:rsid w:val="19A12E37"/>
    <w:rsid w:val="19B173EC"/>
    <w:rsid w:val="19BB08C0"/>
    <w:rsid w:val="19C534ED"/>
    <w:rsid w:val="19DD2CB2"/>
    <w:rsid w:val="1A127842"/>
    <w:rsid w:val="1A1C66C0"/>
    <w:rsid w:val="1A220073"/>
    <w:rsid w:val="1A307DAC"/>
    <w:rsid w:val="1A3B145C"/>
    <w:rsid w:val="1A407E0C"/>
    <w:rsid w:val="1A42393B"/>
    <w:rsid w:val="1A4C59BC"/>
    <w:rsid w:val="1A524411"/>
    <w:rsid w:val="1A5550F6"/>
    <w:rsid w:val="1A7570AC"/>
    <w:rsid w:val="1A8245D6"/>
    <w:rsid w:val="1A9952ED"/>
    <w:rsid w:val="1AC46E8C"/>
    <w:rsid w:val="1AD72F6D"/>
    <w:rsid w:val="1AEF014E"/>
    <w:rsid w:val="1AFE39A3"/>
    <w:rsid w:val="1B000BBA"/>
    <w:rsid w:val="1B046F80"/>
    <w:rsid w:val="1B3202FC"/>
    <w:rsid w:val="1B3267B5"/>
    <w:rsid w:val="1B3430F7"/>
    <w:rsid w:val="1B59213E"/>
    <w:rsid w:val="1B815128"/>
    <w:rsid w:val="1B825A10"/>
    <w:rsid w:val="1B8B7B95"/>
    <w:rsid w:val="1B8C4D6B"/>
    <w:rsid w:val="1BA764BE"/>
    <w:rsid w:val="1BAB0ADF"/>
    <w:rsid w:val="1BB13F6D"/>
    <w:rsid w:val="1BBC26CD"/>
    <w:rsid w:val="1BC10824"/>
    <w:rsid w:val="1BC25DC8"/>
    <w:rsid w:val="1BC4107F"/>
    <w:rsid w:val="1BD935D1"/>
    <w:rsid w:val="1BF133BC"/>
    <w:rsid w:val="1BF51C89"/>
    <w:rsid w:val="1C197B20"/>
    <w:rsid w:val="1C2C2182"/>
    <w:rsid w:val="1C2C7A15"/>
    <w:rsid w:val="1C574168"/>
    <w:rsid w:val="1C5E7925"/>
    <w:rsid w:val="1C765C9F"/>
    <w:rsid w:val="1C7669CC"/>
    <w:rsid w:val="1C864762"/>
    <w:rsid w:val="1C887FC8"/>
    <w:rsid w:val="1C8A55DB"/>
    <w:rsid w:val="1CA777C8"/>
    <w:rsid w:val="1CB514A9"/>
    <w:rsid w:val="1CC161ED"/>
    <w:rsid w:val="1CC61FCF"/>
    <w:rsid w:val="1CCD3268"/>
    <w:rsid w:val="1CE05A16"/>
    <w:rsid w:val="1CE3193D"/>
    <w:rsid w:val="1D1E5089"/>
    <w:rsid w:val="1D5F6196"/>
    <w:rsid w:val="1D6132A5"/>
    <w:rsid w:val="1D63465A"/>
    <w:rsid w:val="1D6A43DB"/>
    <w:rsid w:val="1D8E56D5"/>
    <w:rsid w:val="1DA46927"/>
    <w:rsid w:val="1DC63DF7"/>
    <w:rsid w:val="1DD145C1"/>
    <w:rsid w:val="1DEF48B1"/>
    <w:rsid w:val="1E053DEB"/>
    <w:rsid w:val="1E1E766F"/>
    <w:rsid w:val="1E473B8F"/>
    <w:rsid w:val="1E5168F6"/>
    <w:rsid w:val="1E635082"/>
    <w:rsid w:val="1E6432D4"/>
    <w:rsid w:val="1E732AF6"/>
    <w:rsid w:val="1E7A43DA"/>
    <w:rsid w:val="1E932132"/>
    <w:rsid w:val="1E9828AC"/>
    <w:rsid w:val="1EB26E5D"/>
    <w:rsid w:val="1EB277FE"/>
    <w:rsid w:val="1ED15AF8"/>
    <w:rsid w:val="1F1419B3"/>
    <w:rsid w:val="1F246799"/>
    <w:rsid w:val="1F26796B"/>
    <w:rsid w:val="1F3904D5"/>
    <w:rsid w:val="1F606B81"/>
    <w:rsid w:val="1F64759C"/>
    <w:rsid w:val="1F7832BB"/>
    <w:rsid w:val="1F882B80"/>
    <w:rsid w:val="1F9F1DE5"/>
    <w:rsid w:val="1FBD6E1F"/>
    <w:rsid w:val="1FC2787D"/>
    <w:rsid w:val="1FE7539E"/>
    <w:rsid w:val="1FFB37C4"/>
    <w:rsid w:val="1FFB7C68"/>
    <w:rsid w:val="200F56D3"/>
    <w:rsid w:val="20105ECA"/>
    <w:rsid w:val="202135FA"/>
    <w:rsid w:val="202F1927"/>
    <w:rsid w:val="203F2581"/>
    <w:rsid w:val="20611216"/>
    <w:rsid w:val="20825115"/>
    <w:rsid w:val="20883E97"/>
    <w:rsid w:val="20895274"/>
    <w:rsid w:val="20963CB8"/>
    <w:rsid w:val="209677A6"/>
    <w:rsid w:val="20A7394C"/>
    <w:rsid w:val="20AA62AC"/>
    <w:rsid w:val="20B07FB6"/>
    <w:rsid w:val="20D02EA3"/>
    <w:rsid w:val="20D45886"/>
    <w:rsid w:val="20E5555B"/>
    <w:rsid w:val="20EC77BF"/>
    <w:rsid w:val="21063FC7"/>
    <w:rsid w:val="21360DC6"/>
    <w:rsid w:val="213B74B1"/>
    <w:rsid w:val="213D4223"/>
    <w:rsid w:val="215A2310"/>
    <w:rsid w:val="216658D2"/>
    <w:rsid w:val="216830DB"/>
    <w:rsid w:val="216D248C"/>
    <w:rsid w:val="21897DBB"/>
    <w:rsid w:val="218D380F"/>
    <w:rsid w:val="219552A7"/>
    <w:rsid w:val="21A25DD1"/>
    <w:rsid w:val="21C22E7F"/>
    <w:rsid w:val="21D45DE6"/>
    <w:rsid w:val="21D97B35"/>
    <w:rsid w:val="21DE318A"/>
    <w:rsid w:val="21EF5B80"/>
    <w:rsid w:val="21F93BC8"/>
    <w:rsid w:val="22010FDF"/>
    <w:rsid w:val="220D3C83"/>
    <w:rsid w:val="22576990"/>
    <w:rsid w:val="22757749"/>
    <w:rsid w:val="22794E74"/>
    <w:rsid w:val="229C4EAB"/>
    <w:rsid w:val="22AE0C5F"/>
    <w:rsid w:val="22B23823"/>
    <w:rsid w:val="22C51B6E"/>
    <w:rsid w:val="22C96BB4"/>
    <w:rsid w:val="22CB3F5D"/>
    <w:rsid w:val="22CF718A"/>
    <w:rsid w:val="22DA23E2"/>
    <w:rsid w:val="22EE3E9B"/>
    <w:rsid w:val="23035EA9"/>
    <w:rsid w:val="2309444A"/>
    <w:rsid w:val="23166730"/>
    <w:rsid w:val="23203542"/>
    <w:rsid w:val="23362D72"/>
    <w:rsid w:val="236D2C2B"/>
    <w:rsid w:val="236D4403"/>
    <w:rsid w:val="23737D01"/>
    <w:rsid w:val="23827156"/>
    <w:rsid w:val="238D46E4"/>
    <w:rsid w:val="238F1D10"/>
    <w:rsid w:val="23953573"/>
    <w:rsid w:val="23C14D25"/>
    <w:rsid w:val="23C46D54"/>
    <w:rsid w:val="23C47A74"/>
    <w:rsid w:val="23C73B1B"/>
    <w:rsid w:val="23F15571"/>
    <w:rsid w:val="24134F0B"/>
    <w:rsid w:val="2424436B"/>
    <w:rsid w:val="24486D5C"/>
    <w:rsid w:val="24586973"/>
    <w:rsid w:val="245D1BD9"/>
    <w:rsid w:val="246D6C5B"/>
    <w:rsid w:val="247A6A25"/>
    <w:rsid w:val="24804B18"/>
    <w:rsid w:val="248975AD"/>
    <w:rsid w:val="24A878BD"/>
    <w:rsid w:val="24B1044B"/>
    <w:rsid w:val="24B12ABC"/>
    <w:rsid w:val="24ED7441"/>
    <w:rsid w:val="24EE7D9B"/>
    <w:rsid w:val="24FE78B3"/>
    <w:rsid w:val="250A27B1"/>
    <w:rsid w:val="252830C1"/>
    <w:rsid w:val="252D53FE"/>
    <w:rsid w:val="254F125D"/>
    <w:rsid w:val="255F0C6E"/>
    <w:rsid w:val="256E1EA7"/>
    <w:rsid w:val="258C4EBE"/>
    <w:rsid w:val="25B81091"/>
    <w:rsid w:val="25C15374"/>
    <w:rsid w:val="25EC2D81"/>
    <w:rsid w:val="25EE4EC1"/>
    <w:rsid w:val="25F17E48"/>
    <w:rsid w:val="26032D97"/>
    <w:rsid w:val="260D3D3C"/>
    <w:rsid w:val="26357304"/>
    <w:rsid w:val="263B7010"/>
    <w:rsid w:val="264528BD"/>
    <w:rsid w:val="265B3DF5"/>
    <w:rsid w:val="265C0D35"/>
    <w:rsid w:val="265E4AAD"/>
    <w:rsid w:val="265F14A3"/>
    <w:rsid w:val="26721FBD"/>
    <w:rsid w:val="26A56238"/>
    <w:rsid w:val="26CC6975"/>
    <w:rsid w:val="26DB5FC7"/>
    <w:rsid w:val="26EE562D"/>
    <w:rsid w:val="26F80972"/>
    <w:rsid w:val="26FF2C9C"/>
    <w:rsid w:val="27171767"/>
    <w:rsid w:val="272343DC"/>
    <w:rsid w:val="2724127C"/>
    <w:rsid w:val="27335FDD"/>
    <w:rsid w:val="27340FD7"/>
    <w:rsid w:val="27661C4E"/>
    <w:rsid w:val="27695881"/>
    <w:rsid w:val="27821EC9"/>
    <w:rsid w:val="2785219A"/>
    <w:rsid w:val="27AC1848"/>
    <w:rsid w:val="27B0569E"/>
    <w:rsid w:val="27B77C28"/>
    <w:rsid w:val="27C3506D"/>
    <w:rsid w:val="27D15DD1"/>
    <w:rsid w:val="27DB76F9"/>
    <w:rsid w:val="280107B4"/>
    <w:rsid w:val="280F3966"/>
    <w:rsid w:val="280F4E65"/>
    <w:rsid w:val="28120712"/>
    <w:rsid w:val="2816159A"/>
    <w:rsid w:val="282E405C"/>
    <w:rsid w:val="283D58BA"/>
    <w:rsid w:val="283E5C4B"/>
    <w:rsid w:val="287556F2"/>
    <w:rsid w:val="28924926"/>
    <w:rsid w:val="28944720"/>
    <w:rsid w:val="2896364A"/>
    <w:rsid w:val="28A76295"/>
    <w:rsid w:val="2916341D"/>
    <w:rsid w:val="29206EB8"/>
    <w:rsid w:val="29223BD4"/>
    <w:rsid w:val="29230EE1"/>
    <w:rsid w:val="292E4C0A"/>
    <w:rsid w:val="296044D3"/>
    <w:rsid w:val="296E1FD7"/>
    <w:rsid w:val="297C2A05"/>
    <w:rsid w:val="297C2B4D"/>
    <w:rsid w:val="29963B3D"/>
    <w:rsid w:val="29A6389C"/>
    <w:rsid w:val="29C54E43"/>
    <w:rsid w:val="29C7422F"/>
    <w:rsid w:val="29CA4B8D"/>
    <w:rsid w:val="29E325E0"/>
    <w:rsid w:val="2A111BBA"/>
    <w:rsid w:val="2A156FFA"/>
    <w:rsid w:val="2A1927CF"/>
    <w:rsid w:val="2A452503"/>
    <w:rsid w:val="2A461F23"/>
    <w:rsid w:val="2A4C4BE5"/>
    <w:rsid w:val="2A5C7555"/>
    <w:rsid w:val="2A73719B"/>
    <w:rsid w:val="2A9F6E40"/>
    <w:rsid w:val="2AA03D05"/>
    <w:rsid w:val="2AAD6003"/>
    <w:rsid w:val="2ABB0A6C"/>
    <w:rsid w:val="2AD217A2"/>
    <w:rsid w:val="2AE055CA"/>
    <w:rsid w:val="2AEA7171"/>
    <w:rsid w:val="2B035C23"/>
    <w:rsid w:val="2B1240B8"/>
    <w:rsid w:val="2B165705"/>
    <w:rsid w:val="2B3B360F"/>
    <w:rsid w:val="2BA57E24"/>
    <w:rsid w:val="2BA85397"/>
    <w:rsid w:val="2BA936A8"/>
    <w:rsid w:val="2BBB4072"/>
    <w:rsid w:val="2BCE6522"/>
    <w:rsid w:val="2BDF3F0E"/>
    <w:rsid w:val="2BFE2949"/>
    <w:rsid w:val="2C0B3B29"/>
    <w:rsid w:val="2C113CE1"/>
    <w:rsid w:val="2C2D1D71"/>
    <w:rsid w:val="2C2F1949"/>
    <w:rsid w:val="2C315A5A"/>
    <w:rsid w:val="2C3165D7"/>
    <w:rsid w:val="2C3F5C19"/>
    <w:rsid w:val="2C6C7279"/>
    <w:rsid w:val="2C801934"/>
    <w:rsid w:val="2C813804"/>
    <w:rsid w:val="2C8C35AA"/>
    <w:rsid w:val="2C907B46"/>
    <w:rsid w:val="2C923C0C"/>
    <w:rsid w:val="2CA07176"/>
    <w:rsid w:val="2CA84CAA"/>
    <w:rsid w:val="2CB561BD"/>
    <w:rsid w:val="2CDA585C"/>
    <w:rsid w:val="2CE33A5F"/>
    <w:rsid w:val="2CE46656"/>
    <w:rsid w:val="2D031F0A"/>
    <w:rsid w:val="2D1C2904"/>
    <w:rsid w:val="2D214A86"/>
    <w:rsid w:val="2D492DB9"/>
    <w:rsid w:val="2D5C59D6"/>
    <w:rsid w:val="2D6D5C98"/>
    <w:rsid w:val="2D842796"/>
    <w:rsid w:val="2D921791"/>
    <w:rsid w:val="2D981A9F"/>
    <w:rsid w:val="2D9E56F5"/>
    <w:rsid w:val="2D9E60D7"/>
    <w:rsid w:val="2DA10DD0"/>
    <w:rsid w:val="2DBB7E23"/>
    <w:rsid w:val="2DCA0C7A"/>
    <w:rsid w:val="2DD02CED"/>
    <w:rsid w:val="2DEB19C0"/>
    <w:rsid w:val="2E0903C4"/>
    <w:rsid w:val="2E163DF8"/>
    <w:rsid w:val="2E1A575D"/>
    <w:rsid w:val="2E482E0D"/>
    <w:rsid w:val="2E59496A"/>
    <w:rsid w:val="2E667F96"/>
    <w:rsid w:val="2E716C3A"/>
    <w:rsid w:val="2E813A2E"/>
    <w:rsid w:val="2E8226AB"/>
    <w:rsid w:val="2EA97C9B"/>
    <w:rsid w:val="2EC45323"/>
    <w:rsid w:val="2ED66A29"/>
    <w:rsid w:val="2EF34C4B"/>
    <w:rsid w:val="2F444C9A"/>
    <w:rsid w:val="2F4F2BF6"/>
    <w:rsid w:val="2F6056DE"/>
    <w:rsid w:val="2F677BD1"/>
    <w:rsid w:val="2F6916AA"/>
    <w:rsid w:val="2F6A6F3F"/>
    <w:rsid w:val="2F832C79"/>
    <w:rsid w:val="2FE20ECB"/>
    <w:rsid w:val="2FEF2D58"/>
    <w:rsid w:val="30103067"/>
    <w:rsid w:val="3016316E"/>
    <w:rsid w:val="301914A6"/>
    <w:rsid w:val="303B1D8C"/>
    <w:rsid w:val="30580BC9"/>
    <w:rsid w:val="306236DA"/>
    <w:rsid w:val="30662EDC"/>
    <w:rsid w:val="306E2476"/>
    <w:rsid w:val="307775C1"/>
    <w:rsid w:val="30807D0F"/>
    <w:rsid w:val="309E6346"/>
    <w:rsid w:val="30DF62C7"/>
    <w:rsid w:val="30F77C75"/>
    <w:rsid w:val="31184CE2"/>
    <w:rsid w:val="311E2ED7"/>
    <w:rsid w:val="31304586"/>
    <w:rsid w:val="313558AC"/>
    <w:rsid w:val="313855F1"/>
    <w:rsid w:val="313C1E8F"/>
    <w:rsid w:val="31490EED"/>
    <w:rsid w:val="314A45AB"/>
    <w:rsid w:val="315C449C"/>
    <w:rsid w:val="31602870"/>
    <w:rsid w:val="31794357"/>
    <w:rsid w:val="318416EF"/>
    <w:rsid w:val="31850E90"/>
    <w:rsid w:val="31966E80"/>
    <w:rsid w:val="3197127B"/>
    <w:rsid w:val="319C0B7F"/>
    <w:rsid w:val="31B82709"/>
    <w:rsid w:val="31BD4A2C"/>
    <w:rsid w:val="31D2535D"/>
    <w:rsid w:val="31FC6025"/>
    <w:rsid w:val="31FD48C6"/>
    <w:rsid w:val="32056A82"/>
    <w:rsid w:val="321E639F"/>
    <w:rsid w:val="323F30EA"/>
    <w:rsid w:val="32400B34"/>
    <w:rsid w:val="3277593D"/>
    <w:rsid w:val="32843DF1"/>
    <w:rsid w:val="329217C9"/>
    <w:rsid w:val="32953A89"/>
    <w:rsid w:val="329E6876"/>
    <w:rsid w:val="32B16170"/>
    <w:rsid w:val="32BA5629"/>
    <w:rsid w:val="32E479AB"/>
    <w:rsid w:val="332130EA"/>
    <w:rsid w:val="3333520F"/>
    <w:rsid w:val="334100E2"/>
    <w:rsid w:val="336A1A14"/>
    <w:rsid w:val="336F4286"/>
    <w:rsid w:val="33923D3D"/>
    <w:rsid w:val="3396053C"/>
    <w:rsid w:val="339731A0"/>
    <w:rsid w:val="339C6C14"/>
    <w:rsid w:val="33AC63B4"/>
    <w:rsid w:val="33B26FA6"/>
    <w:rsid w:val="33D53B72"/>
    <w:rsid w:val="33D934D4"/>
    <w:rsid w:val="33E472C3"/>
    <w:rsid w:val="33E52FA1"/>
    <w:rsid w:val="33EE2197"/>
    <w:rsid w:val="33F660E8"/>
    <w:rsid w:val="33F8502F"/>
    <w:rsid w:val="33FE2F6A"/>
    <w:rsid w:val="340B1BE9"/>
    <w:rsid w:val="34117416"/>
    <w:rsid w:val="34197824"/>
    <w:rsid w:val="342713F4"/>
    <w:rsid w:val="342A2472"/>
    <w:rsid w:val="342E7216"/>
    <w:rsid w:val="34691A70"/>
    <w:rsid w:val="347265DB"/>
    <w:rsid w:val="348F1BDE"/>
    <w:rsid w:val="34974931"/>
    <w:rsid w:val="349E333C"/>
    <w:rsid w:val="34A118FF"/>
    <w:rsid w:val="34B8182C"/>
    <w:rsid w:val="34D81ECE"/>
    <w:rsid w:val="350967BD"/>
    <w:rsid w:val="350B691C"/>
    <w:rsid w:val="35491BD9"/>
    <w:rsid w:val="35614940"/>
    <w:rsid w:val="35831767"/>
    <w:rsid w:val="358374A7"/>
    <w:rsid w:val="359F5039"/>
    <w:rsid w:val="359F6611"/>
    <w:rsid w:val="35AE5DEE"/>
    <w:rsid w:val="35E24456"/>
    <w:rsid w:val="35E949AD"/>
    <w:rsid w:val="36074A7F"/>
    <w:rsid w:val="360945A4"/>
    <w:rsid w:val="36107446"/>
    <w:rsid w:val="361D5769"/>
    <w:rsid w:val="362F3A4D"/>
    <w:rsid w:val="36361FEC"/>
    <w:rsid w:val="3667350A"/>
    <w:rsid w:val="366D0D29"/>
    <w:rsid w:val="36923549"/>
    <w:rsid w:val="36B75FBF"/>
    <w:rsid w:val="36B77CE8"/>
    <w:rsid w:val="36B8487B"/>
    <w:rsid w:val="36BE7876"/>
    <w:rsid w:val="36E030CE"/>
    <w:rsid w:val="36FB4891"/>
    <w:rsid w:val="37162CA1"/>
    <w:rsid w:val="37166CDE"/>
    <w:rsid w:val="37177E1B"/>
    <w:rsid w:val="371972A5"/>
    <w:rsid w:val="3723490B"/>
    <w:rsid w:val="37346E22"/>
    <w:rsid w:val="3737640B"/>
    <w:rsid w:val="37482E8A"/>
    <w:rsid w:val="374A3AED"/>
    <w:rsid w:val="37615898"/>
    <w:rsid w:val="3772660A"/>
    <w:rsid w:val="377F033F"/>
    <w:rsid w:val="378749FA"/>
    <w:rsid w:val="378C1261"/>
    <w:rsid w:val="378E0F6A"/>
    <w:rsid w:val="37916E18"/>
    <w:rsid w:val="37923DC9"/>
    <w:rsid w:val="37961A4D"/>
    <w:rsid w:val="37AF5632"/>
    <w:rsid w:val="37B947E7"/>
    <w:rsid w:val="37D800AA"/>
    <w:rsid w:val="37EA6EBE"/>
    <w:rsid w:val="37F36451"/>
    <w:rsid w:val="37F9032E"/>
    <w:rsid w:val="38042FD6"/>
    <w:rsid w:val="382A2218"/>
    <w:rsid w:val="382B0567"/>
    <w:rsid w:val="38304BA3"/>
    <w:rsid w:val="385F45BE"/>
    <w:rsid w:val="387A7301"/>
    <w:rsid w:val="38803E9D"/>
    <w:rsid w:val="3894603B"/>
    <w:rsid w:val="38A43AD0"/>
    <w:rsid w:val="38A91071"/>
    <w:rsid w:val="38C868F6"/>
    <w:rsid w:val="38CF6F69"/>
    <w:rsid w:val="38DA751E"/>
    <w:rsid w:val="38E54BBA"/>
    <w:rsid w:val="38F12CD3"/>
    <w:rsid w:val="38F47066"/>
    <w:rsid w:val="38F94775"/>
    <w:rsid w:val="39020A10"/>
    <w:rsid w:val="390A6409"/>
    <w:rsid w:val="390C55B1"/>
    <w:rsid w:val="391A6EAA"/>
    <w:rsid w:val="392971ED"/>
    <w:rsid w:val="392C6831"/>
    <w:rsid w:val="392D6269"/>
    <w:rsid w:val="39316051"/>
    <w:rsid w:val="394332ED"/>
    <w:rsid w:val="39482A81"/>
    <w:rsid w:val="395960C9"/>
    <w:rsid w:val="398A32F4"/>
    <w:rsid w:val="399436D2"/>
    <w:rsid w:val="399C4100"/>
    <w:rsid w:val="39A7241F"/>
    <w:rsid w:val="39BD4334"/>
    <w:rsid w:val="39C24EFB"/>
    <w:rsid w:val="39D30EB6"/>
    <w:rsid w:val="39DE2DAD"/>
    <w:rsid w:val="39E210F9"/>
    <w:rsid w:val="39F02433"/>
    <w:rsid w:val="3A121975"/>
    <w:rsid w:val="3A253B5C"/>
    <w:rsid w:val="3A2F6E47"/>
    <w:rsid w:val="3A304D85"/>
    <w:rsid w:val="3A655FB2"/>
    <w:rsid w:val="3A6A767D"/>
    <w:rsid w:val="3A792D38"/>
    <w:rsid w:val="3AAF7B70"/>
    <w:rsid w:val="3AB42A96"/>
    <w:rsid w:val="3AE3204D"/>
    <w:rsid w:val="3B014A93"/>
    <w:rsid w:val="3B320E8D"/>
    <w:rsid w:val="3B3616FD"/>
    <w:rsid w:val="3B3763D1"/>
    <w:rsid w:val="3B582E1E"/>
    <w:rsid w:val="3B5B576D"/>
    <w:rsid w:val="3B5D58D4"/>
    <w:rsid w:val="3B6816D8"/>
    <w:rsid w:val="3B697CF5"/>
    <w:rsid w:val="3B7848F3"/>
    <w:rsid w:val="3B853517"/>
    <w:rsid w:val="3B935CDD"/>
    <w:rsid w:val="3B971BE6"/>
    <w:rsid w:val="3B9755D7"/>
    <w:rsid w:val="3BA23004"/>
    <w:rsid w:val="3BA47BA1"/>
    <w:rsid w:val="3BBA02E0"/>
    <w:rsid w:val="3BDD4151"/>
    <w:rsid w:val="3C022F1B"/>
    <w:rsid w:val="3C0E030A"/>
    <w:rsid w:val="3C16040A"/>
    <w:rsid w:val="3C2F1D1B"/>
    <w:rsid w:val="3C763519"/>
    <w:rsid w:val="3C9031B9"/>
    <w:rsid w:val="3CAF17E7"/>
    <w:rsid w:val="3CB23BBC"/>
    <w:rsid w:val="3CC01BC6"/>
    <w:rsid w:val="3CD27226"/>
    <w:rsid w:val="3CDA245A"/>
    <w:rsid w:val="3CE53779"/>
    <w:rsid w:val="3CEE0A37"/>
    <w:rsid w:val="3CF1603F"/>
    <w:rsid w:val="3CF950D8"/>
    <w:rsid w:val="3D0B619B"/>
    <w:rsid w:val="3D0C6BB9"/>
    <w:rsid w:val="3D164CBE"/>
    <w:rsid w:val="3D1D0DC6"/>
    <w:rsid w:val="3D295850"/>
    <w:rsid w:val="3D343A76"/>
    <w:rsid w:val="3D3703C7"/>
    <w:rsid w:val="3D371198"/>
    <w:rsid w:val="3D3C05D3"/>
    <w:rsid w:val="3D483969"/>
    <w:rsid w:val="3D4E66AD"/>
    <w:rsid w:val="3D5E72E1"/>
    <w:rsid w:val="3D6E3062"/>
    <w:rsid w:val="3D7F21CE"/>
    <w:rsid w:val="3D831787"/>
    <w:rsid w:val="3D8517BA"/>
    <w:rsid w:val="3D883510"/>
    <w:rsid w:val="3D8C3369"/>
    <w:rsid w:val="3D950CBD"/>
    <w:rsid w:val="3DD340EC"/>
    <w:rsid w:val="3DFE0B23"/>
    <w:rsid w:val="3E036D99"/>
    <w:rsid w:val="3E0E5BB0"/>
    <w:rsid w:val="3E1C3B38"/>
    <w:rsid w:val="3E3A750F"/>
    <w:rsid w:val="3E491824"/>
    <w:rsid w:val="3E4C4F04"/>
    <w:rsid w:val="3E615292"/>
    <w:rsid w:val="3E780225"/>
    <w:rsid w:val="3E840A3D"/>
    <w:rsid w:val="3E923FE9"/>
    <w:rsid w:val="3EAA270B"/>
    <w:rsid w:val="3EB05EF1"/>
    <w:rsid w:val="3ECD05CA"/>
    <w:rsid w:val="3EE55913"/>
    <w:rsid w:val="3EED6196"/>
    <w:rsid w:val="3EF75647"/>
    <w:rsid w:val="3F10435E"/>
    <w:rsid w:val="3F1A6B7C"/>
    <w:rsid w:val="3F29225B"/>
    <w:rsid w:val="3F3372C6"/>
    <w:rsid w:val="3F3D7BE8"/>
    <w:rsid w:val="3F660E74"/>
    <w:rsid w:val="3F71488F"/>
    <w:rsid w:val="3F86087E"/>
    <w:rsid w:val="3FE673A7"/>
    <w:rsid w:val="3FFC248D"/>
    <w:rsid w:val="400A2F55"/>
    <w:rsid w:val="40307C5E"/>
    <w:rsid w:val="405465FD"/>
    <w:rsid w:val="40647F06"/>
    <w:rsid w:val="40713C8B"/>
    <w:rsid w:val="4079618D"/>
    <w:rsid w:val="407A6407"/>
    <w:rsid w:val="40A823FF"/>
    <w:rsid w:val="40AE0330"/>
    <w:rsid w:val="40B732E0"/>
    <w:rsid w:val="40BC6B48"/>
    <w:rsid w:val="40DC2D46"/>
    <w:rsid w:val="410A5D60"/>
    <w:rsid w:val="41270C1B"/>
    <w:rsid w:val="413B1439"/>
    <w:rsid w:val="415131CB"/>
    <w:rsid w:val="41560DD0"/>
    <w:rsid w:val="415702E0"/>
    <w:rsid w:val="4159130B"/>
    <w:rsid w:val="416C5E78"/>
    <w:rsid w:val="41814577"/>
    <w:rsid w:val="418A40DA"/>
    <w:rsid w:val="41A4267C"/>
    <w:rsid w:val="41A75102"/>
    <w:rsid w:val="41B31CF9"/>
    <w:rsid w:val="41D60885"/>
    <w:rsid w:val="41DF69BD"/>
    <w:rsid w:val="420049FD"/>
    <w:rsid w:val="42054F0F"/>
    <w:rsid w:val="42071629"/>
    <w:rsid w:val="421A1C49"/>
    <w:rsid w:val="423A3BCC"/>
    <w:rsid w:val="423B30A8"/>
    <w:rsid w:val="42535488"/>
    <w:rsid w:val="42562624"/>
    <w:rsid w:val="427E6FF7"/>
    <w:rsid w:val="42821F12"/>
    <w:rsid w:val="42870A90"/>
    <w:rsid w:val="42B63BD6"/>
    <w:rsid w:val="430C7F46"/>
    <w:rsid w:val="43150DBB"/>
    <w:rsid w:val="431C38CE"/>
    <w:rsid w:val="432B0845"/>
    <w:rsid w:val="432B52F7"/>
    <w:rsid w:val="432B5830"/>
    <w:rsid w:val="433A6FE6"/>
    <w:rsid w:val="43431778"/>
    <w:rsid w:val="434844DE"/>
    <w:rsid w:val="4350713C"/>
    <w:rsid w:val="436653E0"/>
    <w:rsid w:val="436E72E2"/>
    <w:rsid w:val="437833E7"/>
    <w:rsid w:val="438230AB"/>
    <w:rsid w:val="43AC6A00"/>
    <w:rsid w:val="43BB49FE"/>
    <w:rsid w:val="43C33DCA"/>
    <w:rsid w:val="43C346CA"/>
    <w:rsid w:val="43C35C1B"/>
    <w:rsid w:val="43D75300"/>
    <w:rsid w:val="43E56907"/>
    <w:rsid w:val="43F2077F"/>
    <w:rsid w:val="440467FC"/>
    <w:rsid w:val="440B10FC"/>
    <w:rsid w:val="441C1C24"/>
    <w:rsid w:val="4477557D"/>
    <w:rsid w:val="448B3E4F"/>
    <w:rsid w:val="448F2567"/>
    <w:rsid w:val="4499153B"/>
    <w:rsid w:val="44A616A1"/>
    <w:rsid w:val="44B459CC"/>
    <w:rsid w:val="44BC3FEE"/>
    <w:rsid w:val="44C33ACC"/>
    <w:rsid w:val="44C935E1"/>
    <w:rsid w:val="44CD14E0"/>
    <w:rsid w:val="44DE20BF"/>
    <w:rsid w:val="44F75334"/>
    <w:rsid w:val="4515575F"/>
    <w:rsid w:val="452F5B3A"/>
    <w:rsid w:val="45344BF2"/>
    <w:rsid w:val="454406F1"/>
    <w:rsid w:val="455A27D4"/>
    <w:rsid w:val="457272D0"/>
    <w:rsid w:val="45737E49"/>
    <w:rsid w:val="45857895"/>
    <w:rsid w:val="458946E9"/>
    <w:rsid w:val="45AC442D"/>
    <w:rsid w:val="45B147A1"/>
    <w:rsid w:val="45BC6CA2"/>
    <w:rsid w:val="45CB49F3"/>
    <w:rsid w:val="45D205E0"/>
    <w:rsid w:val="45F955F7"/>
    <w:rsid w:val="45FB14C5"/>
    <w:rsid w:val="46121554"/>
    <w:rsid w:val="46164604"/>
    <w:rsid w:val="461F17AF"/>
    <w:rsid w:val="46363FA1"/>
    <w:rsid w:val="465852A6"/>
    <w:rsid w:val="469E55F6"/>
    <w:rsid w:val="46C03441"/>
    <w:rsid w:val="46C04E5C"/>
    <w:rsid w:val="46C53F32"/>
    <w:rsid w:val="46CA3945"/>
    <w:rsid w:val="46CF693C"/>
    <w:rsid w:val="46D7195E"/>
    <w:rsid w:val="46D955A7"/>
    <w:rsid w:val="471274C2"/>
    <w:rsid w:val="47133957"/>
    <w:rsid w:val="471C7124"/>
    <w:rsid w:val="472E597E"/>
    <w:rsid w:val="47372589"/>
    <w:rsid w:val="474A2312"/>
    <w:rsid w:val="47635578"/>
    <w:rsid w:val="4779329E"/>
    <w:rsid w:val="477F3284"/>
    <w:rsid w:val="477F442B"/>
    <w:rsid w:val="479B0BA0"/>
    <w:rsid w:val="47A07E0C"/>
    <w:rsid w:val="47B30B8F"/>
    <w:rsid w:val="47B576EE"/>
    <w:rsid w:val="47BF0CC8"/>
    <w:rsid w:val="47C86F90"/>
    <w:rsid w:val="47D96394"/>
    <w:rsid w:val="47DB6159"/>
    <w:rsid w:val="481C6EE1"/>
    <w:rsid w:val="481D6B0C"/>
    <w:rsid w:val="48376AB4"/>
    <w:rsid w:val="483A5C59"/>
    <w:rsid w:val="4842667B"/>
    <w:rsid w:val="48585234"/>
    <w:rsid w:val="48585B34"/>
    <w:rsid w:val="486C4F5F"/>
    <w:rsid w:val="4870272E"/>
    <w:rsid w:val="48970A41"/>
    <w:rsid w:val="48B1464B"/>
    <w:rsid w:val="48BE0884"/>
    <w:rsid w:val="48BF5427"/>
    <w:rsid w:val="48C040AA"/>
    <w:rsid w:val="48DC7D87"/>
    <w:rsid w:val="48EE5D90"/>
    <w:rsid w:val="48FA4F21"/>
    <w:rsid w:val="49090450"/>
    <w:rsid w:val="491B7F95"/>
    <w:rsid w:val="494A2E8F"/>
    <w:rsid w:val="49683266"/>
    <w:rsid w:val="49AE7234"/>
    <w:rsid w:val="49BE129E"/>
    <w:rsid w:val="49C32CF5"/>
    <w:rsid w:val="49CD6A5C"/>
    <w:rsid w:val="49D17C2D"/>
    <w:rsid w:val="49D561EC"/>
    <w:rsid w:val="49DC7715"/>
    <w:rsid w:val="49DE39FB"/>
    <w:rsid w:val="4A023139"/>
    <w:rsid w:val="4A072E04"/>
    <w:rsid w:val="4A1277D9"/>
    <w:rsid w:val="4A27689B"/>
    <w:rsid w:val="4A2B058E"/>
    <w:rsid w:val="4A314103"/>
    <w:rsid w:val="4A3B25F9"/>
    <w:rsid w:val="4A482542"/>
    <w:rsid w:val="4A536BCB"/>
    <w:rsid w:val="4A71383E"/>
    <w:rsid w:val="4A735A25"/>
    <w:rsid w:val="4A783D80"/>
    <w:rsid w:val="4A7B576F"/>
    <w:rsid w:val="4A852A36"/>
    <w:rsid w:val="4A9140FF"/>
    <w:rsid w:val="4A9F2732"/>
    <w:rsid w:val="4AD40244"/>
    <w:rsid w:val="4ADE70CD"/>
    <w:rsid w:val="4AEC7372"/>
    <w:rsid w:val="4AEF3676"/>
    <w:rsid w:val="4AFB5971"/>
    <w:rsid w:val="4B035107"/>
    <w:rsid w:val="4B0D32E2"/>
    <w:rsid w:val="4B0D4E47"/>
    <w:rsid w:val="4B1347E5"/>
    <w:rsid w:val="4B137A40"/>
    <w:rsid w:val="4B187071"/>
    <w:rsid w:val="4B2012CE"/>
    <w:rsid w:val="4B715842"/>
    <w:rsid w:val="4B7C1CC0"/>
    <w:rsid w:val="4B8245DA"/>
    <w:rsid w:val="4B8A1D1C"/>
    <w:rsid w:val="4BA24238"/>
    <w:rsid w:val="4BAD7871"/>
    <w:rsid w:val="4BB5666E"/>
    <w:rsid w:val="4BBC5C4E"/>
    <w:rsid w:val="4BCC79C4"/>
    <w:rsid w:val="4BE36845"/>
    <w:rsid w:val="4BEE116E"/>
    <w:rsid w:val="4BFD0FED"/>
    <w:rsid w:val="4BFE4852"/>
    <w:rsid w:val="4BFE6267"/>
    <w:rsid w:val="4C2C2250"/>
    <w:rsid w:val="4C4A0649"/>
    <w:rsid w:val="4C567718"/>
    <w:rsid w:val="4C9B26B3"/>
    <w:rsid w:val="4C9E49B2"/>
    <w:rsid w:val="4CA76B27"/>
    <w:rsid w:val="4CAB40AA"/>
    <w:rsid w:val="4CAF7561"/>
    <w:rsid w:val="4CCD186E"/>
    <w:rsid w:val="4CD2055C"/>
    <w:rsid w:val="4CD7062B"/>
    <w:rsid w:val="4CE470D3"/>
    <w:rsid w:val="4CEA0CFB"/>
    <w:rsid w:val="4D003831"/>
    <w:rsid w:val="4D1C7F38"/>
    <w:rsid w:val="4D1F7DF0"/>
    <w:rsid w:val="4D250793"/>
    <w:rsid w:val="4D2D60B9"/>
    <w:rsid w:val="4D3F453D"/>
    <w:rsid w:val="4D6632B1"/>
    <w:rsid w:val="4D665E71"/>
    <w:rsid w:val="4D726C18"/>
    <w:rsid w:val="4D9E5C73"/>
    <w:rsid w:val="4D9F3131"/>
    <w:rsid w:val="4DA651AE"/>
    <w:rsid w:val="4DC969B3"/>
    <w:rsid w:val="4DCA28A4"/>
    <w:rsid w:val="4DCB2A58"/>
    <w:rsid w:val="4DEC4FB0"/>
    <w:rsid w:val="4E075D8A"/>
    <w:rsid w:val="4E0B5312"/>
    <w:rsid w:val="4E506598"/>
    <w:rsid w:val="4E5A0417"/>
    <w:rsid w:val="4E611B9A"/>
    <w:rsid w:val="4E6C07EA"/>
    <w:rsid w:val="4E73286E"/>
    <w:rsid w:val="4E9609D8"/>
    <w:rsid w:val="4E9E7AAE"/>
    <w:rsid w:val="4E9F0C87"/>
    <w:rsid w:val="4EB127EA"/>
    <w:rsid w:val="4EBA70BD"/>
    <w:rsid w:val="4ECC660A"/>
    <w:rsid w:val="4EF525D6"/>
    <w:rsid w:val="4F29214E"/>
    <w:rsid w:val="4F5B33BA"/>
    <w:rsid w:val="4F7A3479"/>
    <w:rsid w:val="4F991859"/>
    <w:rsid w:val="4F9F68AD"/>
    <w:rsid w:val="4FA107F2"/>
    <w:rsid w:val="4FA267CB"/>
    <w:rsid w:val="4FAC7DC3"/>
    <w:rsid w:val="4FB27BB5"/>
    <w:rsid w:val="4FC44945"/>
    <w:rsid w:val="4FC62A8C"/>
    <w:rsid w:val="4FC90388"/>
    <w:rsid w:val="4FC913EA"/>
    <w:rsid w:val="4FCF2ACA"/>
    <w:rsid w:val="4FE20F0D"/>
    <w:rsid w:val="4FE85BD4"/>
    <w:rsid w:val="4FF13B85"/>
    <w:rsid w:val="4FFE6835"/>
    <w:rsid w:val="500278C5"/>
    <w:rsid w:val="5005507B"/>
    <w:rsid w:val="50191DB5"/>
    <w:rsid w:val="50281264"/>
    <w:rsid w:val="5035654E"/>
    <w:rsid w:val="504639A3"/>
    <w:rsid w:val="50504C4B"/>
    <w:rsid w:val="506D0500"/>
    <w:rsid w:val="50772144"/>
    <w:rsid w:val="508A6399"/>
    <w:rsid w:val="508B0AF1"/>
    <w:rsid w:val="509C6E7C"/>
    <w:rsid w:val="50A05456"/>
    <w:rsid w:val="50A815FE"/>
    <w:rsid w:val="50E0152B"/>
    <w:rsid w:val="51122D44"/>
    <w:rsid w:val="511B3417"/>
    <w:rsid w:val="51356054"/>
    <w:rsid w:val="51436893"/>
    <w:rsid w:val="514B60EC"/>
    <w:rsid w:val="51544699"/>
    <w:rsid w:val="515F3A7B"/>
    <w:rsid w:val="5162104E"/>
    <w:rsid w:val="5175687A"/>
    <w:rsid w:val="51A46843"/>
    <w:rsid w:val="51AE428B"/>
    <w:rsid w:val="51CA6BF1"/>
    <w:rsid w:val="51D90B0E"/>
    <w:rsid w:val="51E111B6"/>
    <w:rsid w:val="51F53C68"/>
    <w:rsid w:val="5200736B"/>
    <w:rsid w:val="52067C23"/>
    <w:rsid w:val="521A1920"/>
    <w:rsid w:val="521C465F"/>
    <w:rsid w:val="52506D4F"/>
    <w:rsid w:val="526B217C"/>
    <w:rsid w:val="526D1F45"/>
    <w:rsid w:val="527E1028"/>
    <w:rsid w:val="52916F1A"/>
    <w:rsid w:val="529945F3"/>
    <w:rsid w:val="52996A7D"/>
    <w:rsid w:val="529B3274"/>
    <w:rsid w:val="52C17D00"/>
    <w:rsid w:val="52CB63DF"/>
    <w:rsid w:val="52DB5553"/>
    <w:rsid w:val="52F16DE6"/>
    <w:rsid w:val="531044E6"/>
    <w:rsid w:val="53137801"/>
    <w:rsid w:val="5322283B"/>
    <w:rsid w:val="5336781A"/>
    <w:rsid w:val="534157F1"/>
    <w:rsid w:val="536B2FE6"/>
    <w:rsid w:val="538B6E8E"/>
    <w:rsid w:val="538F3C48"/>
    <w:rsid w:val="539D2159"/>
    <w:rsid w:val="539F77FF"/>
    <w:rsid w:val="53A039CC"/>
    <w:rsid w:val="53A1505A"/>
    <w:rsid w:val="53A47025"/>
    <w:rsid w:val="53B9306E"/>
    <w:rsid w:val="53C01A47"/>
    <w:rsid w:val="53C241CE"/>
    <w:rsid w:val="53F51CFD"/>
    <w:rsid w:val="540339DE"/>
    <w:rsid w:val="54063E08"/>
    <w:rsid w:val="54072661"/>
    <w:rsid w:val="540A6FA1"/>
    <w:rsid w:val="540A77A2"/>
    <w:rsid w:val="543437E8"/>
    <w:rsid w:val="54843081"/>
    <w:rsid w:val="548A5BF9"/>
    <w:rsid w:val="549412E0"/>
    <w:rsid w:val="549A54AC"/>
    <w:rsid w:val="549C2D9C"/>
    <w:rsid w:val="54B35F7D"/>
    <w:rsid w:val="54C867F3"/>
    <w:rsid w:val="54C93498"/>
    <w:rsid w:val="54D23DEC"/>
    <w:rsid w:val="54E707AD"/>
    <w:rsid w:val="54E75AF6"/>
    <w:rsid w:val="54E80EA4"/>
    <w:rsid w:val="55066216"/>
    <w:rsid w:val="55214023"/>
    <w:rsid w:val="55262800"/>
    <w:rsid w:val="55276C7B"/>
    <w:rsid w:val="55382027"/>
    <w:rsid w:val="556914AB"/>
    <w:rsid w:val="55733821"/>
    <w:rsid w:val="557912EA"/>
    <w:rsid w:val="557B5277"/>
    <w:rsid w:val="559B174B"/>
    <w:rsid w:val="55C60090"/>
    <w:rsid w:val="55CE055B"/>
    <w:rsid w:val="55CE0CF4"/>
    <w:rsid w:val="55D20672"/>
    <w:rsid w:val="55E31AE3"/>
    <w:rsid w:val="55FB18B5"/>
    <w:rsid w:val="560307EB"/>
    <w:rsid w:val="56044DC2"/>
    <w:rsid w:val="56062A2F"/>
    <w:rsid w:val="560C332E"/>
    <w:rsid w:val="561A36DD"/>
    <w:rsid w:val="564209B4"/>
    <w:rsid w:val="56754B5B"/>
    <w:rsid w:val="567C7047"/>
    <w:rsid w:val="569210B7"/>
    <w:rsid w:val="569A4794"/>
    <w:rsid w:val="56AD2F30"/>
    <w:rsid w:val="56AE5351"/>
    <w:rsid w:val="56B22A9C"/>
    <w:rsid w:val="56B435F5"/>
    <w:rsid w:val="56BF4B95"/>
    <w:rsid w:val="56D979A5"/>
    <w:rsid w:val="57062473"/>
    <w:rsid w:val="57064C9D"/>
    <w:rsid w:val="571C57F3"/>
    <w:rsid w:val="571D1CAB"/>
    <w:rsid w:val="572172AD"/>
    <w:rsid w:val="572E6B98"/>
    <w:rsid w:val="573C4502"/>
    <w:rsid w:val="57653C70"/>
    <w:rsid w:val="5765719A"/>
    <w:rsid w:val="57664CC0"/>
    <w:rsid w:val="577108D4"/>
    <w:rsid w:val="579D75CB"/>
    <w:rsid w:val="57B72A76"/>
    <w:rsid w:val="57B851ED"/>
    <w:rsid w:val="57CA41EB"/>
    <w:rsid w:val="57D1482F"/>
    <w:rsid w:val="57DC5214"/>
    <w:rsid w:val="57F624E8"/>
    <w:rsid w:val="580764A3"/>
    <w:rsid w:val="581026FC"/>
    <w:rsid w:val="582836A2"/>
    <w:rsid w:val="58457759"/>
    <w:rsid w:val="5862495B"/>
    <w:rsid w:val="58683662"/>
    <w:rsid w:val="58A77952"/>
    <w:rsid w:val="58BE5D01"/>
    <w:rsid w:val="58CC267F"/>
    <w:rsid w:val="58CF5213"/>
    <w:rsid w:val="58D04AE7"/>
    <w:rsid w:val="58E14F46"/>
    <w:rsid w:val="58F3077A"/>
    <w:rsid w:val="58F9040C"/>
    <w:rsid w:val="5902799B"/>
    <w:rsid w:val="59123710"/>
    <w:rsid w:val="59163876"/>
    <w:rsid w:val="592212C0"/>
    <w:rsid w:val="5923465F"/>
    <w:rsid w:val="592F6606"/>
    <w:rsid w:val="595079D6"/>
    <w:rsid w:val="59795220"/>
    <w:rsid w:val="5983316A"/>
    <w:rsid w:val="59907AF6"/>
    <w:rsid w:val="59A170F7"/>
    <w:rsid w:val="59A93F65"/>
    <w:rsid w:val="59AA08C4"/>
    <w:rsid w:val="59CC1A83"/>
    <w:rsid w:val="59DB3E06"/>
    <w:rsid w:val="59E15CEB"/>
    <w:rsid w:val="59FF63EB"/>
    <w:rsid w:val="5A252C10"/>
    <w:rsid w:val="5A270757"/>
    <w:rsid w:val="5A283E83"/>
    <w:rsid w:val="5A3C747D"/>
    <w:rsid w:val="5A415526"/>
    <w:rsid w:val="5A4B0393"/>
    <w:rsid w:val="5A6A6727"/>
    <w:rsid w:val="5A874076"/>
    <w:rsid w:val="5A9662A1"/>
    <w:rsid w:val="5AA1498D"/>
    <w:rsid w:val="5AA41CEA"/>
    <w:rsid w:val="5ABD70AB"/>
    <w:rsid w:val="5ABE2233"/>
    <w:rsid w:val="5AEB0587"/>
    <w:rsid w:val="5AFB639C"/>
    <w:rsid w:val="5B0031FB"/>
    <w:rsid w:val="5B022AC1"/>
    <w:rsid w:val="5B056434"/>
    <w:rsid w:val="5B0D59C4"/>
    <w:rsid w:val="5B112FE6"/>
    <w:rsid w:val="5B16746E"/>
    <w:rsid w:val="5B174BD9"/>
    <w:rsid w:val="5B276D18"/>
    <w:rsid w:val="5B3946A7"/>
    <w:rsid w:val="5B4256B7"/>
    <w:rsid w:val="5B597737"/>
    <w:rsid w:val="5B621404"/>
    <w:rsid w:val="5B773003"/>
    <w:rsid w:val="5B787F9C"/>
    <w:rsid w:val="5B8F47E5"/>
    <w:rsid w:val="5B9D68C6"/>
    <w:rsid w:val="5B9E5670"/>
    <w:rsid w:val="5BA26C0E"/>
    <w:rsid w:val="5BA65DCC"/>
    <w:rsid w:val="5BB40BA6"/>
    <w:rsid w:val="5BBC67C5"/>
    <w:rsid w:val="5BC764F6"/>
    <w:rsid w:val="5BD01244"/>
    <w:rsid w:val="5BDC37A3"/>
    <w:rsid w:val="5BDF5D95"/>
    <w:rsid w:val="5BE162EC"/>
    <w:rsid w:val="5BF22FC6"/>
    <w:rsid w:val="5C1C63A8"/>
    <w:rsid w:val="5C285A3E"/>
    <w:rsid w:val="5C29540E"/>
    <w:rsid w:val="5C4A1859"/>
    <w:rsid w:val="5C516770"/>
    <w:rsid w:val="5C5D48E3"/>
    <w:rsid w:val="5C766E4A"/>
    <w:rsid w:val="5C783DC5"/>
    <w:rsid w:val="5C891B7C"/>
    <w:rsid w:val="5C9950C8"/>
    <w:rsid w:val="5C9E454D"/>
    <w:rsid w:val="5CA37228"/>
    <w:rsid w:val="5CA72E3F"/>
    <w:rsid w:val="5CB079D7"/>
    <w:rsid w:val="5CB868F2"/>
    <w:rsid w:val="5CDB70F2"/>
    <w:rsid w:val="5D1D14DE"/>
    <w:rsid w:val="5D2C7751"/>
    <w:rsid w:val="5D343B95"/>
    <w:rsid w:val="5D3D751A"/>
    <w:rsid w:val="5D746389"/>
    <w:rsid w:val="5D804894"/>
    <w:rsid w:val="5D811E11"/>
    <w:rsid w:val="5D877544"/>
    <w:rsid w:val="5DAF2F7B"/>
    <w:rsid w:val="5DCD5A99"/>
    <w:rsid w:val="5DCE7E16"/>
    <w:rsid w:val="5DD1377F"/>
    <w:rsid w:val="5DD21301"/>
    <w:rsid w:val="5DEF412A"/>
    <w:rsid w:val="5DF136A3"/>
    <w:rsid w:val="5DF87A0F"/>
    <w:rsid w:val="5E23390B"/>
    <w:rsid w:val="5E364C03"/>
    <w:rsid w:val="5E4A2B2E"/>
    <w:rsid w:val="5E5C75F5"/>
    <w:rsid w:val="5E7E4670"/>
    <w:rsid w:val="5E8652D7"/>
    <w:rsid w:val="5E8E550E"/>
    <w:rsid w:val="5E925874"/>
    <w:rsid w:val="5E983162"/>
    <w:rsid w:val="5EA048F9"/>
    <w:rsid w:val="5EA54320"/>
    <w:rsid w:val="5EB237E6"/>
    <w:rsid w:val="5EB73F1D"/>
    <w:rsid w:val="5EE404C5"/>
    <w:rsid w:val="5EFC18D7"/>
    <w:rsid w:val="5F092816"/>
    <w:rsid w:val="5F1A2B43"/>
    <w:rsid w:val="5F1D035A"/>
    <w:rsid w:val="5F253005"/>
    <w:rsid w:val="5F322752"/>
    <w:rsid w:val="5F447E3D"/>
    <w:rsid w:val="5F58578F"/>
    <w:rsid w:val="5F631071"/>
    <w:rsid w:val="5F796DF2"/>
    <w:rsid w:val="5F7E2339"/>
    <w:rsid w:val="5F9F3EE1"/>
    <w:rsid w:val="5FA365D5"/>
    <w:rsid w:val="5FA56DDB"/>
    <w:rsid w:val="5FB837BB"/>
    <w:rsid w:val="5FBA204D"/>
    <w:rsid w:val="5FC13DAD"/>
    <w:rsid w:val="5FD163C4"/>
    <w:rsid w:val="5FDF7B54"/>
    <w:rsid w:val="5FE1048F"/>
    <w:rsid w:val="5FE3356B"/>
    <w:rsid w:val="5FE82AA9"/>
    <w:rsid w:val="5FED5F7E"/>
    <w:rsid w:val="600D75AD"/>
    <w:rsid w:val="601367AA"/>
    <w:rsid w:val="601377FC"/>
    <w:rsid w:val="603138EA"/>
    <w:rsid w:val="6045400C"/>
    <w:rsid w:val="604E1976"/>
    <w:rsid w:val="6055425E"/>
    <w:rsid w:val="606A01E6"/>
    <w:rsid w:val="606B77E0"/>
    <w:rsid w:val="608A282A"/>
    <w:rsid w:val="608D0753"/>
    <w:rsid w:val="608F727F"/>
    <w:rsid w:val="60B77FA4"/>
    <w:rsid w:val="60BE3316"/>
    <w:rsid w:val="60C24C13"/>
    <w:rsid w:val="60D10950"/>
    <w:rsid w:val="60E31C84"/>
    <w:rsid w:val="60E814EB"/>
    <w:rsid w:val="61053764"/>
    <w:rsid w:val="61393EFB"/>
    <w:rsid w:val="61442516"/>
    <w:rsid w:val="614537CD"/>
    <w:rsid w:val="6149217F"/>
    <w:rsid w:val="61495DD0"/>
    <w:rsid w:val="614E41B0"/>
    <w:rsid w:val="615501AE"/>
    <w:rsid w:val="616D55C9"/>
    <w:rsid w:val="61706E67"/>
    <w:rsid w:val="617C3A5E"/>
    <w:rsid w:val="617C7D2B"/>
    <w:rsid w:val="61994C6D"/>
    <w:rsid w:val="61E84E43"/>
    <w:rsid w:val="6208709F"/>
    <w:rsid w:val="62206ADF"/>
    <w:rsid w:val="62214DFA"/>
    <w:rsid w:val="62364782"/>
    <w:rsid w:val="624833DC"/>
    <w:rsid w:val="625614D2"/>
    <w:rsid w:val="62591218"/>
    <w:rsid w:val="626544F2"/>
    <w:rsid w:val="62752C1C"/>
    <w:rsid w:val="62830E1C"/>
    <w:rsid w:val="62AA26A1"/>
    <w:rsid w:val="62CC4571"/>
    <w:rsid w:val="62FC712E"/>
    <w:rsid w:val="63065013"/>
    <w:rsid w:val="630C6EA9"/>
    <w:rsid w:val="632443AD"/>
    <w:rsid w:val="6325326C"/>
    <w:rsid w:val="633F11E7"/>
    <w:rsid w:val="63514A76"/>
    <w:rsid w:val="637403CC"/>
    <w:rsid w:val="637846F9"/>
    <w:rsid w:val="63917843"/>
    <w:rsid w:val="63A1212E"/>
    <w:rsid w:val="63A8314E"/>
    <w:rsid w:val="63BD0899"/>
    <w:rsid w:val="63D40BE9"/>
    <w:rsid w:val="63D60CF2"/>
    <w:rsid w:val="63E0211F"/>
    <w:rsid w:val="63F94D40"/>
    <w:rsid w:val="63FD12C8"/>
    <w:rsid w:val="64050106"/>
    <w:rsid w:val="640E2967"/>
    <w:rsid w:val="64287C1B"/>
    <w:rsid w:val="64364A89"/>
    <w:rsid w:val="6437668D"/>
    <w:rsid w:val="64436AB5"/>
    <w:rsid w:val="644E185F"/>
    <w:rsid w:val="645E7BDA"/>
    <w:rsid w:val="64700446"/>
    <w:rsid w:val="648A0240"/>
    <w:rsid w:val="64963B81"/>
    <w:rsid w:val="64AA3A15"/>
    <w:rsid w:val="64BD5068"/>
    <w:rsid w:val="64C554BE"/>
    <w:rsid w:val="64DF4E7D"/>
    <w:rsid w:val="64E56E1C"/>
    <w:rsid w:val="64FC6011"/>
    <w:rsid w:val="65373578"/>
    <w:rsid w:val="65415EB7"/>
    <w:rsid w:val="65420B1A"/>
    <w:rsid w:val="65436A9C"/>
    <w:rsid w:val="657B402C"/>
    <w:rsid w:val="65A173AE"/>
    <w:rsid w:val="65D327C2"/>
    <w:rsid w:val="65DC0F6F"/>
    <w:rsid w:val="65E027BC"/>
    <w:rsid w:val="66281865"/>
    <w:rsid w:val="662B36E0"/>
    <w:rsid w:val="663C7C5F"/>
    <w:rsid w:val="663D0790"/>
    <w:rsid w:val="665B6338"/>
    <w:rsid w:val="665B7D83"/>
    <w:rsid w:val="666431EA"/>
    <w:rsid w:val="66667177"/>
    <w:rsid w:val="669E4620"/>
    <w:rsid w:val="66BD7E36"/>
    <w:rsid w:val="66C22A14"/>
    <w:rsid w:val="66C3141F"/>
    <w:rsid w:val="66C34658"/>
    <w:rsid w:val="66CC3515"/>
    <w:rsid w:val="66D81826"/>
    <w:rsid w:val="66F22E0A"/>
    <w:rsid w:val="67053AFC"/>
    <w:rsid w:val="67265724"/>
    <w:rsid w:val="672C3AE2"/>
    <w:rsid w:val="67303483"/>
    <w:rsid w:val="673B26A9"/>
    <w:rsid w:val="673E2696"/>
    <w:rsid w:val="673F2C7A"/>
    <w:rsid w:val="67446DEC"/>
    <w:rsid w:val="67680108"/>
    <w:rsid w:val="67725DFD"/>
    <w:rsid w:val="678D04E0"/>
    <w:rsid w:val="67B41AC4"/>
    <w:rsid w:val="67C560BE"/>
    <w:rsid w:val="67D47004"/>
    <w:rsid w:val="67EB5499"/>
    <w:rsid w:val="67ED6375"/>
    <w:rsid w:val="67FB3C27"/>
    <w:rsid w:val="680A6139"/>
    <w:rsid w:val="680D6040"/>
    <w:rsid w:val="68177056"/>
    <w:rsid w:val="681F6961"/>
    <w:rsid w:val="682870D1"/>
    <w:rsid w:val="68610A2F"/>
    <w:rsid w:val="68612D68"/>
    <w:rsid w:val="68664B20"/>
    <w:rsid w:val="6874548F"/>
    <w:rsid w:val="68805514"/>
    <w:rsid w:val="689A6B3D"/>
    <w:rsid w:val="68A81BF4"/>
    <w:rsid w:val="68AB721C"/>
    <w:rsid w:val="68B021BE"/>
    <w:rsid w:val="68C405FA"/>
    <w:rsid w:val="68CC2DDB"/>
    <w:rsid w:val="68DE5385"/>
    <w:rsid w:val="68DF122C"/>
    <w:rsid w:val="68E92CAD"/>
    <w:rsid w:val="68FD5B33"/>
    <w:rsid w:val="6901472A"/>
    <w:rsid w:val="69092490"/>
    <w:rsid w:val="69097014"/>
    <w:rsid w:val="691664EE"/>
    <w:rsid w:val="691B6B54"/>
    <w:rsid w:val="693B4E23"/>
    <w:rsid w:val="694B6EB9"/>
    <w:rsid w:val="694E2071"/>
    <w:rsid w:val="69613B48"/>
    <w:rsid w:val="697A3B33"/>
    <w:rsid w:val="69905DD7"/>
    <w:rsid w:val="6997151D"/>
    <w:rsid w:val="699E2456"/>
    <w:rsid w:val="69C24B64"/>
    <w:rsid w:val="69D211A4"/>
    <w:rsid w:val="69DD1E58"/>
    <w:rsid w:val="69E42540"/>
    <w:rsid w:val="69EF49DE"/>
    <w:rsid w:val="6A254F5A"/>
    <w:rsid w:val="6A257AFF"/>
    <w:rsid w:val="6A2A6BDA"/>
    <w:rsid w:val="6A324629"/>
    <w:rsid w:val="6A396EA9"/>
    <w:rsid w:val="6A3A44B6"/>
    <w:rsid w:val="6A42336B"/>
    <w:rsid w:val="6A5501E0"/>
    <w:rsid w:val="6A675E4D"/>
    <w:rsid w:val="6A705D42"/>
    <w:rsid w:val="6A782DA5"/>
    <w:rsid w:val="6A78576F"/>
    <w:rsid w:val="6AB06526"/>
    <w:rsid w:val="6AB24B59"/>
    <w:rsid w:val="6AC2028C"/>
    <w:rsid w:val="6ACD783B"/>
    <w:rsid w:val="6AE078B7"/>
    <w:rsid w:val="6AEF5EFF"/>
    <w:rsid w:val="6AF01018"/>
    <w:rsid w:val="6AF02DC7"/>
    <w:rsid w:val="6B1E6F16"/>
    <w:rsid w:val="6B295AA1"/>
    <w:rsid w:val="6B322639"/>
    <w:rsid w:val="6B454EC0"/>
    <w:rsid w:val="6B487D6B"/>
    <w:rsid w:val="6B5C3F06"/>
    <w:rsid w:val="6B6A2B79"/>
    <w:rsid w:val="6B7A4F14"/>
    <w:rsid w:val="6BE244AA"/>
    <w:rsid w:val="6BE350EA"/>
    <w:rsid w:val="6C052E0C"/>
    <w:rsid w:val="6C111246"/>
    <w:rsid w:val="6C336698"/>
    <w:rsid w:val="6C427652"/>
    <w:rsid w:val="6C432EB8"/>
    <w:rsid w:val="6C472CF7"/>
    <w:rsid w:val="6C636C38"/>
    <w:rsid w:val="6C717819"/>
    <w:rsid w:val="6CB2505C"/>
    <w:rsid w:val="6CBA7124"/>
    <w:rsid w:val="6CE801EE"/>
    <w:rsid w:val="6CE81FD1"/>
    <w:rsid w:val="6CF30EFC"/>
    <w:rsid w:val="6CFD6CF2"/>
    <w:rsid w:val="6D1E7AB0"/>
    <w:rsid w:val="6D2A3CB8"/>
    <w:rsid w:val="6D3C13EF"/>
    <w:rsid w:val="6D417C28"/>
    <w:rsid w:val="6D566DCE"/>
    <w:rsid w:val="6D5E04BB"/>
    <w:rsid w:val="6D615924"/>
    <w:rsid w:val="6D6758F6"/>
    <w:rsid w:val="6D8605B7"/>
    <w:rsid w:val="6D86469A"/>
    <w:rsid w:val="6DB12CE1"/>
    <w:rsid w:val="6DB27B28"/>
    <w:rsid w:val="6DB34098"/>
    <w:rsid w:val="6DB545B6"/>
    <w:rsid w:val="6DD01EAE"/>
    <w:rsid w:val="6DD84FE3"/>
    <w:rsid w:val="6DDF2BA1"/>
    <w:rsid w:val="6DF0064C"/>
    <w:rsid w:val="6DF901E4"/>
    <w:rsid w:val="6E0C6D84"/>
    <w:rsid w:val="6E1D7CFF"/>
    <w:rsid w:val="6E4375A0"/>
    <w:rsid w:val="6E514CED"/>
    <w:rsid w:val="6E58315D"/>
    <w:rsid w:val="6E5F380F"/>
    <w:rsid w:val="6E632885"/>
    <w:rsid w:val="6E761835"/>
    <w:rsid w:val="6E79491A"/>
    <w:rsid w:val="6E7E3225"/>
    <w:rsid w:val="6E833E77"/>
    <w:rsid w:val="6E8A0FE6"/>
    <w:rsid w:val="6E8A48AD"/>
    <w:rsid w:val="6EB563D5"/>
    <w:rsid w:val="6EB84FAC"/>
    <w:rsid w:val="6EBE2657"/>
    <w:rsid w:val="6ED61BD6"/>
    <w:rsid w:val="6EF76598"/>
    <w:rsid w:val="6F0B34FD"/>
    <w:rsid w:val="6F0F745A"/>
    <w:rsid w:val="6F225983"/>
    <w:rsid w:val="6F2F2676"/>
    <w:rsid w:val="6F4B0F13"/>
    <w:rsid w:val="6F583B84"/>
    <w:rsid w:val="6FA077A9"/>
    <w:rsid w:val="6FB30830"/>
    <w:rsid w:val="6FB3753A"/>
    <w:rsid w:val="6FD57B35"/>
    <w:rsid w:val="6FEF744F"/>
    <w:rsid w:val="6FF25F04"/>
    <w:rsid w:val="6FFC5590"/>
    <w:rsid w:val="70301DA3"/>
    <w:rsid w:val="70390FB7"/>
    <w:rsid w:val="70486433"/>
    <w:rsid w:val="704A4117"/>
    <w:rsid w:val="70623977"/>
    <w:rsid w:val="706D1DD0"/>
    <w:rsid w:val="70856B87"/>
    <w:rsid w:val="708B529E"/>
    <w:rsid w:val="70BD1BC9"/>
    <w:rsid w:val="70CC4DD8"/>
    <w:rsid w:val="70D13BDC"/>
    <w:rsid w:val="70D527EE"/>
    <w:rsid w:val="70DC329D"/>
    <w:rsid w:val="70F5516F"/>
    <w:rsid w:val="70FE3E32"/>
    <w:rsid w:val="715A1226"/>
    <w:rsid w:val="715B5300"/>
    <w:rsid w:val="715D2B32"/>
    <w:rsid w:val="715F4BD7"/>
    <w:rsid w:val="71665B90"/>
    <w:rsid w:val="716B0995"/>
    <w:rsid w:val="7178018F"/>
    <w:rsid w:val="71793B16"/>
    <w:rsid w:val="71A306A7"/>
    <w:rsid w:val="71BB2D89"/>
    <w:rsid w:val="71D27F8A"/>
    <w:rsid w:val="71DF5810"/>
    <w:rsid w:val="71E847F7"/>
    <w:rsid w:val="71ED1AE4"/>
    <w:rsid w:val="71EF3DD8"/>
    <w:rsid w:val="71F744C6"/>
    <w:rsid w:val="71F960CF"/>
    <w:rsid w:val="71FA428B"/>
    <w:rsid w:val="72040EDF"/>
    <w:rsid w:val="720E6E9F"/>
    <w:rsid w:val="72167F76"/>
    <w:rsid w:val="72200435"/>
    <w:rsid w:val="722B0C93"/>
    <w:rsid w:val="7230498D"/>
    <w:rsid w:val="72417A2A"/>
    <w:rsid w:val="7250733B"/>
    <w:rsid w:val="72606A84"/>
    <w:rsid w:val="7278639B"/>
    <w:rsid w:val="72A21274"/>
    <w:rsid w:val="72CD440E"/>
    <w:rsid w:val="72D046E2"/>
    <w:rsid w:val="72D0499C"/>
    <w:rsid w:val="72EF29A8"/>
    <w:rsid w:val="72FB752A"/>
    <w:rsid w:val="72FE1DE6"/>
    <w:rsid w:val="730D40BD"/>
    <w:rsid w:val="731F5D5E"/>
    <w:rsid w:val="73427283"/>
    <w:rsid w:val="7359750C"/>
    <w:rsid w:val="735A6AC0"/>
    <w:rsid w:val="735D7E4F"/>
    <w:rsid w:val="736912ED"/>
    <w:rsid w:val="73733E55"/>
    <w:rsid w:val="739D4185"/>
    <w:rsid w:val="73A01AA0"/>
    <w:rsid w:val="73A0375E"/>
    <w:rsid w:val="73AF3ED7"/>
    <w:rsid w:val="73C21E17"/>
    <w:rsid w:val="73CF3EC6"/>
    <w:rsid w:val="73DF3DB1"/>
    <w:rsid w:val="73E55116"/>
    <w:rsid w:val="73E7597F"/>
    <w:rsid w:val="73E9749F"/>
    <w:rsid w:val="73F317FA"/>
    <w:rsid w:val="74031DBD"/>
    <w:rsid w:val="74032EFE"/>
    <w:rsid w:val="740F3F2A"/>
    <w:rsid w:val="74135DC8"/>
    <w:rsid w:val="741915E0"/>
    <w:rsid w:val="741E793C"/>
    <w:rsid w:val="741F18AA"/>
    <w:rsid w:val="74274249"/>
    <w:rsid w:val="74B66177"/>
    <w:rsid w:val="74C23A26"/>
    <w:rsid w:val="74C62050"/>
    <w:rsid w:val="74D448E6"/>
    <w:rsid w:val="74EA49FD"/>
    <w:rsid w:val="74FE2D6F"/>
    <w:rsid w:val="75022BDD"/>
    <w:rsid w:val="750F158B"/>
    <w:rsid w:val="752E10BB"/>
    <w:rsid w:val="7544268D"/>
    <w:rsid w:val="754729DC"/>
    <w:rsid w:val="75530B22"/>
    <w:rsid w:val="755A18C8"/>
    <w:rsid w:val="755A6C79"/>
    <w:rsid w:val="755B7732"/>
    <w:rsid w:val="755E784D"/>
    <w:rsid w:val="7560120D"/>
    <w:rsid w:val="756C6357"/>
    <w:rsid w:val="758D75E2"/>
    <w:rsid w:val="759877EE"/>
    <w:rsid w:val="75992D4C"/>
    <w:rsid w:val="75B01439"/>
    <w:rsid w:val="75B14511"/>
    <w:rsid w:val="75B74C0D"/>
    <w:rsid w:val="75B95F6C"/>
    <w:rsid w:val="75BD407D"/>
    <w:rsid w:val="75C20CE1"/>
    <w:rsid w:val="75D51148"/>
    <w:rsid w:val="7608190C"/>
    <w:rsid w:val="763515C6"/>
    <w:rsid w:val="76634D94"/>
    <w:rsid w:val="76830835"/>
    <w:rsid w:val="76B4114C"/>
    <w:rsid w:val="76D11CFE"/>
    <w:rsid w:val="76E11F70"/>
    <w:rsid w:val="76E16C86"/>
    <w:rsid w:val="76ED456A"/>
    <w:rsid w:val="76F60514"/>
    <w:rsid w:val="770C2D36"/>
    <w:rsid w:val="771B4F77"/>
    <w:rsid w:val="77376CED"/>
    <w:rsid w:val="775B37B3"/>
    <w:rsid w:val="776209F2"/>
    <w:rsid w:val="77762421"/>
    <w:rsid w:val="77785105"/>
    <w:rsid w:val="777D3C34"/>
    <w:rsid w:val="77AB3A64"/>
    <w:rsid w:val="77AB7369"/>
    <w:rsid w:val="77B13B07"/>
    <w:rsid w:val="77BD15A4"/>
    <w:rsid w:val="78075902"/>
    <w:rsid w:val="780D6D66"/>
    <w:rsid w:val="780F09F4"/>
    <w:rsid w:val="78382EF8"/>
    <w:rsid w:val="783A38D3"/>
    <w:rsid w:val="784A10DC"/>
    <w:rsid w:val="7850458F"/>
    <w:rsid w:val="786C6827"/>
    <w:rsid w:val="78731D96"/>
    <w:rsid w:val="788007E2"/>
    <w:rsid w:val="78801C2E"/>
    <w:rsid w:val="788267F7"/>
    <w:rsid w:val="7886117B"/>
    <w:rsid w:val="789C4F47"/>
    <w:rsid w:val="78A90480"/>
    <w:rsid w:val="78B60185"/>
    <w:rsid w:val="78DC51FB"/>
    <w:rsid w:val="78DF1AD6"/>
    <w:rsid w:val="78F24CB5"/>
    <w:rsid w:val="791C3DF8"/>
    <w:rsid w:val="79222CE5"/>
    <w:rsid w:val="792E3438"/>
    <w:rsid w:val="79352681"/>
    <w:rsid w:val="795A247F"/>
    <w:rsid w:val="79701CA2"/>
    <w:rsid w:val="79811327"/>
    <w:rsid w:val="79954AEE"/>
    <w:rsid w:val="79982FA7"/>
    <w:rsid w:val="79A67472"/>
    <w:rsid w:val="79BD4575"/>
    <w:rsid w:val="79C630CB"/>
    <w:rsid w:val="79D722A7"/>
    <w:rsid w:val="79DA5B24"/>
    <w:rsid w:val="79DD4919"/>
    <w:rsid w:val="79F959FA"/>
    <w:rsid w:val="79FB4964"/>
    <w:rsid w:val="7A0302E5"/>
    <w:rsid w:val="7A115712"/>
    <w:rsid w:val="7A1F7224"/>
    <w:rsid w:val="7A364017"/>
    <w:rsid w:val="7A595F92"/>
    <w:rsid w:val="7A620597"/>
    <w:rsid w:val="7A8265E1"/>
    <w:rsid w:val="7AE15030"/>
    <w:rsid w:val="7AE56F93"/>
    <w:rsid w:val="7AF83F51"/>
    <w:rsid w:val="7B117990"/>
    <w:rsid w:val="7B263E32"/>
    <w:rsid w:val="7B2C1881"/>
    <w:rsid w:val="7B2F7570"/>
    <w:rsid w:val="7B4D22AB"/>
    <w:rsid w:val="7B5109BD"/>
    <w:rsid w:val="7B614279"/>
    <w:rsid w:val="7B686D42"/>
    <w:rsid w:val="7B791DDF"/>
    <w:rsid w:val="7B821819"/>
    <w:rsid w:val="7B841746"/>
    <w:rsid w:val="7B86755B"/>
    <w:rsid w:val="7B8C29DC"/>
    <w:rsid w:val="7BB424C3"/>
    <w:rsid w:val="7BEB768C"/>
    <w:rsid w:val="7BF23C6E"/>
    <w:rsid w:val="7C0A4D10"/>
    <w:rsid w:val="7C0B3B92"/>
    <w:rsid w:val="7C0C51EE"/>
    <w:rsid w:val="7C226A0C"/>
    <w:rsid w:val="7C3B7650"/>
    <w:rsid w:val="7C3E65E2"/>
    <w:rsid w:val="7C6153C2"/>
    <w:rsid w:val="7C673344"/>
    <w:rsid w:val="7C787319"/>
    <w:rsid w:val="7C994AFF"/>
    <w:rsid w:val="7CA26DD4"/>
    <w:rsid w:val="7CA35EEB"/>
    <w:rsid w:val="7CAA00E0"/>
    <w:rsid w:val="7CCC7A15"/>
    <w:rsid w:val="7CDF7C7E"/>
    <w:rsid w:val="7CE64A4C"/>
    <w:rsid w:val="7CED360A"/>
    <w:rsid w:val="7D0239FF"/>
    <w:rsid w:val="7D264C9A"/>
    <w:rsid w:val="7D5E40CD"/>
    <w:rsid w:val="7D693BED"/>
    <w:rsid w:val="7D725C18"/>
    <w:rsid w:val="7D8056AC"/>
    <w:rsid w:val="7D8D7B32"/>
    <w:rsid w:val="7DB647A8"/>
    <w:rsid w:val="7DCA0DE6"/>
    <w:rsid w:val="7DDA3B8E"/>
    <w:rsid w:val="7DEA542C"/>
    <w:rsid w:val="7E122809"/>
    <w:rsid w:val="7E2D0915"/>
    <w:rsid w:val="7E325778"/>
    <w:rsid w:val="7E3F75FE"/>
    <w:rsid w:val="7E402C0C"/>
    <w:rsid w:val="7E435D95"/>
    <w:rsid w:val="7E553C2B"/>
    <w:rsid w:val="7E576F8D"/>
    <w:rsid w:val="7E8F35E5"/>
    <w:rsid w:val="7E9A66E0"/>
    <w:rsid w:val="7E9C0F50"/>
    <w:rsid w:val="7EAE7081"/>
    <w:rsid w:val="7EB90E2D"/>
    <w:rsid w:val="7EDC1B29"/>
    <w:rsid w:val="7EFD18A2"/>
    <w:rsid w:val="7F2A63D2"/>
    <w:rsid w:val="7F3A5D6A"/>
    <w:rsid w:val="7F3C0B4B"/>
    <w:rsid w:val="7F4A0143"/>
    <w:rsid w:val="7F552938"/>
    <w:rsid w:val="7F6B7CCC"/>
    <w:rsid w:val="7F7407A6"/>
    <w:rsid w:val="7F7605F4"/>
    <w:rsid w:val="7F7C22C3"/>
    <w:rsid w:val="7F83193F"/>
    <w:rsid w:val="7F8C25F6"/>
    <w:rsid w:val="7F977AA3"/>
    <w:rsid w:val="7F9F0E2D"/>
    <w:rsid w:val="7FB17C7D"/>
    <w:rsid w:val="7FCA6E59"/>
    <w:rsid w:val="7FCB7C32"/>
    <w:rsid w:val="7FE47E50"/>
    <w:rsid w:val="7FE513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qFormat="1" w:unhideWhenUsed="0" w:uiPriority="0" w:semiHidden="0" w:name="heading 3" w:locked="1"/>
    <w:lsdException w:qFormat="1" w:uiPriority="0"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keepNext/>
      <w:keepLines/>
      <w:spacing w:before="260" w:beforeLines="0" w:beforeAutospacing="0" w:after="260" w:afterLines="0" w:afterAutospacing="0" w:line="413" w:lineRule="auto"/>
      <w:outlineLvl w:val="1"/>
    </w:pPr>
    <w:rPr>
      <w:rFonts w:ascii="Arial" w:hAnsi="Arial" w:eastAsia="黑体"/>
      <w:sz w:val="32"/>
    </w:rPr>
  </w:style>
  <w:style w:type="paragraph" w:styleId="4">
    <w:name w:val="heading 3"/>
    <w:basedOn w:val="1"/>
    <w:next w:val="1"/>
    <w:qFormat/>
    <w:locked/>
    <w:uiPriority w:val="0"/>
    <w:pPr>
      <w:keepNext/>
      <w:keepLines/>
      <w:widowControl w:val="0"/>
      <w:spacing w:before="260" w:after="260" w:line="416" w:lineRule="auto"/>
      <w:jc w:val="left"/>
      <w:outlineLvl w:val="2"/>
    </w:pPr>
    <w:rPr>
      <w:rFonts w:ascii="Times New Roman" w:hAnsi="Times New Roman" w:eastAsia="宋体" w:cs="Times New Roman"/>
      <w:b/>
      <w:bCs/>
      <w:kern w:val="2"/>
      <w:sz w:val="30"/>
      <w:szCs w:val="32"/>
      <w:lang w:val="en-US" w:eastAsia="zh-CN" w:bidi="ar-SA"/>
    </w:rPr>
  </w:style>
  <w:style w:type="paragraph" w:styleId="5">
    <w:name w:val="heading 4"/>
    <w:basedOn w:val="1"/>
    <w:next w:val="1"/>
    <w:unhideWhenUsed/>
    <w:qFormat/>
    <w:locked/>
    <w:uiPriority w:val="0"/>
    <w:pPr>
      <w:spacing w:line="240" w:lineRule="auto"/>
      <w:ind w:firstLine="0" w:firstLineChars="0"/>
      <w:outlineLvl w:val="3"/>
    </w:pPr>
    <w:rPr>
      <w:rFonts w:ascii="Times New Roman" w:hAnsi="Times New Roman" w:eastAsia="宋体"/>
      <w:bCs/>
      <w:sz w:val="21"/>
      <w:szCs w:val="28"/>
    </w:rPr>
  </w:style>
  <w:style w:type="character" w:default="1" w:styleId="27">
    <w:name w:val="Default Paragraph Font"/>
    <w:semiHidden/>
    <w:qFormat/>
    <w:uiPriority w:val="0"/>
  </w:style>
  <w:style w:type="table" w:default="1" w:styleId="25">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caption"/>
    <w:basedOn w:val="1"/>
    <w:next w:val="1"/>
    <w:qFormat/>
    <w:locked/>
    <w:uiPriority w:val="0"/>
    <w:pPr>
      <w:spacing w:before="152" w:beforeLines="0" w:after="160" w:afterLines="0" w:line="240" w:lineRule="auto"/>
      <w:ind w:firstLine="0" w:firstLineChars="0"/>
      <w:jc w:val="center"/>
    </w:pPr>
    <w:rPr>
      <w:rFonts w:ascii="Times New Roman" w:hAnsi="Times New Roman" w:eastAsia="宋体" w:cs="Arial"/>
      <w:kern w:val="2"/>
      <w:sz w:val="21"/>
      <w:szCs w:val="21"/>
    </w:rPr>
  </w:style>
  <w:style w:type="paragraph" w:styleId="7">
    <w:name w:val="index 5"/>
    <w:basedOn w:val="1"/>
    <w:next w:val="1"/>
    <w:qFormat/>
    <w:uiPriority w:val="0"/>
    <w:pPr>
      <w:ind w:left="800" w:leftChars="800"/>
    </w:pPr>
    <w:rPr>
      <w:szCs w:val="24"/>
    </w:rPr>
  </w:style>
  <w:style w:type="paragraph" w:styleId="8">
    <w:name w:val="annotation text"/>
    <w:basedOn w:val="1"/>
    <w:link w:val="34"/>
    <w:semiHidden/>
    <w:qFormat/>
    <w:uiPriority w:val="0"/>
    <w:pPr>
      <w:jc w:val="left"/>
    </w:pPr>
    <w:rPr>
      <w:kern w:val="0"/>
      <w:sz w:val="20"/>
    </w:rPr>
  </w:style>
  <w:style w:type="paragraph" w:styleId="9">
    <w:name w:val="Body Text"/>
    <w:basedOn w:val="1"/>
    <w:next w:val="10"/>
    <w:link w:val="33"/>
    <w:qFormat/>
    <w:uiPriority w:val="0"/>
    <w:pPr>
      <w:widowControl/>
      <w:snapToGrid w:val="0"/>
      <w:spacing w:before="60" w:after="160" w:line="259" w:lineRule="auto"/>
      <w:ind w:right="113"/>
    </w:pPr>
    <w:rPr>
      <w:kern w:val="0"/>
      <w:sz w:val="18"/>
      <w:szCs w:val="18"/>
    </w:rPr>
  </w:style>
  <w:style w:type="paragraph" w:customStyle="1" w:styleId="10">
    <w:name w:val="Default"/>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styleId="11">
    <w:name w:val="Body Text Indent"/>
    <w:basedOn w:val="1"/>
    <w:link w:val="35"/>
    <w:semiHidden/>
    <w:qFormat/>
    <w:uiPriority w:val="0"/>
    <w:pPr>
      <w:spacing w:after="120"/>
      <w:ind w:left="420" w:leftChars="200"/>
    </w:pPr>
  </w:style>
  <w:style w:type="paragraph" w:styleId="12">
    <w:name w:val="List 2"/>
    <w:basedOn w:val="1"/>
    <w:unhideWhenUsed/>
    <w:qFormat/>
    <w:uiPriority w:val="0"/>
    <w:pPr>
      <w:widowControl w:val="0"/>
      <w:adjustRightInd/>
      <w:snapToGrid/>
      <w:ind w:left="100" w:leftChars="200" w:hanging="200" w:hangingChars="200"/>
      <w:contextualSpacing/>
    </w:pPr>
    <w:rPr>
      <w:szCs w:val="22"/>
      <w:lang w:bidi="ar-SA"/>
    </w:rPr>
  </w:style>
  <w:style w:type="paragraph" w:styleId="13">
    <w:name w:val="Block Text"/>
    <w:basedOn w:val="1"/>
    <w:next w:val="1"/>
    <w:unhideWhenUsed/>
    <w:qFormat/>
    <w:uiPriority w:val="0"/>
    <w:pPr>
      <w:spacing w:beforeLines="0" w:after="120" w:afterLines="0"/>
      <w:ind w:left="1440" w:leftChars="700" w:right="700" w:rightChars="700"/>
    </w:pPr>
    <w:rPr>
      <w:rFonts w:hint="default" w:ascii="Times New Roman" w:hAnsi="Times New Roman" w:eastAsia="宋体" w:cs="Times New Roman"/>
      <w:sz w:val="21"/>
      <w:szCs w:val="24"/>
    </w:rPr>
  </w:style>
  <w:style w:type="paragraph" w:styleId="14">
    <w:name w:val="Plain Text"/>
    <w:basedOn w:val="1"/>
    <w:next w:val="7"/>
    <w:unhideWhenUsed/>
    <w:qFormat/>
    <w:uiPriority w:val="99"/>
    <w:rPr>
      <w:rFonts w:ascii="宋体" w:hAnsi="Courier New"/>
      <w:bCs/>
      <w:sz w:val="21"/>
    </w:rPr>
  </w:style>
  <w:style w:type="paragraph" w:styleId="15">
    <w:name w:val="Date"/>
    <w:basedOn w:val="1"/>
    <w:next w:val="1"/>
    <w:link w:val="36"/>
    <w:qFormat/>
    <w:uiPriority w:val="0"/>
    <w:pPr>
      <w:ind w:left="100" w:leftChars="2500"/>
    </w:pPr>
    <w:rPr>
      <w:kern w:val="0"/>
      <w:sz w:val="20"/>
    </w:rPr>
  </w:style>
  <w:style w:type="paragraph" w:styleId="16">
    <w:name w:val="Body Text Indent 2"/>
    <w:basedOn w:val="1"/>
    <w:qFormat/>
    <w:uiPriority w:val="0"/>
    <w:pPr>
      <w:spacing w:after="120" w:afterLines="0" w:line="480" w:lineRule="auto"/>
      <w:ind w:left="420" w:leftChars="200"/>
    </w:pPr>
    <w:rPr>
      <w:szCs w:val="24"/>
    </w:rPr>
  </w:style>
  <w:style w:type="paragraph" w:styleId="17">
    <w:name w:val="Balloon Text"/>
    <w:basedOn w:val="1"/>
    <w:link w:val="37"/>
    <w:semiHidden/>
    <w:qFormat/>
    <w:uiPriority w:val="0"/>
    <w:rPr>
      <w:sz w:val="18"/>
      <w:szCs w:val="18"/>
    </w:rPr>
  </w:style>
  <w:style w:type="paragraph" w:styleId="18">
    <w:name w:val="footer"/>
    <w:basedOn w:val="1"/>
    <w:link w:val="38"/>
    <w:qFormat/>
    <w:uiPriority w:val="0"/>
    <w:pPr>
      <w:tabs>
        <w:tab w:val="center" w:pos="4153"/>
        <w:tab w:val="right" w:pos="8306"/>
      </w:tabs>
      <w:snapToGrid w:val="0"/>
      <w:jc w:val="left"/>
    </w:pPr>
    <w:rPr>
      <w:sz w:val="18"/>
      <w:szCs w:val="18"/>
    </w:rPr>
  </w:style>
  <w:style w:type="paragraph" w:styleId="19">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20">
    <w:name w:val="List"/>
    <w:basedOn w:val="1"/>
    <w:next w:val="1"/>
    <w:qFormat/>
    <w:uiPriority w:val="0"/>
    <w:pPr>
      <w:spacing w:line="360" w:lineRule="auto"/>
      <w:ind w:left="200" w:hanging="200" w:hangingChars="200"/>
    </w:pPr>
    <w:rPr>
      <w:sz w:val="24"/>
    </w:rPr>
  </w:style>
  <w:style w:type="paragraph" w:styleId="21">
    <w:name w:val="Normal (Web)"/>
    <w:basedOn w:val="1"/>
    <w:link w:val="40"/>
    <w:qFormat/>
    <w:uiPriority w:val="0"/>
    <w:pPr>
      <w:widowControl/>
      <w:spacing w:before="100" w:beforeAutospacing="1" w:after="100" w:afterAutospacing="1"/>
      <w:jc w:val="left"/>
    </w:pPr>
    <w:rPr>
      <w:rFonts w:ascii="宋体" w:hAnsi="宋体"/>
      <w:kern w:val="0"/>
      <w:sz w:val="24"/>
    </w:rPr>
  </w:style>
  <w:style w:type="paragraph" w:styleId="22">
    <w:name w:val="Title"/>
    <w:basedOn w:val="1"/>
    <w:next w:val="3"/>
    <w:qFormat/>
    <w:locked/>
    <w:uiPriority w:val="0"/>
    <w:pPr>
      <w:spacing w:before="240" w:after="60"/>
      <w:jc w:val="center"/>
      <w:outlineLvl w:val="0"/>
    </w:pPr>
    <w:rPr>
      <w:rFonts w:ascii="Arial" w:hAnsi="Arial"/>
      <w:b/>
      <w:sz w:val="32"/>
      <w:szCs w:val="20"/>
    </w:rPr>
  </w:style>
  <w:style w:type="paragraph" w:styleId="23">
    <w:name w:val="annotation subject"/>
    <w:basedOn w:val="8"/>
    <w:next w:val="8"/>
    <w:link w:val="41"/>
    <w:semiHidden/>
    <w:qFormat/>
    <w:uiPriority w:val="0"/>
    <w:rPr>
      <w:b/>
      <w:bCs/>
    </w:rPr>
  </w:style>
  <w:style w:type="paragraph" w:styleId="24">
    <w:name w:val="Body Text First Indent 2"/>
    <w:basedOn w:val="11"/>
    <w:next w:val="11"/>
    <w:qFormat/>
    <w:uiPriority w:val="0"/>
    <w:pPr>
      <w:widowControl w:val="0"/>
      <w:adjustRightInd w:val="0"/>
      <w:snapToGrid w:val="0"/>
      <w:spacing w:after="120" w:line="480" w:lineRule="exact"/>
      <w:ind w:left="420" w:leftChars="200" w:firstLine="420" w:firstLineChars="200"/>
      <w:jc w:val="both"/>
    </w:pPr>
    <w:rPr>
      <w:rFonts w:ascii="宋体" w:eastAsia="黑体"/>
      <w:snapToGrid w:val="0"/>
      <w:spacing w:val="12"/>
      <w:sz w:val="28"/>
      <w:szCs w:val="24"/>
      <w:lang w:val="en-US" w:eastAsia="zh-CN" w:bidi="ar-SA"/>
    </w:rPr>
  </w:style>
  <w:style w:type="table" w:styleId="26">
    <w:name w:val="Table Grid"/>
    <w:basedOn w:val="25"/>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locked/>
    <w:uiPriority w:val="0"/>
    <w:rPr>
      <w:b/>
    </w:rPr>
  </w:style>
  <w:style w:type="character" w:styleId="29">
    <w:name w:val="page number"/>
    <w:basedOn w:val="27"/>
    <w:qFormat/>
    <w:uiPriority w:val="0"/>
  </w:style>
  <w:style w:type="character" w:styleId="30">
    <w:name w:val="Emphasis"/>
    <w:qFormat/>
    <w:locked/>
    <w:uiPriority w:val="0"/>
    <w:rPr>
      <w:i/>
    </w:rPr>
  </w:style>
  <w:style w:type="character" w:styleId="31">
    <w:name w:val="Hyperlink"/>
    <w:basedOn w:val="27"/>
    <w:qFormat/>
    <w:uiPriority w:val="0"/>
    <w:rPr>
      <w:color w:val="0000FF"/>
      <w:u w:val="single"/>
    </w:rPr>
  </w:style>
  <w:style w:type="character" w:styleId="32">
    <w:name w:val="annotation reference"/>
    <w:basedOn w:val="27"/>
    <w:semiHidden/>
    <w:qFormat/>
    <w:uiPriority w:val="0"/>
    <w:rPr>
      <w:sz w:val="21"/>
    </w:rPr>
  </w:style>
  <w:style w:type="character" w:customStyle="1" w:styleId="33">
    <w:name w:val="Body Text Char"/>
    <w:link w:val="9"/>
    <w:qFormat/>
    <w:locked/>
    <w:uiPriority w:val="0"/>
    <w:rPr>
      <w:sz w:val="18"/>
    </w:rPr>
  </w:style>
  <w:style w:type="character" w:customStyle="1" w:styleId="34">
    <w:name w:val="Comment Text Char"/>
    <w:link w:val="8"/>
    <w:qFormat/>
    <w:locked/>
    <w:uiPriority w:val="0"/>
    <w:rPr>
      <w:rFonts w:ascii="Times New Roman" w:hAnsi="Times New Roman" w:eastAsia="宋体"/>
      <w:sz w:val="24"/>
    </w:rPr>
  </w:style>
  <w:style w:type="character" w:customStyle="1" w:styleId="35">
    <w:name w:val="Body Text Indent Char"/>
    <w:basedOn w:val="27"/>
    <w:link w:val="11"/>
    <w:semiHidden/>
    <w:qFormat/>
    <w:locked/>
    <w:uiPriority w:val="0"/>
    <w:rPr>
      <w:rFonts w:ascii="Times New Roman" w:hAnsi="Times New Roman" w:eastAsia="宋体" w:cs="Times New Roman"/>
      <w:sz w:val="24"/>
      <w:szCs w:val="24"/>
    </w:rPr>
  </w:style>
  <w:style w:type="character" w:customStyle="1" w:styleId="36">
    <w:name w:val="Date Char"/>
    <w:link w:val="15"/>
    <w:qFormat/>
    <w:locked/>
    <w:uiPriority w:val="0"/>
    <w:rPr>
      <w:rFonts w:ascii="Times New Roman" w:hAnsi="Times New Roman" w:eastAsia="宋体"/>
      <w:sz w:val="24"/>
    </w:rPr>
  </w:style>
  <w:style w:type="character" w:customStyle="1" w:styleId="37">
    <w:name w:val="Balloon Text Char"/>
    <w:basedOn w:val="27"/>
    <w:link w:val="17"/>
    <w:semiHidden/>
    <w:qFormat/>
    <w:locked/>
    <w:uiPriority w:val="0"/>
    <w:rPr>
      <w:rFonts w:ascii="Times New Roman" w:hAnsi="Times New Roman" w:eastAsia="宋体" w:cs="Times New Roman"/>
      <w:sz w:val="18"/>
      <w:szCs w:val="18"/>
    </w:rPr>
  </w:style>
  <w:style w:type="character" w:customStyle="1" w:styleId="38">
    <w:name w:val="Footer Char"/>
    <w:basedOn w:val="27"/>
    <w:link w:val="18"/>
    <w:qFormat/>
    <w:locked/>
    <w:uiPriority w:val="0"/>
    <w:rPr>
      <w:rFonts w:cs="Times New Roman"/>
      <w:sz w:val="18"/>
      <w:szCs w:val="18"/>
    </w:rPr>
  </w:style>
  <w:style w:type="character" w:customStyle="1" w:styleId="39">
    <w:name w:val="Header Char"/>
    <w:basedOn w:val="27"/>
    <w:link w:val="19"/>
    <w:qFormat/>
    <w:locked/>
    <w:uiPriority w:val="0"/>
    <w:rPr>
      <w:rFonts w:cs="Times New Roman"/>
      <w:sz w:val="18"/>
      <w:szCs w:val="18"/>
    </w:rPr>
  </w:style>
  <w:style w:type="character" w:customStyle="1" w:styleId="40">
    <w:name w:val="Normal (Web) Char"/>
    <w:link w:val="21"/>
    <w:qFormat/>
    <w:locked/>
    <w:uiPriority w:val="0"/>
    <w:rPr>
      <w:rFonts w:ascii="宋体" w:hAnsi="宋体" w:eastAsia="宋体"/>
      <w:sz w:val="24"/>
    </w:rPr>
  </w:style>
  <w:style w:type="character" w:customStyle="1" w:styleId="41">
    <w:name w:val="Comment Subject Char"/>
    <w:basedOn w:val="34"/>
    <w:link w:val="23"/>
    <w:semiHidden/>
    <w:qFormat/>
    <w:locked/>
    <w:uiPriority w:val="0"/>
    <w:rPr>
      <w:rFonts w:cs="Times New Roman"/>
      <w:b/>
      <w:bCs/>
      <w:kern w:val="2"/>
      <w:szCs w:val="24"/>
    </w:rPr>
  </w:style>
  <w:style w:type="character" w:customStyle="1" w:styleId="42">
    <w:name w:val="日期 字符"/>
    <w:basedOn w:val="27"/>
    <w:semiHidden/>
    <w:qFormat/>
    <w:uiPriority w:val="0"/>
    <w:rPr>
      <w:rFonts w:ascii="Times New Roman" w:hAnsi="Times New Roman" w:eastAsia="宋体" w:cs="Times New Roman"/>
      <w:sz w:val="24"/>
      <w:szCs w:val="24"/>
    </w:rPr>
  </w:style>
  <w:style w:type="character" w:customStyle="1" w:styleId="43">
    <w:name w:val="正文文本 字符1"/>
    <w:basedOn w:val="27"/>
    <w:semiHidden/>
    <w:qFormat/>
    <w:uiPriority w:val="0"/>
    <w:rPr>
      <w:rFonts w:ascii="Times New Roman" w:hAnsi="Times New Roman" w:eastAsia="宋体" w:cs="Times New Roman"/>
      <w:sz w:val="24"/>
      <w:szCs w:val="24"/>
    </w:rPr>
  </w:style>
  <w:style w:type="paragraph" w:customStyle="1" w:styleId="44">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45">
    <w:name w:val="表格 Char"/>
    <w:link w:val="46"/>
    <w:qFormat/>
    <w:locked/>
    <w:uiPriority w:val="0"/>
    <w:rPr>
      <w:rFonts w:ascii="宋体"/>
      <w:sz w:val="21"/>
    </w:rPr>
  </w:style>
  <w:style w:type="paragraph" w:customStyle="1" w:styleId="46">
    <w:name w:val="表格"/>
    <w:basedOn w:val="1"/>
    <w:link w:val="45"/>
    <w:qFormat/>
    <w:uiPriority w:val="0"/>
    <w:pPr>
      <w:adjustRightInd w:val="0"/>
      <w:snapToGrid w:val="0"/>
      <w:spacing w:beforeLines="10" w:afterLines="10" w:line="259" w:lineRule="auto"/>
      <w:jc w:val="center"/>
    </w:pPr>
    <w:rPr>
      <w:rFonts w:ascii="宋体"/>
      <w:kern w:val="0"/>
      <w:sz w:val="20"/>
      <w:szCs w:val="21"/>
    </w:rPr>
  </w:style>
  <w:style w:type="character" w:customStyle="1" w:styleId="47">
    <w:name w:val="批注文字 字符1"/>
    <w:basedOn w:val="27"/>
    <w:semiHidden/>
    <w:qFormat/>
    <w:uiPriority w:val="0"/>
    <w:rPr>
      <w:rFonts w:ascii="Times New Roman" w:hAnsi="Times New Roman" w:eastAsia="宋体" w:cs="Times New Roman"/>
      <w:sz w:val="24"/>
      <w:szCs w:val="24"/>
    </w:rPr>
  </w:style>
  <w:style w:type="paragraph" w:customStyle="1" w:styleId="48">
    <w:name w:val="正文格式啊啊啊啊"/>
    <w:basedOn w:val="1"/>
    <w:link w:val="49"/>
    <w:qFormat/>
    <w:uiPriority w:val="0"/>
    <w:pPr>
      <w:wordWrap w:val="0"/>
      <w:adjustRightInd w:val="0"/>
      <w:snapToGrid w:val="0"/>
      <w:spacing w:line="520" w:lineRule="exact"/>
      <w:ind w:firstLine="720" w:firstLineChars="200"/>
      <w:jc w:val="left"/>
    </w:pPr>
    <w:rPr>
      <w:rFonts w:ascii="Times New Roman" w:hAnsi="Times New Roman" w:eastAsia="宋体" w:cs="宋体"/>
      <w:kern w:val="0"/>
      <w:sz w:val="24"/>
    </w:rPr>
  </w:style>
  <w:style w:type="character" w:customStyle="1" w:styleId="49">
    <w:name w:val="正文格式啊啊啊啊 Char"/>
    <w:link w:val="48"/>
    <w:qFormat/>
    <w:uiPriority w:val="0"/>
    <w:rPr>
      <w:rFonts w:ascii="Times New Roman" w:hAnsi="Times New Roman" w:eastAsia="宋体" w:cs="宋体"/>
      <w:kern w:val="0"/>
      <w:sz w:val="24"/>
    </w:rPr>
  </w:style>
  <w:style w:type="paragraph" w:customStyle="1" w:styleId="50">
    <w:name w:val="小标题啊啊啊啊啊"/>
    <w:basedOn w:val="1"/>
    <w:link w:val="51"/>
    <w:qFormat/>
    <w:uiPriority w:val="0"/>
    <w:pPr>
      <w:tabs>
        <w:tab w:val="left" w:pos="2730"/>
      </w:tabs>
      <w:adjustRightInd w:val="0"/>
      <w:snapToGrid w:val="0"/>
      <w:spacing w:line="520" w:lineRule="exact"/>
      <w:ind w:firstLine="0" w:firstLineChars="0"/>
      <w:jc w:val="left"/>
    </w:pPr>
    <w:rPr>
      <w:rFonts w:ascii="Times New Roman" w:hAnsi="Times New Roman" w:eastAsia="宋体" w:cs="宋体"/>
      <w:b/>
      <w:kern w:val="0"/>
      <w:sz w:val="24"/>
    </w:rPr>
  </w:style>
  <w:style w:type="character" w:customStyle="1" w:styleId="51">
    <w:name w:val="小标题啊啊啊啊啊 Char"/>
    <w:link w:val="50"/>
    <w:qFormat/>
    <w:uiPriority w:val="0"/>
    <w:rPr>
      <w:rFonts w:ascii="Times New Roman" w:hAnsi="Times New Roman" w:eastAsia="宋体" w:cs="宋体"/>
      <w:b/>
      <w:kern w:val="0"/>
      <w:sz w:val="24"/>
      <w:szCs w:val="24"/>
      <w:lang w:val="en-US" w:eastAsia="zh-CN" w:bidi="ar-SA"/>
    </w:rPr>
  </w:style>
  <w:style w:type="paragraph" w:customStyle="1" w:styleId="52">
    <w:name w:val="表头啊啊啊啊"/>
    <w:basedOn w:val="1"/>
    <w:link w:val="53"/>
    <w:qFormat/>
    <w:uiPriority w:val="0"/>
    <w:pPr>
      <w:adjustRightInd w:val="0"/>
      <w:snapToGrid w:val="0"/>
      <w:jc w:val="center"/>
    </w:pPr>
    <w:rPr>
      <w:rFonts w:hint="eastAsia" w:ascii="Times New Roman" w:hAnsi="Times New Roman" w:cs="宋体"/>
      <w:b/>
      <w:szCs w:val="21"/>
    </w:rPr>
  </w:style>
  <w:style w:type="character" w:customStyle="1" w:styleId="53">
    <w:name w:val="表头啊啊啊啊 Char"/>
    <w:link w:val="52"/>
    <w:qFormat/>
    <w:uiPriority w:val="0"/>
    <w:rPr>
      <w:rFonts w:hint="eastAsia" w:ascii="Times New Roman" w:hAnsi="Times New Roman" w:cs="宋体"/>
      <w:b/>
      <w:szCs w:val="21"/>
    </w:rPr>
  </w:style>
  <w:style w:type="paragraph" w:customStyle="1" w:styleId="54">
    <w:name w:val="表格内文字啊啊啊啊"/>
    <w:basedOn w:val="1"/>
    <w:link w:val="55"/>
    <w:qFormat/>
    <w:uiPriority w:val="0"/>
    <w:pPr>
      <w:widowControl/>
      <w:wordWrap w:val="0"/>
      <w:jc w:val="center"/>
    </w:pPr>
    <w:rPr>
      <w:rFonts w:hint="eastAsia" w:ascii="Times New Roman" w:hAnsi="Times New Roman" w:eastAsia="宋体" w:cs="宋体"/>
      <w:color w:val="000000"/>
      <w:kern w:val="0"/>
      <w:szCs w:val="21"/>
    </w:rPr>
  </w:style>
  <w:style w:type="character" w:customStyle="1" w:styleId="55">
    <w:name w:val="表格内文字啊啊啊啊 Char"/>
    <w:link w:val="54"/>
    <w:qFormat/>
    <w:uiPriority w:val="0"/>
    <w:rPr>
      <w:rFonts w:hint="eastAsia" w:ascii="Times New Roman" w:hAnsi="Times New Roman" w:eastAsia="宋体" w:cs="宋体"/>
      <w:color w:val="000000"/>
      <w:kern w:val="0"/>
      <w:szCs w:val="21"/>
    </w:rPr>
  </w:style>
  <w:style w:type="paragraph" w:customStyle="1" w:styleId="56">
    <w:name w:val="表头啊啊啊啊啊"/>
    <w:basedOn w:val="1"/>
    <w:link w:val="57"/>
    <w:qFormat/>
    <w:uiPriority w:val="0"/>
    <w:pPr>
      <w:spacing w:line="360" w:lineRule="auto"/>
      <w:jc w:val="center"/>
    </w:pPr>
    <w:rPr>
      <w:rFonts w:ascii="Times New Roman" w:hAnsi="Times New Roman" w:eastAsia="宋体"/>
      <w:b/>
      <w:bCs/>
      <w:sz w:val="24"/>
      <w:szCs w:val="21"/>
    </w:rPr>
  </w:style>
  <w:style w:type="character" w:customStyle="1" w:styleId="57">
    <w:name w:val="表头啊啊啊啊啊 Char"/>
    <w:link w:val="56"/>
    <w:qFormat/>
    <w:uiPriority w:val="0"/>
    <w:rPr>
      <w:rFonts w:ascii="Times New Roman" w:hAnsi="Times New Roman" w:eastAsia="宋体" w:cs="Times New Roman"/>
      <w:b/>
      <w:bCs/>
      <w:sz w:val="24"/>
      <w:szCs w:val="21"/>
    </w:rPr>
  </w:style>
  <w:style w:type="paragraph" w:customStyle="1" w:styleId="58">
    <w:name w:val="表格里面啊啊啊啊"/>
    <w:basedOn w:val="1"/>
    <w:qFormat/>
    <w:uiPriority w:val="0"/>
    <w:pPr>
      <w:jc w:val="center"/>
    </w:pPr>
    <w:rPr>
      <w:rFonts w:ascii="Times New Roman" w:hAnsi="Times New Roman" w:eastAsia="宋体" w:cs="Times New Roman"/>
      <w:szCs w:val="21"/>
    </w:rPr>
  </w:style>
  <w:style w:type="paragraph" w:customStyle="1" w:styleId="59">
    <w:name w:val="表格头jophy"/>
    <w:basedOn w:val="1"/>
    <w:qFormat/>
    <w:uiPriority w:val="0"/>
    <w:pPr>
      <w:adjustRightInd w:val="0"/>
      <w:snapToGrid w:val="0"/>
      <w:jc w:val="center"/>
      <w:textAlignment w:val="baseline"/>
    </w:pPr>
    <w:rPr>
      <w:b/>
      <w:bCs/>
      <w:spacing w:val="-10"/>
      <w:kern w:val="0"/>
      <w:szCs w:val="28"/>
    </w:rPr>
  </w:style>
  <w:style w:type="paragraph" w:customStyle="1" w:styleId="60">
    <w:name w:val="表格内容jophy"/>
    <w:basedOn w:val="1"/>
    <w:qFormat/>
    <w:uiPriority w:val="0"/>
    <w:pPr>
      <w:adjustRightInd w:val="0"/>
      <w:snapToGrid w:val="0"/>
      <w:jc w:val="center"/>
    </w:pPr>
    <w:rPr>
      <w:szCs w:val="18"/>
    </w:rPr>
  </w:style>
  <w:style w:type="table" w:customStyle="1" w:styleId="61">
    <w:name w:val="TableGrid"/>
    <w:basedOn w:val="25"/>
    <w:qFormat/>
    <w:uiPriority w:val="0"/>
    <w:rPr>
      <w:rFonts w:ascii="等线" w:hAnsi="等线" w:eastAsia="等线" w:cs="等线"/>
      <w:kern w:val="2"/>
      <w:sz w:val="21"/>
      <w:szCs w:val="22"/>
    </w:rPr>
    <w:tblPr>
      <w:tblCellMar>
        <w:top w:w="0" w:type="dxa"/>
        <w:left w:w="0" w:type="dxa"/>
        <w:bottom w:w="0" w:type="dxa"/>
        <w:right w:w="0" w:type="dxa"/>
      </w:tblCellMar>
    </w:tblPr>
  </w:style>
  <w:style w:type="paragraph" w:customStyle="1" w:styleId="62">
    <w:name w:val="1正文段落"/>
    <w:basedOn w:val="1"/>
    <w:qFormat/>
    <w:uiPriority w:val="0"/>
    <w:pPr>
      <w:spacing w:line="360" w:lineRule="auto"/>
      <w:ind w:firstLine="480" w:firstLineChars="200"/>
      <w:jc w:val="left"/>
    </w:pPr>
    <w:rPr>
      <w:snapToGrid w:val="0"/>
      <w:kern w:val="0"/>
      <w:sz w:val="24"/>
    </w:rPr>
  </w:style>
  <w:style w:type="paragraph" w:customStyle="1" w:styleId="63">
    <w:name w:val="图表标题"/>
    <w:basedOn w:val="1"/>
    <w:qFormat/>
    <w:uiPriority w:val="0"/>
    <w:pPr>
      <w:spacing w:line="480" w:lineRule="exact"/>
      <w:ind w:firstLine="0" w:firstLineChars="0"/>
      <w:jc w:val="center"/>
      <w:outlineLvl w:val="9"/>
    </w:pPr>
    <w:rPr>
      <w:rFonts w:ascii="Times New Roman" w:hAnsi="Times New Roman" w:eastAsia="宋体"/>
      <w:b/>
      <w:bCs/>
      <w:color w:val="auto"/>
    </w:rPr>
  </w:style>
  <w:style w:type="paragraph" w:customStyle="1" w:styleId="64">
    <w:name w:val="表字1"/>
    <w:basedOn w:val="1"/>
    <w:qFormat/>
    <w:uiPriority w:val="0"/>
    <w:pPr>
      <w:adjustRightInd w:val="0"/>
      <w:snapToGrid w:val="0"/>
      <w:spacing w:line="200" w:lineRule="atLeast"/>
      <w:ind w:left="872"/>
      <w:jc w:val="center"/>
    </w:pPr>
    <w:rPr>
      <w:snapToGrid w:val="0"/>
      <w:kern w:val="0"/>
      <w:szCs w:val="21"/>
    </w:rPr>
  </w:style>
  <w:style w:type="paragraph" w:customStyle="1" w:styleId="65">
    <w:name w:val="A正文啊啊啊啊啊"/>
    <w:basedOn w:val="1"/>
    <w:link w:val="86"/>
    <w:qFormat/>
    <w:uiPriority w:val="0"/>
    <w:pPr>
      <w:wordWrap w:val="0"/>
      <w:spacing w:line="520" w:lineRule="exact"/>
      <w:ind w:firstLine="720" w:firstLineChars="200"/>
    </w:pPr>
    <w:rPr>
      <w:rFonts w:ascii="Times New Roman" w:hAnsi="Times New Roman" w:eastAsia="宋体" w:cs="宋体"/>
      <w:sz w:val="24"/>
    </w:rPr>
  </w:style>
  <w:style w:type="paragraph" w:customStyle="1" w:styleId="66">
    <w:name w:val="1.1.1.1"/>
    <w:basedOn w:val="1"/>
    <w:qFormat/>
    <w:uiPriority w:val="0"/>
    <w:pPr>
      <w:adjustRightInd w:val="0"/>
      <w:snapToGrid w:val="0"/>
      <w:spacing w:before="100" w:beforeLines="0" w:beforeAutospacing="0" w:after="60" w:afterLines="0" w:afterAutospacing="0" w:line="300" w:lineRule="auto"/>
      <w:jc w:val="left"/>
      <w:textAlignment w:val="baseline"/>
    </w:pPr>
    <w:rPr>
      <w:rFonts w:ascii="黑体" w:eastAsia="黑体"/>
      <w:spacing w:val="4"/>
      <w:kern w:val="0"/>
      <w:sz w:val="24"/>
    </w:rPr>
  </w:style>
  <w:style w:type="paragraph" w:customStyle="1" w:styleId="67">
    <w:name w:val="默认段落"/>
    <w:unhideWhenUsed/>
    <w:qFormat/>
    <w:uiPriority w:val="0"/>
    <w:pPr>
      <w:widowControl w:val="0"/>
      <w:spacing w:beforeLines="0" w:afterLines="0"/>
      <w:jc w:val="both"/>
    </w:pPr>
    <w:rPr>
      <w:rFonts w:hint="default" w:ascii="Times New Roman" w:hAnsi="Times New Roman" w:eastAsia="宋体" w:cs="Times New Roman"/>
      <w:kern w:val="2"/>
      <w:sz w:val="21"/>
      <w:szCs w:val="24"/>
      <w:lang w:val="en-US" w:eastAsia="zh-CN" w:bidi="ar-SA"/>
    </w:rPr>
  </w:style>
  <w:style w:type="paragraph" w:customStyle="1" w:styleId="68">
    <w:name w:val="Plain Text"/>
    <w:basedOn w:val="1"/>
    <w:qFormat/>
    <w:uiPriority w:val="0"/>
    <w:pPr>
      <w:adjustRightInd w:val="0"/>
      <w:jc w:val="left"/>
    </w:pPr>
    <w:rPr>
      <w:sz w:val="24"/>
      <w:szCs w:val="20"/>
    </w:rPr>
  </w:style>
  <w:style w:type="paragraph" w:customStyle="1" w:styleId="69">
    <w:name w:val="海正文"/>
    <w:basedOn w:val="1"/>
    <w:qFormat/>
    <w:uiPriority w:val="0"/>
    <w:pPr>
      <w:spacing w:line="360" w:lineRule="auto"/>
      <w:ind w:firstLine="200" w:firstLineChars="200"/>
    </w:pPr>
    <w:rPr>
      <w:rFonts w:ascii="宋体" w:hAnsi="宋体" w:cs="宋体"/>
      <w:sz w:val="24"/>
      <w:szCs w:val="20"/>
    </w:rPr>
  </w:style>
  <w:style w:type="paragraph" w:customStyle="1" w:styleId="70">
    <w:name w:val="bg正文首行缩进"/>
    <w:basedOn w:val="1"/>
    <w:qFormat/>
    <w:uiPriority w:val="0"/>
    <w:pPr>
      <w:spacing w:line="400" w:lineRule="exact"/>
      <w:ind w:firstLine="482" w:firstLineChars="200"/>
    </w:pPr>
    <w:rPr>
      <w:rFonts w:ascii="楷体_GB2312" w:eastAsia="楷体_GB2312"/>
      <w:sz w:val="28"/>
      <w:szCs w:val="20"/>
    </w:rPr>
  </w:style>
  <w:style w:type="character" w:customStyle="1" w:styleId="71">
    <w:name w:val="fontstyle01"/>
    <w:basedOn w:val="27"/>
    <w:qFormat/>
    <w:uiPriority w:val="0"/>
    <w:rPr>
      <w:rFonts w:ascii="仿宋" w:hAnsi="仿宋" w:eastAsia="仿宋" w:cs="仿宋"/>
      <w:color w:val="000000"/>
      <w:sz w:val="30"/>
      <w:szCs w:val="30"/>
    </w:rPr>
  </w:style>
  <w:style w:type="paragraph" w:customStyle="1" w:styleId="72">
    <w:name w:val="正文文本1"/>
    <w:basedOn w:val="1"/>
    <w:qFormat/>
    <w:uiPriority w:val="0"/>
    <w:pPr>
      <w:topLinePunct/>
      <w:spacing w:line="500" w:lineRule="exact"/>
      <w:ind w:firstLine="560" w:firstLineChars="200"/>
    </w:pPr>
    <w:rPr>
      <w:rFonts w:ascii="仿宋_GB2312" w:hAnsi="仿宋" w:eastAsia="仿宋_GB2312"/>
      <w:bCs/>
      <w:color w:val="000000"/>
      <w:sz w:val="28"/>
      <w:szCs w:val="28"/>
    </w:rPr>
  </w:style>
  <w:style w:type="paragraph" w:customStyle="1" w:styleId="73">
    <w:name w:val="图名表名"/>
    <w:basedOn w:val="1"/>
    <w:qFormat/>
    <w:uiPriority w:val="0"/>
    <w:pPr>
      <w:kinsoku w:val="0"/>
      <w:overflowPunct w:val="0"/>
      <w:autoSpaceDE w:val="0"/>
      <w:autoSpaceDN w:val="0"/>
      <w:spacing w:line="240" w:lineRule="auto"/>
      <w:ind w:firstLine="0" w:firstLineChars="0"/>
      <w:jc w:val="center"/>
    </w:pPr>
    <w:rPr>
      <w:b/>
      <w:sz w:val="24"/>
    </w:rPr>
  </w:style>
  <w:style w:type="character" w:customStyle="1" w:styleId="74">
    <w:name w:val="10"/>
    <w:basedOn w:val="27"/>
    <w:qFormat/>
    <w:uiPriority w:val="0"/>
    <w:rPr>
      <w:rFonts w:hint="default" w:ascii="Times New Roman" w:hAnsi="Times New Roman" w:cs="Times New Roman"/>
    </w:rPr>
  </w:style>
  <w:style w:type="character" w:customStyle="1" w:styleId="75">
    <w:name w:val="15"/>
    <w:basedOn w:val="27"/>
    <w:qFormat/>
    <w:uiPriority w:val="0"/>
    <w:rPr>
      <w:rFonts w:hint="default" w:ascii="Times New Roman" w:hAnsi="Times New Roman" w:cs="Times New Roman"/>
    </w:rPr>
  </w:style>
  <w:style w:type="character" w:customStyle="1" w:styleId="76">
    <w:name w:val="font21"/>
    <w:basedOn w:val="27"/>
    <w:qFormat/>
    <w:uiPriority w:val="0"/>
    <w:rPr>
      <w:rFonts w:ascii="宋体" w:hAnsi="宋体" w:eastAsia="宋体" w:cs="宋体"/>
      <w:color w:val="000000"/>
      <w:sz w:val="14"/>
      <w:szCs w:val="14"/>
      <w:u w:val="none"/>
    </w:rPr>
  </w:style>
  <w:style w:type="character" w:customStyle="1" w:styleId="77">
    <w:name w:val="font31"/>
    <w:basedOn w:val="27"/>
    <w:qFormat/>
    <w:uiPriority w:val="0"/>
    <w:rPr>
      <w:rFonts w:ascii="宋体" w:hAnsi="宋体" w:eastAsia="宋体" w:cs="宋体"/>
      <w:color w:val="002060"/>
      <w:sz w:val="14"/>
      <w:szCs w:val="14"/>
      <w:u w:val="none"/>
    </w:rPr>
  </w:style>
  <w:style w:type="character" w:customStyle="1" w:styleId="78">
    <w:name w:val="font41"/>
    <w:basedOn w:val="27"/>
    <w:qFormat/>
    <w:uiPriority w:val="0"/>
    <w:rPr>
      <w:rFonts w:ascii="宋体" w:hAnsi="宋体" w:eastAsia="宋体" w:cs="宋体"/>
      <w:color w:val="103090"/>
      <w:sz w:val="14"/>
      <w:szCs w:val="14"/>
      <w:u w:val="none"/>
    </w:rPr>
  </w:style>
  <w:style w:type="character" w:customStyle="1" w:styleId="79">
    <w:name w:val="font51"/>
    <w:basedOn w:val="27"/>
    <w:qFormat/>
    <w:uiPriority w:val="0"/>
    <w:rPr>
      <w:rFonts w:ascii="宋体" w:hAnsi="宋体" w:eastAsia="宋体" w:cs="宋体"/>
      <w:color w:val="202040"/>
      <w:sz w:val="14"/>
      <w:szCs w:val="14"/>
      <w:u w:val="none"/>
    </w:rPr>
  </w:style>
  <w:style w:type="character" w:customStyle="1" w:styleId="80">
    <w:name w:val="font61"/>
    <w:basedOn w:val="27"/>
    <w:qFormat/>
    <w:uiPriority w:val="0"/>
    <w:rPr>
      <w:rFonts w:ascii="宋体" w:hAnsi="宋体" w:eastAsia="宋体" w:cs="宋体"/>
      <w:color w:val="203050"/>
      <w:sz w:val="14"/>
      <w:szCs w:val="14"/>
      <w:u w:val="none"/>
    </w:rPr>
  </w:style>
  <w:style w:type="character" w:customStyle="1" w:styleId="81">
    <w:name w:val="font71"/>
    <w:basedOn w:val="27"/>
    <w:qFormat/>
    <w:uiPriority w:val="0"/>
    <w:rPr>
      <w:rFonts w:ascii="宋体" w:hAnsi="宋体" w:eastAsia="宋体" w:cs="宋体"/>
      <w:color w:val="206090"/>
      <w:sz w:val="14"/>
      <w:szCs w:val="14"/>
      <w:u w:val="none"/>
    </w:rPr>
  </w:style>
  <w:style w:type="paragraph" w:customStyle="1" w:styleId="82">
    <w:name w:val="表内居左"/>
    <w:qFormat/>
    <w:uiPriority w:val="0"/>
    <w:pPr>
      <w:adjustRightInd w:val="0"/>
      <w:snapToGrid w:val="0"/>
      <w:jc w:val="both"/>
    </w:pPr>
    <w:rPr>
      <w:rFonts w:ascii="宋体" w:hAnsi="Times New Roman" w:eastAsia="宋体" w:cs="Times New Roman"/>
      <w:sz w:val="21"/>
      <w:lang w:val="en-US" w:eastAsia="zh-CN" w:bidi="ar-SA"/>
    </w:rPr>
  </w:style>
  <w:style w:type="paragraph" w:customStyle="1" w:styleId="83">
    <w:name w:val="正文啊啊啊"/>
    <w:qFormat/>
    <w:uiPriority w:val="0"/>
    <w:pPr>
      <w:widowControl w:val="0"/>
      <w:wordWrap w:val="0"/>
      <w:adjustRightInd w:val="0"/>
      <w:snapToGrid w:val="0"/>
      <w:spacing w:line="520" w:lineRule="exact"/>
      <w:ind w:firstLine="720" w:firstLineChars="200"/>
      <w:jc w:val="left"/>
    </w:pPr>
    <w:rPr>
      <w:rFonts w:hint="eastAsia" w:ascii="Times New Roman" w:hAnsi="Times New Roman" w:eastAsia="宋体" w:cs="宋体"/>
      <w:bCs/>
      <w:kern w:val="2"/>
      <w:sz w:val="24"/>
      <w:szCs w:val="24"/>
      <w:lang w:val="en-US" w:eastAsia="zh-CN" w:bidi="ar-SA"/>
    </w:rPr>
  </w:style>
  <w:style w:type="paragraph" w:customStyle="1" w:styleId="84">
    <w:name w:val="正文啊啊"/>
    <w:basedOn w:val="1"/>
    <w:qFormat/>
    <w:uiPriority w:val="0"/>
    <w:pPr>
      <w:spacing w:line="520" w:lineRule="exact"/>
      <w:ind w:firstLine="720" w:firstLineChars="200"/>
    </w:pPr>
    <w:rPr>
      <w:rFonts w:ascii="Times New Roman" w:hAnsi="Times New Roman" w:eastAsia="宋体" w:cs="宋体"/>
      <w:sz w:val="24"/>
      <w:szCs w:val="24"/>
    </w:rPr>
  </w:style>
  <w:style w:type="paragraph" w:customStyle="1" w:styleId="85">
    <w:name w:val="正文+宋体"/>
    <w:basedOn w:val="1"/>
    <w:qFormat/>
    <w:uiPriority w:val="0"/>
    <w:pPr>
      <w:spacing w:line="360" w:lineRule="auto"/>
      <w:ind w:firstLine="480" w:firstLineChars="200"/>
    </w:pPr>
    <w:rPr>
      <w:rFonts w:ascii="宋体" w:hAnsi="宋体" w:eastAsia="宋体"/>
      <w:snapToGrid w:val="0"/>
      <w:kern w:val="24"/>
      <w:sz w:val="24"/>
    </w:rPr>
  </w:style>
  <w:style w:type="character" w:customStyle="1" w:styleId="86">
    <w:name w:val="A正文啊啊啊啊啊 Char"/>
    <w:link w:val="65"/>
    <w:qFormat/>
    <w:uiPriority w:val="0"/>
    <w:rPr>
      <w:rFonts w:ascii="Times New Roman" w:hAnsi="Times New Roman" w:eastAsia="宋体" w:cs="宋体"/>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9.jpe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"/>
    </extobj>
  </extobjs>
</s:customData>
</file>

<file path=customXml/item2.xml><?xml version="1.0" encoding="utf-8"?>
<contractReview xmlns="http://schemas.wps.cn/vas-ai-hub/contract-review">
  <reviewItems>
    <reviewItem>
      <errorID>1a0850a2-a597-4fee-9957-7b09b1db0fe6</errorID>
      <errorWord>-</errorWord>
      <group>L1_Format</group>
      <groupName>格式问题</groupName>
      <ability>L2_HalfPunc_CN</ability>
      <abilityName>全半角问题</abilityName>
      <candidateList>
        <item>－</item>
      </candidateList>
      <explain>文本全半角错误。</explain>
      <paraID> 7BDF356</paraID>
      <start>43</start>
      <end>44</end>
      <status>unmodified</status>
      <modifiedWord/>
      <trackRevisions>false</trackRevisions>
    </reviewItem>
    <reviewItem>
      <errorID>0f6fc4c0-a612-4951-81c2-f82a66fd80af</errorID>
      <errorWord>(</errorWord>
      <group>L1_Format</group>
      <groupName>格式问题</groupName>
      <ability>L2_HalfPunc_CN</ability>
      <abilityName>全半角问题</abilityName>
      <candidateList>
        <item>（</item>
      </candidateList>
      <explain>文本全半角错误。</explain>
      <paraID>3BB0326B</paraID>
      <start>97</start>
      <end>98</end>
      <status>unmodified</status>
      <modifiedWord/>
      <trackRevisions>false</trackRevisions>
    </reviewItem>
    <reviewItem>
      <errorID>75cb36d0-9072-44b0-bb57-3704be68fb1b</errorID>
      <errorWord>)</errorWord>
      <group>L1_Format</group>
      <groupName>格式问题</groupName>
      <ability>L2_HalfPunc_CN</ability>
      <abilityName>全半角问题</abilityName>
      <candidateList>
        <item>）</item>
      </candidateList>
      <explain>文本全半角错误。</explain>
      <paraID>3BB0326B</paraID>
      <start>102</start>
      <end>103</end>
      <status>unmodified</status>
      <modifiedWord/>
      <trackRevisions>false</trackRevisions>
    </reviewItem>
    <reviewItem>
      <errorID>8dc2db3c-3b3d-47a5-a926-84269a307cdd</errorID>
      <errorWord>(</errorWord>
      <group>L1_Format</group>
      <groupName>格式问题</groupName>
      <ability>L2_HalfPunc_CN</ability>
      <abilityName>全半角问题</abilityName>
      <candidateList>
        <item>（</item>
      </candidateList>
      <explain>文本全半角错误。</explain>
      <paraID>3F45B8AE</paraID>
      <start>146</start>
      <end>147</end>
      <status>unmodified</status>
      <modifiedWord/>
      <trackRevisions>false</trackRevisions>
    </reviewItem>
    <reviewItem>
      <errorID>65dec39c-b100-459d-9511-fab16f3b0cce</errorID>
      <errorWord>)</errorWord>
      <group>L1_Format</group>
      <groupName>格式问题</groupName>
      <ability>L2_HalfPunc_CN</ability>
      <abilityName>全半角问题</abilityName>
      <candidateList>
        <item>）</item>
      </candidateList>
      <explain>文本全半角错误。</explain>
      <paraID>3F45B8AE</paraID>
      <start>164</start>
      <end>165</end>
      <status>unmodified</status>
      <modifiedWord/>
      <trackRevisions>false</trackRevisions>
    </reviewItem>
    <reviewItem>
      <errorID>06672ef9-456a-4bba-90ce-98a980d57e61</errorID>
      <errorWord>国家重要生态功能区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词汇“国家重点生态功能区”在特定场景下为固定表述形式，请确认此处的“国家重要生态功能区”是否存在不当。</explain>
      <paraID> 3048264</paraID>
      <start>214</start>
      <end>223</end>
      <status>unmodified</status>
      <modifiedWord/>
      <trackRevisions>false</trackRevisions>
    </reviewItem>
    <reviewItem>
      <errorID>62c2a052-8c25-44ed-913c-37749cba46f8</errorID>
      <errorWord>国家重要生态功能区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词汇“国家重点生态功能区”在特定场景下为固定表述形式，请确认此处的“国家重要生态功能区”是否存在不当。</explain>
      <paraID>7296225D</paraID>
      <start>70</start>
      <end>79</end>
      <status>unmodified</status>
      <modifiedWord/>
      <trackRevisions>false</trackRevisions>
    </reviewItem>
    <reviewItem>
      <errorID>66e38d9a-3bfe-4340-b2cc-1e48c348f6f3</errorID>
      <errorWord>农产品产区</errorWord>
      <group>L1_Political</group>
      <groupName>政治性问题</groupName>
      <ability>L2_Keyword</ability>
      <abilityName>固定表述</abilityName>
      <candidateList>
        <item>农产品主产区</item>
      </candidateList>
      <explain>词汇“农产品主产区”在特定场景下为固定表述形式，请确认此处的“农产品产区”是否存在不当。</explain>
      <paraID>1ACA8950</paraID>
      <start>89</start>
      <end>94</end>
      <status>unmodified</status>
      <modifiedWord/>
      <trackRevisions>false</trackRevisions>
    </reviewItem>
    <reviewItem>
      <errorID>61471739-ac4c-467e-b528-efa73374b74c</errorID>
      <errorWord>，</errorWord>
      <group>L1_Word</group>
      <groupName>字词问题</groupName>
      <ability>L2_Typo</ability>
      <abilityName>字词错误</abilityName>
      <candidateList>
        <item>，在</item>
      </candidateList>
      <explain/>
      <paraID>4DF8280C</paraID>
      <start>42</start>
      <end>43</end>
      <status>unmodified</status>
      <modifiedWord/>
      <trackRevisions>false</trackRevisions>
    </reviewItem>
    <reviewItem>
      <errorID>0ac74c11-9a73-44b3-9463-b72f781cab6c</errorID>
      <errorWord>生态保护与恢复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词汇“生态保护修复”在特定场景下为固定表述形式，请确认此处的“生态保护与恢复”是否存在不当。</explain>
      <paraID>74949CDB</paraID>
      <start>0</start>
      <end>7</end>
      <status>unmodified</status>
      <modifiedWord/>
      <trackRevisions>false</trackRevisions>
    </reviewItem>
    <reviewItem>
      <errorID>89a05487-a7d4-4986-beb6-379bd1eade2b</errorID>
      <errorWord>(</errorWord>
      <group>L1_Format</group>
      <groupName>格式问题</groupName>
      <ability>L2_HalfPunc_CN</ability>
      <abilityName>全半角问题</abilityName>
      <candidateList>
        <item>（</item>
      </candidateList>
      <explain>文本全半角错误。</explain>
      <paraID>349B5BEA</paraID>
      <start>6</start>
      <end>7</end>
      <status>unmodified</status>
      <modifiedWord/>
      <trackRevisions>false</trackRevisions>
    </reviewItem>
    <reviewItem>
      <errorID>0c6a4566-a00f-471b-b81d-aac8caddbffe</errorID>
      <errorWord>)</errorWord>
      <group>L1_Format</group>
      <groupName>格式问题</groupName>
      <ability>L2_HalfPunc_CN</ability>
      <abilityName>全半角问题</abilityName>
      <candidateList>
        <item>）</item>
      </candidateList>
      <explain>文本全半角错误。</explain>
      <paraID>349B5BEA</paraID>
      <start>12</start>
      <end>13</end>
      <status>unmodified</status>
      <modifiedWord/>
      <trackRevisions>false</trackRevisions>
    </reviewItem>
    <reviewItem>
      <errorID>79b825f6-a525-46a3-8370-02eb36e356ad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1C9C9AB1</paraID>
      <start>25</start>
      <end>26</end>
      <status>unmodified</status>
      <modifiedWord/>
      <trackRevisions>false</trackRevisions>
    </reviewItem>
    <reviewItem>
      <errorID>7740d532-7f6f-4795-9020-ac71fdee3b01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3A731D89</paraID>
      <start>0</start>
      <end>2</end>
      <status>unmodified</status>
      <modifiedWord/>
      <trackRevisions>false</trackRevisions>
    </reviewItem>
    <reviewItem>
      <errorID>b9be2f1c-e6ee-4c79-a2bc-be8e3741a473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64788873</paraID>
      <start>0</start>
      <end>2</end>
      <status>unmodified</status>
      <modifiedWord/>
      <trackRevisions>false</trackRevisions>
    </reviewItem>
    <reviewItem>
      <errorID>9f74b20c-dd74-4cbd-bdfb-2c28031e7fd8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764BA993</paraID>
      <start>0</start>
      <end>2</end>
      <status>unmodified</status>
      <modifiedWord/>
      <trackRevisions>false</trackRevisions>
    </reviewItem>
    <reviewItem>
      <errorID>16bb3bcf-1acd-4586-9465-dc983991c639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7620DE42</paraID>
      <start>0</start>
      <end>2</end>
      <status>unmodified</status>
      <modifiedWord/>
      <trackRevisions>false</trackRevisions>
    </reviewItem>
    <reviewItem>
      <errorID>476aa7ad-4bfb-46dd-be67-fc845651fd05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577DD0FF</paraID>
      <start>30</start>
      <end>31</end>
      <status>unmodified</status>
      <modifiedWord/>
      <trackRevisions>false</trackRevisions>
    </reviewItem>
    <reviewItem>
      <errorID>28da1f6c-663f-46b1-b1dc-99c4beaafdaf</errorID>
      <errorWord>勘查</errorWord>
      <group>L1_Word</group>
      <groupName>字词问题</groupName>
      <ability>L2_Typo</ability>
      <abilityName>字词错误</abilityName>
      <candidateList>
        <item>勘察</item>
      </candidateList>
      <explain>存在发音相同字词的误用。</explain>
      <paraID>577B19E2</paraID>
      <start>31</start>
      <end>33</end>
      <status>unmodified</status>
      <modifiedWord/>
      <trackRevisions>false</trackRevisions>
    </reviewItem>
    <reviewItem>
      <errorID>fd453406-4638-40ef-b7e7-dcd74320fd38</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459C58A1</paraID>
      <start>0</start>
      <end>3</end>
      <status>unmodified</status>
      <modifiedWord/>
      <trackRevisions>false</trackRevisions>
    </reviewItem>
    <reviewItem>
      <errorID>2be03b82-6d1a-45db-b8a9-8b5573a9016e</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4548DD02</paraID>
      <start>5</start>
      <end>12</end>
      <status>unmodified</status>
      <modifiedWord/>
      <trackRevisions>false</trackRevisions>
    </reviewItem>
    <reviewItem>
      <errorID>4d7e1cf0-1e14-4bca-84c5-0083d114c44f</errorID>
      <errorWord>（</errorWord>
      <group>L1_Format</group>
      <groupName>格式问题</groupName>
      <ability>L2_HalfPunc_CN</ability>
      <abilityName>全半角问题</abilityName>
      <candidateList>
        <item>(</item>
      </candidateList>
      <explain>文本全半角错误。</explain>
      <paraID> A725548</paraID>
      <start>0</start>
      <end>1</end>
      <status>unmodified</status>
      <modifiedWord/>
      <trackRevisions>false</trackRevisions>
    </reviewItem>
    <reviewItem>
      <errorID>4121dd05-2217-4f91-979f-220dfaa0a0da</errorID>
      <errorWord>）</errorWord>
      <group>L1_Format</group>
      <groupName>格式问题</groupName>
      <ability>L2_HalfPunc_CN</ability>
      <abilityName>全半角问题</abilityName>
      <candidateList>
        <item>)</item>
      </candidateList>
      <explain>文本全半角错误。</explain>
      <paraID> A725548</paraID>
      <start>6</start>
      <end>7</end>
      <status>unmodified</status>
      <modifiedWord/>
      <trackRevisions>false</trackRevisions>
    </reviewItem>
    <reviewItem>
      <errorID>f52feb0c-5023-418f-8dec-3c064a61e6ab</errorID>
      <errorWord>（</errorWord>
      <group>L1_Format</group>
      <groupName>格式问题</groupName>
      <ability>L2_HalfPunc_CN</ability>
      <abilityName>全半角问题</abilityName>
      <candidateList>
        <item>(</item>
      </candidateList>
      <explain>文本全半角错误。</explain>
      <paraID>4422E1C2</paraID>
      <start>2</start>
      <end>3</end>
      <status>unmodified</status>
      <modifiedWord/>
      <trackRevisions>false</trackRevisions>
    </reviewItem>
    <reviewItem>
      <errorID>74862a14-23c1-454d-93d7-2e38efce3d9a</errorID>
      <errorWord>）</errorWord>
      <group>L1_Format</group>
      <groupName>格式问题</groupName>
      <ability>L2_HalfPunc_CN</ability>
      <abilityName>全半角问题</abilityName>
      <candidateList>
        <item>)</item>
      </candidateList>
      <explain>文本全半角错误。</explain>
      <paraID>4422E1C2</paraID>
      <start>9</start>
      <end>10</end>
      <status>unmodified</status>
      <modifiedWord/>
      <trackRevisions>false</trackRevisions>
    </reviewItem>
    <reviewItem>
      <errorID>3f7aee80-4fd3-49d4-a69a-9a891b653eff</errorID>
      <errorWord>（</errorWord>
      <group>L1_Format</group>
      <groupName>格式问题</groupName>
      <ability>L2_HalfPunc_CN</ability>
      <abilityName>全半角问题</abilityName>
      <candidateList>
        <item>(</item>
      </candidateList>
      <explain>文本全半角错误。</explain>
      <paraID>449AF47F</paraID>
      <start>2</start>
      <end>3</end>
      <status>unmodified</status>
      <modifiedWord/>
      <trackRevisions>false</trackRevisions>
    </reviewItem>
    <reviewItem>
      <errorID>fd452b0f-bf2b-4907-93ef-12416d46db17</errorID>
      <errorWord>）</errorWord>
      <group>L1_Format</group>
      <groupName>格式问题</groupName>
      <ability>L2_HalfPunc_CN</ability>
      <abilityName>全半角问题</abilityName>
      <candidateList>
        <item>)</item>
      </candidateList>
      <explain>文本全半角错误。</explain>
      <paraID>449AF47F</paraID>
      <start>9</start>
      <end>10</end>
      <status>unmodified</status>
      <modifiedWord/>
      <trackRevisions>false</trackRevisions>
    </reviewItem>
    <reviewItem>
      <errorID>f200f082-b7e4-4e54-b20d-3e00b64b4b55</errorID>
      <errorWord>（</errorWord>
      <group>L1_Format</group>
      <groupName>格式问题</groupName>
      <ability>L2_HalfPunc_CN</ability>
      <abilityName>全半角问题</abilityName>
      <candidateList>
        <item>(</item>
      </candidateList>
      <explain>文本全半角错误。</explain>
      <paraID>2B9BCF1C</paraID>
      <start>3</start>
      <end>4</end>
      <status>unmodified</status>
      <modifiedWord/>
      <trackRevisions>false</trackRevisions>
    </reviewItem>
    <reviewItem>
      <errorID>55e3cb22-6d0f-4243-ae02-2de2634d1534</errorID>
      <errorWord>）</errorWord>
      <group>L1_Format</group>
      <groupName>格式问题</groupName>
      <ability>L2_HalfPunc_CN</ability>
      <abilityName>全半角问题</abilityName>
      <candidateList>
        <item>)</item>
      </candidateList>
      <explain>文本全半角错误。</explain>
      <paraID>2B9BCF1C</paraID>
      <start>10</start>
      <end>11</end>
      <status>unmodified</status>
      <modifiedWord/>
      <trackRevisions>false</trackRevisions>
    </reviewItem>
    <reviewItem>
      <errorID>a4f42ba5-b203-4f4a-8d41-55b1e8943815</errorID>
      <errorWord>（</errorWord>
      <group>L1_Format</group>
      <groupName>格式问题</groupName>
      <ability>L2_HalfPunc_CN</ability>
      <abilityName>全半角问题</abilityName>
      <candidateList>
        <item>(</item>
      </candidateList>
      <explain>文本全半角错误。</explain>
      <paraID>15025ABC</paraID>
      <start>6</start>
      <end>7</end>
      <status>unmodified</status>
      <modifiedWord/>
      <trackRevisions>false</trackRevisions>
    </reviewItem>
    <reviewItem>
      <errorID>54c8d067-6903-46ec-9a9d-9b823dd5a83f</errorID>
      <errorWord>）</errorWord>
      <group>L1_Format</group>
      <groupName>格式问题</groupName>
      <ability>L2_HalfPunc_CN</ability>
      <abilityName>全半角问题</abilityName>
      <candidateList>
        <item>)</item>
      </candidateList>
      <explain>文本全半角错误。</explain>
      <paraID>15025ABC</paraID>
      <start>13</start>
      <end>14</end>
      <status>unmodified</status>
      <modifiedWord/>
      <trackRevisions>false</trackRevisions>
    </reviewItem>
    <reviewItem>
      <errorID>08c547f1-85be-4bb9-a1a6-f5fbd4fae9e7</errorID>
      <errorWord>（</errorWord>
      <group>L1_Format</group>
      <groupName>格式问题</groupName>
      <ability>L2_HalfPunc_CN</ability>
      <abilityName>全半角问题</abilityName>
      <candidateList>
        <item>(</item>
      </candidateList>
      <explain>文本全半角错误。</explain>
      <paraID>17C45062</paraID>
      <start>2</start>
      <end>3</end>
      <status>unmodified</status>
      <modifiedWord/>
      <trackRevisions>false</trackRevisions>
    </reviewItem>
    <reviewItem>
      <errorID>e3b74699-6a9a-4578-bbb1-d5280c1e501b</errorID>
      <errorWord>）</errorWord>
      <group>L1_Format</group>
      <groupName>格式问题</groupName>
      <ability>L2_HalfPunc_CN</ability>
      <abilityName>全半角问题</abilityName>
      <candidateList>
        <item>)</item>
      </candidateList>
      <explain>文本全半角错误。</explain>
      <paraID>17C45062</paraID>
      <start>9</start>
      <end>10</end>
      <status>unmodified</status>
      <modifiedWord/>
      <trackRevisions>false</trackRevisions>
    </reviewItem>
    <reviewItem>
      <errorID>0a8d0fcc-a818-4727-9789-d44e82371e49</errorID>
      <errorWord>（</errorWord>
      <group>L1_Format</group>
      <groupName>格式问题</groupName>
      <ability>L2_HalfPunc_CN</ability>
      <abilityName>全半角问题</abilityName>
      <candidateList>
        <item>(</item>
      </candidateList>
      <explain>文本全半角错误。</explain>
      <paraID>6986BC6C</paraID>
      <start>4</start>
      <end>5</end>
      <status>unmodified</status>
      <modifiedWord/>
      <trackRevisions>false</trackRevisions>
    </reviewItem>
    <reviewItem>
      <errorID>12d05368-b1eb-4a04-8d06-121ff1ec6f97</errorID>
      <errorWord>）</errorWord>
      <group>L1_Format</group>
      <groupName>格式问题</groupName>
      <ability>L2_HalfPunc_CN</ability>
      <abilityName>全半角问题</abilityName>
      <candidateList>
        <item>)</item>
      </candidateList>
      <explain>文本全半角错误。</explain>
      <paraID>6986BC6C</paraID>
      <start>8</start>
      <end>9</end>
      <status>unmodified</status>
      <modifiedWord/>
      <trackRevisions>false</trackRevisions>
    </reviewItem>
    <reviewItem>
      <errorID>a55102f8-9d5e-48b2-867e-0835aab426db</errorID>
      <errorWord>（</errorWord>
      <group>L1_Format</group>
      <groupName>格式问题</groupName>
      <ability>L2_HalfPunc_CN</ability>
      <abilityName>全半角问题</abilityName>
      <candidateList>
        <item>(</item>
      </candidateList>
      <explain>文本全半角错误。</explain>
      <paraID>72EEA8AC</paraID>
      <start>2</start>
      <end>3</end>
      <status>unmodified</status>
      <modifiedWord/>
      <trackRevisions>false</trackRevisions>
    </reviewItem>
    <reviewItem>
      <errorID>86f7a9be-1d48-4bdc-9d33-f52618a8b76a</errorID>
      <errorWord>）</errorWord>
      <group>L1_Format</group>
      <groupName>格式问题</groupName>
      <ability>L2_HalfPunc_CN</ability>
      <abilityName>全半角问题</abilityName>
      <candidateList>
        <item>)</item>
      </candidateList>
      <explain>文本全半角错误。</explain>
      <paraID>72EEA8AC</paraID>
      <start>9</start>
      <end>10</end>
      <status>unmodified</status>
      <modifiedWord/>
      <trackRevisions>false</trackRevisions>
    </reviewItem>
    <reviewItem>
      <errorID>b1d21e27-dc8c-4b9e-9fd8-d00dbc9bfbcb</errorID>
      <errorWord>。。</errorWord>
      <group>L1_Punc</group>
      <groupName>标点问题</groupName>
      <ability>L2_Punc_CN</ability>
      <abilityName>标点符号问题</abilityName>
      <candidateList>
        <item>。</item>
      </candidateList>
      <explain/>
      <paraID>1AD4F10C</paraID>
      <start>45</start>
      <end>47</end>
      <status>unmodified</status>
      <modifiedWord/>
      <trackRevisions>false</trackRevisions>
    </reviewItem>
    <reviewItem>
      <errorID>ccb4bb2a-a4ff-47b7-bfb7-c017d622a878</errorID>
      <errorWord>法律、法规</errorWord>
      <group>L1_Word</group>
      <groupName>字词问题</groupName>
      <ability>L2_Typo</ability>
      <abilityName>字词错误</abilityName>
      <candidateList>
        <item>法律法规</item>
      </candidateList>
      <explain/>
      <paraID>4C87318C</paraID>
      <start>170</start>
      <end>175</end>
      <status>unmodified</status>
      <modifiedWord/>
      <trackRevisions>false</trackRevisions>
    </reviewItem>
    <reviewItem>
      <errorID>68fbc0bb-b75c-46fb-8d70-81acaefadf25</errorID>
      <errorWord>)</errorWord>
      <group>L1_Format</group>
      <groupName>格式问题</groupName>
      <ability>L2_HalfPunc_CN</ability>
      <abilityName>全半角问题</abilityName>
      <candidateList>
        <item>）</item>
      </candidateList>
      <explain>文本全半角错误。</explain>
      <paraID>1CA1EA5A</paraID>
      <start>78</start>
      <end>79</end>
      <status>unmodified</status>
      <modifiedWord/>
      <trackRevisions>false</trackRevisions>
    </reviewItem>
    <reviewItem>
      <errorID>a270aef2-b4e4-41cb-af64-d543aa6e1b42</errorID>
      <errorWord>计</errorWord>
      <group>L1_Word</group>
      <groupName>字词问题</groupName>
      <ability>L2_Typo</ability>
      <abilityName>字词错误</abilityName>
      <candidateList>
        <item>计算</item>
      </candidateList>
      <explain/>
      <paraID>71C04F3C</paraID>
      <start>62</start>
      <end>63</end>
      <status>unmodified</status>
      <modifiedWord/>
      <trackRevisions>false</trackRevisions>
    </reviewItem>
    <reviewItem>
      <errorID>3749b2e4-0b21-4d33-ad57-93eb07e25728</errorID>
      <errorWord>)</errorWord>
      <group>L1_Format</group>
      <groupName>格式问题</groupName>
      <ability>L2_HalfPunc_CN</ability>
      <abilityName>全半角问题</abilityName>
      <candidateList>
        <item>）</item>
      </candidateList>
      <explain>文本全半角错误。</explain>
      <paraID>545D511B</paraID>
      <start>78</start>
      <end>79</end>
      <status>unmodified</status>
      <modifiedWord/>
      <trackRevisions>false</trackRevisions>
    </reviewItem>
    <reviewItem>
      <errorID>ea6dc521-efa3-401e-bd24-a7c4276f1334</errorID>
      <errorWord>巩固脱贫攻坚成果</errorWord>
      <group>L1_Word</group>
      <groupName>字词问题</groupName>
      <ability>L2_Typo</ability>
      <abilityName>字词错误</abilityName>
      <candidateList>
        <item>巩固拓展脱贫攻坚成果</item>
      </candidateList>
      <explain/>
      <paraID>2CD36DC0</paraID>
      <start>91</start>
      <end>99</end>
      <status>unmodified</status>
      <modifiedWord/>
      <trackRevisions>false</trackRevisions>
    </reviewItem>
    <reviewItem>
      <errorID>5d717f85-5d97-450b-b162-c5a04a7606e1</errorID>
      <errorWord>洒</errorWord>
      <group>L1_Word</group>
      <groupName>字词问题</groupName>
      <ability>L2_Typo</ability>
      <abilityName>字词错误</abilityName>
      <candidateList>
        <item>撒</item>
      </candidateList>
      <explain>存在发音相同字词的误用。</explain>
      <paraID>5C90FDF8</paraID>
      <start>59</start>
      <end>60</end>
      <status>unmodified</status>
      <modifiedWord/>
      <trackRevisions>false</trackRevisions>
    </reviewItem>
    <reviewItem>
      <errorID>afb1d0bc-91e4-43c6-bf9a-28e96b38c15c</errorID>
      <errorWord>期</errorWord>
      <group>L1_Word</group>
      <groupName>字词问题</groupName>
      <ability>L2_Typo</ability>
      <abilityName>字词错误</abilityName>
      <candidateList>
        <item>期间</item>
      </candidateList>
      <explain/>
      <paraID>4B7D3940</paraID>
      <start>2</start>
      <end>3</end>
      <status>unmodified</status>
      <modifiedWord/>
      <trackRevisions>false</trackRevisions>
    </reviewItem>
    <reviewItem>
      <errorID>92e96587-0dc9-4cbc-b814-7f6c5066c948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5D6C5392</paraID>
      <start>138</start>
      <end>139</end>
      <status>unmodified</status>
      <modifiedWord/>
      <trackRevisions>false</trackRevisions>
    </reviewItem>
    <reviewItem>
      <errorID>d43c7a96-92c2-4416-be9c-344e53e47882</errorID>
      <errorWord>(</errorWord>
      <group>L1_Format</group>
      <groupName>格式问题</groupName>
      <ability>L2_HalfPunc_CN</ability>
      <abilityName>全半角问题</abilityName>
      <candidateList>
        <item>（</item>
      </candidateList>
      <explain>文本全半角错误。</explain>
      <paraID>5ED77B63</paraID>
      <start>20</start>
      <end>21</end>
      <status>unmodified</status>
      <modifiedWord/>
      <trackRevisions>false</trackRevisions>
    </reviewItem>
    <reviewItem>
      <errorID>4d1db38d-dbd5-4302-9b07-a7e799dde137</errorID>
      <errorWord>)</errorWord>
      <group>L1_Format</group>
      <groupName>格式问题</groupName>
      <ability>L2_HalfPunc_CN</ability>
      <abilityName>全半角问题</abilityName>
      <candidateList>
        <item>）</item>
      </candidateList>
      <explain>文本全半角错误。</explain>
      <paraID>5ED77B63</paraID>
      <start>23</start>
      <end>24</end>
      <status>unmodified</status>
      <modifiedWord/>
      <trackRevisions>false</trackRevisions>
    </reviewItem>
    <reviewItem>
      <errorID>d7cfd52d-153c-4de3-96be-d5f4331c69c4</errorID>
      <errorWord>(</errorWord>
      <group>L1_Format</group>
      <groupName>格式问题</groupName>
      <ability>L2_HalfPunc_CN</ability>
      <abilityName>全半角问题</abilityName>
      <candidateList>
        <item>（</item>
      </candidateList>
      <explain>文本全半角错误。</explain>
      <paraID>5ED77B63</paraID>
      <start>25</start>
      <end>26</end>
      <status>unmodified</status>
      <modifiedWord/>
      <trackRevisions>false</trackRevisions>
    </reviewItem>
    <reviewItem>
      <errorID>ee369065-ce3d-4d31-bff3-38cfc58526c4</errorID>
      <errorWord>)</errorWord>
      <group>L1_Format</group>
      <groupName>格式问题</groupName>
      <ability>L2_HalfPunc_CN</ability>
      <abilityName>全半角问题</abilityName>
      <candidateList>
        <item>）</item>
      </candidateList>
      <explain>文本全半角错误。</explain>
      <paraID>5ED77B63</paraID>
      <start>36</start>
      <end>37</end>
      <status>unmodified</status>
      <modifiedWord/>
      <trackRevisions>false</trackRevisions>
    </reviewItem>
    <reviewItem>
      <errorID>076837bb-8f17-40e6-a418-7565cc7b38fe</errorID>
      <errorWord>:</errorWord>
      <group>L1_Format</group>
      <groupName>格式问题</groupName>
      <ability>L2_HalfPunc_CN</ability>
      <abilityName>全半角问题</abilityName>
      <candidateList>
        <item>：</item>
      </candidateList>
      <explain>文本全半角错误。</explain>
      <paraID>2228E69D</paraID>
      <start>82</start>
      <end>83</end>
      <status>unmodified</status>
      <modifiedWord/>
      <trackRevisions>false</trackRevisions>
    </reviewItem>
    <reviewItem>
      <errorID>69cf3503-3aec-4c20-8b8f-b8d89b6b2168</errorID>
      <errorWord>有粘性的</errorWord>
      <group>L1_Word</group>
      <groupName>字词问题</groupName>
      <ability>L2_Alias</ability>
      <abilityName>也作/曾用词</abilityName>
      <candidateList>
        <item>有黏性的</item>
      </candidateList>
      <explain>词汇[有粘性的]为不规范表述或旧称，其规范书面表述为[有黏性的]。</explain>
      <paraID>1FB9D8FF</paraID>
      <start>5</start>
      <end>9</end>
      <status>unmodified</status>
      <modifiedWord/>
      <trackRevisions>false</trackRevisions>
    </reviewItem>
    <reviewItem>
      <errorID>4b315789-f98c-458c-bac6-fc7b2c11cc99</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55912B6F</paraID>
      <start>125</start>
      <end>128</end>
      <status>unmodified</status>
      <modifiedWord/>
      <trackRevisions>false</trackRevisions>
    </reviewItem>
    <reviewItem>
      <errorID>39e150ae-ee5b-44c1-9348-fb3266bdda7a</errorID>
      <errorWord>IV</errorWord>
      <group>L1_Knowledge</group>
      <groupName>知识性问题</groupName>
      <ability>L2_Knowledge</ability>
      <abilityName>其他知识</abilityName>
      <candidateList>
        <item>Ⅳ</item>
      </candidateList>
      <explain>中文环境下罗马数字格式错误。</explain>
      <paraID>28361805</paraID>
      <start>2</start>
      <end>4</end>
      <status>unmodified</status>
      <modifiedWord/>
      <trackRevisions>false</trackRevisions>
    </reviewItem>
    <reviewItem>
      <errorID>0c1a7e3a-d191-4b81-9ff8-b5a77018b62b</errorID>
      <errorWord>*</errorWord>
      <group>L1_Punc</group>
      <groupName>标点问题</groupName>
      <ability>L2_Punc_CN</ability>
      <abilityName>标点符号问题</abilityName>
      <candidateList/>
      <explain/>
      <paraID>4CE9F9CB</paraID>
      <start>0</start>
      <end>1</end>
      <status>unmodified</status>
      <modifiedWord/>
      <trackRevisions>false</trackRevisions>
    </reviewItem>
    <reviewItem>
      <errorID>65157506-a5d7-433c-a8cf-cdee61cf37d5</errorID>
      <errorWord>责</errorWord>
      <group>L1_Word</group>
      <groupName>字词问题</groupName>
      <ability>L2_Typo</ability>
      <abilityName>字词错误</abilityName>
      <candidateList>
        <item>责和</item>
      </candidateList>
      <explain/>
      <paraID> 46C8254</paraID>
      <start>44</start>
      <end>45</end>
      <status>unmodified</status>
      <modifiedWord/>
      <trackRevisions>false</trackRevisions>
    </reviewItem>
    <reviewItem>
      <errorID>fb224f73-1c4f-4859-8d6a-8008beb4f44b</errorID>
      <errorWord>生态保护与恢复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词汇“生态保护修复”在特定场景下为固定表述形式，请确认此处的“生态保护与恢复”是否存在不当。</explain>
      <paraID>4EC8DA2B</paraID>
      <start>0</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e338e8-f659-4912-9b81-e14b0886b357}">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68</Pages>
  <Words>11559</Words>
  <Characters>12568</Characters>
  <Lines>1</Lines>
  <Paragraphs>1</Paragraphs>
  <TotalTime>1</TotalTime>
  <ScaleCrop>false</ScaleCrop>
  <LinksUpToDate>false</LinksUpToDate>
  <CharactersWithSpaces>12675</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lhj</dc:creator>
  <cp:lastModifiedBy>Administrator</cp:lastModifiedBy>
  <cp:lastPrinted>2025-09-25T04:06:00Z</cp:lastPrinted>
  <dcterms:modified xsi:type="dcterms:W3CDTF">2026-10-15T09:10:55Z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69BDAA01CA774F06988CDFB98C100A1F_13</vt:lpwstr>
  </property>
  <property fmtid="{D5CDD505-2E9C-101B-9397-08002B2CF9AE}" pid="4" name="KSOTemplateDocerSaveRecord">
    <vt:lpwstr>eyJoZGlkIjoiYmM5NTNhOWMzNThmMTgxMjhlYmYwYmRlODczZGZjNDkiLCJ1c2VySWQiOiIxMTU1MDY3NzcxIn0=</vt:lpwstr>
  </property>
</Properties>
</file>